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杭州市上城区综合行政执法局</w:t>
      </w:r>
    </w:p>
    <w:p>
      <w:pPr>
        <w:adjustRightInd/>
        <w:spacing w:line="360" w:lineRule="auto"/>
        <w:jc w:val="center"/>
        <w:rPr>
          <w:rFonts w:ascii="宋体" w:hAnsi="宋体" w:cs="宋体"/>
          <w:sz w:val="48"/>
          <w:szCs w:val="48"/>
        </w:rPr>
      </w:pPr>
      <w:r>
        <w:rPr>
          <w:rFonts w:hint="eastAsia" w:ascii="宋体" w:hAnsi="宋体" w:cs="宋体"/>
          <w:sz w:val="48"/>
          <w:szCs w:val="48"/>
        </w:rPr>
        <w:t>龙山河等4条河道设施长效管养招标项目招标文件</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编号:上城政采分-2022-01317-</w:t>
      </w:r>
    </w:p>
    <w:p>
      <w:pPr>
        <w:adjustRightInd/>
        <w:spacing w:line="360" w:lineRule="auto"/>
        <w:rPr>
          <w:rFonts w:ascii="宋体" w:hAnsi="宋体" w:cs="宋体"/>
          <w:sz w:val="28"/>
          <w:szCs w:val="20"/>
        </w:rPr>
      </w:pPr>
    </w:p>
    <w:p>
      <w:pPr>
        <w:spacing w:line="360" w:lineRule="auto"/>
        <w:jc w:val="center"/>
        <w:rPr>
          <w:rFonts w:ascii="宋体" w:hAnsi="宋体" w:cs="宋体"/>
          <w:sz w:val="24"/>
        </w:rPr>
      </w:pPr>
    </w:p>
    <w:p>
      <w:pPr>
        <w:pStyle w:val="6"/>
        <w:spacing w:line="360" w:lineRule="auto"/>
        <w:rPr>
          <w:rFonts w:hAnsi="宋体" w:cs="宋体"/>
          <w:color w:val="auto"/>
          <w:sz w:val="24"/>
        </w:rPr>
      </w:pPr>
    </w:p>
    <w:p>
      <w:pPr>
        <w:spacing w:line="360" w:lineRule="auto"/>
        <w:rPr>
          <w:rFonts w:ascii="宋体" w:hAnsi="宋体" w:cs="宋体"/>
          <w:sz w:val="24"/>
        </w:rPr>
      </w:pPr>
    </w:p>
    <w:p>
      <w:pPr>
        <w:pStyle w:val="6"/>
        <w:spacing w:line="360" w:lineRule="auto"/>
        <w:rPr>
          <w:rFonts w:hAnsi="宋体" w:cs="宋体"/>
          <w:color w:val="auto"/>
          <w:sz w:val="24"/>
        </w:rPr>
      </w:pPr>
    </w:p>
    <w:p>
      <w:pPr>
        <w:spacing w:line="360" w:lineRule="auto"/>
        <w:rPr>
          <w:rFonts w:ascii="宋体" w:hAnsi="宋体" w:cs="宋体"/>
          <w:sz w:val="24"/>
        </w:rPr>
      </w:pPr>
    </w:p>
    <w:p>
      <w:pPr>
        <w:pStyle w:val="6"/>
        <w:spacing w:line="360" w:lineRule="auto"/>
        <w:rPr>
          <w:rFonts w:hAnsi="宋体" w:cs="宋体"/>
          <w:color w:val="auto"/>
          <w:sz w:val="24"/>
        </w:rPr>
      </w:pPr>
    </w:p>
    <w:p>
      <w:pPr>
        <w:spacing w:line="360" w:lineRule="auto"/>
        <w:rPr>
          <w:rFonts w:ascii="宋体" w:hAnsi="宋体" w:cs="宋体"/>
          <w:sz w:val="24"/>
        </w:rPr>
      </w:pPr>
    </w:p>
    <w:p>
      <w:pPr>
        <w:pStyle w:val="6"/>
        <w:spacing w:line="360" w:lineRule="auto"/>
        <w:rPr>
          <w:rFonts w:hAnsi="宋体" w:cs="宋体"/>
          <w:color w:val="auto"/>
          <w:sz w:val="24"/>
        </w:rPr>
      </w:pPr>
    </w:p>
    <w:p>
      <w:pPr>
        <w:spacing w:line="360" w:lineRule="auto"/>
        <w:rPr>
          <w:rFonts w:ascii="宋体" w:hAnsi="宋体" w:cs="宋体"/>
        </w:rPr>
      </w:pPr>
    </w:p>
    <w:p>
      <w:pPr>
        <w:spacing w:line="360" w:lineRule="auto"/>
        <w:rPr>
          <w:rFonts w:ascii="宋体" w:hAnsi="宋体" w:cs="宋体"/>
          <w:sz w:val="24"/>
        </w:rPr>
      </w:pPr>
    </w:p>
    <w:p>
      <w:pPr>
        <w:pStyle w:val="6"/>
        <w:spacing w:line="360" w:lineRule="auto"/>
        <w:rPr>
          <w:rFonts w:hAnsi="宋体" w:cs="宋体"/>
          <w:color w:val="auto"/>
        </w:rPr>
      </w:pPr>
    </w:p>
    <w:p>
      <w:pPr>
        <w:spacing w:line="360" w:lineRule="auto"/>
        <w:rPr>
          <w:rFonts w:ascii="宋体" w:hAnsi="宋体" w:cs="宋体"/>
          <w:sz w:val="32"/>
          <w:szCs w:val="32"/>
        </w:rPr>
      </w:pPr>
    </w:p>
    <w:p>
      <w:pPr>
        <w:snapToGrid w:val="0"/>
        <w:spacing w:line="360" w:lineRule="auto"/>
        <w:jc w:val="center"/>
        <w:rPr>
          <w:rFonts w:ascii="宋体" w:hAnsi="宋体" w:cs="宋体"/>
          <w:sz w:val="32"/>
          <w:szCs w:val="32"/>
        </w:rPr>
      </w:pPr>
      <w:r>
        <w:rPr>
          <w:rFonts w:hint="eastAsia" w:ascii="宋体" w:hAnsi="宋体" w:cs="宋体"/>
          <w:sz w:val="32"/>
          <w:szCs w:val="32"/>
        </w:rPr>
        <w:t>（采购人）杭州市上城区综合行政执法局</w:t>
      </w:r>
    </w:p>
    <w:p>
      <w:pPr>
        <w:spacing w:line="360" w:lineRule="auto"/>
        <w:jc w:val="center"/>
        <w:rPr>
          <w:rFonts w:ascii="宋体" w:hAnsi="宋体" w:cs="宋体"/>
          <w:bCs/>
          <w:sz w:val="32"/>
          <w:szCs w:val="32"/>
        </w:rPr>
      </w:pPr>
      <w:r>
        <w:rPr>
          <w:rFonts w:hint="eastAsia" w:ascii="宋体" w:hAnsi="宋体" w:cs="宋体"/>
          <w:bCs/>
          <w:sz w:val="32"/>
          <w:szCs w:val="32"/>
        </w:rPr>
        <w:t>（采购代理机</w:t>
      </w:r>
      <w:r>
        <w:rPr>
          <w:rFonts w:hint="eastAsia" w:ascii="宋体" w:hAnsi="宋体" w:cs="宋体"/>
          <w:sz w:val="32"/>
          <w:szCs w:val="32"/>
        </w:rPr>
        <w:t xml:space="preserve">构）浙江科佳工程咨询有限公司 </w:t>
      </w:r>
      <w:r>
        <w:rPr>
          <w:rFonts w:hint="eastAsia" w:ascii="宋体" w:hAnsi="宋体" w:cs="宋体"/>
          <w:bCs/>
          <w:sz w:val="32"/>
          <w:szCs w:val="32"/>
        </w:rPr>
        <w:t xml:space="preserve">  </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二〇二二年十月二十八日</w:t>
      </w:r>
    </w:p>
    <w:p>
      <w:pPr>
        <w:spacing w:line="360" w:lineRule="auto"/>
        <w:jc w:val="center"/>
        <w:rPr>
          <w:rFonts w:ascii="宋体" w:hAnsi="宋体" w:cs="宋体"/>
          <w:sz w:val="24"/>
        </w:rPr>
        <w:sectPr>
          <w:headerReference r:id="rId4" w:type="first"/>
          <w:headerReference r:id="rId3" w:type="default"/>
          <w:footerReference r:id="rId5" w:type="even"/>
          <w:pgSz w:w="11906" w:h="16838"/>
          <w:pgMar w:top="680" w:right="1418" w:bottom="468" w:left="1418" w:header="851" w:footer="992" w:gutter="0"/>
          <w:pgNumType w:fmt="numberInDash"/>
          <w:cols w:space="720" w:num="1"/>
          <w:titlePg/>
          <w:docGrid w:linePitch="312" w:charSpace="0"/>
        </w:sectPr>
      </w:pPr>
    </w:p>
    <w:p>
      <w:pPr>
        <w:pStyle w:val="79"/>
        <w:spacing w:line="360" w:lineRule="auto"/>
        <w:rPr>
          <w:rFonts w:ascii="宋体" w:hAnsi="宋体" w:cs="宋体"/>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0" w:name="_Hlt91233176"/>
      <w:bookmarkEnd w:id="0"/>
      <w:bookmarkStart w:id="1"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龙山河等4条河道设施长效管养招标项目</w:t>
      </w:r>
      <w:r>
        <w:rPr>
          <w:rFonts w:hint="eastAsia" w:ascii="宋体" w:hAnsi="宋体" w:cs="宋体"/>
          <w:sz w:val="24"/>
        </w:rPr>
        <w:t>招标项目的潜在投标人应在政采云平台（</w:t>
      </w:r>
      <w:r>
        <w:fldChar w:fldCharType="begin"/>
      </w:r>
      <w:r>
        <w:instrText xml:space="preserve"> HYPERLINK "https://www.zcygov.cn/）获取（下载）招标文件，并于2022年12月26日09点30分00秒" </w:instrText>
      </w:r>
      <w:r>
        <w:fldChar w:fldCharType="separate"/>
      </w:r>
      <w:r>
        <w:rPr>
          <w:rStyle w:val="76"/>
          <w:rFonts w:hint="eastAsia" w:ascii="宋体" w:hAnsi="宋体" w:eastAsia="宋体" w:cs="宋体"/>
          <w:snapToGrid/>
          <w:kern w:val="2"/>
          <w:sz w:val="24"/>
          <w:szCs w:val="24"/>
        </w:rPr>
        <w:t>https://www.zcygov.cn/）获取（下载）招标文件，并于2022年</w:t>
      </w:r>
      <w:r>
        <w:rPr>
          <w:rStyle w:val="76"/>
          <w:rFonts w:ascii="宋体" w:hAnsi="宋体" w:eastAsia="宋体" w:cs="宋体"/>
          <w:snapToGrid/>
          <w:kern w:val="2"/>
          <w:sz w:val="24"/>
          <w:szCs w:val="24"/>
        </w:rPr>
        <w:t>12</w:t>
      </w:r>
      <w:r>
        <w:rPr>
          <w:rStyle w:val="76"/>
          <w:rFonts w:hint="eastAsia" w:ascii="宋体" w:hAnsi="宋体" w:eastAsia="宋体" w:cs="宋体"/>
          <w:snapToGrid/>
          <w:kern w:val="2"/>
          <w:sz w:val="24"/>
          <w:szCs w:val="24"/>
        </w:rPr>
        <w:t>月</w:t>
      </w:r>
      <w:r>
        <w:rPr>
          <w:rStyle w:val="76"/>
          <w:rFonts w:hint="eastAsia" w:ascii="宋体" w:hAnsi="宋体" w:cs="宋体"/>
          <w:snapToGrid/>
          <w:kern w:val="2"/>
          <w:sz w:val="24"/>
          <w:szCs w:val="24"/>
          <w:lang w:val="en-US" w:eastAsia="zh-CN"/>
        </w:rPr>
        <w:t>29</w:t>
      </w:r>
      <w:r>
        <w:rPr>
          <w:rStyle w:val="76"/>
          <w:rFonts w:hint="eastAsia" w:ascii="宋体" w:hAnsi="宋体" w:eastAsia="宋体" w:cs="宋体"/>
          <w:snapToGrid/>
          <w:kern w:val="2"/>
          <w:sz w:val="24"/>
          <w:szCs w:val="24"/>
        </w:rPr>
        <w:t>日09点</w:t>
      </w:r>
      <w:r>
        <w:rPr>
          <w:rStyle w:val="76"/>
          <w:rFonts w:ascii="宋体" w:hAnsi="宋体" w:eastAsia="宋体" w:cs="宋体"/>
          <w:snapToGrid/>
          <w:kern w:val="2"/>
          <w:sz w:val="24"/>
          <w:szCs w:val="24"/>
        </w:rPr>
        <w:t>3</w:t>
      </w:r>
      <w:r>
        <w:rPr>
          <w:rStyle w:val="76"/>
          <w:rFonts w:hint="eastAsia" w:ascii="宋体" w:hAnsi="宋体" w:eastAsia="宋体" w:cs="宋体"/>
          <w:snapToGrid/>
          <w:kern w:val="2"/>
          <w:sz w:val="24"/>
          <w:szCs w:val="24"/>
        </w:rPr>
        <w:t>0分</w:t>
      </w:r>
      <w:r>
        <w:rPr>
          <w:rStyle w:val="76"/>
          <w:rFonts w:hint="eastAsia" w:ascii="宋体" w:hAnsi="宋体" w:eastAsia="宋体" w:cs="宋体"/>
          <w:bCs/>
          <w:snapToGrid/>
          <w:kern w:val="2"/>
          <w:sz w:val="24"/>
          <w:szCs w:val="24"/>
        </w:rPr>
        <w:t>00秒</w:t>
      </w:r>
      <w:r>
        <w:rPr>
          <w:rStyle w:val="76"/>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rPr>
        <w:t>上城政采分-2022-01317</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龙山河等4条河道设施长效管养招标项目</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Cs/>
          <w:sz w:val="24"/>
        </w:rPr>
        <w:t>9994630元</w:t>
      </w:r>
    </w:p>
    <w:p>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sz w:val="24"/>
        </w:rPr>
        <w:t>9994630元</w:t>
      </w:r>
    </w:p>
    <w:p>
      <w:pPr>
        <w:pStyle w:val="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color w:val="auto"/>
          <w:sz w:val="24"/>
        </w:rPr>
        <w:t>龙山河等4条河道设施长效管养招标项目，</w:t>
      </w:r>
      <w:r>
        <w:rPr>
          <w:rFonts w:hint="eastAsia" w:hAnsi="宋体" w:cs="宋体"/>
          <w:bCs/>
          <w:snapToGrid/>
          <w:color w:val="auto"/>
          <w:kern w:val="2"/>
          <w:sz w:val="24"/>
          <w:szCs w:val="24"/>
        </w:rPr>
        <w:t>主要内容：涉及龙山河、中河、东河、贴沙河设施综合养护服务，服务期：36个月。详见招标文件第三部分采购需求。</w:t>
      </w:r>
    </w:p>
    <w:p>
      <w:pPr>
        <w:pStyle w:val="129"/>
        <w:ind w:firstLine="482"/>
        <w:outlineLvl w:val="2"/>
        <w:rPr>
          <w:rFonts w:ascii="宋体" w:hAnsi="宋体" w:cs="宋体"/>
        </w:rPr>
      </w:pPr>
      <w:r>
        <w:rPr>
          <w:rFonts w:hint="eastAsia" w:ascii="宋体" w:hAnsi="宋体" w:cs="宋体"/>
          <w:b/>
        </w:rPr>
        <w:t>合同履约期限：</w:t>
      </w:r>
      <w:r>
        <w:rPr>
          <w:rFonts w:hint="eastAsia" w:ascii="宋体" w:hAnsi="宋体" w:cs="宋体"/>
          <w:bCs/>
          <w:szCs w:val="24"/>
        </w:rPr>
        <w:t>按招标文件规定。</w:t>
      </w:r>
    </w:p>
    <w:p>
      <w:pPr>
        <w:pStyle w:val="6"/>
        <w:spacing w:line="360" w:lineRule="auto"/>
        <w:ind w:firstLine="480"/>
        <w:rPr>
          <w:rFonts w:hAnsi="宋体" w:cs="宋体"/>
          <w:b/>
          <w:color w:val="auto"/>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cs="宋体"/>
              <w:color w:val="auto"/>
              <w:kern w:val="0"/>
              <w:sz w:val="24"/>
            </w:rPr>
            <w:t>þ</w:t>
          </w:r>
        </w:sdtContent>
      </w:sdt>
      <w:r>
        <w:rPr>
          <w:rFonts w:hint="eastAsia" w:hAnsi="宋体" w:cs="宋体"/>
          <w:b/>
          <w:color w:val="auto"/>
          <w:sz w:val="24"/>
        </w:rPr>
        <w:t>是，</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2.落实政府采购政策需满足的资格要求：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p>
    <w:p>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货物全部由符合政策要求的中小企业制造，提供中小企业声明函；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33368540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z w:val="24"/>
        </w:rPr>
        <w:t>服务全部由符合政策要求的中小企业承接，提供中小企业声明函；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214102535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sz w:val="24"/>
        </w:rPr>
        <w:t>服务全部由符合政策要求的小微企业承接，提供中小企业声明函；</w:t>
      </w:r>
    </w:p>
    <w:p>
      <w:pPr>
        <w:spacing w:line="360" w:lineRule="auto"/>
        <w:rPr>
          <w:rFonts w:ascii="宋体" w:hAnsi="宋体" w:cs="宋体"/>
        </w:rPr>
      </w:pPr>
    </w:p>
    <w:p>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 </w:t>
      </w:r>
      <w:r>
        <w:rPr>
          <w:rFonts w:hint="eastAsia" w:ascii="宋体" w:hAnsi="宋体" w:cs="宋体"/>
          <w:sz w:val="24"/>
        </w:rPr>
        <w:t>%，小微企业合同金额应当达到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 </w:t>
      </w:r>
      <w:r>
        <w:rPr>
          <w:rFonts w:hint="eastAsia" w:ascii="宋体" w:hAnsi="宋体" w:cs="宋体"/>
          <w:sz w:val="24"/>
        </w:rPr>
        <w:t>% ，小微企业合同金额应当达到</w:t>
      </w:r>
      <w:r>
        <w:rPr>
          <w:rFonts w:hint="eastAsia" w:ascii="宋体" w:hAnsi="宋体" w:cs="宋体"/>
          <w:sz w:val="24"/>
          <w:u w:val="single"/>
        </w:rPr>
        <w:t xml:space="preserve"> /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 xml:space="preserve">3.本项目的特定资格要求：投标人需具备市政公用工程施工总承包三级（含）以上。 </w:t>
      </w:r>
    </w:p>
    <w:p>
      <w:pPr>
        <w:snapToGrid w:val="0"/>
        <w:spacing w:line="360" w:lineRule="auto"/>
        <w:ind w:firstLine="480" w:firstLineChars="200"/>
        <w:rPr>
          <w:rFonts w:ascii="宋体" w:hAnsi="宋体" w:cs="宋体"/>
          <w:sz w:val="24"/>
        </w:rPr>
      </w:pPr>
      <w:r>
        <w:rPr>
          <w:rFonts w:hint="eastAsia" w:ascii="宋体" w:hAnsi="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2022年</w:t>
      </w:r>
      <w:r>
        <w:rPr>
          <w:rFonts w:ascii="宋体" w:hAnsi="宋体" w:cs="宋体"/>
          <w:sz w:val="24"/>
          <w:u w:val="single"/>
        </w:rPr>
        <w:t>12</w:t>
      </w:r>
      <w:r>
        <w:rPr>
          <w:rFonts w:hint="eastAsia" w:ascii="宋体" w:hAnsi="宋体" w:cs="宋体"/>
          <w:sz w:val="24"/>
          <w:u w:val="single"/>
        </w:rPr>
        <w:t>月</w:t>
      </w:r>
      <w:r>
        <w:rPr>
          <w:rFonts w:hint="eastAsia" w:ascii="宋体" w:hAnsi="宋体" w:cs="宋体"/>
          <w:sz w:val="24"/>
          <w:u w:val="single"/>
          <w:lang w:val="en-US" w:eastAsia="zh-CN"/>
        </w:rPr>
        <w:t>29</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2022年1</w:t>
      </w:r>
      <w:r>
        <w:rPr>
          <w:rFonts w:ascii="宋体" w:hAnsi="宋体" w:cs="宋体"/>
          <w:sz w:val="24"/>
          <w:u w:val="single"/>
        </w:rPr>
        <w:t>2</w:t>
      </w:r>
      <w:r>
        <w:rPr>
          <w:rFonts w:hint="eastAsia" w:ascii="宋体" w:hAnsi="宋体" w:cs="宋体"/>
          <w:sz w:val="24"/>
          <w:u w:val="single"/>
        </w:rPr>
        <w:t xml:space="preserve"> 月</w:t>
      </w:r>
      <w:r>
        <w:rPr>
          <w:rFonts w:hint="eastAsia" w:ascii="宋体" w:hAnsi="宋体" w:cs="宋体"/>
          <w:sz w:val="24"/>
          <w:u w:val="single"/>
          <w:lang w:val="en-US" w:eastAsia="zh-CN"/>
        </w:rPr>
        <w:t>29</w:t>
      </w:r>
      <w:r>
        <w:rPr>
          <w:rFonts w:hint="eastAsia" w:ascii="宋体" w:hAnsi="宋体" w:cs="宋体"/>
          <w:sz w:val="24"/>
          <w:u w:val="single"/>
        </w:rPr>
        <w:t>日09点</w:t>
      </w:r>
      <w:r>
        <w:rPr>
          <w:rFonts w:ascii="宋体" w:hAnsi="宋体" w:cs="宋体"/>
          <w:sz w:val="24"/>
          <w:u w:val="single"/>
        </w:rPr>
        <w:t>3</w:t>
      </w:r>
      <w:r>
        <w:rPr>
          <w:rFonts w:hint="eastAsia" w:ascii="宋体" w:hAnsi="宋体" w:cs="宋体"/>
          <w:sz w:val="24"/>
          <w:u w:val="single"/>
        </w:rPr>
        <w:t>0分</w:t>
      </w:r>
      <w:r>
        <w:rPr>
          <w:rFonts w:hint="eastAsia" w:ascii="宋体" w:hAnsi="宋体" w:cs="宋体"/>
          <w:bCs/>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2022年1</w:t>
      </w:r>
      <w:r>
        <w:rPr>
          <w:rFonts w:ascii="宋体" w:hAnsi="宋体" w:cs="宋体"/>
          <w:sz w:val="24"/>
          <w:u w:val="single"/>
        </w:rPr>
        <w:t>2</w:t>
      </w:r>
      <w:r>
        <w:rPr>
          <w:rFonts w:hint="eastAsia" w:ascii="宋体" w:hAnsi="宋体" w:cs="宋体"/>
          <w:sz w:val="24"/>
          <w:u w:val="single"/>
        </w:rPr>
        <w:t xml:space="preserve"> 月</w:t>
      </w:r>
      <w:r>
        <w:rPr>
          <w:rFonts w:hint="eastAsia" w:ascii="宋体" w:hAnsi="宋体" w:cs="宋体"/>
          <w:sz w:val="24"/>
          <w:u w:val="single"/>
          <w:lang w:val="en-US" w:eastAsia="zh-CN"/>
        </w:rPr>
        <w:t>29</w:t>
      </w:r>
      <w:r>
        <w:rPr>
          <w:rFonts w:hint="eastAsia" w:ascii="宋体" w:hAnsi="宋体" w:cs="宋体"/>
          <w:sz w:val="24"/>
          <w:u w:val="single"/>
        </w:rPr>
        <w:t>日09点</w:t>
      </w:r>
      <w:r>
        <w:rPr>
          <w:rFonts w:ascii="宋体" w:hAnsi="宋体" w:cs="宋体"/>
          <w:sz w:val="24"/>
          <w:u w:val="single"/>
        </w:rPr>
        <w:t>3</w:t>
      </w:r>
      <w:r>
        <w:rPr>
          <w:rFonts w:hint="eastAsia" w:ascii="宋体" w:hAnsi="宋体" w:cs="宋体"/>
          <w:sz w:val="24"/>
          <w:u w:val="single"/>
        </w:rPr>
        <w:t>0分</w:t>
      </w:r>
      <w:r>
        <w:rPr>
          <w:rFonts w:hint="eastAsia" w:ascii="宋体" w:hAnsi="宋体" w:cs="宋体"/>
          <w:bCs/>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sz w:val="24"/>
        </w:rPr>
      </w:pPr>
      <w:r>
        <w:rPr>
          <w:rFonts w:hint="eastAsia" w:ascii="宋体" w:hAnsi="宋体" w:cs="宋体"/>
          <w:sz w:val="24"/>
        </w:rPr>
        <w:t xml:space="preserve">    名    称：杭州市上城区综合行政执法局 </w:t>
      </w:r>
    </w:p>
    <w:p>
      <w:pPr>
        <w:spacing w:line="360" w:lineRule="auto"/>
        <w:rPr>
          <w:rFonts w:ascii="宋体" w:hAnsi="宋体" w:cs="宋体"/>
          <w:sz w:val="24"/>
        </w:rPr>
      </w:pPr>
      <w:r>
        <w:rPr>
          <w:rFonts w:hint="eastAsia" w:ascii="宋体" w:hAnsi="宋体" w:cs="宋体"/>
          <w:sz w:val="24"/>
        </w:rPr>
        <w:t xml:space="preserve">    地    址：杭州市上城区码头路8号</w:t>
      </w:r>
    </w:p>
    <w:p>
      <w:pPr>
        <w:spacing w:line="360" w:lineRule="auto"/>
        <w:ind w:firstLine="480"/>
        <w:rPr>
          <w:rFonts w:ascii="宋体" w:hAnsi="宋体" w:cs="宋体"/>
          <w:sz w:val="24"/>
        </w:rPr>
      </w:pPr>
      <w:r>
        <w:rPr>
          <w:rFonts w:hint="eastAsia" w:ascii="宋体" w:hAnsi="宋体" w:cs="宋体"/>
          <w:sz w:val="24"/>
        </w:rPr>
        <w:t>传    真： /</w:t>
      </w:r>
    </w:p>
    <w:p>
      <w:pPr>
        <w:spacing w:line="360" w:lineRule="auto"/>
        <w:ind w:firstLine="480"/>
        <w:rPr>
          <w:rFonts w:ascii="宋体" w:hAnsi="宋体" w:cs="宋体"/>
          <w:sz w:val="24"/>
        </w:rPr>
      </w:pPr>
      <w:r>
        <w:rPr>
          <w:rFonts w:hint="eastAsia" w:ascii="宋体" w:hAnsi="宋体" w:cs="宋体"/>
          <w:sz w:val="24"/>
        </w:rPr>
        <w:t>项目联系人（询问）：应工</w:t>
      </w:r>
    </w:p>
    <w:p>
      <w:pPr>
        <w:spacing w:line="360" w:lineRule="auto"/>
        <w:ind w:firstLine="480"/>
        <w:rPr>
          <w:rFonts w:ascii="宋体" w:hAnsi="宋体" w:cs="宋体"/>
          <w:sz w:val="24"/>
        </w:rPr>
      </w:pPr>
      <w:r>
        <w:rPr>
          <w:rFonts w:hint="eastAsia" w:ascii="宋体" w:hAnsi="宋体" w:cs="宋体"/>
          <w:sz w:val="24"/>
        </w:rPr>
        <w:t>项目联系方式（询问）：15867109723</w:t>
      </w:r>
    </w:p>
    <w:p>
      <w:pPr>
        <w:spacing w:line="360" w:lineRule="auto"/>
        <w:ind w:firstLine="480"/>
        <w:rPr>
          <w:rFonts w:ascii="宋体" w:hAnsi="宋体" w:cs="宋体"/>
          <w:sz w:val="24"/>
        </w:rPr>
      </w:pPr>
      <w:r>
        <w:rPr>
          <w:rFonts w:hint="eastAsia" w:ascii="宋体" w:hAnsi="宋体" w:cs="宋体"/>
          <w:sz w:val="24"/>
        </w:rPr>
        <w:t>质疑联系人：聂工</w:t>
      </w:r>
    </w:p>
    <w:p>
      <w:pPr>
        <w:spacing w:line="360" w:lineRule="auto"/>
        <w:ind w:firstLine="480"/>
        <w:rPr>
          <w:rFonts w:ascii="宋体" w:hAnsi="宋体" w:cs="宋体"/>
          <w:sz w:val="24"/>
        </w:rPr>
      </w:pPr>
      <w:r>
        <w:rPr>
          <w:rFonts w:hint="eastAsia" w:ascii="宋体" w:hAnsi="宋体" w:cs="宋体"/>
          <w:sz w:val="24"/>
        </w:rPr>
        <w:t>质疑联系方式：56560084</w:t>
      </w:r>
    </w:p>
    <w:p>
      <w:pPr>
        <w:spacing w:line="360" w:lineRule="auto"/>
        <w:ind w:firstLine="480"/>
        <w:rPr>
          <w:rFonts w:ascii="宋体" w:hAnsi="宋体" w:cs="宋体"/>
          <w:sz w:val="24"/>
        </w:rPr>
      </w:pPr>
      <w:r>
        <w:rPr>
          <w:rFonts w:hint="eastAsia" w:ascii="宋体" w:hAnsi="宋体" w:cs="宋体"/>
          <w:sz w:val="24"/>
        </w:rPr>
        <w:t xml:space="preserve">采购代理机构信息            </w:t>
      </w:r>
    </w:p>
    <w:p>
      <w:pPr>
        <w:spacing w:line="360" w:lineRule="auto"/>
        <w:ind w:firstLine="480"/>
        <w:rPr>
          <w:rFonts w:ascii="宋体" w:hAnsi="宋体" w:cs="宋体"/>
          <w:sz w:val="24"/>
        </w:rPr>
      </w:pPr>
      <w:r>
        <w:rPr>
          <w:rFonts w:hint="eastAsia" w:ascii="宋体" w:hAnsi="宋体" w:cs="宋体"/>
          <w:sz w:val="24"/>
        </w:rPr>
        <w:t>名    称：浙江科佳工程咨询有限公司</w:t>
      </w:r>
    </w:p>
    <w:p>
      <w:pPr>
        <w:spacing w:line="360" w:lineRule="auto"/>
        <w:ind w:firstLine="480"/>
        <w:rPr>
          <w:rFonts w:ascii="宋体" w:hAnsi="宋体" w:cs="宋体"/>
          <w:sz w:val="24"/>
        </w:rPr>
      </w:pPr>
      <w:r>
        <w:rPr>
          <w:rFonts w:hint="eastAsia" w:ascii="宋体" w:hAnsi="宋体" w:cs="宋体"/>
          <w:sz w:val="24"/>
        </w:rPr>
        <w:t>地址：浙江省杭州市环站东路99号云峰大厦1号楼702</w:t>
      </w:r>
    </w:p>
    <w:p>
      <w:pPr>
        <w:spacing w:line="360" w:lineRule="auto"/>
        <w:ind w:firstLine="480"/>
        <w:rPr>
          <w:rFonts w:ascii="宋体" w:hAnsi="宋体" w:cs="宋体"/>
          <w:sz w:val="24"/>
        </w:rPr>
      </w:pPr>
      <w:r>
        <w:rPr>
          <w:rFonts w:hint="eastAsia" w:ascii="宋体" w:hAnsi="宋体" w:cs="宋体"/>
          <w:sz w:val="24"/>
        </w:rPr>
        <w:t>项目联系人（询问）：费龙生</w:t>
      </w:r>
    </w:p>
    <w:p>
      <w:pPr>
        <w:spacing w:line="360" w:lineRule="auto"/>
        <w:ind w:firstLine="480"/>
        <w:rPr>
          <w:rFonts w:ascii="宋体" w:hAnsi="宋体" w:cs="宋体"/>
          <w:sz w:val="24"/>
        </w:rPr>
      </w:pPr>
      <w:r>
        <w:rPr>
          <w:rFonts w:hint="eastAsia" w:ascii="宋体" w:hAnsi="宋体" w:cs="宋体"/>
          <w:sz w:val="24"/>
        </w:rPr>
        <w:t>项目联系方式（询问）：18458898685</w:t>
      </w:r>
    </w:p>
    <w:p>
      <w:pPr>
        <w:spacing w:line="360" w:lineRule="auto"/>
        <w:ind w:firstLine="480"/>
        <w:rPr>
          <w:rFonts w:ascii="宋体" w:hAnsi="宋体" w:cs="宋体"/>
          <w:sz w:val="24"/>
        </w:rPr>
      </w:pPr>
      <w:r>
        <w:rPr>
          <w:rFonts w:hint="eastAsia" w:ascii="宋体" w:hAnsi="宋体" w:cs="宋体"/>
          <w:sz w:val="24"/>
        </w:rPr>
        <w:t xml:space="preserve">质疑联系人：季晓瑾              </w:t>
      </w:r>
    </w:p>
    <w:p>
      <w:pPr>
        <w:spacing w:line="360" w:lineRule="auto"/>
        <w:ind w:firstLine="480"/>
        <w:rPr>
          <w:rFonts w:ascii="宋体" w:hAnsi="宋体" w:cs="宋体"/>
          <w:sz w:val="24"/>
        </w:rPr>
      </w:pPr>
      <w:r>
        <w:rPr>
          <w:rFonts w:hint="eastAsia" w:ascii="宋体" w:hAnsi="宋体" w:cs="宋体"/>
          <w:sz w:val="24"/>
        </w:rPr>
        <w:t xml:space="preserve">质疑联系方式：0571-88198126  </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称：杭州市上城区财政局 </w:t>
      </w:r>
    </w:p>
    <w:p>
      <w:pPr>
        <w:spacing w:line="360" w:lineRule="auto"/>
        <w:rPr>
          <w:rFonts w:ascii="宋体" w:hAnsi="宋体" w:cs="宋体"/>
          <w:sz w:val="24"/>
        </w:rPr>
      </w:pPr>
      <w:r>
        <w:rPr>
          <w:rFonts w:hint="eastAsia" w:ascii="宋体" w:hAnsi="宋体" w:cs="宋体"/>
          <w:sz w:val="24"/>
        </w:rPr>
        <w:t xml:space="preserve">    地    址：杭州市望潮路77号</w:t>
      </w:r>
    </w:p>
    <w:p>
      <w:pPr>
        <w:spacing w:line="360" w:lineRule="auto"/>
        <w:ind w:firstLine="240" w:firstLineChars="100"/>
        <w:rPr>
          <w:rFonts w:ascii="宋体" w:hAnsi="宋体" w:cs="宋体"/>
          <w:sz w:val="24"/>
        </w:rPr>
      </w:pPr>
      <w:r>
        <w:rPr>
          <w:rFonts w:hint="eastAsia" w:ascii="宋体" w:hAnsi="宋体" w:cs="宋体"/>
          <w:sz w:val="24"/>
        </w:rPr>
        <w:t xml:space="preserve">  传    真：/</w:t>
      </w:r>
    </w:p>
    <w:p>
      <w:pPr>
        <w:spacing w:line="360" w:lineRule="auto"/>
        <w:rPr>
          <w:rFonts w:ascii="宋体" w:hAnsi="宋体" w:cs="宋体"/>
          <w:sz w:val="24"/>
        </w:rPr>
      </w:pPr>
      <w:r>
        <w:rPr>
          <w:rFonts w:hint="eastAsia" w:ascii="宋体" w:hAnsi="宋体" w:cs="宋体"/>
          <w:sz w:val="24"/>
        </w:rPr>
        <w:t xml:space="preserve">    联系人 ：余工 </w:t>
      </w:r>
    </w:p>
    <w:p>
      <w:pPr>
        <w:spacing w:line="360" w:lineRule="auto"/>
        <w:ind w:firstLine="480" w:firstLineChars="200"/>
        <w:rPr>
          <w:rFonts w:ascii="宋体" w:hAnsi="宋体" w:cs="宋体"/>
          <w:sz w:val="24"/>
        </w:rPr>
      </w:pPr>
      <w:r>
        <w:rPr>
          <w:rFonts w:hint="eastAsia" w:ascii="宋体" w:hAnsi="宋体" w:cs="宋体"/>
          <w:sz w:val="24"/>
        </w:rPr>
        <w:t xml:space="preserve">监督投诉电话：0571-89500860          </w:t>
      </w:r>
    </w:p>
    <w:p>
      <w:pPr>
        <w:spacing w:line="360" w:lineRule="auto"/>
        <w:ind w:firstLine="240" w:firstLineChars="1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4"/>
        <w:spacing w:line="360" w:lineRule="auto"/>
        <w:ind w:firstLine="480" w:firstLineChars="200"/>
        <w:rPr>
          <w:rFonts w:hAnsi="宋体" w:cs="宋体"/>
          <w:sz w:val="24"/>
          <w:szCs w:val="24"/>
        </w:rPr>
      </w:pPr>
      <w:r>
        <w:rPr>
          <w:rFonts w:hint="eastAsia" w:hAnsi="宋体" w:cs="宋体"/>
          <w:sz w:val="24"/>
        </w:rPr>
        <w:t xml:space="preserve">                              </w:t>
      </w:r>
    </w:p>
    <w:p>
      <w:pPr>
        <w:adjustRightInd/>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pPr>
        <w:snapToGrid w:val="0"/>
        <w:jc w:val="center"/>
        <w:rPr>
          <w:rFonts w:ascii="宋体" w:hAnsi="宋体" w:cs="宋体"/>
          <w:b/>
          <w:sz w:val="32"/>
          <w:szCs w:val="20"/>
        </w:rPr>
      </w:pPr>
      <w:r>
        <w:rPr>
          <w:rFonts w:hint="eastAsia" w:ascii="宋体" w:hAnsi="宋体" w:cs="宋体"/>
          <w:b/>
          <w:sz w:val="32"/>
          <w:szCs w:val="20"/>
        </w:rPr>
        <w:t>前附表</w:t>
      </w:r>
    </w:p>
    <w:tbl>
      <w:tblPr>
        <w:tblStyle w:val="62"/>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6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52"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6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有关本项目实施所需的所有费用包含且不限于</w:t>
            </w:r>
            <w:r>
              <w:rPr>
                <w:rFonts w:hint="eastAsia" w:ascii="宋体" w:hAnsi="宋体" w:cs="宋体"/>
                <w:sz w:val="24"/>
              </w:rPr>
              <w:t>投标人报价应是包括完成本标项所有综合管理养护服务所需的车辆、船只、器械、材料、人工、运杂、劳动防护费用（服装费、高温费、管理房水电费等）、人身意外伤害保险（保额不少于20万/人）、税金（包含各种税费,由投标人承担的）、采购文件明确的其它需投标人承担的费用及其它潜在满足采购人监管要求可能涉及的一切费用。同时，上述报价还应包括突击整治任务、蚊蝇消杀、重大政治活动、单车帮扶、四问四权、宣传、垃圾分类等突发性事件的河道养护工作所产生的各项费用，投标人对本合同内容的费用、质量、安全、文明服务等实行全面承包。</w:t>
            </w:r>
            <w:r>
              <w:rPr>
                <w:rFonts w:hint="eastAsia" w:ascii="宋体" w:hAnsi="宋体" w:cs="宋体"/>
                <w:kern w:val="0"/>
                <w:sz w:val="24"/>
                <w:lang w:val="zh-CN"/>
              </w:rPr>
              <w:t>（含税费）均计入报价。</w:t>
            </w: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w:t>
            </w:r>
            <w:r>
              <w:rPr>
                <w:rFonts w:hint="eastAsia" w:ascii="宋体" w:hAnsi="宋体" w:cs="宋体"/>
                <w:b/>
                <w:kern w:val="0"/>
                <w:sz w:val="24"/>
                <w:lang w:val="zh-CN"/>
              </w:rPr>
              <w:sym w:font="Wingdings" w:char="00A8"/>
            </w:r>
            <w:r>
              <w:rPr>
                <w:rFonts w:hint="eastAsia" w:ascii="宋体" w:hAnsi="宋体" w:cs="宋体"/>
                <w:bCs/>
                <w:kern w:val="0"/>
                <w:sz w:val="24"/>
                <w:lang w:val="zh-CN"/>
              </w:rPr>
              <w:t>本项目履约验收时委托第三方检测，验收时检测费用由采购人承担，不包含在投标总价中。</w:t>
            </w:r>
            <w:r>
              <w:rPr>
                <w:rFonts w:hint="eastAsia" w:ascii="宋体" w:hAnsi="宋体" w:cs="宋体"/>
                <w:b/>
                <w:kern w:val="0"/>
                <w:sz w:val="24"/>
                <w:lang w:val="zh-CN"/>
              </w:rPr>
              <w:sym w:font="Wingdings" w:char="00FE"/>
            </w:r>
            <w:r>
              <w:rPr>
                <w:rFonts w:hint="eastAsia" w:ascii="宋体" w:hAnsi="宋体" w:cs="宋体"/>
                <w:bCs/>
                <w:kern w:val="0"/>
                <w:sz w:val="24"/>
                <w:lang w:val="zh-CN"/>
              </w:rPr>
              <w:t>本项目履约验收时不委托第三方检测。</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60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p>
          <w:p>
            <w:pPr>
              <w:spacing w:line="360" w:lineRule="auto"/>
              <w:rPr>
                <w:rFonts w:ascii="宋体" w:hAnsi="宋体" w:cs="宋体"/>
                <w:sz w:val="24"/>
              </w:rPr>
            </w:pP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600"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4"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600"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60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60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60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60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60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1872786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A</w:t>
            </w: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sdt>
              <w:sdtPr>
                <w:rPr>
                  <w:rFonts w:hint="eastAsia" w:ascii="宋体" w:hAnsi="宋体" w:cs="宋体"/>
                  <w:kern w:val="0"/>
                  <w:sz w:val="24"/>
                </w:rPr>
                <w:id w:val="47488555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B</w:t>
            </w: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采购标的对应的中小企业划分标准所属行业</w:t>
            </w:r>
          </w:p>
        </w:tc>
        <w:tc>
          <w:tcPr>
            <w:tcW w:w="660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r>
              <w:rPr>
                <w:rFonts w:hint="eastAsia" w:ascii="宋体" w:hAnsi="宋体" w:cs="宋体"/>
                <w:kern w:val="0"/>
                <w:sz w:val="24"/>
              </w:rPr>
              <w:t>（1）标的：龙山河等4条河道设施长效管养招标项目，属于</w:t>
            </w:r>
            <w:r>
              <w:rPr>
                <w:rFonts w:hint="eastAsia" w:ascii="宋体" w:hAnsi="宋体" w:cs="宋体"/>
                <w:kern w:val="0"/>
                <w:sz w:val="24"/>
                <w:u w:val="single"/>
              </w:rPr>
              <w:t>其他未列明行业</w:t>
            </w:r>
            <w:r>
              <w:rPr>
                <w:rFonts w:hint="eastAsia" w:ascii="宋体" w:hAnsi="宋体" w:cs="宋体"/>
                <w:kern w:val="0"/>
                <w:sz w:val="24"/>
              </w:rPr>
              <w:t>；</w:t>
            </w:r>
          </w:p>
          <w:p>
            <w:pPr>
              <w:spacing w:line="360" w:lineRule="auto"/>
            </w:pPr>
            <w:r>
              <w:rPr>
                <w:rFonts w:hint="eastAsia" w:ascii="宋体" w:hAnsi="宋体" w:cs="宋体"/>
                <w:b/>
                <w:bCs/>
                <w:kern w:val="0"/>
                <w:sz w:val="24"/>
              </w:rPr>
              <w:t>其他未列明行业:</w:t>
            </w:r>
            <w:r>
              <w:rPr>
                <w:rFonts w:hint="eastAsia" w:ascii="宋体" w:hAnsi="宋体" w:cs="宋体"/>
                <w:kern w:val="0"/>
                <w:sz w:val="24"/>
              </w:rPr>
              <w:t>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6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600"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kern w:val="0"/>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ascii="宋体" w:hAnsi="宋体" w:cs="宋体"/>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宋体" w:hAnsi="宋体" w:cs="宋体"/>
              </w:rPr>
            </w:pPr>
          </w:p>
        </w:tc>
        <w:tc>
          <w:tcPr>
            <w:tcW w:w="6600"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600"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杭州市上城区环站东路99号</w:t>
            </w:r>
            <w:r>
              <w:rPr>
                <w:rFonts w:hint="eastAsia" w:hAnsi="宋体" w:cs="宋体"/>
                <w:kern w:val="28"/>
                <w:sz w:val="24"/>
                <w:szCs w:val="24"/>
              </w:rPr>
              <w:t>；备份投标文件签收人员联系电话：</w:t>
            </w:r>
            <w:r>
              <w:rPr>
                <w:rFonts w:hint="eastAsia" w:hAnsi="宋体" w:cs="宋体"/>
                <w:sz w:val="24"/>
                <w:u w:val="single"/>
              </w:rPr>
              <w:t>费龙生18458898685</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6600" w:type="dxa"/>
            <w:tcBorders>
              <w:top w:val="single" w:color="000000" w:sz="8" w:space="0"/>
              <w:left w:val="single" w:color="000000" w:sz="2" w:space="0"/>
              <w:bottom w:val="single" w:color="000000" w:sz="8" w:space="0"/>
              <w:right w:val="single" w:color="000000" w:sz="8" w:space="0"/>
            </w:tcBorders>
            <w:vAlign w:val="center"/>
          </w:tcPr>
          <w:p>
            <w:pPr>
              <w:pStyle w:val="722"/>
              <w:spacing w:line="360" w:lineRule="auto"/>
              <w:ind w:firstLine="0"/>
              <w:rPr>
                <w:rFonts w:cs="宋体"/>
                <w:snapToGrid w:val="0"/>
                <w:kern w:val="28"/>
                <w:szCs w:val="24"/>
              </w:rPr>
            </w:pPr>
            <w:r>
              <w:rPr>
                <w:rFonts w:hint="eastAsia" w:cs="宋体"/>
                <w:snapToGrid w:val="0"/>
                <w:kern w:val="28"/>
                <w:szCs w:val="24"/>
              </w:rPr>
              <w:t>采购代理服务费金额：经与采购人签订合同，约定本项目采购代理服务费由中标人支付给采购代理机构。</w:t>
            </w:r>
            <w:r>
              <w:rPr>
                <w:rFonts w:hint="eastAsia" w:cs="宋体"/>
                <w:bCs/>
                <w:szCs w:val="24"/>
              </w:rPr>
              <w:t>收费标准按浙价服1980号文中的服务类80%收取，不足8000按8000计。</w:t>
            </w:r>
            <w:r>
              <w:rPr>
                <w:rFonts w:hint="eastAsia" w:cs="宋体"/>
                <w:snapToGrid w:val="0"/>
                <w:kern w:val="28"/>
                <w:szCs w:val="24"/>
              </w:rPr>
              <w:t>采购代理服务费交纳形式：汇票/支票/电汇</w:t>
            </w:r>
          </w:p>
          <w:p>
            <w:pPr>
              <w:pStyle w:val="722"/>
              <w:spacing w:line="360" w:lineRule="auto"/>
              <w:ind w:firstLine="0"/>
              <w:rPr>
                <w:rFonts w:cs="宋体"/>
                <w:snapToGrid w:val="0"/>
                <w:kern w:val="28"/>
              </w:rPr>
            </w:pPr>
            <w:r>
              <w:rPr>
                <w:rFonts w:hint="eastAsia" w:cs="宋体"/>
                <w:snapToGrid w:val="0"/>
                <w:kern w:val="28"/>
                <w:szCs w:val="24"/>
              </w:rPr>
              <w:t>采购代理服务费由中标人在领取中标通知书前时向采购代理机构支付。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66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sz w:val="24"/>
              </w:rPr>
            </w:pPr>
            <w:r>
              <w:rPr>
                <w:rFonts w:hint="eastAsia" w:ascii="宋体" w:hAnsi="宋体" w:cs="宋体"/>
                <w:sz w:val="24"/>
              </w:rPr>
              <w:t>根据《关于在政府采购活动中查询及使用信用记录有关问题的通知》财库[2016]125号的规定：</w:t>
            </w:r>
          </w:p>
          <w:p>
            <w:pPr>
              <w:snapToGrid w:val="0"/>
              <w:spacing w:line="360" w:lineRule="auto"/>
              <w:rPr>
                <w:rFonts w:ascii="宋体" w:hAnsi="宋体" w:cs="宋体"/>
                <w:sz w:val="24"/>
              </w:rPr>
            </w:pPr>
            <w:r>
              <w:rPr>
                <w:rFonts w:hint="eastAsia" w:ascii="宋体" w:hAnsi="宋体" w:cs="宋体"/>
                <w:sz w:val="24"/>
              </w:rPr>
              <w:t>（1）采购人或采购代理机构将对本项目投标人的信用信息进行查询。</w:t>
            </w:r>
          </w:p>
          <w:p>
            <w:pPr>
              <w:snapToGrid w:val="0"/>
              <w:spacing w:line="360" w:lineRule="auto"/>
              <w:rPr>
                <w:rFonts w:ascii="宋体" w:hAnsi="宋体" w:cs="宋体"/>
                <w:sz w:val="24"/>
              </w:rPr>
            </w:pPr>
            <w:r>
              <w:rPr>
                <w:rFonts w:hint="eastAsia" w:ascii="宋体" w:hAnsi="宋体" w:cs="宋体"/>
                <w:sz w:val="24"/>
              </w:rPr>
              <w:t>（2）查询渠道为信用中国网站（www.creditchina.gov.cn）、中国政府采购网（www.ccgp.gov.cn）。</w:t>
            </w:r>
          </w:p>
          <w:p>
            <w:pPr>
              <w:snapToGrid w:val="0"/>
              <w:spacing w:line="360" w:lineRule="auto"/>
              <w:rPr>
                <w:rFonts w:ascii="宋体" w:hAnsi="宋体" w:cs="宋体"/>
                <w:sz w:val="24"/>
              </w:rPr>
            </w:pPr>
            <w:r>
              <w:rPr>
                <w:rFonts w:hint="eastAsia" w:ascii="宋体" w:hAnsi="宋体" w:cs="宋体"/>
                <w:sz w:val="24"/>
              </w:rPr>
              <w:t>（3）执行人名单、重大税收违法案件当事人名单、政府采购严重违法失信行为记录名单等投标人信用信息均将用于本项目。</w:t>
            </w:r>
          </w:p>
          <w:p>
            <w:pPr>
              <w:snapToGrid w:val="0"/>
              <w:spacing w:line="360" w:lineRule="auto"/>
              <w:rPr>
                <w:rFonts w:ascii="宋体" w:hAnsi="宋体" w:cs="宋体"/>
                <w:sz w:val="24"/>
              </w:rPr>
            </w:pPr>
            <w:r>
              <w:rPr>
                <w:rFonts w:hint="eastAsia" w:ascii="宋体" w:hAnsi="宋体" w:cs="宋体"/>
                <w:sz w:val="24"/>
              </w:rPr>
              <w:t>（4）信用信息查询记录和证据以网页截图等方式留存。</w:t>
            </w:r>
          </w:p>
          <w:p>
            <w:pPr>
              <w:spacing w:line="360" w:lineRule="auto"/>
              <w:rPr>
                <w:rFonts w:ascii="宋体" w:hAnsi="宋体" w:cs="宋体"/>
                <w:snapToGrid w:val="0"/>
                <w:kern w:val="28"/>
                <w:sz w:val="24"/>
              </w:rPr>
            </w:pPr>
            <w:r>
              <w:rPr>
                <w:rFonts w:hint="eastAsia" w:ascii="宋体" w:hAnsi="宋体" w:cs="宋体"/>
                <w:sz w:val="24"/>
              </w:rPr>
              <w:t>（5）投标截止日当日网站显示的信用信息将作为评审和确定中标人的依据。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66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sz w:val="24"/>
              </w:rPr>
            </w:pPr>
            <w:r>
              <w:rPr>
                <w:rFonts w:hint="eastAsia" w:ascii="宋体" w:hAnsi="宋体" w:cs="宋体"/>
                <w:sz w:val="24"/>
              </w:rPr>
              <w:t>中标人应提供与电子投标文件内容一致的纸质投标文件一正二副，装订成册，采用胶订或线订，不得采用活页夹等可随时拆换的方式装订。（胶订或线订以外装订形式视为活页装订）</w:t>
            </w:r>
          </w:p>
          <w:p>
            <w:pPr>
              <w:spacing w:line="360" w:lineRule="auto"/>
              <w:rPr>
                <w:rFonts w:ascii="宋体" w:hAnsi="宋体" w:cs="宋体"/>
                <w:snapToGrid w:val="0"/>
                <w:kern w:val="28"/>
                <w:sz w:val="24"/>
              </w:rPr>
            </w:pPr>
            <w:r>
              <w:rPr>
                <w:rFonts w:hint="eastAsia" w:ascii="宋体" w:hAnsi="宋体" w:cs="宋体"/>
                <w:sz w:val="24"/>
              </w:rPr>
              <w:t>中标人在领取中标通知书时提供纸质投标文件。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6600" w:type="dxa"/>
            <w:tcBorders>
              <w:top w:val="single" w:color="000000" w:sz="8" w:space="0"/>
              <w:left w:val="single" w:color="000000" w:sz="2" w:space="0"/>
              <w:bottom w:val="single" w:color="000000" w:sz="8" w:space="0"/>
              <w:right w:val="single" w:color="000000" w:sz="8" w:space="0"/>
            </w:tcBorders>
            <w:vAlign w:val="center"/>
          </w:tcPr>
          <w:p>
            <w:pPr>
              <w:pStyle w:val="722"/>
              <w:spacing w:line="360" w:lineRule="auto"/>
              <w:ind w:firstLine="0"/>
              <w:rPr>
                <w:rFonts w:cs="宋体"/>
                <w:bCs/>
                <w:szCs w:val="24"/>
              </w:rPr>
            </w:pPr>
            <w:r>
              <w:rPr>
                <w:rFonts w:hint="eastAsia" w:cs="宋体"/>
                <w:bCs/>
                <w:szCs w:val="24"/>
              </w:rPr>
              <w:t>供应商支付申请和查询</w:t>
            </w:r>
          </w:p>
          <w:p>
            <w:pPr>
              <w:spacing w:line="360" w:lineRule="auto"/>
              <w:rPr>
                <w:rFonts w:ascii="宋体" w:hAnsi="宋体" w:cs="宋体"/>
                <w:snapToGrid w:val="0"/>
                <w:kern w:val="28"/>
                <w:sz w:val="24"/>
              </w:rPr>
            </w:pPr>
            <w:r>
              <w:rPr>
                <w:rFonts w:hint="eastAsia" w:ascii="宋体" w:hAnsi="宋体" w:cs="宋体"/>
                <w:bCs/>
                <w:sz w:val="24"/>
              </w:rPr>
              <w:t>供应商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tc>
      </w:tr>
    </w:tbl>
    <w:p>
      <w:pPr>
        <w:snapToGrid w:val="0"/>
        <w:spacing w:line="360" w:lineRule="auto"/>
        <w:jc w:val="center"/>
        <w:rPr>
          <w:rFonts w:ascii="宋体" w:hAnsi="宋体" w:cs="宋体"/>
          <w:b/>
          <w:sz w:val="32"/>
          <w:szCs w:val="20"/>
        </w:rPr>
      </w:pPr>
    </w:p>
    <w:bookmarkEnd w:id="9"/>
    <w:p>
      <w:pPr>
        <w:adjustRightInd/>
        <w:spacing w:line="360" w:lineRule="auto"/>
        <w:ind w:firstLine="3845" w:firstLineChars="1197"/>
        <w:outlineLvl w:val="0"/>
        <w:rPr>
          <w:rFonts w:ascii="宋体" w:hAnsi="宋体" w:cs="宋体"/>
          <w:b/>
          <w:sz w:val="32"/>
          <w:szCs w:val="20"/>
        </w:rPr>
      </w:pPr>
      <w:bookmarkStart w:id="10" w:name="第三部分"/>
      <w:bookmarkStart w:id="11" w:name="_Toc164416483"/>
    </w:p>
    <w:p>
      <w:pPr>
        <w:pStyle w:val="2"/>
        <w:ind w:firstLine="643"/>
        <w:rPr>
          <w:rFonts w:cs="宋体"/>
          <w:b/>
          <w:sz w:val="32"/>
          <w:szCs w:val="20"/>
        </w:rPr>
      </w:pPr>
    </w:p>
    <w:p>
      <w:pPr>
        <w:pStyle w:val="2"/>
        <w:ind w:firstLine="643"/>
        <w:rPr>
          <w:rFonts w:cs="宋体"/>
          <w:b/>
          <w:sz w:val="32"/>
          <w:szCs w:val="20"/>
        </w:rPr>
      </w:pPr>
    </w:p>
    <w:p>
      <w:pPr>
        <w:pStyle w:val="2"/>
        <w:ind w:firstLine="643"/>
        <w:rPr>
          <w:rFonts w:cs="宋体"/>
          <w:b/>
          <w:sz w:val="32"/>
          <w:szCs w:val="20"/>
        </w:rPr>
      </w:pPr>
    </w:p>
    <w:p>
      <w:pPr>
        <w:pStyle w:val="2"/>
        <w:ind w:firstLine="643"/>
        <w:rPr>
          <w:rFonts w:cs="宋体"/>
          <w:b/>
          <w:sz w:val="32"/>
          <w:szCs w:val="20"/>
        </w:rPr>
      </w:pPr>
    </w:p>
    <w:p>
      <w:pPr>
        <w:pStyle w:val="2"/>
        <w:ind w:firstLine="643"/>
        <w:rPr>
          <w:rFonts w:cs="宋体"/>
          <w:b/>
          <w:sz w:val="32"/>
          <w:szCs w:val="20"/>
        </w:rPr>
      </w:pPr>
    </w:p>
    <w:p>
      <w:pPr>
        <w:pStyle w:val="2"/>
        <w:ind w:firstLine="643"/>
        <w:rPr>
          <w:rFonts w:cs="宋体"/>
          <w:b/>
          <w:sz w:val="32"/>
          <w:szCs w:val="20"/>
        </w:rPr>
      </w:pP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系指实质性要求条款，“★”系产品采购项目中单一产品或核心产品，“</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b/>
          <w:sz w:val="24"/>
        </w:rPr>
      </w:pPr>
      <w:r>
        <w:rPr>
          <w:rFonts w:hint="eastAsia" w:ascii="宋体" w:hAnsi="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4.2供应商质疑</w:t>
      </w:r>
    </w:p>
    <w:p>
      <w:pPr>
        <w:pStyle w:val="34"/>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bookmarkStart w:id="691" w:name="_GoBack"/>
      <w:bookmarkEnd w:id="691"/>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4.2.3.1供应商的姓名或者名称、地址、邮编、联系人及联系电话；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4.2.3.2质疑项目的名称、编号；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4.2.3.3具体、明确的质疑事项和与质疑事项相关的请求；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4.2.3.4事实依据；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4.2.3.5必要的法律依据；</w:t>
      </w:r>
    </w:p>
    <w:p>
      <w:pPr>
        <w:pStyle w:val="34"/>
        <w:spacing w:line="360" w:lineRule="auto"/>
        <w:ind w:firstLine="960" w:firstLineChars="400"/>
        <w:rPr>
          <w:rFonts w:hAnsi="宋体" w:cs="宋体"/>
          <w:kern w:val="0"/>
          <w:sz w:val="24"/>
          <w:lang w:val="zh-CN"/>
        </w:rPr>
      </w:pPr>
      <w:r>
        <w:rPr>
          <w:rFonts w:hint="eastAsia" w:hAnsi="宋体" w:cs="宋体"/>
          <w:kern w:val="0"/>
          <w:sz w:val="24"/>
          <w:lang w:val="zh-CN"/>
        </w:rPr>
        <w:t>4.2.3.6提出质疑的日期。</w:t>
      </w:r>
    </w:p>
    <w:p>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pPr>
      <w:r>
        <w:rPr>
          <w:rFonts w:hint="eastAsia"/>
        </w:rPr>
        <w:t>质疑函范本及制作说明详见附件2。</w:t>
      </w:r>
    </w:p>
    <w:p>
      <w:pPr>
        <w:pStyle w:val="887"/>
        <w:shd w:val="clear" w:color="auto" w:fill="FFFFFF"/>
        <w:snapToGrid w:val="0"/>
        <w:spacing w:after="240" w:afterAutospacing="0" w:line="360" w:lineRule="auto"/>
        <w:ind w:firstLine="400"/>
        <w:contextualSpacing/>
      </w:pPr>
      <w:r>
        <w:rPr>
          <w:rFonts w:hint="eastAsia"/>
          <w:lang w:val="zh-CN"/>
        </w:rPr>
        <w:t>4.2</w:t>
      </w:r>
      <w:r>
        <w:rPr>
          <w:rFonts w:hint="eastAsia"/>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pPr>
      <w:r>
        <w:rPr>
          <w:rFonts w:hint="eastAsia"/>
          <w:lang w:val="zh-CN"/>
        </w:rPr>
        <w:t>4.2</w:t>
      </w:r>
      <w:r>
        <w:rPr>
          <w:rFonts w:hint="eastAsia"/>
        </w:rPr>
        <w:t>.5询问或者质疑事项可能影响采购结果的，采购人应当暂停签订合同，已经签订合同的，应当中止履行合同。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lang w:val="zh-CN"/>
        </w:rPr>
      </w:pPr>
      <w:r>
        <w:rPr>
          <w:rFonts w:hint="eastAsia"/>
          <w:lang w:val="zh-CN"/>
        </w:rPr>
        <w:t>4.3供应商投诉</w:t>
      </w:r>
    </w:p>
    <w:p>
      <w:pPr>
        <w:pStyle w:val="887"/>
        <w:shd w:val="clear" w:color="auto" w:fill="FFFFFF"/>
        <w:snapToGrid w:val="0"/>
        <w:spacing w:after="240" w:afterAutospacing="0" w:line="360" w:lineRule="auto"/>
        <w:ind w:firstLine="400"/>
        <w:contextualSpacing/>
      </w:pPr>
      <w:r>
        <w:rPr>
          <w:rFonts w:hint="eastAsia"/>
        </w:rPr>
        <w:t>4.3.1质疑供应商对采购人、采购机构的答复不满意或者采购人、采购机构未在规定的时间内作出答复的，可以在答复期满后十五个工作日内向同级政府采购监督管理部门提出投诉。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pPr>
      <w:r>
        <w:rPr>
          <w:rFonts w:hint="eastAsia"/>
        </w:rPr>
        <w:t>4.3.3供应商投诉应当有明确的请求和必要的证明材料。</w:t>
      </w:r>
    </w:p>
    <w:p>
      <w:pPr>
        <w:pStyle w:val="887"/>
        <w:shd w:val="clear" w:color="auto" w:fill="FFFFFF"/>
        <w:snapToGrid w:val="0"/>
        <w:spacing w:after="240" w:afterAutospacing="0" w:line="360" w:lineRule="auto"/>
        <w:ind w:firstLine="400"/>
        <w:contextualSpacing/>
      </w:pPr>
      <w:r>
        <w:rPr>
          <w:rFonts w:hint="eastAsia"/>
        </w:rPr>
        <w:t>4.3.5 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pPr>
      <w:r>
        <w:rPr>
          <w:rFonts w:hint="eastAsia"/>
        </w:rPr>
        <w:t>投诉书范本及制作说明详见附件3。</w:t>
      </w:r>
    </w:p>
    <w:p>
      <w:pPr>
        <w:pStyle w:val="129"/>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29"/>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11.1.2落实政府采购政策需满足的资格要求；</w:t>
      </w:r>
    </w:p>
    <w:p>
      <w:pPr>
        <w:snapToGrid w:val="0"/>
        <w:spacing w:line="360" w:lineRule="auto"/>
        <w:ind w:firstLine="960" w:firstLineChars="400"/>
        <w:rPr>
          <w:rFonts w:ascii="宋体" w:hAnsi="宋体" w:cs="宋体"/>
          <w:sz w:val="24"/>
        </w:rPr>
      </w:pPr>
      <w:r>
        <w:rPr>
          <w:rFonts w:hint="eastAsia" w:ascii="宋体" w:hAnsi="宋体" w:cs="宋体"/>
          <w:sz w:val="24"/>
        </w:rPr>
        <w:t>11.1.3本项目的特定资格要求。</w:t>
      </w:r>
    </w:p>
    <w:p>
      <w:pPr>
        <w:snapToGrid w:val="0"/>
        <w:spacing w:line="360" w:lineRule="auto"/>
        <w:ind w:firstLine="960" w:firstLineChars="400"/>
        <w:rPr>
          <w:rFonts w:ascii="宋体" w:hAnsi="宋体" w:cs="宋体"/>
          <w:sz w:val="24"/>
        </w:rPr>
      </w:pPr>
      <w:r>
        <w:rPr>
          <w:rFonts w:hint="eastAsia" w:ascii="宋体" w:hAnsi="宋体" w:cs="宋体"/>
          <w:sz w:val="24"/>
        </w:rPr>
        <w:t>11.1.4非联合体的声明函。</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11.2.3符合性审查资料；</w:t>
      </w:r>
    </w:p>
    <w:p>
      <w:pPr>
        <w:snapToGrid w:val="0"/>
        <w:spacing w:line="360" w:lineRule="auto"/>
        <w:ind w:firstLine="960" w:firstLineChars="400"/>
        <w:rPr>
          <w:rFonts w:ascii="宋体" w:hAnsi="宋体" w:cs="宋体"/>
          <w:sz w:val="24"/>
        </w:rPr>
      </w:pPr>
      <w:r>
        <w:rPr>
          <w:rFonts w:hint="eastAsia" w:ascii="宋体" w:hAnsi="宋体" w:cs="宋体"/>
          <w:sz w:val="24"/>
        </w:rPr>
        <w:t>11.2.4评标标准相应的商务技术资料；</w:t>
      </w:r>
    </w:p>
    <w:p>
      <w:pPr>
        <w:snapToGrid w:val="0"/>
        <w:spacing w:line="360" w:lineRule="auto"/>
        <w:ind w:firstLine="960" w:firstLineChars="400"/>
        <w:rPr>
          <w:rFonts w:ascii="宋体" w:hAnsi="宋体" w:cs="宋体"/>
          <w:sz w:val="24"/>
        </w:rPr>
      </w:pPr>
      <w:r>
        <w:rPr>
          <w:rFonts w:hint="eastAsia" w:ascii="宋体" w:hAnsi="宋体" w:cs="宋体"/>
          <w:sz w:val="24"/>
        </w:rPr>
        <w:t>11.2.5商务技术偏离表；</w:t>
      </w:r>
    </w:p>
    <w:p>
      <w:pPr>
        <w:snapToGrid w:val="0"/>
        <w:spacing w:line="360" w:lineRule="auto"/>
        <w:ind w:firstLine="960" w:firstLineChars="400"/>
        <w:rPr>
          <w:rFonts w:ascii="宋体" w:hAnsi="宋体" w:cs="宋体"/>
          <w:sz w:val="24"/>
        </w:rPr>
      </w:pPr>
      <w:r>
        <w:rPr>
          <w:rFonts w:hint="eastAsia" w:ascii="宋体" w:hAnsi="宋体" w:cs="宋体"/>
          <w:sz w:val="24"/>
        </w:rPr>
        <w:t>11.2.6</w:t>
      </w:r>
      <w:r>
        <w:rPr>
          <w:rFonts w:hint="eastAsia" w:ascii="宋体" w:hAnsi="宋体" w:cs="宋体"/>
          <w:sz w:val="24"/>
          <w:lang w:val="zh-CN"/>
        </w:rPr>
        <w:t>政府采购供应商廉洁自律承诺书；</w:t>
      </w:r>
    </w:p>
    <w:p>
      <w:pPr>
        <w:snapToGrid w:val="0"/>
        <w:spacing w:line="360" w:lineRule="auto"/>
        <w:ind w:firstLine="960" w:firstLineChars="400"/>
        <w:rPr>
          <w:rFonts w:ascii="宋体" w:hAnsi="宋体" w:cs="宋体"/>
          <w:sz w:val="24"/>
        </w:rPr>
      </w:pPr>
      <w:r>
        <w:rPr>
          <w:rFonts w:hint="eastAsia" w:ascii="宋体" w:hAnsi="宋体" w:cs="宋体"/>
          <w:sz w:val="24"/>
        </w:rPr>
        <w:t>11.2.7</w:t>
      </w:r>
      <w:r>
        <w:rPr>
          <w:rFonts w:hint="eastAsia" w:ascii="宋体" w:hAnsi="宋体" w:cs="宋体"/>
          <w:sz w:val="24"/>
          <w:lang w:val="zh-CN"/>
        </w:rPr>
        <w:t>其他资信资料；</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同类业绩表；</w:t>
      </w:r>
    </w:p>
    <w:p>
      <w:pPr>
        <w:snapToGrid w:val="0"/>
        <w:spacing w:line="360" w:lineRule="auto"/>
        <w:ind w:firstLine="960" w:firstLineChars="400"/>
        <w:rPr>
          <w:rFonts w:ascii="宋体" w:hAnsi="宋体" w:cs="宋体"/>
          <w:sz w:val="24"/>
          <w:lang w:val="zh-CN"/>
        </w:rPr>
      </w:pPr>
      <w:r>
        <w:rPr>
          <w:rFonts w:hint="eastAsia" w:ascii="宋体" w:hAnsi="宋体" w:cs="宋体"/>
          <w:sz w:val="24"/>
        </w:rPr>
        <w:t>11.2.9</w:t>
      </w:r>
      <w:r>
        <w:rPr>
          <w:rFonts w:hint="eastAsia" w:ascii="宋体" w:hAnsi="宋体" w:cs="宋体"/>
          <w:sz w:val="24"/>
          <w:lang w:val="zh-CN"/>
        </w:rPr>
        <w:t>提供针对项目的完整技术解决方案。</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11.3.2投标价格组成明细表；</w:t>
      </w:r>
    </w:p>
    <w:p>
      <w:pPr>
        <w:snapToGrid w:val="0"/>
        <w:spacing w:line="360" w:lineRule="auto"/>
        <w:ind w:firstLine="960" w:firstLineChars="400"/>
        <w:rPr>
          <w:rFonts w:ascii="宋体" w:hAnsi="宋体" w:cs="宋体"/>
          <w:sz w:val="24"/>
        </w:rPr>
      </w:pPr>
      <w:r>
        <w:rPr>
          <w:rFonts w:hint="eastAsia" w:ascii="宋体" w:hAnsi="宋体" w:cs="宋体"/>
          <w:sz w:val="24"/>
        </w:rPr>
        <w:t>11.3.3中小企业声明函。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15.5投标人仅提交备份投标文件，没有在电子交易平台传输递交投标文件的，投标无效。</w:t>
      </w:r>
    </w:p>
    <w:p>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pPr>
        <w:pStyle w:val="2"/>
        <w:spacing w:line="360" w:lineRule="auto"/>
        <w:ind w:firstLine="360" w:firstLineChars="150"/>
        <w:rPr>
          <w:rFonts w:cs="宋体"/>
          <w:szCs w:val="21"/>
        </w:rPr>
      </w:pPr>
      <w:r>
        <w:rPr>
          <w:rFonts w:hint="eastAsia" w:cs="宋体"/>
          <w:szCs w:val="21"/>
        </w:rPr>
        <w:t>有招标文件第四部分</w:t>
      </w:r>
      <w:r>
        <w:rPr>
          <w:rFonts w:hint="eastAsia" w:cs="宋体"/>
        </w:rPr>
        <w:t>第13项规定</w:t>
      </w:r>
      <w:r>
        <w:rPr>
          <w:rFonts w:hint="eastAsia" w:cs="宋体"/>
          <w:szCs w:val="21"/>
        </w:rPr>
        <w:t>的情形之一的，投标无效：</w:t>
      </w:r>
    </w:p>
    <w:p>
      <w:pPr>
        <w:pStyle w:val="129"/>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9"/>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643"/>
        <w:rPr>
          <w:rFonts w:ascii="宋体" w:hAnsi="宋体" w:cs="宋体"/>
          <w:b/>
          <w:sz w:val="32"/>
        </w:rPr>
      </w:pPr>
    </w:p>
    <w:p>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pStyle w:val="129"/>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采购人或采购机构依据法律法规和招标文件的规定，对投标人的基本资格条件、特定资格条件进行审查。</w:t>
      </w:r>
    </w:p>
    <w:p>
      <w:pPr>
        <w:pStyle w:val="129"/>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29"/>
        <w:spacing w:before="0"/>
        <w:ind w:firstLine="0" w:firstLineChars="0"/>
        <w:rPr>
          <w:rFonts w:ascii="宋体" w:hAnsi="宋体" w:cs="宋体"/>
          <w:b/>
          <w:szCs w:val="24"/>
        </w:rPr>
      </w:pPr>
      <w:r>
        <w:rPr>
          <w:rFonts w:hint="eastAsia" w:ascii="宋体" w:hAnsi="宋体" w:cs="宋体"/>
          <w:b/>
          <w:szCs w:val="24"/>
        </w:rPr>
        <w:t>20、信用信息查询</w:t>
      </w:r>
    </w:p>
    <w:p>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20.1信用信息查询渠道及截止时间：采购机构将通过“信用中国”网站(www.creditchina.gov.cn)、中国政府采购网(www.ccgp.gov.cn)渠道查询投标人投标截止时间当天的信用记录。</w:t>
      </w:r>
    </w:p>
    <w:p>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9"/>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2"/>
          <w:szCs w:val="32"/>
        </w:rPr>
        <w:t>五、评标</w:t>
      </w:r>
    </w:p>
    <w:p>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2"/>
          <w:szCs w:val="32"/>
        </w:rPr>
      </w:pPr>
      <w:r>
        <w:rPr>
          <w:rFonts w:hint="eastAsia" w:ascii="宋体" w:hAnsi="宋体" w:cs="宋体"/>
          <w:b/>
          <w:sz w:val="32"/>
          <w:szCs w:val="32"/>
        </w:rPr>
        <w:t>六、定标</w:t>
      </w:r>
    </w:p>
    <w:p>
      <w:pPr>
        <w:pStyle w:val="2"/>
        <w:spacing w:line="360" w:lineRule="auto"/>
        <w:ind w:left="479" w:hanging="479" w:hangingChars="199"/>
        <w:rPr>
          <w:rFonts w:cs="宋体"/>
          <w:b/>
        </w:rPr>
      </w:pPr>
      <w:r>
        <w:rPr>
          <w:rFonts w:hint="eastAsia" w:cs="宋体"/>
          <w:b/>
        </w:rPr>
        <w:t>22. 确定中标供应商</w:t>
      </w:r>
    </w:p>
    <w:p>
      <w:pPr>
        <w:pStyle w:val="129"/>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采购人将自收到评审报告之日起5个工作日内通过电子交易平台在评审报告推荐的中标候选人中按顺序确定中标供应商。</w:t>
      </w:r>
    </w:p>
    <w:p>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w:t>
      </w:r>
      <w:r>
        <w:rPr>
          <w:rFonts w:hint="eastAsia" w:ascii="宋体" w:hAnsi="宋体" w:cs="宋体"/>
          <w:b/>
          <w:sz w:val="24"/>
        </w:rPr>
        <w:t>采购人不得拒收履约保函。</w:t>
      </w:r>
    </w:p>
    <w:p>
      <w:pPr>
        <w:tabs>
          <w:tab w:val="left" w:pos="0"/>
        </w:tabs>
        <w:spacing w:line="360" w:lineRule="auto"/>
        <w:ind w:firstLine="482"/>
        <w:rPr>
          <w:rFonts w:ascii="宋体" w:hAnsi="宋体" w:cs="宋体"/>
          <w:sz w:val="24"/>
          <w:szCs w:val="20"/>
        </w:rPr>
      </w:pPr>
      <w:r>
        <w:rPr>
          <w:rFonts w:hint="eastAsia" w:ascii="宋体" w:hAnsi="宋体" w:cs="宋体"/>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0.5%；评价总分在90分以下或者暂无评分的，收取履约保证金不得高于合同金额1%。</w:t>
      </w:r>
    </w:p>
    <w:p>
      <w:pPr>
        <w:pStyle w:val="4"/>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9"/>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29"/>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29"/>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29"/>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29"/>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29"/>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宋体" w:hAnsi="宋体" w:cs="宋体"/>
          <w:kern w:val="0"/>
          <w:sz w:val="24"/>
        </w:rPr>
        <w:sectPr>
          <w:footerReference r:id="rId7" w:type="first"/>
          <w:footerReference r:id="rId6" w:type="default"/>
          <w:pgSz w:w="11906" w:h="16838"/>
          <w:pgMar w:top="680" w:right="1418" w:bottom="468" w:left="1418" w:header="851" w:footer="992" w:gutter="0"/>
          <w:pgNumType w:fmt="numberInDash" w:start="1"/>
          <w:cols w:space="720" w:num="1"/>
          <w:titlePg/>
          <w:docGrid w:linePitch="312" w:charSpace="0"/>
        </w:sectPr>
      </w:pPr>
      <w:bookmarkStart w:id="13" w:name="_Hlt74714665"/>
      <w:bookmarkEnd w:id="13"/>
      <w:bookmarkStart w:id="14" w:name="_Hlt75236011"/>
      <w:bookmarkEnd w:id="14"/>
      <w:bookmarkStart w:id="15" w:name="_Hlt68057669"/>
      <w:bookmarkEnd w:id="15"/>
      <w:bookmarkStart w:id="16" w:name="_Hlt75236290"/>
      <w:bookmarkEnd w:id="16"/>
      <w:bookmarkStart w:id="17" w:name="_Hlt74707468"/>
      <w:bookmarkEnd w:id="17"/>
      <w:bookmarkStart w:id="18" w:name="_Hlt74730295"/>
      <w:bookmarkEnd w:id="18"/>
      <w:bookmarkStart w:id="19" w:name="_Hlt68403820"/>
      <w:bookmarkEnd w:id="19"/>
      <w:bookmarkStart w:id="20" w:name="_Hlt75236101"/>
      <w:bookmarkEnd w:id="20"/>
      <w:bookmarkStart w:id="21" w:name="_Hlt68073093"/>
      <w:bookmarkEnd w:id="21"/>
      <w:bookmarkStart w:id="22" w:name="_Hlt68072998"/>
      <w:bookmarkEnd w:id="22"/>
      <w:bookmarkStart w:id="23" w:name="_Hlt68072990"/>
      <w:bookmarkEnd w:id="23"/>
      <w:bookmarkStart w:id="24" w:name="_Hlt74729768"/>
      <w:bookmarkEnd w:id="24"/>
    </w:p>
    <w:p>
      <w:pPr>
        <w:spacing w:line="360" w:lineRule="auto"/>
        <w:jc w:val="center"/>
        <w:outlineLvl w:val="0"/>
        <w:rPr>
          <w:rFonts w:ascii="宋体" w:hAnsi="宋体" w:cs="宋体"/>
          <w:b/>
          <w:sz w:val="36"/>
          <w:szCs w:val="36"/>
        </w:rPr>
      </w:pPr>
      <w:r>
        <w:rPr>
          <w:rFonts w:hint="eastAsia" w:ascii="宋体" w:hAnsi="宋体" w:cs="宋体"/>
          <w:b/>
          <w:sz w:val="36"/>
          <w:szCs w:val="36"/>
        </w:rPr>
        <w:t>第三部分 采购需求</w:t>
      </w:r>
    </w:p>
    <w:p>
      <w:pPr>
        <w:snapToGrid w:val="0"/>
        <w:spacing w:line="360" w:lineRule="auto"/>
        <w:ind w:firstLine="960" w:firstLineChars="400"/>
        <w:rPr>
          <w:rFonts w:ascii="宋体" w:hAnsi="宋体" w:cs="宋体"/>
          <w:sz w:val="24"/>
        </w:rPr>
      </w:pPr>
      <w:r>
        <w:rPr>
          <w:rFonts w:hint="eastAsia" w:ascii="宋体" w:hAnsi="宋体" w:cs="宋体"/>
          <w:sz w:val="24"/>
        </w:rPr>
        <w:t>1、本次招标养护期限为三年（服务时间：2023年1月1日-2025年12月31日）。</w:t>
      </w:r>
    </w:p>
    <w:p>
      <w:pPr>
        <w:snapToGrid w:val="0"/>
        <w:spacing w:line="360" w:lineRule="auto"/>
        <w:ind w:firstLine="960" w:firstLineChars="400"/>
        <w:rPr>
          <w:rFonts w:ascii="宋体" w:hAnsi="宋体" w:cs="宋体"/>
        </w:rPr>
      </w:pPr>
      <w:r>
        <w:rPr>
          <w:rFonts w:hint="eastAsia" w:ascii="宋体" w:hAnsi="宋体" w:cs="宋体"/>
          <w:sz w:val="24"/>
        </w:rPr>
        <w:t>2、本项目专门面向</w:t>
      </w:r>
      <w:r>
        <w:rPr>
          <w:rFonts w:hint="eastAsia" w:ascii="宋体" w:hAnsi="宋体" w:cs="宋体"/>
          <w:b/>
          <w:bCs/>
          <w:sz w:val="24"/>
        </w:rPr>
        <w:t>小微企业</w:t>
      </w:r>
      <w:r>
        <w:rPr>
          <w:rFonts w:hint="eastAsia" w:ascii="宋体" w:hAnsi="宋体" w:cs="宋体"/>
          <w:sz w:val="24"/>
        </w:rPr>
        <w:t xml:space="preserve">，投标人需具备市政公用工程施工总承包三级（含）以上。 </w:t>
      </w:r>
    </w:p>
    <w:p>
      <w:pPr>
        <w:snapToGrid w:val="0"/>
        <w:spacing w:line="360" w:lineRule="auto"/>
        <w:ind w:firstLine="960" w:firstLineChars="400"/>
        <w:rPr>
          <w:rFonts w:ascii="宋体" w:hAnsi="宋体" w:cs="宋体"/>
          <w:sz w:val="24"/>
        </w:rPr>
      </w:pPr>
      <w:r>
        <w:rPr>
          <w:rFonts w:hint="eastAsia" w:ascii="宋体" w:hAnsi="宋体" w:cs="宋体"/>
          <w:sz w:val="24"/>
        </w:rPr>
        <w:t>3、本次招标河道设施量主要包括以下：</w:t>
      </w:r>
    </w:p>
    <w:tbl>
      <w:tblPr>
        <w:tblStyle w:val="62"/>
        <w:tblW w:w="14666" w:type="dxa"/>
        <w:jc w:val="center"/>
        <w:tblLayout w:type="autofit"/>
        <w:tblCellMar>
          <w:top w:w="0" w:type="dxa"/>
          <w:left w:w="108" w:type="dxa"/>
          <w:bottom w:w="0" w:type="dxa"/>
          <w:right w:w="108" w:type="dxa"/>
        </w:tblCellMar>
      </w:tblPr>
      <w:tblGrid>
        <w:gridCol w:w="647"/>
        <w:gridCol w:w="2277"/>
        <w:gridCol w:w="786"/>
        <w:gridCol w:w="786"/>
        <w:gridCol w:w="933"/>
        <w:gridCol w:w="933"/>
        <w:gridCol w:w="933"/>
        <w:gridCol w:w="933"/>
        <w:gridCol w:w="933"/>
        <w:gridCol w:w="933"/>
        <w:gridCol w:w="933"/>
        <w:gridCol w:w="853"/>
        <w:gridCol w:w="760"/>
        <w:gridCol w:w="1114"/>
        <w:gridCol w:w="912"/>
      </w:tblGrid>
      <w:tr>
        <w:tblPrEx>
          <w:tblCellMar>
            <w:top w:w="0" w:type="dxa"/>
            <w:left w:w="108" w:type="dxa"/>
            <w:bottom w:w="0" w:type="dxa"/>
            <w:right w:w="108" w:type="dxa"/>
          </w:tblCellMar>
        </w:tblPrEx>
        <w:trPr>
          <w:trHeight w:val="800" w:hRule="atLeast"/>
          <w:jc w:val="center"/>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序号</w:t>
            </w:r>
          </w:p>
        </w:tc>
        <w:tc>
          <w:tcPr>
            <w:tcW w:w="2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河道名称</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市/区管</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河道类别</w:t>
            </w:r>
          </w:p>
        </w:tc>
        <w:tc>
          <w:tcPr>
            <w:tcW w:w="2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河道主体保洁巡查部分</w:t>
            </w:r>
          </w:p>
        </w:tc>
        <w:tc>
          <w:tcPr>
            <w:tcW w:w="53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河道主体维修养护部分</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河道附属生态设施部分</w:t>
            </w:r>
          </w:p>
        </w:tc>
      </w:tr>
      <w:tr>
        <w:tblPrEx>
          <w:tblCellMar>
            <w:top w:w="0" w:type="dxa"/>
            <w:left w:w="108" w:type="dxa"/>
            <w:bottom w:w="0" w:type="dxa"/>
            <w:right w:w="108" w:type="dxa"/>
          </w:tblCellMar>
        </w:tblPrEx>
        <w:trPr>
          <w:trHeight w:val="760"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河面保洁</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河岸保洁</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河岸巡查</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硬质驳坎</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标警示牌</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硬化路面</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栏杆维护</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河面垃圾外运</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河岸垃圾外运</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生态浮岛及滨岸带挺水植物</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沉水植物</w:t>
            </w:r>
          </w:p>
        </w:tc>
      </w:tr>
      <w:tr>
        <w:tblPrEx>
          <w:tblCellMar>
            <w:top w:w="0" w:type="dxa"/>
            <w:left w:w="108" w:type="dxa"/>
            <w:bottom w:w="0" w:type="dxa"/>
            <w:right w:w="108" w:type="dxa"/>
          </w:tblCellMar>
        </w:tblPrEx>
        <w:trPr>
          <w:trHeight w:val="1300"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水域面积       （平方米）</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硬化面积（平方米）</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巡查长度（千米）</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驳坎长度（米）</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警标示牌（个）</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硬化面积（平方米）</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栏杆长度（米）</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水域面积       （平方米）</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硬化面积（平方米）</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浮岛及挺水植物（平方米）</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沉水植物  （平方米）</w:t>
            </w:r>
          </w:p>
        </w:tc>
      </w:tr>
      <w:tr>
        <w:tblPrEx>
          <w:tblCellMar>
            <w:top w:w="0" w:type="dxa"/>
            <w:left w:w="108" w:type="dxa"/>
            <w:bottom w:w="0" w:type="dxa"/>
            <w:right w:w="108" w:type="dxa"/>
          </w:tblCellMar>
        </w:tblPrEx>
        <w:trPr>
          <w:trHeight w:val="6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龙山河（白塔岭-凤山门）</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市管</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一类</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53600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240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8.106</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8106</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36</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240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7792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53600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240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5000</w:t>
            </w:r>
          </w:p>
        </w:tc>
      </w:tr>
      <w:tr>
        <w:tblPrEx>
          <w:tblCellMar>
            <w:top w:w="0" w:type="dxa"/>
            <w:left w:w="108" w:type="dxa"/>
            <w:bottom w:w="0" w:type="dxa"/>
            <w:right w:w="108" w:type="dxa"/>
          </w:tblCellMar>
        </w:tblPrEx>
        <w:trPr>
          <w:trHeight w:val="7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中河（凤山门-庆春路）</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市管</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一类</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39212</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1413</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8.242</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8242</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65</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1413</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1710.5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39212</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1413</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335</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r>
      <w:tr>
        <w:tblPrEx>
          <w:tblCellMar>
            <w:top w:w="0" w:type="dxa"/>
            <w:left w:w="108" w:type="dxa"/>
            <w:bottom w:w="0" w:type="dxa"/>
            <w:right w:w="108" w:type="dxa"/>
          </w:tblCellMar>
        </w:tblPrEx>
        <w:trPr>
          <w:trHeight w:val="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东河（环通段船闸-庆春路）</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市管</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一类</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32300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sz w:val="20"/>
                <w:szCs w:val="20"/>
              </w:rPr>
              <w:t>1198</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4.187</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4187</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33</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1198</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1343</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32300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112</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280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r>
      <w:tr>
        <w:tblPrEx>
          <w:tblCellMar>
            <w:top w:w="0" w:type="dxa"/>
            <w:left w:w="108" w:type="dxa"/>
            <w:bottom w:w="0" w:type="dxa"/>
            <w:right w:w="108" w:type="dxa"/>
          </w:tblCellMar>
        </w:tblPrEx>
        <w:trPr>
          <w:trHeight w:val="4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贴沙河（贴新一闸-游泳池北侧园路）</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市管</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一类</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126200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15.94</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15940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9</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5930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126200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w:t>
            </w:r>
          </w:p>
        </w:tc>
      </w:tr>
    </w:tbl>
    <w:p>
      <w:pPr>
        <w:pStyle w:val="2"/>
        <w:spacing w:line="360" w:lineRule="auto"/>
        <w:rPr>
          <w:rFonts w:cs="宋体"/>
        </w:rPr>
      </w:pPr>
    </w:p>
    <w:p>
      <w:pPr>
        <w:pStyle w:val="2"/>
        <w:spacing w:line="360" w:lineRule="auto"/>
        <w:ind w:firstLine="0" w:firstLineChars="0"/>
        <w:rPr>
          <w:rFonts w:cs="宋体"/>
        </w:rPr>
        <w:sectPr>
          <w:pgSz w:w="16838" w:h="11906" w:orient="landscape"/>
          <w:pgMar w:top="1418" w:right="680" w:bottom="1418" w:left="468" w:header="851" w:footer="992" w:gutter="0"/>
          <w:pgNumType w:fmt="numberInDash"/>
          <w:cols w:space="720" w:num="1"/>
          <w:titlePg/>
          <w:docGrid w:linePitch="312" w:charSpace="0"/>
        </w:sectPr>
      </w:pPr>
    </w:p>
    <w:bookmarkEnd w:id="10"/>
    <w:bookmarkEnd w:id="11"/>
    <w:p>
      <w:pPr>
        <w:snapToGrid w:val="0"/>
        <w:spacing w:line="360" w:lineRule="auto"/>
        <w:ind w:firstLine="480" w:firstLineChars="200"/>
        <w:rPr>
          <w:rFonts w:ascii="宋体" w:hAnsi="宋体" w:cs="宋体"/>
          <w:sz w:val="24"/>
        </w:rPr>
      </w:pPr>
      <w:bookmarkStart w:id="25" w:name="第四部分"/>
      <w:r>
        <w:rPr>
          <w:rFonts w:hint="eastAsia" w:ascii="宋体" w:hAnsi="宋体" w:cs="宋体"/>
          <w:sz w:val="24"/>
        </w:rPr>
        <w:t>4、</w:t>
      </w:r>
      <w:r>
        <w:rPr>
          <w:rFonts w:hint="eastAsia" w:ascii="宋体" w:hAnsi="宋体" w:cs="宋体"/>
          <w:b/>
          <w:sz w:val="24"/>
        </w:rPr>
        <w:t>河道建设红线内所有河道主体、生态设施均属养护责任范围（产权不属采购人的除外）</w:t>
      </w:r>
      <w:r>
        <w:rPr>
          <w:rFonts w:hint="eastAsia" w:ascii="宋体" w:hAnsi="宋体" w:cs="宋体"/>
          <w:sz w:val="24"/>
        </w:rPr>
        <w:t>。投标人应通过自行实地考察来核实设施量。如提供设施量表有偏小而投标人未提出异议，不得以不在招标范围而拒绝养护；养护过程中，设施量增量2%时（以经费计），合同金额不予调整；设施量减量的按实调整。如因施工临时占用等原因暂停养护的，将根据临时占用时间及占用量扣除相应的养护经费。</w:t>
      </w:r>
    </w:p>
    <w:p>
      <w:pPr>
        <w:snapToGrid w:val="0"/>
        <w:spacing w:line="360" w:lineRule="auto"/>
        <w:ind w:firstLine="480" w:firstLineChars="200"/>
        <w:rPr>
          <w:rFonts w:ascii="宋体" w:hAnsi="宋体" w:cs="宋体"/>
          <w:sz w:val="24"/>
        </w:rPr>
      </w:pPr>
      <w:r>
        <w:rPr>
          <w:rFonts w:hint="eastAsia" w:ascii="宋体" w:hAnsi="宋体" w:cs="宋体"/>
          <w:bCs/>
          <w:sz w:val="24"/>
        </w:rPr>
        <w:t>5、主要养护服务内容包括（不限于）：</w:t>
      </w:r>
    </w:p>
    <w:p>
      <w:pPr>
        <w:snapToGrid w:val="0"/>
        <w:spacing w:line="360" w:lineRule="auto"/>
        <w:ind w:firstLine="480" w:firstLineChars="200"/>
        <w:rPr>
          <w:rFonts w:ascii="宋体" w:hAnsi="宋体" w:cs="宋体"/>
          <w:bCs/>
          <w:sz w:val="24"/>
        </w:rPr>
      </w:pPr>
      <w:r>
        <w:rPr>
          <w:rFonts w:hint="eastAsia" w:ascii="宋体" w:hAnsi="宋体" w:cs="宋体"/>
          <w:bCs/>
          <w:sz w:val="24"/>
        </w:rPr>
        <w:t>(1)河面保洁、河岸保洁、河岸巡查、驳坎保洁维护（含局部破损的小修小补）、标警示牌保洁维护（包括河道信息牌、告示牌等，最终以甲方确认的为准）、栏杆保洁维护（含小修小补）、垃圾外运处置、生态浮岛滨岸挺水植物养护、浮水植物养护、沉水植物养护、曝气增氧机维护（含小修小补）、人工水草维护（含小修小补）等，具体详见附件中河道养护技术标准和服务要求。</w:t>
      </w:r>
    </w:p>
    <w:p>
      <w:pPr>
        <w:snapToGrid w:val="0"/>
        <w:spacing w:line="360" w:lineRule="auto"/>
        <w:ind w:firstLine="480" w:firstLineChars="200"/>
        <w:rPr>
          <w:rFonts w:ascii="宋体" w:hAnsi="宋体" w:cs="宋体"/>
          <w:sz w:val="24"/>
        </w:rPr>
      </w:pPr>
      <w:r>
        <w:rPr>
          <w:rFonts w:hint="eastAsia" w:ascii="宋体" w:hAnsi="宋体" w:cs="宋体"/>
          <w:bCs/>
          <w:sz w:val="24"/>
        </w:rPr>
        <w:t>(2)本养护项目中，养护单位应采取一切措施，避免河道水质出现劣</w:t>
      </w:r>
      <w:r>
        <w:rPr>
          <w:rFonts w:hint="eastAsia" w:ascii="宋体" w:hAnsi="宋体" w:cs="宋体"/>
          <w:sz w:val="24"/>
        </w:rPr>
        <w:t>Ⅴ类（以省、市月度监测通报为准），</w:t>
      </w:r>
      <w:r>
        <w:rPr>
          <w:rFonts w:hint="eastAsia" w:ascii="宋体" w:hAnsi="宋体" w:cs="宋体"/>
          <w:bCs/>
          <w:sz w:val="24"/>
        </w:rPr>
        <w:t>避免被治水办三色预警考核通报，确保省、</w:t>
      </w:r>
      <w:r>
        <w:rPr>
          <w:rFonts w:hint="eastAsia" w:ascii="宋体" w:hAnsi="宋体" w:cs="宋体"/>
          <w:sz w:val="24"/>
        </w:rPr>
        <w:t>市控水质监测断面达标。</w:t>
      </w:r>
    </w:p>
    <w:p>
      <w:pPr>
        <w:snapToGrid w:val="0"/>
        <w:spacing w:line="360" w:lineRule="auto"/>
        <w:ind w:firstLine="480"/>
        <w:rPr>
          <w:rFonts w:ascii="宋体" w:hAnsi="宋体" w:cs="宋体"/>
          <w:bCs/>
          <w:sz w:val="24"/>
        </w:rPr>
      </w:pPr>
      <w:r>
        <w:rPr>
          <w:rFonts w:hint="eastAsia" w:ascii="宋体" w:hAnsi="宋体" w:cs="宋体"/>
          <w:sz w:val="24"/>
        </w:rPr>
        <w:t>▲</w:t>
      </w:r>
      <w:r>
        <w:rPr>
          <w:rFonts w:hint="eastAsia" w:ascii="宋体" w:hAnsi="宋体" w:cs="宋体"/>
          <w:bCs/>
          <w:sz w:val="24"/>
        </w:rPr>
        <w:t>(3)投标人在养护过程中承诺在中标养护的河道河岸每500米设置救生设施一套，救生设施包括救生圈及救生杆（不小于3米的伸缩杆），救生设施所有权归投标人所有，在河道养护期间需保证救生设施的正常使用，合同终止后可收回。</w:t>
      </w:r>
    </w:p>
    <w:p>
      <w:pPr>
        <w:snapToGrid w:val="0"/>
        <w:spacing w:line="360" w:lineRule="auto"/>
        <w:rPr>
          <w:rFonts w:ascii="宋体" w:hAnsi="宋体" w:cs="宋体"/>
          <w:bCs/>
          <w:sz w:val="24"/>
        </w:rPr>
      </w:pPr>
      <w:r>
        <w:rPr>
          <w:rFonts w:hint="eastAsia" w:ascii="宋体" w:hAnsi="宋体" w:cs="宋体"/>
          <w:bCs/>
          <w:sz w:val="24"/>
        </w:rPr>
        <w:t xml:space="preserve">    (4)河道排污口的检查、上报、记录；</w:t>
      </w:r>
    </w:p>
    <w:p>
      <w:pPr>
        <w:snapToGrid w:val="0"/>
        <w:spacing w:line="360" w:lineRule="auto"/>
        <w:ind w:firstLine="480" w:firstLineChars="200"/>
        <w:rPr>
          <w:rFonts w:ascii="宋体" w:hAnsi="宋体" w:cs="宋体"/>
          <w:bCs/>
          <w:sz w:val="24"/>
        </w:rPr>
      </w:pPr>
      <w:r>
        <w:rPr>
          <w:rFonts w:hint="eastAsia" w:ascii="宋体" w:hAnsi="宋体" w:cs="宋体"/>
          <w:bCs/>
          <w:sz w:val="24"/>
        </w:rPr>
        <w:t>(5)重要活动及重大节日、突发应急事件保障。</w:t>
      </w:r>
    </w:p>
    <w:p>
      <w:pPr>
        <w:snapToGrid w:val="0"/>
        <w:spacing w:line="360" w:lineRule="auto"/>
        <w:ind w:firstLine="480" w:firstLineChars="200"/>
        <w:rPr>
          <w:rFonts w:ascii="宋体" w:hAnsi="宋体" w:cs="宋体"/>
          <w:bCs/>
          <w:sz w:val="24"/>
        </w:rPr>
      </w:pPr>
      <w:r>
        <w:rPr>
          <w:rFonts w:hint="eastAsia" w:ascii="宋体" w:hAnsi="宋体" w:cs="宋体"/>
          <w:bCs/>
          <w:sz w:val="24"/>
        </w:rPr>
        <w:t>(6)涉河违法行为、水质（体）突变、设施隐患等情况检查上报及相应的应急处置。</w:t>
      </w:r>
    </w:p>
    <w:p>
      <w:pPr>
        <w:snapToGrid w:val="0"/>
        <w:spacing w:line="360" w:lineRule="auto"/>
        <w:ind w:firstLine="480"/>
        <w:rPr>
          <w:rFonts w:ascii="宋体" w:hAnsi="宋体" w:cs="宋体"/>
          <w:bCs/>
          <w:sz w:val="24"/>
        </w:rPr>
      </w:pPr>
      <w:r>
        <w:rPr>
          <w:rFonts w:hint="eastAsia" w:ascii="宋体" w:hAnsi="宋体" w:cs="宋体"/>
          <w:bCs/>
          <w:sz w:val="24"/>
        </w:rPr>
        <w:t>(7)河道蚊蝇的消杀工作。</w:t>
      </w:r>
    </w:p>
    <w:p>
      <w:pPr>
        <w:snapToGrid w:val="0"/>
        <w:spacing w:line="360" w:lineRule="auto"/>
        <w:ind w:firstLine="480"/>
        <w:rPr>
          <w:rFonts w:ascii="宋体" w:hAnsi="宋体" w:cs="宋体"/>
          <w:bCs/>
          <w:sz w:val="24"/>
        </w:rPr>
      </w:pPr>
      <w:r>
        <w:rPr>
          <w:rFonts w:hint="eastAsia" w:ascii="宋体" w:hAnsi="宋体" w:cs="宋体"/>
          <w:bCs/>
          <w:sz w:val="24"/>
        </w:rPr>
        <w:t>(8)对下河玩耍、捕鱼、游泳人员进行劝阻。</w:t>
      </w:r>
    </w:p>
    <w:p>
      <w:pPr>
        <w:snapToGrid w:val="0"/>
        <w:spacing w:line="360" w:lineRule="auto"/>
        <w:ind w:firstLine="480"/>
        <w:rPr>
          <w:rFonts w:ascii="宋体" w:hAnsi="宋体" w:cs="宋体"/>
          <w:sz w:val="24"/>
        </w:rPr>
      </w:pPr>
      <w:r>
        <w:rPr>
          <w:rFonts w:hint="eastAsia" w:ascii="宋体" w:hAnsi="宋体" w:cs="宋体"/>
          <w:bCs/>
          <w:sz w:val="24"/>
        </w:rPr>
        <w:t>(9)做好各类河道养护工作台账。</w:t>
      </w:r>
    </w:p>
    <w:p>
      <w:pPr>
        <w:snapToGrid w:val="0"/>
        <w:spacing w:line="360" w:lineRule="auto"/>
        <w:ind w:firstLine="480" w:firstLineChars="200"/>
        <w:rPr>
          <w:rFonts w:ascii="宋体" w:hAnsi="宋体" w:cs="宋体"/>
          <w:sz w:val="24"/>
        </w:rPr>
      </w:pPr>
      <w:r>
        <w:rPr>
          <w:rFonts w:hint="eastAsia" w:ascii="宋体" w:hAnsi="宋体" w:cs="宋体"/>
          <w:sz w:val="24"/>
        </w:rPr>
        <w:t>6、中标人应服从采购人的管理，如成文资料有不一致的情况，按有利于项目需求的方向解释；如有采购人管理制度调整的，中标人应完全服从采购人的安排。</w:t>
      </w:r>
    </w:p>
    <w:p>
      <w:pPr>
        <w:snapToGrid w:val="0"/>
        <w:spacing w:line="360" w:lineRule="auto"/>
        <w:ind w:firstLine="480" w:firstLineChars="200"/>
        <w:rPr>
          <w:rFonts w:ascii="宋体" w:hAnsi="宋体" w:cs="宋体"/>
          <w:bCs/>
          <w:sz w:val="24"/>
        </w:rPr>
      </w:pPr>
      <w:r>
        <w:rPr>
          <w:rFonts w:hint="eastAsia" w:ascii="宋体" w:hAnsi="宋体" w:cs="宋体"/>
          <w:kern w:val="0"/>
          <w:sz w:val="24"/>
        </w:rPr>
        <w:t>7、本项目各标段管理人员，每条河道的一线巡查、养护人员均需分河道明确人数（投标时自行设置表格），以便于管理单位日常监督考核。</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8、河道设施养护定额表</w:t>
      </w:r>
    </w:p>
    <w:tbl>
      <w:tblPr>
        <w:tblStyle w:val="62"/>
        <w:tblpPr w:leftFromText="180" w:rightFromText="180" w:vertAnchor="text" w:horzAnchor="page" w:tblpXSpec="center" w:tblpY="115"/>
        <w:tblOverlap w:val="never"/>
        <w:tblW w:w="8715" w:type="dxa"/>
        <w:jc w:val="center"/>
        <w:tblLayout w:type="fixed"/>
        <w:tblCellMar>
          <w:top w:w="0" w:type="dxa"/>
          <w:left w:w="108" w:type="dxa"/>
          <w:bottom w:w="0" w:type="dxa"/>
          <w:right w:w="108" w:type="dxa"/>
        </w:tblCellMar>
      </w:tblPr>
      <w:tblGrid>
        <w:gridCol w:w="713"/>
        <w:gridCol w:w="1290"/>
        <w:gridCol w:w="2880"/>
        <w:gridCol w:w="735"/>
        <w:gridCol w:w="735"/>
        <w:gridCol w:w="1290"/>
        <w:gridCol w:w="1072"/>
      </w:tblGrid>
      <w:tr>
        <w:tblPrEx>
          <w:tblCellMar>
            <w:top w:w="0" w:type="dxa"/>
            <w:left w:w="108" w:type="dxa"/>
            <w:bottom w:w="0" w:type="dxa"/>
            <w:right w:w="108" w:type="dxa"/>
          </w:tblCellMar>
        </w:tblPrEx>
        <w:trPr>
          <w:trHeight w:val="340" w:hRule="exac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项目名称</w:t>
            </w:r>
          </w:p>
        </w:tc>
        <w:tc>
          <w:tcPr>
            <w:tcW w:w="2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项目内容</w:t>
            </w:r>
          </w:p>
        </w:tc>
        <w:tc>
          <w:tcPr>
            <w:tcW w:w="7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类别</w:t>
            </w:r>
          </w:p>
        </w:tc>
        <w:tc>
          <w:tcPr>
            <w:tcW w:w="129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额度</w:t>
            </w:r>
          </w:p>
        </w:tc>
        <w:tc>
          <w:tcPr>
            <w:tcW w:w="107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340" w:hRule="exact"/>
          <w:jc w:val="center"/>
        </w:trPr>
        <w:tc>
          <w:tcPr>
            <w:tcW w:w="7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129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河道主体保洁巡查部分</w:t>
            </w:r>
          </w:p>
        </w:tc>
        <w:tc>
          <w:tcPr>
            <w:tcW w:w="28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河面保洁(元/平方米·年)</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一类</w:t>
            </w:r>
          </w:p>
        </w:tc>
        <w:tc>
          <w:tcPr>
            <w:tcW w:w="129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xml:space="preserve">7.22 </w:t>
            </w:r>
          </w:p>
        </w:tc>
        <w:tc>
          <w:tcPr>
            <w:tcW w:w="1072" w:type="dxa"/>
            <w:vMerge w:val="restart"/>
            <w:tcBorders>
              <w:top w:val="nil"/>
              <w:left w:val="single" w:color="auto" w:sz="4"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40" w:hRule="exact"/>
          <w:jc w:val="center"/>
        </w:trPr>
        <w:tc>
          <w:tcPr>
            <w:tcW w:w="71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29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8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二类</w:t>
            </w:r>
          </w:p>
        </w:tc>
        <w:tc>
          <w:tcPr>
            <w:tcW w:w="129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xml:space="preserve">5.58 </w:t>
            </w:r>
          </w:p>
        </w:tc>
        <w:tc>
          <w:tcPr>
            <w:tcW w:w="107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340" w:hRule="exact"/>
          <w:jc w:val="center"/>
        </w:trPr>
        <w:tc>
          <w:tcPr>
            <w:tcW w:w="71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29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8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三类</w:t>
            </w:r>
          </w:p>
        </w:tc>
        <w:tc>
          <w:tcPr>
            <w:tcW w:w="129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xml:space="preserve">3.06 </w:t>
            </w:r>
          </w:p>
        </w:tc>
        <w:tc>
          <w:tcPr>
            <w:tcW w:w="107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340" w:hRule="exact"/>
          <w:jc w:val="center"/>
        </w:trPr>
        <w:tc>
          <w:tcPr>
            <w:tcW w:w="71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29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8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未整治</w:t>
            </w:r>
          </w:p>
        </w:tc>
        <w:tc>
          <w:tcPr>
            <w:tcW w:w="129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xml:space="preserve">2.14 </w:t>
            </w:r>
          </w:p>
        </w:tc>
        <w:tc>
          <w:tcPr>
            <w:tcW w:w="107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340" w:hRule="exact"/>
          <w:jc w:val="center"/>
        </w:trPr>
        <w:tc>
          <w:tcPr>
            <w:tcW w:w="7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129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28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河岸保洁(元/平方米·年)</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一类</w:t>
            </w:r>
          </w:p>
        </w:tc>
        <w:tc>
          <w:tcPr>
            <w:tcW w:w="129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xml:space="preserve">19.73 </w:t>
            </w:r>
          </w:p>
        </w:tc>
        <w:tc>
          <w:tcPr>
            <w:tcW w:w="1072"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40" w:hRule="exact"/>
          <w:jc w:val="center"/>
        </w:trPr>
        <w:tc>
          <w:tcPr>
            <w:tcW w:w="71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29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8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二类</w:t>
            </w:r>
          </w:p>
        </w:tc>
        <w:tc>
          <w:tcPr>
            <w:tcW w:w="129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xml:space="preserve">15.41 </w:t>
            </w:r>
          </w:p>
        </w:tc>
        <w:tc>
          <w:tcPr>
            <w:tcW w:w="107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340" w:hRule="exact"/>
          <w:jc w:val="center"/>
        </w:trPr>
        <w:tc>
          <w:tcPr>
            <w:tcW w:w="71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29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8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三类</w:t>
            </w:r>
          </w:p>
        </w:tc>
        <w:tc>
          <w:tcPr>
            <w:tcW w:w="129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xml:space="preserve">8.11 </w:t>
            </w:r>
          </w:p>
        </w:tc>
        <w:tc>
          <w:tcPr>
            <w:tcW w:w="107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340" w:hRule="exact"/>
          <w:jc w:val="center"/>
        </w:trPr>
        <w:tc>
          <w:tcPr>
            <w:tcW w:w="71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29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8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未整治</w:t>
            </w:r>
          </w:p>
        </w:tc>
        <w:tc>
          <w:tcPr>
            <w:tcW w:w="129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xml:space="preserve">8.11 </w:t>
            </w:r>
          </w:p>
        </w:tc>
        <w:tc>
          <w:tcPr>
            <w:tcW w:w="107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340" w:hRule="exact"/>
          <w:jc w:val="center"/>
        </w:trPr>
        <w:tc>
          <w:tcPr>
            <w:tcW w:w="7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129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28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河岸巡查(元/公里·年)</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一类</w:t>
            </w:r>
          </w:p>
        </w:tc>
        <w:tc>
          <w:tcPr>
            <w:tcW w:w="129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xml:space="preserve">5330.63 </w:t>
            </w:r>
          </w:p>
        </w:tc>
        <w:tc>
          <w:tcPr>
            <w:tcW w:w="107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40" w:hRule="exact"/>
          <w:jc w:val="center"/>
        </w:trPr>
        <w:tc>
          <w:tcPr>
            <w:tcW w:w="71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29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8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二类</w:t>
            </w:r>
          </w:p>
        </w:tc>
        <w:tc>
          <w:tcPr>
            <w:tcW w:w="129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xml:space="preserve">2665.31 </w:t>
            </w:r>
          </w:p>
        </w:tc>
        <w:tc>
          <w:tcPr>
            <w:tcW w:w="107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340" w:hRule="exact"/>
          <w:jc w:val="center"/>
        </w:trPr>
        <w:tc>
          <w:tcPr>
            <w:tcW w:w="71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29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8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三类</w:t>
            </w:r>
          </w:p>
        </w:tc>
        <w:tc>
          <w:tcPr>
            <w:tcW w:w="129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xml:space="preserve">1336.31 </w:t>
            </w:r>
          </w:p>
        </w:tc>
        <w:tc>
          <w:tcPr>
            <w:tcW w:w="107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340" w:hRule="exact"/>
          <w:jc w:val="center"/>
        </w:trPr>
        <w:tc>
          <w:tcPr>
            <w:tcW w:w="71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29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8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未整治</w:t>
            </w:r>
          </w:p>
        </w:tc>
        <w:tc>
          <w:tcPr>
            <w:tcW w:w="129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xml:space="preserve">1336.31 </w:t>
            </w:r>
          </w:p>
        </w:tc>
        <w:tc>
          <w:tcPr>
            <w:tcW w:w="107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340" w:hRule="exact"/>
          <w:jc w:val="center"/>
        </w:trPr>
        <w:tc>
          <w:tcPr>
            <w:tcW w:w="7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w:t>
            </w:r>
          </w:p>
        </w:tc>
        <w:tc>
          <w:tcPr>
            <w:tcW w:w="129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河道主体维修养护部分</w:t>
            </w:r>
          </w:p>
        </w:tc>
        <w:tc>
          <w:tcPr>
            <w:tcW w:w="2880" w:type="dxa"/>
            <w:vMerge w:val="restart"/>
            <w:tcBorders>
              <w:top w:val="nil"/>
              <w:left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硬质驳坎（元/米·年) </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市级</w:t>
            </w:r>
          </w:p>
        </w:tc>
        <w:tc>
          <w:tcPr>
            <w:tcW w:w="129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7.55</w:t>
            </w: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40" w:hRule="exact"/>
          <w:jc w:val="center"/>
        </w:trPr>
        <w:tc>
          <w:tcPr>
            <w:tcW w:w="7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w:t>
            </w:r>
          </w:p>
        </w:tc>
        <w:tc>
          <w:tcPr>
            <w:tcW w:w="129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2880"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区级</w:t>
            </w:r>
          </w:p>
        </w:tc>
        <w:tc>
          <w:tcPr>
            <w:tcW w:w="129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xml:space="preserve">5.02 </w:t>
            </w: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40" w:hRule="exact"/>
          <w:jc w:val="center"/>
        </w:trPr>
        <w:tc>
          <w:tcPr>
            <w:tcW w:w="7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w:t>
            </w:r>
          </w:p>
        </w:tc>
        <w:tc>
          <w:tcPr>
            <w:tcW w:w="129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2880" w:type="dxa"/>
            <w:vMerge w:val="restart"/>
            <w:tcBorders>
              <w:top w:val="nil"/>
              <w:left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自然岸线（元/米·年)</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市级</w:t>
            </w:r>
          </w:p>
        </w:tc>
        <w:tc>
          <w:tcPr>
            <w:tcW w:w="129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3.79</w:t>
            </w: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40" w:hRule="exact"/>
          <w:jc w:val="center"/>
        </w:trPr>
        <w:tc>
          <w:tcPr>
            <w:tcW w:w="7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7</w:t>
            </w:r>
          </w:p>
        </w:tc>
        <w:tc>
          <w:tcPr>
            <w:tcW w:w="129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2880"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区级</w:t>
            </w:r>
          </w:p>
        </w:tc>
        <w:tc>
          <w:tcPr>
            <w:tcW w:w="129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xml:space="preserve">2.45 </w:t>
            </w: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40" w:hRule="exact"/>
          <w:jc w:val="center"/>
        </w:trPr>
        <w:tc>
          <w:tcPr>
            <w:tcW w:w="7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w:t>
            </w:r>
          </w:p>
        </w:tc>
        <w:tc>
          <w:tcPr>
            <w:tcW w:w="129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2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标警示牌（元/块·年)</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29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11.4</w:t>
            </w: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340" w:hRule="exact"/>
          <w:jc w:val="center"/>
        </w:trPr>
        <w:tc>
          <w:tcPr>
            <w:tcW w:w="7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w:t>
            </w:r>
          </w:p>
        </w:tc>
        <w:tc>
          <w:tcPr>
            <w:tcW w:w="129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2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硬化路面(元/平方米·年)</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29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xml:space="preserve">4.10 </w:t>
            </w: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40" w:hRule="exact"/>
          <w:jc w:val="center"/>
        </w:trPr>
        <w:tc>
          <w:tcPr>
            <w:tcW w:w="7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w:t>
            </w:r>
          </w:p>
        </w:tc>
        <w:tc>
          <w:tcPr>
            <w:tcW w:w="129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2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栏杆维护（元/米·年)</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29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xml:space="preserve">39.88 </w:t>
            </w: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40" w:hRule="exact"/>
          <w:jc w:val="center"/>
        </w:trPr>
        <w:tc>
          <w:tcPr>
            <w:tcW w:w="7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11</w:t>
            </w:r>
          </w:p>
        </w:tc>
        <w:tc>
          <w:tcPr>
            <w:tcW w:w="129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28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垃圾外运(元/平方米·年)</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河面</w:t>
            </w:r>
          </w:p>
        </w:tc>
        <w:tc>
          <w:tcPr>
            <w:tcW w:w="129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1.02</w:t>
            </w: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340" w:hRule="exact"/>
          <w:jc w:val="center"/>
        </w:trPr>
        <w:tc>
          <w:tcPr>
            <w:tcW w:w="71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29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8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河岸</w:t>
            </w:r>
          </w:p>
        </w:tc>
        <w:tc>
          <w:tcPr>
            <w:tcW w:w="129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0.405</w:t>
            </w: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35" w:hRule="exact"/>
          <w:jc w:val="center"/>
        </w:trPr>
        <w:tc>
          <w:tcPr>
            <w:tcW w:w="7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12</w:t>
            </w:r>
          </w:p>
        </w:tc>
        <w:tc>
          <w:tcPr>
            <w:tcW w:w="129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河道附属生态设施部分</w:t>
            </w:r>
          </w:p>
        </w:tc>
        <w:tc>
          <w:tcPr>
            <w:tcW w:w="2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生态浮岛及滨岸带挺水植物(元/平方米·年)</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29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xml:space="preserve">38.82 </w:t>
            </w: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40" w:hRule="exact"/>
          <w:jc w:val="center"/>
        </w:trPr>
        <w:tc>
          <w:tcPr>
            <w:tcW w:w="7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13</w:t>
            </w:r>
          </w:p>
        </w:tc>
        <w:tc>
          <w:tcPr>
            <w:tcW w:w="129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2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浮水植物(元/平方米·年)</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29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xml:space="preserve">30.93 </w:t>
            </w: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40" w:hRule="exact"/>
          <w:jc w:val="center"/>
        </w:trPr>
        <w:tc>
          <w:tcPr>
            <w:tcW w:w="7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14</w:t>
            </w:r>
          </w:p>
        </w:tc>
        <w:tc>
          <w:tcPr>
            <w:tcW w:w="129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2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沉水植物(元/平方米·年)</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29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xml:space="preserve">14.72 </w:t>
            </w: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85" w:hRule="exact"/>
          <w:jc w:val="center"/>
        </w:trPr>
        <w:tc>
          <w:tcPr>
            <w:tcW w:w="7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15</w:t>
            </w:r>
          </w:p>
        </w:tc>
        <w:tc>
          <w:tcPr>
            <w:tcW w:w="129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2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曝气增氧机(元/台·年)</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29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xml:space="preserve">1465.20 </w:t>
            </w:r>
          </w:p>
        </w:tc>
        <w:tc>
          <w:tcPr>
            <w:tcW w:w="1072"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rPr>
              <w:t>不含运行电费</w:t>
            </w:r>
          </w:p>
        </w:tc>
      </w:tr>
      <w:tr>
        <w:tblPrEx>
          <w:tblCellMar>
            <w:top w:w="0" w:type="dxa"/>
            <w:left w:w="108" w:type="dxa"/>
            <w:bottom w:w="0" w:type="dxa"/>
            <w:right w:w="108" w:type="dxa"/>
          </w:tblCellMar>
        </w:tblPrEx>
        <w:trPr>
          <w:trHeight w:val="397" w:hRule="exact"/>
          <w:jc w:val="center"/>
        </w:trPr>
        <w:tc>
          <w:tcPr>
            <w:tcW w:w="7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16</w:t>
            </w:r>
          </w:p>
        </w:tc>
        <w:tc>
          <w:tcPr>
            <w:tcW w:w="129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2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人工水草(元/平方米·年)</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29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xml:space="preserve">7.88 </w:t>
            </w: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bl>
    <w:p>
      <w:pPr>
        <w:widowControl/>
        <w:snapToGrid w:val="0"/>
        <w:spacing w:line="360" w:lineRule="auto"/>
        <w:rPr>
          <w:rFonts w:ascii="宋体" w:hAnsi="宋体" w:cs="宋体"/>
          <w:b/>
          <w:sz w:val="24"/>
        </w:rPr>
      </w:pPr>
      <w:r>
        <w:rPr>
          <w:rFonts w:hint="eastAsia" w:ascii="宋体" w:hAnsi="宋体" w:cs="宋体"/>
          <w:b/>
          <w:sz w:val="24"/>
        </w:rPr>
        <w:t>说明：（1）本定额表作为投标报价的参考值；</w:t>
      </w:r>
    </w:p>
    <w:p>
      <w:pPr>
        <w:widowControl/>
        <w:snapToGrid w:val="0"/>
        <w:spacing w:line="360" w:lineRule="auto"/>
        <w:rPr>
          <w:rFonts w:ascii="宋体" w:hAnsi="宋体" w:cs="宋体"/>
          <w:b/>
          <w:sz w:val="24"/>
        </w:rPr>
      </w:pPr>
      <w:r>
        <w:rPr>
          <w:rFonts w:hint="eastAsia" w:ascii="宋体" w:hAnsi="宋体" w:cs="宋体"/>
          <w:b/>
          <w:sz w:val="24"/>
        </w:rPr>
        <w:t xml:space="preserve">    </w:t>
      </w:r>
      <w:r>
        <w:rPr>
          <w:rFonts w:hint="eastAsia" w:ascii="宋体" w:hAnsi="宋体" w:cs="宋体"/>
          <w:sz w:val="24"/>
        </w:rPr>
        <w:t>▲</w:t>
      </w:r>
      <w:r>
        <w:rPr>
          <w:rFonts w:hint="eastAsia" w:ascii="宋体" w:hAnsi="宋体" w:cs="宋体"/>
          <w:b/>
          <w:sz w:val="24"/>
        </w:rPr>
        <w:t>（2）单项投标报价不得超过本定额表的单项参考值；</w:t>
      </w:r>
    </w:p>
    <w:p>
      <w:pPr>
        <w:widowControl/>
        <w:snapToGrid w:val="0"/>
        <w:spacing w:line="360" w:lineRule="auto"/>
        <w:rPr>
          <w:rFonts w:ascii="宋体" w:hAnsi="宋体" w:cs="宋体"/>
          <w:b/>
          <w:sz w:val="24"/>
        </w:rPr>
      </w:pPr>
      <w:r>
        <w:rPr>
          <w:rFonts w:hint="eastAsia" w:ascii="宋体" w:hAnsi="宋体" w:cs="宋体"/>
          <w:b/>
          <w:sz w:val="24"/>
        </w:rPr>
        <w:t xml:space="preserve">      （3）投标报价设施量表见5河道设施量表。</w:t>
      </w:r>
    </w:p>
    <w:p>
      <w:pPr>
        <w:snapToGrid w:val="0"/>
        <w:spacing w:line="360" w:lineRule="auto"/>
        <w:ind w:firstLine="480" w:firstLineChars="200"/>
        <w:rPr>
          <w:rFonts w:ascii="宋体" w:hAnsi="宋体" w:cs="宋体"/>
          <w:bCs/>
          <w:sz w:val="24"/>
        </w:rPr>
      </w:pPr>
      <w:r>
        <w:rPr>
          <w:rFonts w:hint="eastAsia" w:ascii="宋体" w:hAnsi="宋体" w:cs="宋体"/>
          <w:kern w:val="0"/>
          <w:sz w:val="24"/>
        </w:rPr>
        <w:t>9、经费支付方式：</w:t>
      </w:r>
      <w:r>
        <w:rPr>
          <w:rFonts w:hint="eastAsia" w:ascii="宋体" w:hAnsi="宋体" w:cs="宋体"/>
          <w:bCs/>
          <w:sz w:val="24"/>
        </w:rPr>
        <w:t>项目支付方式为签订合同后7个工作日内支付第一年度中标价40%的预付款，剩余第一年度60%的养护款在第二年度上半年根据考核结果运用，扣除相关费用后结清余款；后续两年参照执行。</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10、项目技术规范和服务要求（部分标准规范见附件，具体以最新发布文件为准）</w:t>
      </w:r>
    </w:p>
    <w:p>
      <w:pPr>
        <w:snapToGrid w:val="0"/>
        <w:spacing w:line="360" w:lineRule="auto"/>
        <w:ind w:firstLine="480" w:firstLineChars="200"/>
        <w:rPr>
          <w:rFonts w:ascii="宋体" w:hAnsi="宋体" w:cs="宋体"/>
          <w:bCs/>
          <w:sz w:val="24"/>
        </w:rPr>
      </w:pPr>
      <w:r>
        <w:rPr>
          <w:rFonts w:hint="eastAsia" w:ascii="宋体" w:hAnsi="宋体" w:cs="宋体"/>
          <w:bCs/>
          <w:sz w:val="24"/>
        </w:rPr>
        <w:t>（1）河道养护技术规范参照《城市河道养护管理规范》DB 3301/T 0272—2018执行；养护人员标准参照《杭州市城市河道养护人员作业行为规范（试行）》要求执行。</w:t>
      </w:r>
    </w:p>
    <w:p>
      <w:pPr>
        <w:snapToGrid w:val="0"/>
        <w:spacing w:line="360" w:lineRule="auto"/>
        <w:ind w:firstLine="480" w:firstLineChars="200"/>
        <w:rPr>
          <w:rFonts w:ascii="宋体" w:hAnsi="宋体" w:cs="宋体"/>
          <w:bCs/>
          <w:sz w:val="24"/>
        </w:rPr>
      </w:pPr>
      <w:r>
        <w:rPr>
          <w:rFonts w:hint="eastAsia" w:ascii="宋体" w:hAnsi="宋体" w:cs="宋体"/>
          <w:bCs/>
          <w:sz w:val="24"/>
        </w:rPr>
        <w:t>（2）作业时，按照《杭州市城市生活垃圾管理办法》做好河道内垃圾分类工作，至少放置两种颜色的垃圾桶（易腐垃圾及其他垃圾，所有权归投标人所有，养护结束后可收回）。</w:t>
      </w:r>
    </w:p>
    <w:p>
      <w:pPr>
        <w:snapToGrid w:val="0"/>
        <w:spacing w:line="360" w:lineRule="auto"/>
        <w:ind w:firstLine="480" w:firstLineChars="200"/>
        <w:rPr>
          <w:rFonts w:ascii="宋体" w:hAnsi="宋体" w:cs="宋体"/>
          <w:bCs/>
          <w:sz w:val="24"/>
        </w:rPr>
      </w:pPr>
      <w:r>
        <w:rPr>
          <w:rFonts w:hint="eastAsia" w:ascii="宋体" w:hAnsi="宋体" w:cs="宋体"/>
          <w:bCs/>
          <w:sz w:val="24"/>
        </w:rPr>
        <w:t>（3）日常养护中，做好网络单车帮扶工作，及时将河道内的单车打捞上岸，同时将单车清理干净后搬离至就近道路上的网路单车黄色线框内或者单车集中点。</w:t>
      </w:r>
    </w:p>
    <w:p>
      <w:pPr>
        <w:snapToGrid w:val="0"/>
        <w:spacing w:line="360" w:lineRule="auto"/>
        <w:ind w:firstLine="480" w:firstLineChars="200"/>
        <w:rPr>
          <w:rFonts w:ascii="宋体" w:hAnsi="宋体" w:cs="宋体"/>
          <w:bCs/>
          <w:sz w:val="24"/>
        </w:rPr>
      </w:pPr>
      <w:r>
        <w:rPr>
          <w:rFonts w:hint="eastAsia" w:ascii="宋体" w:hAnsi="宋体" w:cs="宋体"/>
          <w:bCs/>
          <w:sz w:val="24"/>
        </w:rPr>
        <w:t>（4）本项目河面保洁船只配置应满足《城市河道养护管理规范》（DB 3301/T 0272—2018）要求，且在实际养护中每条河道机械船（机动船）布置不少于1艘（所有权归投标人所有，养护结束后可收回）。</w:t>
      </w:r>
    </w:p>
    <w:p>
      <w:pPr>
        <w:snapToGrid w:val="0"/>
        <w:spacing w:line="360" w:lineRule="auto"/>
        <w:ind w:firstLine="480" w:firstLineChars="200"/>
        <w:rPr>
          <w:rFonts w:ascii="宋体" w:hAnsi="宋体" w:cs="宋体"/>
          <w:bCs/>
          <w:sz w:val="24"/>
        </w:rPr>
      </w:pPr>
      <w:r>
        <w:rPr>
          <w:rFonts w:hint="eastAsia" w:ascii="宋体" w:hAnsi="宋体" w:cs="宋体"/>
          <w:bCs/>
          <w:sz w:val="24"/>
        </w:rPr>
        <w:t>（5）本项目要求每条河道至少配备1个自吸式保洁桶（所有权归投标人所有，养护结束后可收回）。</w:t>
      </w:r>
    </w:p>
    <w:p>
      <w:pPr>
        <w:snapToGrid w:val="0"/>
        <w:spacing w:line="360" w:lineRule="auto"/>
        <w:ind w:firstLine="480" w:firstLineChars="200"/>
        <w:jc w:val="left"/>
        <w:rPr>
          <w:rFonts w:ascii="宋体" w:hAnsi="宋体" w:cs="宋体"/>
          <w:bCs/>
          <w:sz w:val="24"/>
        </w:rPr>
      </w:pPr>
      <w:r>
        <w:rPr>
          <w:rFonts w:hint="eastAsia" w:ascii="宋体" w:hAnsi="宋体" w:cs="宋体"/>
          <w:bCs/>
          <w:sz w:val="24"/>
        </w:rPr>
        <w:t>11、管理考核</w:t>
      </w:r>
    </w:p>
    <w:p>
      <w:pPr>
        <w:snapToGrid w:val="0"/>
        <w:spacing w:line="360" w:lineRule="auto"/>
        <w:ind w:firstLine="480" w:firstLineChars="200"/>
        <w:rPr>
          <w:rFonts w:ascii="宋体" w:hAnsi="宋体" w:cs="宋体"/>
          <w:kern w:val="0"/>
          <w:sz w:val="24"/>
        </w:rPr>
      </w:pPr>
      <w:r>
        <w:rPr>
          <w:rFonts w:hint="eastAsia" w:ascii="宋体" w:hAnsi="宋体" w:cs="宋体"/>
          <w:bCs/>
          <w:sz w:val="24"/>
        </w:rPr>
        <w:t>本项目中投标人提供的服务均按市、区级相关文件及考核标准进行考核。具体为《2022 年度杭州市城市水设施河道管理评分细则》、《上城区河道综合养护管理考核实施办法》</w:t>
      </w:r>
      <w:r>
        <w:rPr>
          <w:rFonts w:hint="eastAsia" w:ascii="宋体" w:hAnsi="宋体" w:cs="宋体"/>
          <w:b/>
          <w:bCs/>
          <w:kern w:val="0"/>
          <w:sz w:val="24"/>
        </w:rPr>
        <w:t>（上述文件均以最新发布文件为准）</w:t>
      </w:r>
      <w:r>
        <w:rPr>
          <w:rFonts w:hint="eastAsia" w:ascii="宋体" w:hAnsi="宋体" w:cs="宋体"/>
          <w:kern w:val="0"/>
          <w:sz w:val="24"/>
        </w:rPr>
        <w:t>。</w:t>
      </w:r>
    </w:p>
    <w:p>
      <w:pPr>
        <w:snapToGrid w:val="0"/>
        <w:spacing w:line="360" w:lineRule="auto"/>
        <w:ind w:firstLine="482" w:firstLineChars="200"/>
        <w:jc w:val="left"/>
        <w:rPr>
          <w:rFonts w:ascii="宋体" w:hAnsi="宋体" w:cs="宋体"/>
          <w:b/>
          <w:bCs/>
          <w:kern w:val="0"/>
          <w:sz w:val="24"/>
        </w:rPr>
      </w:pPr>
      <w:r>
        <w:rPr>
          <w:rFonts w:hint="eastAsia" w:ascii="宋体" w:hAnsi="宋体" w:cs="宋体"/>
          <w:b/>
          <w:bCs/>
          <w:kern w:val="0"/>
          <w:sz w:val="24"/>
        </w:rPr>
        <w:t>（1）考核扣款办法</w:t>
      </w:r>
    </w:p>
    <w:p>
      <w:pPr>
        <w:snapToGrid w:val="0"/>
        <w:spacing w:line="360" w:lineRule="auto"/>
        <w:ind w:firstLine="480" w:firstLineChars="200"/>
        <w:rPr>
          <w:rFonts w:ascii="宋体" w:hAnsi="宋体" w:cs="宋体"/>
          <w:bCs/>
          <w:sz w:val="24"/>
        </w:rPr>
      </w:pPr>
      <w:r>
        <w:rPr>
          <w:rFonts w:hint="eastAsia" w:ascii="宋体" w:hAnsi="宋体" w:cs="宋体"/>
          <w:bCs/>
          <w:sz w:val="24"/>
        </w:rPr>
        <w:t>1.1城市河道养护管理扣分折合成经费从养护款中扣除。</w:t>
      </w:r>
    </w:p>
    <w:p>
      <w:pPr>
        <w:snapToGrid w:val="0"/>
        <w:spacing w:line="360" w:lineRule="auto"/>
        <w:ind w:firstLine="480" w:firstLineChars="200"/>
        <w:rPr>
          <w:rFonts w:ascii="宋体" w:hAnsi="宋体" w:cs="宋体"/>
          <w:bCs/>
          <w:sz w:val="24"/>
        </w:rPr>
      </w:pPr>
      <w:r>
        <w:rPr>
          <w:rFonts w:hint="eastAsia" w:ascii="宋体" w:hAnsi="宋体" w:cs="宋体"/>
          <w:bCs/>
          <w:sz w:val="24"/>
        </w:rPr>
        <w:t>1.2全国检查每查处1件有责问题扣5000元；全省检查每查处1件有责问题扣3000元；</w:t>
      </w:r>
    </w:p>
    <w:p>
      <w:pPr>
        <w:snapToGrid w:val="0"/>
        <w:spacing w:line="360" w:lineRule="auto"/>
        <w:ind w:firstLine="480" w:firstLineChars="200"/>
        <w:rPr>
          <w:rFonts w:ascii="宋体" w:hAnsi="宋体" w:cs="宋体"/>
          <w:bCs/>
          <w:sz w:val="24"/>
        </w:rPr>
      </w:pPr>
      <w:r>
        <w:rPr>
          <w:rFonts w:hint="eastAsia" w:ascii="宋体" w:hAnsi="宋体" w:cs="宋体"/>
          <w:bCs/>
          <w:sz w:val="24"/>
        </w:rPr>
        <w:t>被新闻媒体曝光经核查属实的，每次扣3000元；</w:t>
      </w:r>
    </w:p>
    <w:p>
      <w:pPr>
        <w:snapToGrid w:val="0"/>
        <w:spacing w:line="360" w:lineRule="auto"/>
        <w:ind w:firstLine="480" w:firstLineChars="200"/>
        <w:rPr>
          <w:rFonts w:ascii="宋体" w:hAnsi="宋体" w:cs="宋体"/>
          <w:bCs/>
          <w:sz w:val="24"/>
        </w:rPr>
      </w:pPr>
      <w:r>
        <w:rPr>
          <w:rFonts w:hint="eastAsia" w:ascii="宋体" w:hAnsi="宋体" w:cs="宋体"/>
          <w:bCs/>
          <w:sz w:val="24"/>
        </w:rPr>
        <w:t>防汛防台、抗雪防冻、突发事件应急处理及重大活动保障处置不力的，每件扣5000元；</w:t>
      </w:r>
    </w:p>
    <w:p>
      <w:pPr>
        <w:snapToGrid w:val="0"/>
        <w:spacing w:line="360" w:lineRule="auto"/>
        <w:ind w:firstLine="480" w:firstLineChars="200"/>
        <w:rPr>
          <w:rFonts w:ascii="宋体" w:hAnsi="宋体" w:cs="宋体"/>
          <w:bCs/>
          <w:sz w:val="24"/>
        </w:rPr>
      </w:pPr>
      <w:r>
        <w:rPr>
          <w:rFonts w:hint="eastAsia" w:ascii="宋体" w:hAnsi="宋体" w:cs="宋体"/>
          <w:bCs/>
          <w:sz w:val="24"/>
        </w:rPr>
        <w:t>接到群众来电、来信、来访投诉并经查实的，每次扣500元；</w:t>
      </w:r>
    </w:p>
    <w:p>
      <w:pPr>
        <w:snapToGrid w:val="0"/>
        <w:spacing w:line="360" w:lineRule="auto"/>
        <w:ind w:firstLine="480" w:firstLineChars="200"/>
        <w:rPr>
          <w:rFonts w:ascii="宋体" w:hAnsi="宋体" w:cs="宋体"/>
          <w:bCs/>
          <w:sz w:val="24"/>
        </w:rPr>
      </w:pPr>
      <w:r>
        <w:rPr>
          <w:rFonts w:hint="eastAsia" w:ascii="宋体" w:hAnsi="宋体" w:cs="宋体"/>
          <w:bCs/>
          <w:sz w:val="24"/>
        </w:rPr>
        <w:t>垃圾、漂浮物及修剪树枝没有日产日清的每发现1次扣500元；</w:t>
      </w:r>
    </w:p>
    <w:p>
      <w:pPr>
        <w:snapToGrid w:val="0"/>
        <w:spacing w:line="360" w:lineRule="auto"/>
        <w:ind w:firstLine="480" w:firstLineChars="200"/>
        <w:rPr>
          <w:rFonts w:ascii="宋体" w:hAnsi="宋体" w:cs="宋体"/>
          <w:bCs/>
          <w:sz w:val="24"/>
        </w:rPr>
      </w:pPr>
      <w:r>
        <w:rPr>
          <w:rFonts w:hint="eastAsia" w:ascii="宋体" w:hAnsi="宋体" w:cs="宋体"/>
          <w:bCs/>
          <w:sz w:val="24"/>
        </w:rPr>
        <w:t>现场养护人员未按投标承诺到位的，每1人次扣500元；</w:t>
      </w:r>
    </w:p>
    <w:p>
      <w:pPr>
        <w:snapToGrid w:val="0"/>
        <w:spacing w:line="360" w:lineRule="auto"/>
        <w:ind w:firstLine="480" w:firstLineChars="200"/>
        <w:rPr>
          <w:rFonts w:ascii="宋体" w:hAnsi="宋体" w:cs="宋体"/>
          <w:bCs/>
          <w:sz w:val="24"/>
        </w:rPr>
      </w:pPr>
      <w:r>
        <w:rPr>
          <w:rFonts w:hint="eastAsia" w:ascii="宋体" w:hAnsi="宋体" w:cs="宋体"/>
          <w:bCs/>
          <w:sz w:val="24"/>
        </w:rPr>
        <w:t>采购人2次抄告的，每个问题扣200元；</w:t>
      </w:r>
    </w:p>
    <w:p>
      <w:pPr>
        <w:snapToGrid w:val="0"/>
        <w:spacing w:line="360" w:lineRule="auto"/>
        <w:ind w:firstLine="480" w:firstLineChars="200"/>
        <w:rPr>
          <w:rFonts w:ascii="宋体" w:hAnsi="宋体" w:cs="宋体"/>
          <w:bCs/>
          <w:sz w:val="24"/>
        </w:rPr>
      </w:pPr>
      <w:r>
        <w:rPr>
          <w:rFonts w:hint="eastAsia" w:ascii="宋体" w:hAnsi="宋体" w:cs="宋体"/>
          <w:bCs/>
          <w:sz w:val="24"/>
        </w:rPr>
        <w:t>河道水体突变、违法违章事件（瞬时类除外）未在第一时间发现上报的，每件扣5000元。</w:t>
      </w:r>
    </w:p>
    <w:p>
      <w:pPr>
        <w:snapToGrid w:val="0"/>
        <w:spacing w:line="360" w:lineRule="auto"/>
        <w:ind w:firstLine="480" w:firstLineChars="200"/>
        <w:rPr>
          <w:rFonts w:ascii="宋体" w:hAnsi="宋体" w:cs="宋体"/>
          <w:bCs/>
          <w:sz w:val="24"/>
        </w:rPr>
      </w:pPr>
      <w:r>
        <w:rPr>
          <w:rFonts w:hint="eastAsia" w:ascii="宋体" w:hAnsi="宋体" w:cs="宋体"/>
          <w:bCs/>
          <w:sz w:val="24"/>
        </w:rPr>
        <w:t>1.3 月日常监管得分按照细则进行长效管养经费单项扣款市扣分每分扣400元，区扣分200元，该项在考核办法中如有调整的，同步进行调整。</w:t>
      </w:r>
    </w:p>
    <w:p>
      <w:pPr>
        <w:snapToGrid w:val="0"/>
        <w:spacing w:line="360" w:lineRule="auto"/>
        <w:ind w:firstLine="480" w:firstLineChars="200"/>
        <w:rPr>
          <w:rFonts w:ascii="宋体" w:hAnsi="宋体" w:cs="宋体"/>
          <w:bCs/>
          <w:sz w:val="24"/>
        </w:rPr>
      </w:pPr>
      <w:r>
        <w:rPr>
          <w:rFonts w:hint="eastAsia" w:ascii="宋体" w:hAnsi="宋体" w:cs="宋体"/>
          <w:bCs/>
          <w:sz w:val="24"/>
        </w:rPr>
        <w:t>1.4 养护河道水质出现劣</w:t>
      </w:r>
      <w:r>
        <w:rPr>
          <w:rFonts w:hint="eastAsia" w:ascii="宋体" w:hAnsi="宋体" w:cs="宋体"/>
          <w:sz w:val="24"/>
        </w:rPr>
        <w:t>Ⅴ类（以省、市月度监测通报为准）的，每有1处（断面），扣1000元；</w:t>
      </w:r>
      <w:r>
        <w:rPr>
          <w:rFonts w:hint="eastAsia" w:ascii="宋体" w:hAnsi="宋体" w:cs="宋体"/>
          <w:bCs/>
          <w:sz w:val="24"/>
        </w:rPr>
        <w:t>被治水办三色预警考核通报的，每有1</w:t>
      </w:r>
      <w:r>
        <w:rPr>
          <w:rFonts w:hint="eastAsia" w:ascii="宋体" w:hAnsi="宋体" w:cs="宋体"/>
          <w:sz w:val="24"/>
        </w:rPr>
        <w:t>处（断面）</w:t>
      </w:r>
      <w:r>
        <w:rPr>
          <w:rFonts w:hint="eastAsia" w:ascii="宋体" w:hAnsi="宋体" w:cs="宋体"/>
          <w:bCs/>
          <w:sz w:val="24"/>
        </w:rPr>
        <w:t>扣5000元；省、</w:t>
      </w:r>
      <w:r>
        <w:rPr>
          <w:rFonts w:hint="eastAsia" w:ascii="宋体" w:hAnsi="宋体" w:cs="宋体"/>
          <w:sz w:val="24"/>
        </w:rPr>
        <w:t>市控水质监测断面，每有1处（断面）</w:t>
      </w:r>
      <w:r>
        <w:rPr>
          <w:rFonts w:hint="eastAsia" w:ascii="宋体" w:hAnsi="宋体" w:cs="宋体"/>
          <w:bCs/>
          <w:sz w:val="24"/>
        </w:rPr>
        <w:t>扣5000元。</w:t>
      </w:r>
    </w:p>
    <w:p>
      <w:pPr>
        <w:pStyle w:val="6"/>
        <w:spacing w:line="360" w:lineRule="auto"/>
        <w:rPr>
          <w:rFonts w:hAnsi="宋体" w:cs="宋体"/>
          <w:color w:val="auto"/>
        </w:rPr>
      </w:pPr>
      <w:r>
        <w:rPr>
          <w:rFonts w:hint="eastAsia" w:hAnsi="宋体" w:cs="宋体"/>
          <w:bCs/>
          <w:color w:val="auto"/>
          <w:sz w:val="24"/>
        </w:rPr>
        <w:t>1.5 相关扣分扣款以管理部门出具的相关文件为准。</w:t>
      </w:r>
    </w:p>
    <w:p>
      <w:pPr>
        <w:snapToGrid w:val="0"/>
        <w:spacing w:line="360" w:lineRule="auto"/>
        <w:ind w:firstLine="482" w:firstLineChars="200"/>
        <w:jc w:val="left"/>
        <w:rPr>
          <w:rFonts w:ascii="宋体" w:hAnsi="宋体" w:cs="宋体"/>
          <w:b/>
          <w:bCs/>
          <w:kern w:val="0"/>
          <w:sz w:val="24"/>
        </w:rPr>
      </w:pPr>
      <w:r>
        <w:rPr>
          <w:rFonts w:hint="eastAsia" w:ascii="宋体" w:hAnsi="宋体" w:cs="宋体"/>
          <w:b/>
          <w:bCs/>
          <w:kern w:val="0"/>
          <w:sz w:val="24"/>
        </w:rPr>
        <w:t>（2）警告退出办法</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2.1警告。在河道综合养护作业合同期间，有下列情景之一的给予一次警告：</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（1）被省、市级主要领导批示、批评的；</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（2）被国家、省、市主流媒体曝光经核查属实的；</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（3）月度合同标段数字城管、市查抄告问题及时整改率未达到100%的。</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（4）防汛防台、抗雪防冻、突发事件应急处理及重大活动保障处置不力的。</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（5）管理混乱，发生管养人员集体上访的。</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（6）违反国家有关规定，发生一般事故的。</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2.2退出。在河道长效养护作业合同期间，符合以下之一的采购方有权提前终止养护合同：</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（1）被省、市级主要领导同一河道批示、批评2次以上（含2次）；</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（2）被国家、省、市主流媒体曝光经核查属实的，3次以上（含4次）；</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（3）不履行招标承诺，并无法完成养护工作；</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（4）</w:t>
      </w:r>
      <w:r>
        <w:rPr>
          <w:rFonts w:hint="eastAsia" w:ascii="宋体" w:hAnsi="宋体" w:cs="宋体"/>
          <w:sz w:val="24"/>
        </w:rPr>
        <w:t>月度检查连续2次低于90分或一年内累计4次低于90分。</w:t>
      </w:r>
    </w:p>
    <w:p>
      <w:pPr>
        <w:snapToGrid w:val="0"/>
        <w:spacing w:line="360" w:lineRule="auto"/>
        <w:ind w:firstLine="480" w:firstLineChars="200"/>
        <w:jc w:val="left"/>
        <w:rPr>
          <w:rFonts w:ascii="宋体" w:hAnsi="宋体" w:cs="宋体"/>
          <w:sz w:val="24"/>
        </w:rPr>
      </w:pPr>
      <w:r>
        <w:rPr>
          <w:rFonts w:hint="eastAsia" w:ascii="宋体" w:hAnsi="宋体" w:cs="宋体"/>
          <w:kern w:val="0"/>
          <w:sz w:val="24"/>
        </w:rPr>
        <w:t>（5）</w:t>
      </w:r>
      <w:r>
        <w:rPr>
          <w:rFonts w:hint="eastAsia" w:ascii="宋体" w:hAnsi="宋体" w:cs="宋体"/>
          <w:sz w:val="24"/>
        </w:rPr>
        <w:t>同一合同标段在合同期一年内累计被警告3次的。</w:t>
      </w:r>
    </w:p>
    <w:p>
      <w:pPr>
        <w:snapToGrid w:val="0"/>
        <w:spacing w:line="360" w:lineRule="auto"/>
        <w:ind w:firstLine="480" w:firstLineChars="200"/>
        <w:jc w:val="left"/>
        <w:rPr>
          <w:rFonts w:ascii="宋体" w:hAnsi="宋体" w:cs="宋体"/>
          <w:sz w:val="24"/>
        </w:rPr>
      </w:pPr>
      <w:r>
        <w:rPr>
          <w:rFonts w:hint="eastAsia" w:ascii="宋体" w:hAnsi="宋体" w:cs="宋体"/>
          <w:sz w:val="24"/>
        </w:rPr>
        <w:t>（6）上级有关部门发出整改通知书且不整改或整改不力的，合同期一年内累计达到二次的，予以解除合同，履约保证金不予归还。</w:t>
      </w:r>
    </w:p>
    <w:p>
      <w:pPr>
        <w:spacing w:line="360" w:lineRule="auto"/>
        <w:ind w:firstLine="600" w:firstLineChars="250"/>
        <w:rPr>
          <w:rFonts w:ascii="宋体" w:hAnsi="宋体" w:cs="宋体"/>
          <w:b/>
          <w:szCs w:val="21"/>
        </w:rPr>
      </w:pPr>
      <w:r>
        <w:rPr>
          <w:rFonts w:hint="eastAsia" w:ascii="宋体" w:hAnsi="宋体" w:cs="宋体"/>
          <w:kern w:val="0"/>
          <w:sz w:val="24"/>
        </w:rPr>
        <w:t>（7）违反国家有关规定，发生较大事故以上的（含较大事故）。</w:t>
      </w:r>
    </w:p>
    <w:p>
      <w:pPr>
        <w:pStyle w:val="6"/>
        <w:spacing w:line="360" w:lineRule="auto"/>
        <w:ind w:firstLine="480"/>
        <w:rPr>
          <w:rFonts w:hAnsi="宋体" w:cs="宋体"/>
          <w:bCs/>
          <w:color w:val="auto"/>
          <w:sz w:val="24"/>
        </w:rPr>
      </w:pPr>
    </w:p>
    <w:p>
      <w:pPr>
        <w:spacing w:line="360" w:lineRule="auto"/>
        <w:rPr>
          <w:rFonts w:ascii="宋体" w:hAnsi="宋体" w:cs="宋体"/>
          <w:bCs/>
          <w:sz w:val="24"/>
        </w:rPr>
      </w:pPr>
    </w:p>
    <w:p>
      <w:pPr>
        <w:pStyle w:val="79"/>
        <w:spacing w:line="360" w:lineRule="auto"/>
        <w:rPr>
          <w:rFonts w:ascii="宋体" w:hAnsi="宋体" w:cs="宋体"/>
          <w:bCs/>
          <w:sz w:val="24"/>
        </w:rPr>
      </w:pPr>
    </w:p>
    <w:p>
      <w:pPr>
        <w:spacing w:line="360" w:lineRule="auto"/>
        <w:rPr>
          <w:rFonts w:ascii="宋体" w:hAnsi="宋体" w:cs="宋体"/>
        </w:rPr>
      </w:pPr>
      <w:bookmarkStart w:id="26" w:name="_Toc20994"/>
      <w:bookmarkStart w:id="27" w:name="_Toc23282"/>
      <w:bookmarkStart w:id="28" w:name="_Toc2569"/>
      <w:bookmarkStart w:id="29" w:name="_Toc9052"/>
      <w:bookmarkStart w:id="30" w:name="_Toc528769130"/>
      <w:r>
        <w:rPr>
          <w:rFonts w:hint="eastAsia" w:ascii="宋体" w:hAnsi="宋体" w:cs="宋体"/>
          <w:b/>
          <w:sz w:val="36"/>
          <w:szCs w:val="36"/>
        </w:rPr>
        <w:t>附件1：</w:t>
      </w:r>
    </w:p>
    <w:p>
      <w:pPr>
        <w:jc w:val="center"/>
        <w:rPr>
          <w:rFonts w:ascii="宋体" w:hAnsi="宋体" w:cs="宋体"/>
          <w:b/>
          <w:sz w:val="36"/>
          <w:szCs w:val="36"/>
        </w:rPr>
      </w:pPr>
      <w:r>
        <w:rPr>
          <w:rFonts w:hint="eastAsia" w:ascii="宋体" w:hAnsi="宋体" w:cs="宋体"/>
          <w:b/>
          <w:sz w:val="36"/>
          <w:szCs w:val="36"/>
        </w:rPr>
        <w:t>城市河道养护管理规范</w:t>
      </w:r>
      <w:bookmarkEnd w:id="26"/>
      <w:bookmarkEnd w:id="27"/>
      <w:bookmarkEnd w:id="28"/>
      <w:bookmarkEnd w:id="29"/>
      <w:bookmarkEnd w:id="30"/>
    </w:p>
    <w:p>
      <w:pPr>
        <w:jc w:val="center"/>
        <w:rPr>
          <w:rFonts w:ascii="宋体" w:hAnsi="宋体" w:cs="宋体"/>
          <w:b/>
          <w:sz w:val="36"/>
          <w:szCs w:val="36"/>
        </w:rPr>
      </w:pPr>
      <w:r>
        <w:rPr>
          <w:rFonts w:hint="eastAsia" w:ascii="宋体" w:hAnsi="宋体" w:cs="宋体"/>
          <w:b/>
          <w:sz w:val="36"/>
          <w:szCs w:val="36"/>
        </w:rPr>
        <w:t>DB 3301/T 0272—2018</w:t>
      </w:r>
    </w:p>
    <w:p>
      <w:pPr>
        <w:spacing w:line="360" w:lineRule="auto"/>
        <w:jc w:val="center"/>
        <w:rPr>
          <w:rFonts w:ascii="宋体" w:hAnsi="宋体" w:cs="宋体"/>
          <w:b/>
          <w:sz w:val="36"/>
          <w:szCs w:val="36"/>
        </w:rPr>
      </w:pPr>
    </w:p>
    <w:p>
      <w:pPr>
        <w:widowControl/>
        <w:spacing w:line="360" w:lineRule="auto"/>
        <w:outlineLvl w:val="1"/>
        <w:rPr>
          <w:rFonts w:ascii="宋体" w:hAnsi="宋体" w:cs="宋体"/>
          <w:kern w:val="0"/>
          <w:szCs w:val="20"/>
        </w:rPr>
      </w:pPr>
      <w:bookmarkStart w:id="31" w:name="_Toc22803"/>
      <w:bookmarkStart w:id="32" w:name="_Toc28711"/>
      <w:bookmarkStart w:id="33" w:name="_Toc9623"/>
      <w:r>
        <w:rPr>
          <w:rFonts w:hint="eastAsia" w:ascii="宋体" w:hAnsi="宋体" w:cs="宋体"/>
          <w:kern w:val="0"/>
          <w:szCs w:val="20"/>
        </w:rPr>
        <w:t>1范围</w:t>
      </w:r>
      <w:bookmarkEnd w:id="31"/>
      <w:bookmarkEnd w:id="32"/>
      <w:bookmarkEnd w:id="33"/>
    </w:p>
    <w:p>
      <w:pPr>
        <w:widowControl/>
        <w:tabs>
          <w:tab w:val="center" w:pos="4201"/>
          <w:tab w:val="right" w:leader="dot" w:pos="9298"/>
        </w:tabs>
        <w:autoSpaceDE w:val="0"/>
        <w:autoSpaceDN w:val="0"/>
        <w:spacing w:line="360" w:lineRule="auto"/>
        <w:ind w:firstLine="420" w:firstLineChars="200"/>
        <w:rPr>
          <w:rFonts w:ascii="宋体" w:hAnsi="宋体" w:cs="宋体"/>
          <w:kern w:val="0"/>
          <w:szCs w:val="20"/>
        </w:rPr>
      </w:pPr>
      <w:r>
        <w:rPr>
          <w:rFonts w:hint="eastAsia" w:ascii="宋体" w:hAnsi="宋体" w:cs="宋体"/>
          <w:kern w:val="0"/>
          <w:szCs w:val="20"/>
        </w:rPr>
        <w:t>本标准规定了城市河道养护工作过程中的术语和定义、养护、管理、机械设备配备等内容。</w:t>
      </w:r>
    </w:p>
    <w:p>
      <w:pPr>
        <w:widowControl/>
        <w:tabs>
          <w:tab w:val="center" w:pos="4201"/>
          <w:tab w:val="right" w:leader="dot" w:pos="9298"/>
        </w:tabs>
        <w:autoSpaceDE w:val="0"/>
        <w:autoSpaceDN w:val="0"/>
        <w:spacing w:line="360" w:lineRule="auto"/>
        <w:ind w:firstLine="420" w:firstLineChars="200"/>
        <w:rPr>
          <w:rFonts w:ascii="宋体" w:hAnsi="宋体" w:cs="宋体"/>
          <w:kern w:val="0"/>
          <w:szCs w:val="20"/>
        </w:rPr>
      </w:pPr>
      <w:r>
        <w:rPr>
          <w:rFonts w:hint="eastAsia" w:ascii="宋体" w:hAnsi="宋体" w:cs="宋体"/>
          <w:kern w:val="0"/>
          <w:szCs w:val="20"/>
        </w:rPr>
        <w:t>本标准适用于杭州市绕城公路范围内城市河道的养护管理。　　</w:t>
      </w:r>
    </w:p>
    <w:p>
      <w:pPr>
        <w:widowControl/>
        <w:spacing w:line="360" w:lineRule="auto"/>
        <w:outlineLvl w:val="1"/>
        <w:rPr>
          <w:rFonts w:ascii="宋体" w:hAnsi="宋体" w:cs="宋体"/>
          <w:kern w:val="0"/>
          <w:szCs w:val="20"/>
        </w:rPr>
      </w:pPr>
      <w:bookmarkStart w:id="34" w:name="_Toc12191"/>
      <w:bookmarkStart w:id="35" w:name="_Toc14031"/>
      <w:bookmarkStart w:id="36" w:name="_Toc24971"/>
      <w:r>
        <w:rPr>
          <w:rFonts w:hint="eastAsia" w:ascii="宋体" w:hAnsi="宋体" w:cs="宋体"/>
          <w:kern w:val="0"/>
          <w:szCs w:val="20"/>
        </w:rPr>
        <w:t>2规范性引用文件</w:t>
      </w:r>
      <w:bookmarkEnd w:id="34"/>
      <w:bookmarkEnd w:id="35"/>
      <w:bookmarkEnd w:id="36"/>
    </w:p>
    <w:p>
      <w:pPr>
        <w:widowControl/>
        <w:tabs>
          <w:tab w:val="center" w:pos="4201"/>
          <w:tab w:val="right" w:leader="dot" w:pos="9298"/>
        </w:tabs>
        <w:autoSpaceDE w:val="0"/>
        <w:autoSpaceDN w:val="0"/>
        <w:spacing w:line="360" w:lineRule="auto"/>
        <w:ind w:firstLine="420" w:firstLineChars="200"/>
        <w:rPr>
          <w:rFonts w:ascii="宋体" w:hAnsi="宋体" w:cs="宋体"/>
          <w:kern w:val="0"/>
          <w:szCs w:val="20"/>
        </w:rPr>
      </w:pPr>
      <w:r>
        <w:rPr>
          <w:rFonts w:hint="eastAsia" w:ascii="宋体" w:hAnsi="宋体" w:cs="宋体"/>
          <w:kern w:val="0"/>
          <w:szCs w:val="20"/>
        </w:rPr>
        <w:t>下列文件对于本文件的应用是必不可少的。凡是注日期的引用文件，仅所注日期的版本适用于本文件。凡是不注日期的引用文件，其最新版本（包括所有的修改单）适用于本文件。</w:t>
      </w:r>
    </w:p>
    <w:p>
      <w:pPr>
        <w:widowControl/>
        <w:tabs>
          <w:tab w:val="center" w:pos="4201"/>
          <w:tab w:val="right" w:leader="dot" w:pos="9298"/>
        </w:tabs>
        <w:autoSpaceDE w:val="0"/>
        <w:autoSpaceDN w:val="0"/>
        <w:spacing w:line="360" w:lineRule="auto"/>
        <w:ind w:firstLine="420" w:firstLineChars="200"/>
        <w:rPr>
          <w:rFonts w:ascii="宋体" w:hAnsi="宋体" w:cs="宋体"/>
          <w:kern w:val="0"/>
          <w:szCs w:val="20"/>
        </w:rPr>
      </w:pPr>
      <w:r>
        <w:rPr>
          <w:rFonts w:hint="eastAsia" w:ascii="宋体" w:hAnsi="宋体" w:cs="宋体"/>
          <w:kern w:val="0"/>
          <w:szCs w:val="20"/>
        </w:rPr>
        <w:t>GB　3838　　地表水环境质量标准</w:t>
      </w:r>
    </w:p>
    <w:p>
      <w:pPr>
        <w:widowControl/>
        <w:tabs>
          <w:tab w:val="center" w:pos="4201"/>
          <w:tab w:val="right" w:leader="dot" w:pos="9298"/>
        </w:tabs>
        <w:autoSpaceDE w:val="0"/>
        <w:autoSpaceDN w:val="0"/>
        <w:spacing w:line="360" w:lineRule="auto"/>
        <w:ind w:firstLine="420" w:firstLineChars="200"/>
        <w:rPr>
          <w:rFonts w:ascii="宋体" w:hAnsi="宋体" w:cs="宋体"/>
          <w:kern w:val="0"/>
          <w:szCs w:val="20"/>
        </w:rPr>
      </w:pPr>
      <w:r>
        <w:rPr>
          <w:rFonts w:hint="eastAsia" w:ascii="宋体" w:hAnsi="宋体" w:cs="宋体"/>
          <w:kern w:val="0"/>
          <w:szCs w:val="20"/>
        </w:rPr>
        <w:t>GB　12997　　水质采样方案设计技术规定</w:t>
      </w:r>
    </w:p>
    <w:p>
      <w:pPr>
        <w:widowControl/>
        <w:tabs>
          <w:tab w:val="center" w:pos="4201"/>
          <w:tab w:val="right" w:leader="dot" w:pos="9298"/>
        </w:tabs>
        <w:autoSpaceDE w:val="0"/>
        <w:autoSpaceDN w:val="0"/>
        <w:spacing w:line="360" w:lineRule="auto"/>
        <w:ind w:firstLine="420" w:firstLineChars="200"/>
        <w:rPr>
          <w:rFonts w:ascii="宋体" w:hAnsi="宋体" w:cs="宋体"/>
          <w:kern w:val="0"/>
          <w:szCs w:val="20"/>
        </w:rPr>
      </w:pPr>
      <w:r>
        <w:rPr>
          <w:rFonts w:hint="eastAsia" w:ascii="宋体" w:hAnsi="宋体" w:cs="宋体"/>
          <w:kern w:val="0"/>
          <w:szCs w:val="20"/>
        </w:rPr>
        <w:t>GB　12998　　水质采样技术指导</w:t>
      </w:r>
    </w:p>
    <w:p>
      <w:pPr>
        <w:widowControl/>
        <w:tabs>
          <w:tab w:val="center" w:pos="4201"/>
          <w:tab w:val="right" w:leader="dot" w:pos="9298"/>
        </w:tabs>
        <w:autoSpaceDE w:val="0"/>
        <w:autoSpaceDN w:val="0"/>
        <w:spacing w:line="360" w:lineRule="auto"/>
        <w:ind w:firstLine="420" w:firstLineChars="200"/>
        <w:rPr>
          <w:rFonts w:ascii="宋体" w:hAnsi="宋体" w:cs="宋体"/>
          <w:kern w:val="0"/>
          <w:szCs w:val="20"/>
        </w:rPr>
      </w:pPr>
      <w:r>
        <w:rPr>
          <w:rFonts w:hint="eastAsia" w:ascii="宋体" w:hAnsi="宋体" w:cs="宋体"/>
          <w:kern w:val="0"/>
          <w:szCs w:val="20"/>
        </w:rPr>
        <w:t>GB　12999　　水质采样样品的保存和管理技术规定</w:t>
      </w:r>
    </w:p>
    <w:p>
      <w:pPr>
        <w:widowControl/>
        <w:tabs>
          <w:tab w:val="center" w:pos="4201"/>
          <w:tab w:val="right" w:leader="dot" w:pos="9298"/>
        </w:tabs>
        <w:autoSpaceDE w:val="0"/>
        <w:autoSpaceDN w:val="0"/>
        <w:spacing w:line="360" w:lineRule="auto"/>
        <w:ind w:firstLine="420" w:firstLineChars="200"/>
        <w:rPr>
          <w:rFonts w:ascii="宋体" w:hAnsi="宋体" w:cs="宋体"/>
          <w:kern w:val="0"/>
          <w:szCs w:val="20"/>
        </w:rPr>
      </w:pPr>
      <w:r>
        <w:rPr>
          <w:rFonts w:hint="eastAsia" w:ascii="宋体" w:hAnsi="宋体" w:cs="宋体"/>
          <w:kern w:val="0"/>
          <w:szCs w:val="20"/>
        </w:rPr>
        <w:t>CJJ　36　　城镇道路养护技术规范</w:t>
      </w:r>
    </w:p>
    <w:p>
      <w:pPr>
        <w:widowControl/>
        <w:tabs>
          <w:tab w:val="center" w:pos="4201"/>
          <w:tab w:val="right" w:leader="dot" w:pos="9298"/>
        </w:tabs>
        <w:autoSpaceDE w:val="0"/>
        <w:autoSpaceDN w:val="0"/>
        <w:spacing w:line="360" w:lineRule="auto"/>
        <w:ind w:firstLine="420" w:firstLineChars="200"/>
        <w:rPr>
          <w:rFonts w:ascii="宋体" w:hAnsi="宋体" w:cs="宋体"/>
          <w:kern w:val="0"/>
          <w:szCs w:val="20"/>
        </w:rPr>
      </w:pPr>
      <w:r>
        <w:rPr>
          <w:rFonts w:hint="eastAsia" w:ascii="宋体" w:hAnsi="宋体" w:cs="宋体"/>
          <w:kern w:val="0"/>
          <w:szCs w:val="20"/>
        </w:rPr>
        <w:t>CJJ　99　　城市桥梁养护技术规范</w:t>
      </w:r>
    </w:p>
    <w:p>
      <w:pPr>
        <w:widowControl/>
        <w:tabs>
          <w:tab w:val="center" w:pos="4201"/>
          <w:tab w:val="right" w:leader="dot" w:pos="9298"/>
        </w:tabs>
        <w:autoSpaceDE w:val="0"/>
        <w:autoSpaceDN w:val="0"/>
        <w:spacing w:line="360" w:lineRule="auto"/>
        <w:ind w:firstLine="420" w:firstLineChars="200"/>
        <w:rPr>
          <w:rFonts w:ascii="宋体" w:hAnsi="宋体" w:cs="宋体"/>
          <w:kern w:val="0"/>
          <w:szCs w:val="20"/>
        </w:rPr>
      </w:pPr>
      <w:r>
        <w:rPr>
          <w:rFonts w:hint="eastAsia" w:ascii="宋体" w:hAnsi="宋体" w:cs="宋体"/>
          <w:kern w:val="0"/>
          <w:szCs w:val="20"/>
        </w:rPr>
        <w:t>CJJ/T　117　　建设电子文件与电子档案管理规范</w:t>
      </w:r>
    </w:p>
    <w:p>
      <w:pPr>
        <w:widowControl/>
        <w:tabs>
          <w:tab w:val="center" w:pos="4201"/>
          <w:tab w:val="right" w:leader="dot" w:pos="9298"/>
        </w:tabs>
        <w:autoSpaceDE w:val="0"/>
        <w:autoSpaceDN w:val="0"/>
        <w:spacing w:line="360" w:lineRule="auto"/>
        <w:ind w:firstLine="420" w:firstLineChars="200"/>
        <w:rPr>
          <w:rFonts w:ascii="宋体" w:hAnsi="宋体" w:cs="宋体"/>
          <w:kern w:val="0"/>
          <w:szCs w:val="20"/>
        </w:rPr>
      </w:pPr>
      <w:r>
        <w:rPr>
          <w:rFonts w:hint="eastAsia" w:ascii="宋体" w:hAnsi="宋体" w:cs="宋体"/>
          <w:kern w:val="0"/>
          <w:szCs w:val="20"/>
        </w:rPr>
        <w:t>HJ/T　91　　地表水和污水监测技术规范</w:t>
      </w:r>
    </w:p>
    <w:p>
      <w:pPr>
        <w:widowControl/>
        <w:spacing w:line="360" w:lineRule="auto"/>
        <w:outlineLvl w:val="1"/>
        <w:rPr>
          <w:rFonts w:ascii="宋体" w:hAnsi="宋体" w:cs="宋体"/>
          <w:kern w:val="0"/>
          <w:szCs w:val="20"/>
        </w:rPr>
      </w:pPr>
      <w:bookmarkStart w:id="37" w:name="_Toc12430"/>
      <w:bookmarkEnd w:id="37"/>
      <w:bookmarkStart w:id="38" w:name="_Toc23376"/>
      <w:bookmarkStart w:id="39" w:name="_Toc23178"/>
      <w:bookmarkStart w:id="40" w:name="_Toc28691"/>
      <w:bookmarkStart w:id="41" w:name="_Toc528769133"/>
      <w:bookmarkStart w:id="42" w:name="_Toc11158"/>
      <w:bookmarkStart w:id="43" w:name="_Toc11475"/>
      <w:bookmarkStart w:id="44" w:name="_Toc10624"/>
      <w:bookmarkStart w:id="45" w:name="_Toc10443"/>
      <w:r>
        <w:rPr>
          <w:rFonts w:hint="eastAsia" w:ascii="宋体" w:hAnsi="宋体" w:cs="宋体"/>
          <w:kern w:val="0"/>
          <w:szCs w:val="20"/>
        </w:rPr>
        <w:t>3术语和定义</w:t>
      </w:r>
      <w:bookmarkEnd w:id="38"/>
      <w:bookmarkEnd w:id="39"/>
      <w:bookmarkEnd w:id="40"/>
      <w:bookmarkEnd w:id="41"/>
      <w:bookmarkEnd w:id="42"/>
      <w:bookmarkEnd w:id="43"/>
      <w:bookmarkEnd w:id="44"/>
      <w:bookmarkEnd w:id="45"/>
    </w:p>
    <w:p>
      <w:pPr>
        <w:widowControl/>
        <w:tabs>
          <w:tab w:val="center" w:pos="4201"/>
          <w:tab w:val="right" w:leader="dot" w:pos="9298"/>
        </w:tabs>
        <w:autoSpaceDE w:val="0"/>
        <w:autoSpaceDN w:val="0"/>
        <w:spacing w:line="360" w:lineRule="auto"/>
        <w:ind w:firstLine="420" w:firstLineChars="200"/>
        <w:rPr>
          <w:rFonts w:ascii="宋体" w:hAnsi="宋体" w:cs="宋体"/>
          <w:kern w:val="0"/>
        </w:rPr>
      </w:pPr>
      <w:r>
        <w:rPr>
          <w:rFonts w:hint="eastAsia" w:ascii="宋体" w:hAnsi="宋体" w:cs="宋体"/>
          <w:kern w:val="0"/>
          <w:szCs w:val="20"/>
        </w:rPr>
        <w:t>下列术语和定义适用于本标准。</w:t>
      </w:r>
      <w:bookmarkStart w:id="46" w:name="_Toc26428"/>
      <w:bookmarkEnd w:id="46"/>
      <w:bookmarkStart w:id="47" w:name="_Toc16952"/>
      <w:bookmarkEnd w:id="47"/>
      <w:bookmarkStart w:id="48" w:name="_Toc22621"/>
      <w:bookmarkEnd w:id="48"/>
      <w:bookmarkStart w:id="49" w:name="_Toc3898"/>
      <w:bookmarkEnd w:id="49"/>
      <w:bookmarkStart w:id="50" w:name="_Toc19527"/>
      <w:bookmarkEnd w:id="50"/>
      <w:bookmarkStart w:id="51" w:name="_Toc12740"/>
      <w:bookmarkEnd w:id="51"/>
      <w:bookmarkStart w:id="52" w:name="_Toc31629"/>
      <w:bookmarkEnd w:id="52"/>
      <w:bookmarkStart w:id="53" w:name="_Toc32364"/>
      <w:bookmarkEnd w:id="53"/>
      <w:bookmarkStart w:id="54" w:name="_Toc26560"/>
      <w:bookmarkEnd w:id="54"/>
      <w:bookmarkStart w:id="55" w:name="_Toc27343"/>
      <w:bookmarkEnd w:id="55"/>
      <w:bookmarkStart w:id="56" w:name="_Toc12917"/>
      <w:bookmarkEnd w:id="56"/>
      <w:bookmarkStart w:id="57" w:name="_Toc9189"/>
      <w:bookmarkEnd w:id="57"/>
      <w:bookmarkStart w:id="58" w:name="_Toc10280"/>
      <w:bookmarkStart w:id="59" w:name="_Toc16305"/>
      <w:bookmarkStart w:id="60" w:name="_Toc528769135"/>
      <w:bookmarkStart w:id="61" w:name="_Toc12514"/>
    </w:p>
    <w:p>
      <w:pPr>
        <w:widowControl/>
        <w:spacing w:line="360" w:lineRule="auto"/>
        <w:ind w:firstLine="420" w:firstLineChars="200"/>
        <w:jc w:val="left"/>
        <w:outlineLvl w:val="2"/>
        <w:rPr>
          <w:rFonts w:ascii="宋体" w:hAnsi="宋体" w:cs="宋体"/>
          <w:kern w:val="0"/>
        </w:rPr>
      </w:pPr>
      <w:bookmarkStart w:id="62" w:name="_Toc10298"/>
      <w:bookmarkStart w:id="63" w:name="_Toc15666"/>
      <w:r>
        <w:rPr>
          <w:rFonts w:hint="eastAsia" w:ascii="宋体" w:hAnsi="宋体" w:cs="宋体"/>
          <w:kern w:val="0"/>
        </w:rPr>
        <w:t>3.1水环境</w:t>
      </w:r>
      <w:bookmarkEnd w:id="58"/>
      <w:bookmarkEnd w:id="59"/>
      <w:bookmarkEnd w:id="60"/>
      <w:bookmarkEnd w:id="62"/>
      <w:bookmarkEnd w:id="63"/>
    </w:p>
    <w:p>
      <w:pPr>
        <w:widowControl/>
        <w:tabs>
          <w:tab w:val="center" w:pos="4201"/>
          <w:tab w:val="right" w:leader="dot" w:pos="9298"/>
        </w:tabs>
        <w:autoSpaceDE w:val="0"/>
        <w:autoSpaceDN w:val="0"/>
        <w:spacing w:line="360" w:lineRule="auto"/>
        <w:ind w:firstLine="420" w:firstLineChars="200"/>
        <w:rPr>
          <w:rFonts w:ascii="宋体" w:hAnsi="宋体" w:cs="宋体"/>
          <w:kern w:val="0"/>
        </w:rPr>
      </w:pPr>
      <w:r>
        <w:rPr>
          <w:rFonts w:hint="eastAsia" w:ascii="宋体" w:hAnsi="宋体" w:cs="宋体"/>
          <w:kern w:val="0"/>
          <w:szCs w:val="20"/>
        </w:rPr>
        <w:t>城市河道中由河床、河岸、水体及水中所含各种有机质、无机质和生物体所构成的水体环境，城市河道水环境主要包括河床环境、水质环境、生物环境。</w:t>
      </w:r>
      <w:bookmarkStart w:id="64" w:name="_Toc8168"/>
      <w:bookmarkEnd w:id="64"/>
      <w:bookmarkStart w:id="65" w:name="_Toc7798"/>
      <w:bookmarkEnd w:id="65"/>
      <w:bookmarkStart w:id="66" w:name="_Toc31068"/>
      <w:bookmarkStart w:id="67" w:name="_Toc528769137"/>
      <w:bookmarkStart w:id="68" w:name="_Toc29452"/>
    </w:p>
    <w:p>
      <w:pPr>
        <w:widowControl/>
        <w:spacing w:line="360" w:lineRule="auto"/>
        <w:ind w:firstLine="420" w:firstLineChars="200"/>
        <w:jc w:val="left"/>
        <w:outlineLvl w:val="2"/>
        <w:rPr>
          <w:rFonts w:ascii="宋体" w:hAnsi="宋体" w:cs="宋体"/>
          <w:kern w:val="0"/>
        </w:rPr>
      </w:pPr>
      <w:bookmarkStart w:id="69" w:name="_Toc19756"/>
      <w:bookmarkStart w:id="70" w:name="_Toc8239"/>
      <w:r>
        <w:rPr>
          <w:rFonts w:hint="eastAsia" w:ascii="宋体" w:hAnsi="宋体" w:cs="宋体"/>
          <w:kern w:val="0"/>
        </w:rPr>
        <w:t>3.2水体</w:t>
      </w:r>
      <w:bookmarkEnd w:id="66"/>
      <w:bookmarkEnd w:id="67"/>
      <w:bookmarkEnd w:id="68"/>
      <w:bookmarkEnd w:id="69"/>
      <w:bookmarkEnd w:id="70"/>
    </w:p>
    <w:p>
      <w:pPr>
        <w:widowControl/>
        <w:tabs>
          <w:tab w:val="center" w:pos="4201"/>
          <w:tab w:val="right" w:leader="dot" w:pos="9298"/>
        </w:tabs>
        <w:autoSpaceDE w:val="0"/>
        <w:autoSpaceDN w:val="0"/>
        <w:spacing w:line="360" w:lineRule="auto"/>
        <w:ind w:firstLine="420" w:firstLineChars="200"/>
        <w:rPr>
          <w:rFonts w:ascii="宋体" w:hAnsi="宋体" w:cs="宋体"/>
          <w:kern w:val="0"/>
        </w:rPr>
      </w:pPr>
      <w:r>
        <w:rPr>
          <w:rFonts w:hint="eastAsia" w:ascii="宋体" w:hAnsi="宋体" w:cs="宋体"/>
          <w:kern w:val="0"/>
          <w:szCs w:val="20"/>
        </w:rPr>
        <w:t>城市河道河水的总称。</w:t>
      </w:r>
      <w:bookmarkStart w:id="71" w:name="_Toc5156"/>
      <w:bookmarkEnd w:id="71"/>
      <w:bookmarkStart w:id="72" w:name="_Toc23013"/>
      <w:bookmarkEnd w:id="72"/>
      <w:bookmarkStart w:id="73" w:name="_Toc24966"/>
      <w:bookmarkStart w:id="74" w:name="_Toc5831"/>
      <w:bookmarkStart w:id="75" w:name="_Toc14835"/>
      <w:bookmarkStart w:id="76" w:name="_Toc10460"/>
      <w:bookmarkStart w:id="77" w:name="_Toc4684"/>
      <w:bookmarkStart w:id="78" w:name="_Toc3757"/>
      <w:bookmarkStart w:id="79" w:name="_Toc528769139"/>
      <w:bookmarkStart w:id="80" w:name="_Toc30081"/>
    </w:p>
    <w:p>
      <w:pPr>
        <w:widowControl/>
        <w:spacing w:line="360" w:lineRule="auto"/>
        <w:ind w:firstLine="420" w:firstLineChars="200"/>
        <w:jc w:val="left"/>
        <w:outlineLvl w:val="2"/>
        <w:rPr>
          <w:rFonts w:ascii="宋体" w:hAnsi="宋体" w:cs="宋体"/>
          <w:kern w:val="0"/>
        </w:rPr>
      </w:pPr>
      <w:bookmarkStart w:id="81" w:name="_Toc28644"/>
      <w:bookmarkStart w:id="82" w:name="_Toc8658"/>
      <w:r>
        <w:rPr>
          <w:rFonts w:hint="eastAsia" w:ascii="宋体" w:hAnsi="宋体" w:cs="宋体"/>
          <w:kern w:val="0"/>
        </w:rPr>
        <w:t>3.3城市河道</w:t>
      </w:r>
      <w:bookmarkEnd w:id="73"/>
      <w:bookmarkEnd w:id="74"/>
      <w:bookmarkEnd w:id="75"/>
      <w:bookmarkEnd w:id="76"/>
      <w:bookmarkEnd w:id="77"/>
      <w:bookmarkEnd w:id="78"/>
      <w:bookmarkEnd w:id="79"/>
      <w:bookmarkEnd w:id="80"/>
      <w:bookmarkEnd w:id="81"/>
      <w:bookmarkEnd w:id="82"/>
    </w:p>
    <w:p>
      <w:pPr>
        <w:widowControl/>
        <w:tabs>
          <w:tab w:val="center" w:pos="4201"/>
          <w:tab w:val="right" w:leader="dot" w:pos="9298"/>
        </w:tabs>
        <w:autoSpaceDE w:val="0"/>
        <w:autoSpaceDN w:val="0"/>
        <w:spacing w:line="360" w:lineRule="auto"/>
        <w:ind w:firstLine="420" w:firstLineChars="200"/>
        <w:rPr>
          <w:rFonts w:ascii="宋体" w:hAnsi="宋体" w:cs="宋体"/>
          <w:kern w:val="0"/>
        </w:rPr>
      </w:pPr>
      <w:r>
        <w:rPr>
          <w:rFonts w:hint="eastAsia" w:ascii="宋体" w:hAnsi="宋体" w:cs="宋体"/>
          <w:kern w:val="0"/>
          <w:szCs w:val="20"/>
        </w:rPr>
        <w:t>市区范围内由城市管理行政主管部门管理的河道及其附属设施。</w:t>
      </w:r>
      <w:bookmarkEnd w:id="61"/>
      <w:bookmarkStart w:id="83" w:name="_Toc4555"/>
      <w:bookmarkEnd w:id="83"/>
      <w:bookmarkStart w:id="84" w:name="_Toc30867"/>
      <w:bookmarkEnd w:id="84"/>
      <w:bookmarkStart w:id="85" w:name="_Toc24706"/>
      <w:bookmarkEnd w:id="85"/>
      <w:bookmarkStart w:id="86" w:name="_Toc7860"/>
      <w:bookmarkEnd w:id="86"/>
      <w:bookmarkStart w:id="87" w:name="_Toc20500"/>
      <w:bookmarkEnd w:id="87"/>
      <w:bookmarkStart w:id="88" w:name="_Toc5744"/>
      <w:bookmarkEnd w:id="88"/>
      <w:bookmarkStart w:id="89" w:name="_Toc13274"/>
      <w:bookmarkEnd w:id="89"/>
      <w:bookmarkStart w:id="90" w:name="_Toc5584"/>
      <w:bookmarkEnd w:id="90"/>
      <w:bookmarkStart w:id="91" w:name="_Toc13206"/>
      <w:bookmarkEnd w:id="91"/>
      <w:bookmarkStart w:id="92" w:name="_Toc20852"/>
      <w:bookmarkEnd w:id="92"/>
      <w:bookmarkStart w:id="93" w:name="_Toc10900"/>
      <w:bookmarkEnd w:id="93"/>
      <w:bookmarkStart w:id="94" w:name="_Toc19273"/>
      <w:bookmarkEnd w:id="94"/>
      <w:bookmarkStart w:id="95" w:name="_Toc30866"/>
      <w:bookmarkStart w:id="96" w:name="_Toc26538"/>
      <w:bookmarkStart w:id="97" w:name="_Toc5313"/>
      <w:bookmarkStart w:id="98" w:name="_Toc20354"/>
      <w:bookmarkStart w:id="99" w:name="_Toc3028"/>
      <w:bookmarkStart w:id="100" w:name="_Toc10453"/>
      <w:bookmarkStart w:id="101" w:name="_Toc4513"/>
      <w:bookmarkStart w:id="102" w:name="_Toc528769141"/>
    </w:p>
    <w:p>
      <w:pPr>
        <w:widowControl/>
        <w:spacing w:line="360" w:lineRule="auto"/>
        <w:ind w:firstLine="420" w:firstLineChars="200"/>
        <w:jc w:val="left"/>
        <w:outlineLvl w:val="2"/>
        <w:rPr>
          <w:rFonts w:ascii="宋体" w:hAnsi="宋体" w:cs="宋体"/>
          <w:kern w:val="0"/>
        </w:rPr>
      </w:pPr>
      <w:bookmarkStart w:id="103" w:name="_Toc5555"/>
      <w:bookmarkStart w:id="104" w:name="_Toc26310"/>
      <w:r>
        <w:rPr>
          <w:rFonts w:hint="eastAsia" w:ascii="宋体" w:hAnsi="宋体" w:cs="宋体"/>
          <w:kern w:val="0"/>
        </w:rPr>
        <w:t>3.4一类城市河道</w:t>
      </w:r>
      <w:bookmarkEnd w:id="95"/>
      <w:bookmarkEnd w:id="96"/>
      <w:bookmarkEnd w:id="97"/>
      <w:bookmarkEnd w:id="98"/>
      <w:bookmarkEnd w:id="99"/>
      <w:bookmarkEnd w:id="100"/>
      <w:bookmarkEnd w:id="101"/>
      <w:bookmarkEnd w:id="102"/>
      <w:bookmarkEnd w:id="103"/>
      <w:bookmarkEnd w:id="104"/>
    </w:p>
    <w:p>
      <w:pPr>
        <w:widowControl/>
        <w:tabs>
          <w:tab w:val="center" w:pos="4201"/>
          <w:tab w:val="right" w:leader="dot" w:pos="9298"/>
        </w:tabs>
        <w:autoSpaceDE w:val="0"/>
        <w:autoSpaceDN w:val="0"/>
        <w:spacing w:line="360" w:lineRule="auto"/>
        <w:ind w:firstLine="420" w:firstLineChars="200"/>
        <w:rPr>
          <w:rFonts w:ascii="宋体" w:hAnsi="宋体" w:cs="宋体"/>
          <w:kern w:val="0"/>
        </w:rPr>
      </w:pPr>
      <w:r>
        <w:rPr>
          <w:rFonts w:hint="eastAsia" w:ascii="宋体" w:hAnsi="宋体" w:cs="宋体"/>
          <w:kern w:val="0"/>
          <w:szCs w:val="20"/>
        </w:rPr>
        <w:t>饮用水源保护区、一级综保标准整治、行洪(防汛)排涝骨干、水上旅游通航且水域面积达到60000㎡及以上的经过整治的城市河道。</w:t>
      </w:r>
      <w:bookmarkStart w:id="105" w:name="_Toc1249"/>
      <w:bookmarkEnd w:id="105"/>
      <w:bookmarkStart w:id="106" w:name="_Toc23405"/>
      <w:bookmarkEnd w:id="106"/>
      <w:bookmarkStart w:id="107" w:name="_Toc15413"/>
      <w:bookmarkEnd w:id="107"/>
      <w:bookmarkStart w:id="108" w:name="_Toc19393"/>
      <w:bookmarkEnd w:id="108"/>
      <w:bookmarkStart w:id="109" w:name="_Toc1099"/>
      <w:bookmarkEnd w:id="109"/>
      <w:bookmarkStart w:id="110" w:name="_Toc8714"/>
      <w:bookmarkEnd w:id="110"/>
      <w:bookmarkStart w:id="111" w:name="_Toc30235"/>
      <w:bookmarkEnd w:id="111"/>
      <w:bookmarkStart w:id="112" w:name="_Toc8091"/>
      <w:bookmarkStart w:id="113" w:name="_Toc32699"/>
      <w:bookmarkStart w:id="114" w:name="_Toc528769143"/>
      <w:bookmarkStart w:id="115" w:name="_Toc15989"/>
      <w:bookmarkStart w:id="116" w:name="_Toc31621"/>
      <w:bookmarkStart w:id="117" w:name="_Toc4171"/>
      <w:bookmarkStart w:id="118" w:name="_Toc266"/>
      <w:bookmarkStart w:id="119" w:name="_Toc24097"/>
    </w:p>
    <w:p>
      <w:pPr>
        <w:widowControl/>
        <w:spacing w:line="360" w:lineRule="auto"/>
        <w:ind w:firstLine="420" w:firstLineChars="200"/>
        <w:jc w:val="left"/>
        <w:outlineLvl w:val="2"/>
        <w:rPr>
          <w:rFonts w:ascii="宋体" w:hAnsi="宋体" w:cs="宋体"/>
          <w:kern w:val="0"/>
        </w:rPr>
      </w:pPr>
      <w:bookmarkStart w:id="120" w:name="_Toc12497"/>
      <w:bookmarkStart w:id="121" w:name="_Toc9093"/>
      <w:r>
        <w:rPr>
          <w:rFonts w:hint="eastAsia" w:ascii="宋体" w:hAnsi="宋体" w:cs="宋体"/>
          <w:kern w:val="0"/>
        </w:rPr>
        <w:t>3.5二类城市河道</w:t>
      </w:r>
      <w:bookmarkEnd w:id="112"/>
      <w:bookmarkEnd w:id="113"/>
      <w:bookmarkEnd w:id="114"/>
      <w:bookmarkEnd w:id="115"/>
      <w:bookmarkEnd w:id="116"/>
      <w:bookmarkEnd w:id="117"/>
      <w:bookmarkEnd w:id="118"/>
      <w:bookmarkEnd w:id="119"/>
      <w:bookmarkEnd w:id="120"/>
      <w:bookmarkEnd w:id="121"/>
    </w:p>
    <w:p>
      <w:pPr>
        <w:widowControl/>
        <w:tabs>
          <w:tab w:val="center" w:pos="4201"/>
          <w:tab w:val="right" w:leader="dot" w:pos="9298"/>
        </w:tabs>
        <w:autoSpaceDE w:val="0"/>
        <w:autoSpaceDN w:val="0"/>
        <w:spacing w:line="360" w:lineRule="auto"/>
        <w:ind w:firstLine="420" w:firstLineChars="200"/>
        <w:rPr>
          <w:rFonts w:ascii="宋体" w:hAnsi="宋体" w:cs="宋体"/>
          <w:kern w:val="0"/>
        </w:rPr>
      </w:pPr>
      <w:r>
        <w:rPr>
          <w:rFonts w:hint="eastAsia" w:ascii="宋体" w:hAnsi="宋体" w:cs="宋体"/>
          <w:kern w:val="0"/>
          <w:szCs w:val="20"/>
        </w:rPr>
        <w:t>主要行洪(防汛)排涝、周边市民居住密集并水域面积达到10000㎡及以上，60000㎡以内的经过整治的城市河道。</w:t>
      </w:r>
      <w:bookmarkStart w:id="122" w:name="_Toc20505"/>
      <w:bookmarkEnd w:id="122"/>
      <w:bookmarkStart w:id="123" w:name="_Toc28647"/>
      <w:bookmarkEnd w:id="123"/>
      <w:bookmarkStart w:id="124" w:name="_Toc17280"/>
      <w:bookmarkEnd w:id="124"/>
      <w:bookmarkStart w:id="125" w:name="_Toc25650"/>
      <w:bookmarkEnd w:id="125"/>
      <w:bookmarkStart w:id="126" w:name="_Toc13529"/>
      <w:bookmarkEnd w:id="126"/>
      <w:bookmarkStart w:id="127" w:name="_Toc25190"/>
      <w:bookmarkEnd w:id="127"/>
      <w:bookmarkStart w:id="128" w:name="_Toc6401"/>
      <w:bookmarkEnd w:id="128"/>
      <w:bookmarkStart w:id="129" w:name="_Toc2235"/>
      <w:bookmarkStart w:id="130" w:name="_Toc21748"/>
      <w:bookmarkStart w:id="131" w:name="_Toc17879"/>
      <w:bookmarkStart w:id="132" w:name="_Toc26876"/>
      <w:bookmarkStart w:id="133" w:name="_Toc11747"/>
      <w:bookmarkStart w:id="134" w:name="_Toc528769145"/>
      <w:bookmarkStart w:id="135" w:name="_Toc23263"/>
      <w:bookmarkStart w:id="136" w:name="_Toc22836"/>
    </w:p>
    <w:p>
      <w:pPr>
        <w:widowControl/>
        <w:spacing w:line="360" w:lineRule="auto"/>
        <w:ind w:firstLine="420" w:firstLineChars="200"/>
        <w:jc w:val="left"/>
        <w:outlineLvl w:val="2"/>
        <w:rPr>
          <w:rFonts w:ascii="宋体" w:hAnsi="宋体" w:cs="宋体"/>
          <w:kern w:val="0"/>
        </w:rPr>
      </w:pPr>
      <w:bookmarkStart w:id="137" w:name="_Toc1701"/>
      <w:bookmarkStart w:id="138" w:name="_Toc17026"/>
      <w:r>
        <w:rPr>
          <w:rFonts w:hint="eastAsia" w:ascii="宋体" w:hAnsi="宋体" w:cs="宋体"/>
          <w:kern w:val="0"/>
        </w:rPr>
        <w:t>3.6三类城市河道</w:t>
      </w:r>
      <w:bookmarkEnd w:id="129"/>
      <w:bookmarkEnd w:id="130"/>
      <w:bookmarkEnd w:id="131"/>
      <w:bookmarkEnd w:id="132"/>
      <w:bookmarkEnd w:id="133"/>
      <w:bookmarkEnd w:id="134"/>
      <w:bookmarkEnd w:id="135"/>
      <w:bookmarkEnd w:id="136"/>
      <w:bookmarkEnd w:id="137"/>
      <w:bookmarkEnd w:id="138"/>
    </w:p>
    <w:p>
      <w:pPr>
        <w:widowControl/>
        <w:tabs>
          <w:tab w:val="center" w:pos="4201"/>
          <w:tab w:val="right" w:leader="dot" w:pos="9298"/>
        </w:tabs>
        <w:autoSpaceDE w:val="0"/>
        <w:autoSpaceDN w:val="0"/>
        <w:spacing w:line="360" w:lineRule="auto"/>
        <w:ind w:firstLine="420" w:firstLineChars="200"/>
        <w:rPr>
          <w:rFonts w:ascii="宋体" w:hAnsi="宋体" w:cs="宋体"/>
          <w:kern w:val="0"/>
        </w:rPr>
      </w:pPr>
      <w:r>
        <w:rPr>
          <w:rFonts w:hint="eastAsia" w:ascii="宋体" w:hAnsi="宋体" w:cs="宋体"/>
          <w:kern w:val="0"/>
          <w:szCs w:val="20"/>
        </w:rPr>
        <w:t>除一类、二类以外的经过整治的城市河道。</w:t>
      </w:r>
      <w:bookmarkStart w:id="139" w:name="_Toc29494"/>
      <w:bookmarkEnd w:id="139"/>
      <w:bookmarkStart w:id="140" w:name="_Toc9079"/>
      <w:bookmarkEnd w:id="140"/>
      <w:bookmarkStart w:id="141" w:name="_Toc12096"/>
      <w:bookmarkEnd w:id="141"/>
      <w:bookmarkStart w:id="142" w:name="_Toc11325"/>
      <w:bookmarkEnd w:id="142"/>
      <w:bookmarkStart w:id="143" w:name="_Toc28055"/>
      <w:bookmarkEnd w:id="143"/>
      <w:bookmarkStart w:id="144" w:name="_Toc15040"/>
      <w:bookmarkEnd w:id="144"/>
      <w:bookmarkStart w:id="145" w:name="_Toc28012"/>
      <w:bookmarkEnd w:id="145"/>
      <w:bookmarkStart w:id="146" w:name="_Toc3318"/>
      <w:bookmarkStart w:id="147" w:name="_Toc3837"/>
      <w:bookmarkStart w:id="148" w:name="_Toc6704"/>
      <w:bookmarkStart w:id="149" w:name="_Toc18504"/>
      <w:bookmarkStart w:id="150" w:name="_Toc4390"/>
      <w:bookmarkStart w:id="151" w:name="_Toc528769147"/>
      <w:bookmarkStart w:id="152" w:name="_Toc10409"/>
      <w:bookmarkStart w:id="153" w:name="_Toc11453"/>
    </w:p>
    <w:p>
      <w:pPr>
        <w:widowControl/>
        <w:spacing w:line="360" w:lineRule="auto"/>
        <w:ind w:firstLine="420" w:firstLineChars="200"/>
        <w:jc w:val="left"/>
        <w:outlineLvl w:val="2"/>
        <w:rPr>
          <w:rFonts w:ascii="宋体" w:hAnsi="宋体" w:cs="宋体"/>
          <w:kern w:val="0"/>
        </w:rPr>
      </w:pPr>
      <w:bookmarkStart w:id="154" w:name="_Toc21680"/>
      <w:bookmarkStart w:id="155" w:name="_Toc25918"/>
      <w:r>
        <w:rPr>
          <w:rFonts w:hint="eastAsia" w:ascii="宋体" w:hAnsi="宋体" w:cs="宋体"/>
          <w:kern w:val="0"/>
        </w:rPr>
        <w:t>3.7未整治河道</w:t>
      </w:r>
      <w:bookmarkEnd w:id="146"/>
      <w:bookmarkEnd w:id="147"/>
      <w:bookmarkEnd w:id="148"/>
      <w:bookmarkEnd w:id="149"/>
      <w:bookmarkEnd w:id="150"/>
      <w:bookmarkEnd w:id="151"/>
      <w:bookmarkEnd w:id="152"/>
      <w:bookmarkEnd w:id="153"/>
      <w:bookmarkEnd w:id="154"/>
      <w:bookmarkEnd w:id="155"/>
    </w:p>
    <w:p>
      <w:pPr>
        <w:widowControl/>
        <w:tabs>
          <w:tab w:val="center" w:pos="4201"/>
          <w:tab w:val="right" w:leader="dot" w:pos="9298"/>
        </w:tabs>
        <w:autoSpaceDE w:val="0"/>
        <w:autoSpaceDN w:val="0"/>
        <w:spacing w:line="360" w:lineRule="auto"/>
        <w:ind w:firstLine="420" w:firstLineChars="200"/>
        <w:rPr>
          <w:rFonts w:ascii="宋体" w:hAnsi="宋体" w:cs="宋体"/>
          <w:kern w:val="0"/>
          <w:szCs w:val="20"/>
        </w:rPr>
      </w:pPr>
      <w:r>
        <w:rPr>
          <w:rFonts w:hint="eastAsia" w:ascii="宋体" w:hAnsi="宋体" w:cs="宋体"/>
          <w:kern w:val="0"/>
          <w:szCs w:val="20"/>
        </w:rPr>
        <w:t>未按河道综保工程要求实施整治的城市河道。</w:t>
      </w:r>
    </w:p>
    <w:p>
      <w:pPr>
        <w:widowControl/>
        <w:tabs>
          <w:tab w:val="center" w:pos="4201"/>
          <w:tab w:val="right" w:leader="dot" w:pos="9298"/>
        </w:tabs>
        <w:autoSpaceDE w:val="0"/>
        <w:autoSpaceDN w:val="0"/>
        <w:spacing w:line="360" w:lineRule="auto"/>
        <w:ind w:firstLine="419" w:firstLineChars="233"/>
        <w:rPr>
          <w:rFonts w:ascii="宋体" w:hAnsi="宋体" w:cs="宋体"/>
          <w:kern w:val="0"/>
        </w:rPr>
      </w:pPr>
      <w:r>
        <w:rPr>
          <w:rFonts w:hint="eastAsia" w:ascii="宋体" w:hAnsi="宋体" w:cs="宋体"/>
          <w:kern w:val="0"/>
          <w:sz w:val="18"/>
          <w:szCs w:val="18"/>
        </w:rPr>
        <w:t>注：河道综保工程是指河道综合整治与保护开发工程。</w:t>
      </w:r>
      <w:bookmarkStart w:id="156" w:name="_Toc1156"/>
      <w:bookmarkEnd w:id="156"/>
      <w:bookmarkStart w:id="157" w:name="_Toc4591"/>
      <w:bookmarkEnd w:id="157"/>
      <w:bookmarkStart w:id="158" w:name="_Toc528769149"/>
      <w:bookmarkStart w:id="159" w:name="_Toc12174"/>
      <w:bookmarkStart w:id="160" w:name="_Toc31049"/>
    </w:p>
    <w:p>
      <w:pPr>
        <w:widowControl/>
        <w:spacing w:line="360" w:lineRule="auto"/>
        <w:ind w:firstLine="420" w:firstLineChars="200"/>
        <w:jc w:val="left"/>
        <w:outlineLvl w:val="2"/>
        <w:rPr>
          <w:rFonts w:ascii="宋体" w:hAnsi="宋体" w:cs="宋体"/>
          <w:kern w:val="0"/>
        </w:rPr>
      </w:pPr>
      <w:bookmarkStart w:id="161" w:name="_Toc308"/>
      <w:bookmarkStart w:id="162" w:name="_Toc28573"/>
      <w:r>
        <w:rPr>
          <w:rFonts w:hint="eastAsia" w:ascii="宋体" w:hAnsi="宋体" w:cs="宋体"/>
          <w:kern w:val="0"/>
        </w:rPr>
        <w:t>3.8城市家具</w:t>
      </w:r>
      <w:bookmarkEnd w:id="158"/>
      <w:bookmarkEnd w:id="159"/>
      <w:bookmarkEnd w:id="160"/>
      <w:bookmarkEnd w:id="161"/>
      <w:bookmarkEnd w:id="162"/>
    </w:p>
    <w:p>
      <w:pPr>
        <w:widowControl/>
        <w:tabs>
          <w:tab w:val="center" w:pos="4201"/>
          <w:tab w:val="right" w:leader="dot" w:pos="9298"/>
        </w:tabs>
        <w:autoSpaceDE w:val="0"/>
        <w:autoSpaceDN w:val="0"/>
        <w:spacing w:line="360" w:lineRule="auto"/>
        <w:ind w:firstLine="420" w:firstLineChars="200"/>
        <w:rPr>
          <w:rFonts w:ascii="宋体" w:hAnsi="宋体" w:cs="宋体"/>
          <w:kern w:val="0"/>
          <w:szCs w:val="20"/>
        </w:rPr>
      </w:pPr>
      <w:r>
        <w:rPr>
          <w:rFonts w:hint="eastAsia" w:ascii="宋体" w:hAnsi="宋体" w:cs="宋体"/>
          <w:kern w:val="0"/>
          <w:szCs w:val="22"/>
        </w:rPr>
        <w:t>遍布城市街道中的诸多城市公共环境设施，包括便民设施、标志标识设施、交通设施、照明设施、景观设施以及安全设施等。</w:t>
      </w:r>
    </w:p>
    <w:p>
      <w:pPr>
        <w:widowControl/>
        <w:spacing w:line="360" w:lineRule="auto"/>
        <w:outlineLvl w:val="1"/>
        <w:rPr>
          <w:rFonts w:ascii="宋体" w:hAnsi="宋体" w:cs="宋体"/>
          <w:kern w:val="0"/>
          <w:szCs w:val="20"/>
        </w:rPr>
      </w:pPr>
      <w:bookmarkStart w:id="163" w:name="_Toc9984"/>
      <w:bookmarkStart w:id="164" w:name="_Toc528769150"/>
      <w:bookmarkStart w:id="165" w:name="_Toc29708"/>
      <w:r>
        <w:rPr>
          <w:rFonts w:hint="eastAsia" w:ascii="宋体" w:hAnsi="宋体" w:cs="宋体"/>
          <w:kern w:val="0"/>
          <w:szCs w:val="20"/>
        </w:rPr>
        <w:t>4养护</w:t>
      </w:r>
      <w:bookmarkEnd w:id="163"/>
      <w:bookmarkEnd w:id="164"/>
      <w:bookmarkEnd w:id="165"/>
      <w:bookmarkStart w:id="166" w:name="_Toc14210"/>
      <w:bookmarkStart w:id="167" w:name="_Toc528769151"/>
      <w:bookmarkStart w:id="168" w:name="_Toc7559"/>
    </w:p>
    <w:p>
      <w:pPr>
        <w:widowControl/>
        <w:spacing w:line="360" w:lineRule="auto"/>
        <w:outlineLvl w:val="1"/>
        <w:rPr>
          <w:rFonts w:ascii="宋体" w:hAnsi="宋体" w:cs="宋体"/>
          <w:kern w:val="0"/>
        </w:rPr>
      </w:pPr>
      <w:r>
        <w:rPr>
          <w:rFonts w:hint="eastAsia" w:ascii="宋体" w:hAnsi="宋体" w:cs="宋体"/>
          <w:kern w:val="0"/>
          <w:szCs w:val="20"/>
        </w:rPr>
        <w:t>4.1</w:t>
      </w:r>
      <w:r>
        <w:rPr>
          <w:rFonts w:hint="eastAsia" w:ascii="宋体" w:hAnsi="宋体" w:cs="宋体"/>
          <w:kern w:val="0"/>
        </w:rPr>
        <w:t>一般要求</w:t>
      </w:r>
      <w:bookmarkEnd w:id="166"/>
      <w:bookmarkEnd w:id="167"/>
      <w:bookmarkEnd w:id="168"/>
      <w:r>
        <w:rPr>
          <w:rFonts w:hint="eastAsia" w:ascii="宋体" w:hAnsi="宋体" w:cs="宋体"/>
          <w:kern w:val="0"/>
        </w:rPr>
        <w:t>　　</w:t>
      </w:r>
    </w:p>
    <w:p>
      <w:pPr>
        <w:widowControl/>
        <w:tabs>
          <w:tab w:val="center" w:pos="4201"/>
          <w:tab w:val="right" w:leader="dot" w:pos="9298"/>
        </w:tabs>
        <w:autoSpaceDE w:val="0"/>
        <w:autoSpaceDN w:val="0"/>
        <w:spacing w:line="360" w:lineRule="auto"/>
        <w:ind w:firstLine="420" w:firstLineChars="200"/>
        <w:rPr>
          <w:rFonts w:ascii="宋体" w:hAnsi="宋体" w:cs="宋体"/>
          <w:kern w:val="0"/>
          <w:szCs w:val="20"/>
        </w:rPr>
      </w:pPr>
      <w:r>
        <w:rPr>
          <w:rFonts w:hint="eastAsia" w:ascii="宋体" w:hAnsi="宋体" w:cs="宋体"/>
          <w:kern w:val="0"/>
          <w:szCs w:val="20"/>
        </w:rPr>
        <w:t>4.1.1应针对部分流动性差且水质相对较差的城市河道，因地制宜开展生态治理，优化水生态系统，增加水体自净能力。</w:t>
      </w:r>
    </w:p>
    <w:p>
      <w:pPr>
        <w:widowControl/>
        <w:tabs>
          <w:tab w:val="center" w:pos="4201"/>
          <w:tab w:val="right" w:leader="dot" w:pos="9298"/>
        </w:tabs>
        <w:autoSpaceDE w:val="0"/>
        <w:autoSpaceDN w:val="0"/>
        <w:spacing w:line="360" w:lineRule="auto"/>
        <w:ind w:firstLine="420" w:firstLineChars="200"/>
        <w:rPr>
          <w:rFonts w:ascii="宋体" w:hAnsi="宋体" w:cs="宋体"/>
          <w:kern w:val="0"/>
          <w:szCs w:val="20"/>
        </w:rPr>
      </w:pPr>
      <w:r>
        <w:rPr>
          <w:rFonts w:hint="eastAsia" w:ascii="宋体" w:hAnsi="宋体" w:cs="宋体"/>
          <w:kern w:val="0"/>
          <w:szCs w:val="20"/>
        </w:rPr>
        <w:t>4.1.2应制定城市河道水质突变应急处置方案，针对漂浮污泥、藻华、入侵植物、浮游生物、油花、泡沫等常见突变现象，做到及时发现，分析成因，提出应急措施，开展处置工作。</w:t>
      </w:r>
    </w:p>
    <w:p>
      <w:pPr>
        <w:widowControl/>
        <w:tabs>
          <w:tab w:val="center" w:pos="4201"/>
          <w:tab w:val="right" w:leader="dot" w:pos="9298"/>
        </w:tabs>
        <w:autoSpaceDE w:val="0"/>
        <w:autoSpaceDN w:val="0"/>
        <w:spacing w:line="360" w:lineRule="auto"/>
        <w:ind w:firstLine="420" w:firstLineChars="200"/>
        <w:rPr>
          <w:rFonts w:ascii="宋体" w:hAnsi="宋体" w:cs="宋体"/>
          <w:kern w:val="0"/>
          <w:szCs w:val="20"/>
        </w:rPr>
      </w:pPr>
      <w:r>
        <w:rPr>
          <w:rFonts w:hint="eastAsia" w:ascii="宋体" w:hAnsi="宋体" w:cs="宋体"/>
          <w:kern w:val="0"/>
          <w:szCs w:val="20"/>
        </w:rPr>
        <w:t>4.1.3应优化调配水，增加城市河道水体流动性，促进水体循环。</w:t>
      </w:r>
    </w:p>
    <w:p>
      <w:pPr>
        <w:widowControl/>
        <w:numPr>
          <w:ilvl w:val="1"/>
          <w:numId w:val="0"/>
        </w:numPr>
        <w:spacing w:line="360" w:lineRule="auto"/>
        <w:jc w:val="left"/>
        <w:outlineLvl w:val="2"/>
        <w:rPr>
          <w:rFonts w:ascii="宋体" w:hAnsi="宋体" w:cs="宋体"/>
          <w:kern w:val="0"/>
          <w:szCs w:val="22"/>
        </w:rPr>
      </w:pPr>
      <w:bookmarkStart w:id="169" w:name="_Toc21781"/>
      <w:bookmarkStart w:id="170" w:name="_Toc31250"/>
      <w:bookmarkStart w:id="171" w:name="_Toc528769152"/>
      <w:r>
        <w:rPr>
          <w:rFonts w:hint="eastAsia" w:ascii="宋体" w:hAnsi="宋体" w:cs="宋体"/>
          <w:kern w:val="0"/>
          <w:szCs w:val="22"/>
        </w:rPr>
        <w:t>4.2河道巡查</w:t>
      </w:r>
      <w:bookmarkEnd w:id="169"/>
      <w:bookmarkEnd w:id="170"/>
      <w:bookmarkEnd w:id="171"/>
      <w:r>
        <w:rPr>
          <w:rFonts w:hint="eastAsia" w:ascii="宋体" w:hAnsi="宋体" w:cs="宋体"/>
          <w:kern w:val="0"/>
          <w:szCs w:val="22"/>
        </w:rPr>
        <w:tab/>
      </w:r>
    </w:p>
    <w:p>
      <w:pPr>
        <w:widowControl/>
        <w:numPr>
          <w:ilvl w:val="2"/>
          <w:numId w:val="0"/>
        </w:numPr>
        <w:spacing w:line="360" w:lineRule="auto"/>
        <w:jc w:val="left"/>
        <w:outlineLvl w:val="3"/>
        <w:rPr>
          <w:rFonts w:ascii="宋体" w:hAnsi="宋体" w:cs="宋体"/>
          <w:kern w:val="0"/>
        </w:rPr>
      </w:pPr>
      <w:r>
        <w:rPr>
          <w:rFonts w:hint="eastAsia" w:ascii="宋体" w:hAnsi="宋体" w:cs="宋体"/>
          <w:kern w:val="0"/>
        </w:rPr>
        <w:t>4.2.1日常巡查应包括下列内容：</w:t>
      </w:r>
    </w:p>
    <w:p>
      <w:pPr>
        <w:widowControl/>
        <w:numPr>
          <w:ilvl w:val="0"/>
          <w:numId w:val="1"/>
        </w:numPr>
        <w:tabs>
          <w:tab w:val="center" w:pos="4201"/>
          <w:tab w:val="right" w:leader="dot" w:pos="9298"/>
        </w:tabs>
        <w:autoSpaceDE w:val="0"/>
        <w:autoSpaceDN w:val="0"/>
        <w:spacing w:line="360" w:lineRule="auto"/>
        <w:ind w:firstLine="420" w:firstLineChars="200"/>
        <w:rPr>
          <w:rFonts w:ascii="宋体" w:hAnsi="宋体" w:cs="宋体"/>
          <w:kern w:val="0"/>
          <w:szCs w:val="20"/>
        </w:rPr>
      </w:pPr>
      <w:r>
        <w:rPr>
          <w:rFonts w:hint="eastAsia" w:ascii="宋体" w:hAnsi="宋体" w:cs="宋体"/>
          <w:kern w:val="0"/>
          <w:szCs w:val="20"/>
        </w:rPr>
        <w:t>河道水质状况、排水口、生态治理设施设备、绿地及廊亭栈道与景观桥的专项巡查；</w:t>
      </w:r>
    </w:p>
    <w:p>
      <w:pPr>
        <w:widowControl/>
        <w:numPr>
          <w:ilvl w:val="0"/>
          <w:numId w:val="1"/>
        </w:numPr>
        <w:tabs>
          <w:tab w:val="center" w:pos="4201"/>
          <w:tab w:val="right" w:leader="dot" w:pos="9298"/>
        </w:tabs>
        <w:autoSpaceDE w:val="0"/>
        <w:autoSpaceDN w:val="0"/>
        <w:spacing w:line="360" w:lineRule="auto"/>
        <w:ind w:firstLine="420" w:firstLineChars="200"/>
        <w:rPr>
          <w:rFonts w:ascii="宋体" w:hAnsi="宋体" w:cs="宋体"/>
          <w:kern w:val="0"/>
          <w:szCs w:val="20"/>
        </w:rPr>
      </w:pPr>
      <w:r>
        <w:rPr>
          <w:rFonts w:hint="eastAsia" w:ascii="宋体" w:hAnsi="宋体" w:cs="宋体"/>
          <w:kern w:val="0"/>
          <w:szCs w:val="20"/>
        </w:rPr>
        <w:t>涉河建设项目的监督巡查；</w:t>
      </w:r>
    </w:p>
    <w:p>
      <w:pPr>
        <w:widowControl/>
        <w:numPr>
          <w:ilvl w:val="0"/>
          <w:numId w:val="1"/>
        </w:numPr>
        <w:tabs>
          <w:tab w:val="center" w:pos="4201"/>
          <w:tab w:val="right" w:leader="dot" w:pos="9298"/>
        </w:tabs>
        <w:autoSpaceDE w:val="0"/>
        <w:autoSpaceDN w:val="0"/>
        <w:spacing w:line="360" w:lineRule="auto"/>
        <w:ind w:firstLine="420" w:firstLineChars="200"/>
        <w:rPr>
          <w:rFonts w:ascii="宋体" w:hAnsi="宋体" w:cs="宋体"/>
          <w:kern w:val="0"/>
          <w:szCs w:val="20"/>
        </w:rPr>
      </w:pPr>
      <w:r>
        <w:rPr>
          <w:rFonts w:hint="eastAsia" w:ascii="宋体" w:hAnsi="宋体" w:cs="宋体"/>
          <w:kern w:val="0"/>
          <w:szCs w:val="20"/>
        </w:rPr>
        <w:t>各项重大活动及节假日服务保障的重点巡查；</w:t>
      </w:r>
    </w:p>
    <w:p>
      <w:pPr>
        <w:widowControl/>
        <w:numPr>
          <w:ilvl w:val="0"/>
          <w:numId w:val="1"/>
        </w:numPr>
        <w:tabs>
          <w:tab w:val="center" w:pos="4201"/>
          <w:tab w:val="right" w:leader="dot" w:pos="9298"/>
        </w:tabs>
        <w:autoSpaceDE w:val="0"/>
        <w:autoSpaceDN w:val="0"/>
        <w:spacing w:line="360" w:lineRule="auto"/>
        <w:ind w:firstLine="420" w:firstLineChars="200"/>
        <w:rPr>
          <w:rFonts w:ascii="宋体" w:hAnsi="宋体" w:cs="宋体"/>
          <w:kern w:val="0"/>
          <w:szCs w:val="20"/>
        </w:rPr>
      </w:pPr>
      <w:r>
        <w:rPr>
          <w:rFonts w:hint="eastAsia" w:ascii="宋体" w:hAnsi="宋体" w:cs="宋体"/>
          <w:kern w:val="0"/>
          <w:szCs w:val="20"/>
        </w:rPr>
        <w:t>河道防汛、设施抢修等紧急状况的特殊巡查；</w:t>
      </w:r>
    </w:p>
    <w:p>
      <w:pPr>
        <w:widowControl/>
        <w:numPr>
          <w:ilvl w:val="0"/>
          <w:numId w:val="1"/>
        </w:numPr>
        <w:tabs>
          <w:tab w:val="center" w:pos="4201"/>
          <w:tab w:val="right" w:leader="dot" w:pos="9298"/>
        </w:tabs>
        <w:autoSpaceDE w:val="0"/>
        <w:autoSpaceDN w:val="0"/>
        <w:spacing w:line="360" w:lineRule="auto"/>
        <w:ind w:firstLine="420" w:firstLineChars="200"/>
        <w:rPr>
          <w:rFonts w:ascii="宋体" w:hAnsi="宋体" w:cs="宋体"/>
          <w:kern w:val="0"/>
          <w:szCs w:val="20"/>
        </w:rPr>
      </w:pPr>
      <w:r>
        <w:rPr>
          <w:rFonts w:hint="eastAsia" w:ascii="宋体" w:hAnsi="宋体" w:cs="宋体"/>
          <w:kern w:val="0"/>
          <w:szCs w:val="20"/>
        </w:rPr>
        <w:t>违法违章行为和不文明现象的劝阻。</w:t>
      </w:r>
    </w:p>
    <w:p>
      <w:pPr>
        <w:widowControl/>
        <w:numPr>
          <w:ilvl w:val="2"/>
          <w:numId w:val="0"/>
        </w:numPr>
        <w:spacing w:line="360" w:lineRule="auto"/>
        <w:jc w:val="left"/>
        <w:outlineLvl w:val="3"/>
        <w:rPr>
          <w:rFonts w:ascii="宋体" w:hAnsi="宋体" w:cs="宋体"/>
          <w:kern w:val="0"/>
        </w:rPr>
      </w:pPr>
      <w:r>
        <w:rPr>
          <w:rFonts w:hint="eastAsia" w:ascii="宋体" w:hAnsi="宋体" w:cs="宋体"/>
          <w:kern w:val="0"/>
        </w:rPr>
        <w:t>4.2.2巡查频次应符合下列规定：</w:t>
      </w:r>
    </w:p>
    <w:p>
      <w:pPr>
        <w:widowControl/>
        <w:numPr>
          <w:ilvl w:val="0"/>
          <w:numId w:val="2"/>
        </w:numPr>
        <w:spacing w:line="360" w:lineRule="auto"/>
        <w:jc w:val="left"/>
        <w:rPr>
          <w:rFonts w:ascii="宋体" w:hAnsi="宋体" w:cs="宋体"/>
          <w:kern w:val="0"/>
          <w:szCs w:val="20"/>
        </w:rPr>
      </w:pPr>
      <w:r>
        <w:rPr>
          <w:rFonts w:hint="eastAsia" w:ascii="宋体" w:hAnsi="宋体" w:cs="宋体"/>
          <w:kern w:val="0"/>
          <w:szCs w:val="20"/>
        </w:rPr>
        <w:t>一类城市河道巡查应每天全线巡查2次；</w:t>
      </w:r>
    </w:p>
    <w:p>
      <w:pPr>
        <w:widowControl/>
        <w:numPr>
          <w:ilvl w:val="0"/>
          <w:numId w:val="2"/>
        </w:numPr>
        <w:spacing w:line="360" w:lineRule="auto"/>
        <w:jc w:val="left"/>
        <w:rPr>
          <w:rFonts w:ascii="宋体" w:hAnsi="宋体" w:cs="宋体"/>
          <w:kern w:val="0"/>
          <w:szCs w:val="20"/>
        </w:rPr>
      </w:pPr>
      <w:r>
        <w:rPr>
          <w:rFonts w:hint="eastAsia" w:ascii="宋体" w:hAnsi="宋体" w:cs="宋体"/>
          <w:kern w:val="0"/>
          <w:szCs w:val="20"/>
        </w:rPr>
        <w:t>二类城市河道巡查应每天全线巡查1次；</w:t>
      </w:r>
    </w:p>
    <w:p>
      <w:pPr>
        <w:widowControl/>
        <w:numPr>
          <w:ilvl w:val="0"/>
          <w:numId w:val="2"/>
        </w:numPr>
        <w:spacing w:line="360" w:lineRule="auto"/>
        <w:jc w:val="left"/>
        <w:rPr>
          <w:rFonts w:ascii="宋体" w:hAnsi="宋体" w:cs="宋体"/>
          <w:kern w:val="0"/>
          <w:szCs w:val="20"/>
        </w:rPr>
      </w:pPr>
      <w:r>
        <w:rPr>
          <w:rFonts w:hint="eastAsia" w:ascii="宋体" w:hAnsi="宋体" w:cs="宋体"/>
          <w:kern w:val="0"/>
          <w:szCs w:val="20"/>
        </w:rPr>
        <w:t>三类城市河道巡查应每2天全线巡查1次；</w:t>
      </w:r>
    </w:p>
    <w:p>
      <w:pPr>
        <w:widowControl/>
        <w:numPr>
          <w:ilvl w:val="0"/>
          <w:numId w:val="2"/>
        </w:numPr>
        <w:spacing w:line="360" w:lineRule="auto"/>
        <w:jc w:val="left"/>
        <w:rPr>
          <w:rFonts w:ascii="宋体" w:hAnsi="宋体" w:cs="宋体"/>
          <w:kern w:val="0"/>
          <w:szCs w:val="20"/>
        </w:rPr>
      </w:pPr>
      <w:r>
        <w:rPr>
          <w:rFonts w:hint="eastAsia" w:ascii="宋体" w:hAnsi="宋体" w:cs="宋体"/>
          <w:kern w:val="0"/>
          <w:szCs w:val="20"/>
        </w:rPr>
        <w:t>未整治城市河道巡查应每周全线巡查1次。</w:t>
      </w:r>
    </w:p>
    <w:p>
      <w:pPr>
        <w:widowControl/>
        <w:numPr>
          <w:ilvl w:val="2"/>
          <w:numId w:val="0"/>
        </w:numPr>
        <w:spacing w:line="360" w:lineRule="auto"/>
        <w:jc w:val="left"/>
        <w:outlineLvl w:val="3"/>
        <w:rPr>
          <w:rFonts w:ascii="宋体" w:hAnsi="宋体" w:cs="宋体"/>
          <w:kern w:val="0"/>
        </w:rPr>
      </w:pPr>
      <w:r>
        <w:rPr>
          <w:rFonts w:hint="eastAsia" w:ascii="宋体" w:hAnsi="宋体" w:cs="宋体"/>
          <w:kern w:val="0"/>
        </w:rPr>
        <w:t>4.2.3巡查人员巡查时应符合下列规定：</w:t>
      </w:r>
    </w:p>
    <w:p>
      <w:pPr>
        <w:widowControl/>
        <w:numPr>
          <w:ilvl w:val="0"/>
          <w:numId w:val="3"/>
        </w:numPr>
        <w:spacing w:line="360" w:lineRule="auto"/>
        <w:rPr>
          <w:rFonts w:ascii="宋体" w:hAnsi="宋体" w:cs="宋体"/>
          <w:kern w:val="0"/>
          <w:szCs w:val="20"/>
        </w:rPr>
      </w:pPr>
      <w:r>
        <w:rPr>
          <w:rFonts w:hint="eastAsia" w:ascii="宋体" w:hAnsi="宋体" w:cs="宋体"/>
          <w:kern w:val="0"/>
          <w:szCs w:val="20"/>
        </w:rPr>
        <w:t>应配备照相机或摄像机，巡查车辆与船只宜安装车载定位等必要的装备；</w:t>
      </w:r>
    </w:p>
    <w:p>
      <w:pPr>
        <w:widowControl/>
        <w:numPr>
          <w:ilvl w:val="0"/>
          <w:numId w:val="3"/>
        </w:numPr>
        <w:spacing w:line="360" w:lineRule="auto"/>
        <w:rPr>
          <w:rFonts w:ascii="宋体" w:hAnsi="宋体" w:cs="宋体"/>
          <w:kern w:val="0"/>
          <w:szCs w:val="20"/>
        </w:rPr>
      </w:pPr>
      <w:r>
        <w:rPr>
          <w:rFonts w:hint="eastAsia" w:ascii="宋体" w:hAnsi="宋体" w:cs="宋体"/>
          <w:kern w:val="0"/>
          <w:szCs w:val="20"/>
        </w:rPr>
        <w:t>巡查时应认真负责、全面仔细，快速及时地掌握河道设施的安全性、整洁和完好状况；</w:t>
      </w:r>
    </w:p>
    <w:p>
      <w:pPr>
        <w:widowControl/>
        <w:tabs>
          <w:tab w:val="center" w:pos="4201"/>
          <w:tab w:val="right" w:leader="dot" w:pos="9298"/>
        </w:tabs>
        <w:autoSpaceDE w:val="0"/>
        <w:autoSpaceDN w:val="0"/>
        <w:spacing w:line="360" w:lineRule="auto"/>
        <w:ind w:firstLine="420" w:firstLineChars="200"/>
        <w:rPr>
          <w:rFonts w:ascii="宋体" w:hAnsi="宋体" w:cs="宋体"/>
          <w:kern w:val="0"/>
          <w:szCs w:val="20"/>
        </w:rPr>
      </w:pPr>
      <w:r>
        <w:rPr>
          <w:rFonts w:hint="eastAsia" w:ascii="宋体" w:hAnsi="宋体" w:cs="宋体"/>
          <w:kern w:val="0"/>
          <w:szCs w:val="20"/>
        </w:rPr>
        <w:t>c) 当日应做好巡查记录并上报。</w:t>
      </w:r>
    </w:p>
    <w:p>
      <w:pPr>
        <w:widowControl/>
        <w:numPr>
          <w:ilvl w:val="1"/>
          <w:numId w:val="0"/>
        </w:numPr>
        <w:spacing w:line="360" w:lineRule="auto"/>
        <w:jc w:val="left"/>
        <w:outlineLvl w:val="2"/>
        <w:rPr>
          <w:rFonts w:ascii="宋体" w:hAnsi="宋体" w:cs="宋体"/>
          <w:kern w:val="0"/>
        </w:rPr>
      </w:pPr>
      <w:bookmarkStart w:id="172" w:name="_Toc528769153"/>
      <w:bookmarkStart w:id="173" w:name="_Toc20651"/>
      <w:bookmarkStart w:id="174" w:name="_Toc8573"/>
      <w:r>
        <w:rPr>
          <w:rFonts w:hint="eastAsia" w:ascii="宋体" w:hAnsi="宋体" w:cs="宋体"/>
          <w:kern w:val="0"/>
        </w:rPr>
        <w:t>4.3河道保洁</w:t>
      </w:r>
      <w:bookmarkEnd w:id="172"/>
      <w:bookmarkEnd w:id="173"/>
      <w:bookmarkEnd w:id="174"/>
    </w:p>
    <w:p>
      <w:pPr>
        <w:widowControl/>
        <w:tabs>
          <w:tab w:val="center" w:pos="4201"/>
          <w:tab w:val="right" w:leader="dot" w:pos="9298"/>
        </w:tabs>
        <w:autoSpaceDE w:val="0"/>
        <w:autoSpaceDN w:val="0"/>
        <w:spacing w:line="360" w:lineRule="auto"/>
        <w:rPr>
          <w:rFonts w:ascii="宋体" w:hAnsi="宋体" w:cs="宋体"/>
          <w:kern w:val="0"/>
          <w:szCs w:val="20"/>
        </w:rPr>
      </w:pPr>
      <w:r>
        <w:rPr>
          <w:rFonts w:hint="eastAsia" w:ascii="宋体" w:hAnsi="宋体" w:cs="宋体"/>
          <w:kern w:val="0"/>
          <w:szCs w:val="20"/>
        </w:rPr>
        <w:t>4.3.1河面应清洁无漂浮物，绿地无垃圾、无杂物，河岸各类硬化设施无垃圾、无污垢，保持整洁完好。</w:t>
      </w:r>
    </w:p>
    <w:p>
      <w:pPr>
        <w:widowControl/>
        <w:tabs>
          <w:tab w:val="center" w:pos="4201"/>
          <w:tab w:val="right" w:leader="dot" w:pos="9298"/>
        </w:tabs>
        <w:autoSpaceDE w:val="0"/>
        <w:autoSpaceDN w:val="0"/>
        <w:spacing w:line="360" w:lineRule="auto"/>
        <w:rPr>
          <w:rFonts w:ascii="宋体" w:hAnsi="宋体" w:cs="宋体"/>
          <w:kern w:val="0"/>
          <w:szCs w:val="20"/>
        </w:rPr>
      </w:pPr>
      <w:r>
        <w:rPr>
          <w:rFonts w:hint="eastAsia" w:ascii="宋体" w:hAnsi="宋体" w:cs="宋体"/>
          <w:kern w:val="0"/>
          <w:szCs w:val="20"/>
        </w:rPr>
        <w:t>4.3.2利用机械或人工对河道水面的垃圾、枯枝落叶、水草、绿萍等种植物除外的漂浮物进行打捞清理及外运处置，保持河道景观、保护河道水环境。</w:t>
      </w:r>
    </w:p>
    <w:p>
      <w:pPr>
        <w:widowControl/>
        <w:tabs>
          <w:tab w:val="center" w:pos="4201"/>
          <w:tab w:val="right" w:leader="dot" w:pos="9298"/>
        </w:tabs>
        <w:autoSpaceDE w:val="0"/>
        <w:autoSpaceDN w:val="0"/>
        <w:spacing w:line="360" w:lineRule="auto"/>
        <w:rPr>
          <w:rFonts w:ascii="宋体" w:hAnsi="宋体" w:cs="宋体"/>
          <w:kern w:val="0"/>
          <w:szCs w:val="20"/>
        </w:rPr>
      </w:pPr>
      <w:r>
        <w:rPr>
          <w:rFonts w:hint="eastAsia" w:ascii="宋体" w:hAnsi="宋体" w:cs="宋体"/>
          <w:kern w:val="0"/>
          <w:szCs w:val="20"/>
        </w:rPr>
        <w:t>4.3.3利用各种机械或人工对城市河道的河岸、绿地、慢行系统、园路等设施的保洁，应做到干净整洁、无杂物堆积、无痰迹烟蒂、无青苔、无积水积泥等。</w:t>
      </w:r>
    </w:p>
    <w:p>
      <w:pPr>
        <w:widowControl/>
        <w:tabs>
          <w:tab w:val="center" w:pos="4201"/>
          <w:tab w:val="right" w:leader="dot" w:pos="9298"/>
        </w:tabs>
        <w:autoSpaceDE w:val="0"/>
        <w:autoSpaceDN w:val="0"/>
        <w:spacing w:line="360" w:lineRule="auto"/>
        <w:rPr>
          <w:rFonts w:ascii="宋体" w:hAnsi="宋体" w:cs="宋体"/>
          <w:kern w:val="0"/>
          <w:szCs w:val="20"/>
        </w:rPr>
      </w:pPr>
      <w:r>
        <w:rPr>
          <w:rFonts w:hint="eastAsia" w:ascii="宋体" w:hAnsi="宋体" w:cs="宋体"/>
          <w:kern w:val="0"/>
          <w:szCs w:val="20"/>
        </w:rPr>
        <w:t>4.3.4台风、暴雨及洪水过后应及时清除大型漂浮物、倾入河内的树木树枝等各类障碍物。</w:t>
      </w:r>
    </w:p>
    <w:p>
      <w:pPr>
        <w:widowControl/>
        <w:numPr>
          <w:ilvl w:val="2"/>
          <w:numId w:val="0"/>
        </w:numPr>
        <w:spacing w:line="360" w:lineRule="auto"/>
        <w:jc w:val="left"/>
        <w:outlineLvl w:val="3"/>
        <w:rPr>
          <w:rFonts w:ascii="宋体" w:hAnsi="宋体" w:cs="宋体"/>
          <w:kern w:val="0"/>
        </w:rPr>
      </w:pPr>
      <w:r>
        <w:rPr>
          <w:rFonts w:hint="eastAsia" w:ascii="宋体" w:hAnsi="宋体" w:cs="宋体"/>
          <w:kern w:val="0"/>
        </w:rPr>
        <w:t>4.3.5河面保洁应符合下列规定：</w:t>
      </w:r>
    </w:p>
    <w:p>
      <w:pPr>
        <w:widowControl/>
        <w:numPr>
          <w:ilvl w:val="0"/>
          <w:numId w:val="4"/>
        </w:numPr>
        <w:spacing w:line="360" w:lineRule="auto"/>
        <w:rPr>
          <w:rFonts w:ascii="宋体" w:hAnsi="宋体" w:cs="宋体"/>
          <w:kern w:val="0"/>
          <w:szCs w:val="20"/>
        </w:rPr>
      </w:pPr>
      <w:r>
        <w:rPr>
          <w:rFonts w:hint="eastAsia" w:ascii="宋体" w:hAnsi="宋体" w:cs="宋体"/>
          <w:kern w:val="0"/>
          <w:szCs w:val="20"/>
        </w:rPr>
        <w:t>一类城市河道保洁应每天对河面保洁不少于6次，作业时间不少于12h；</w:t>
      </w:r>
    </w:p>
    <w:p>
      <w:pPr>
        <w:widowControl/>
        <w:numPr>
          <w:ilvl w:val="0"/>
          <w:numId w:val="4"/>
        </w:numPr>
        <w:spacing w:line="360" w:lineRule="auto"/>
        <w:rPr>
          <w:rFonts w:ascii="宋体" w:hAnsi="宋体" w:cs="宋体"/>
          <w:kern w:val="0"/>
          <w:szCs w:val="20"/>
        </w:rPr>
      </w:pPr>
      <w:r>
        <w:rPr>
          <w:rFonts w:hint="eastAsia" w:ascii="宋体" w:hAnsi="宋体" w:cs="宋体"/>
          <w:kern w:val="0"/>
          <w:szCs w:val="20"/>
        </w:rPr>
        <w:t>二类城市河道保洁应每天对河面保洁不少于4次，作业时间不少于10h；</w:t>
      </w:r>
    </w:p>
    <w:p>
      <w:pPr>
        <w:widowControl/>
        <w:numPr>
          <w:ilvl w:val="0"/>
          <w:numId w:val="4"/>
        </w:numPr>
        <w:spacing w:line="360" w:lineRule="auto"/>
        <w:rPr>
          <w:rFonts w:ascii="宋体" w:hAnsi="宋体" w:cs="宋体"/>
          <w:kern w:val="0"/>
          <w:szCs w:val="20"/>
        </w:rPr>
      </w:pPr>
      <w:r>
        <w:rPr>
          <w:rFonts w:hint="eastAsia" w:ascii="宋体" w:hAnsi="宋体" w:cs="宋体"/>
          <w:kern w:val="0"/>
          <w:szCs w:val="20"/>
        </w:rPr>
        <w:t>三类城市河道保洁应每天对河面保洁不少于2次，作业时间不少于8h；</w:t>
      </w:r>
    </w:p>
    <w:p>
      <w:pPr>
        <w:widowControl/>
        <w:numPr>
          <w:ilvl w:val="0"/>
          <w:numId w:val="4"/>
        </w:numPr>
        <w:spacing w:line="360" w:lineRule="auto"/>
        <w:rPr>
          <w:rFonts w:ascii="宋体" w:hAnsi="宋体" w:cs="宋体"/>
          <w:kern w:val="0"/>
          <w:szCs w:val="20"/>
        </w:rPr>
      </w:pPr>
      <w:r>
        <w:rPr>
          <w:rFonts w:hint="eastAsia" w:ascii="宋体" w:hAnsi="宋体" w:cs="宋体"/>
          <w:kern w:val="0"/>
          <w:szCs w:val="20"/>
        </w:rPr>
        <w:t>未整治城市河道保洁应每天对河面保洁不少于1次，作业时间不少于8h。</w:t>
      </w:r>
    </w:p>
    <w:p>
      <w:pPr>
        <w:widowControl/>
        <w:numPr>
          <w:ilvl w:val="2"/>
          <w:numId w:val="0"/>
        </w:numPr>
        <w:spacing w:line="360" w:lineRule="auto"/>
        <w:jc w:val="left"/>
        <w:outlineLvl w:val="3"/>
        <w:rPr>
          <w:rFonts w:ascii="宋体" w:hAnsi="宋体" w:cs="宋体"/>
          <w:kern w:val="0"/>
        </w:rPr>
      </w:pPr>
      <w:r>
        <w:rPr>
          <w:rFonts w:hint="eastAsia" w:ascii="宋体" w:hAnsi="宋体" w:cs="宋体"/>
          <w:kern w:val="0"/>
        </w:rPr>
        <w:t>4.3.6河岸保洁应符合下列规定：</w:t>
      </w:r>
    </w:p>
    <w:p>
      <w:pPr>
        <w:widowControl/>
        <w:numPr>
          <w:ilvl w:val="0"/>
          <w:numId w:val="5"/>
        </w:numPr>
        <w:spacing w:line="360" w:lineRule="auto"/>
        <w:rPr>
          <w:rFonts w:ascii="宋体" w:hAnsi="宋体" w:cs="宋体"/>
          <w:kern w:val="0"/>
          <w:szCs w:val="20"/>
        </w:rPr>
      </w:pPr>
      <w:r>
        <w:rPr>
          <w:rFonts w:hint="eastAsia" w:ascii="宋体" w:hAnsi="宋体" w:cs="宋体"/>
          <w:kern w:val="0"/>
          <w:szCs w:val="20"/>
        </w:rPr>
        <w:t>一类城市河道保洁应每天保洁时间不少于16h，每月对慢行系统、园路、亲水平台、河埠头、游船停靠点、廊亭地面等硬化设施冲水清洗不少于2次；</w:t>
      </w:r>
    </w:p>
    <w:p>
      <w:pPr>
        <w:widowControl/>
        <w:numPr>
          <w:ilvl w:val="0"/>
          <w:numId w:val="5"/>
        </w:numPr>
        <w:spacing w:line="360" w:lineRule="auto"/>
        <w:rPr>
          <w:rFonts w:ascii="宋体" w:hAnsi="宋体" w:cs="宋体"/>
          <w:kern w:val="0"/>
          <w:szCs w:val="20"/>
        </w:rPr>
      </w:pPr>
      <w:r>
        <w:rPr>
          <w:rFonts w:hint="eastAsia" w:ascii="宋体" w:hAnsi="宋体" w:cs="宋体"/>
          <w:kern w:val="0"/>
          <w:szCs w:val="20"/>
        </w:rPr>
        <w:t>二类城市河道保洁应每天保洁时间不少于14h，每月对慢行系统、园路、亲水平台、河埠头、游船停靠点、廊亭地面等硬化设施冲水清洗不少于1次；</w:t>
      </w:r>
    </w:p>
    <w:p>
      <w:pPr>
        <w:widowControl/>
        <w:numPr>
          <w:ilvl w:val="0"/>
          <w:numId w:val="5"/>
        </w:numPr>
        <w:spacing w:line="360" w:lineRule="auto"/>
        <w:rPr>
          <w:rFonts w:ascii="宋体" w:hAnsi="宋体" w:cs="宋体"/>
          <w:kern w:val="0"/>
          <w:szCs w:val="20"/>
        </w:rPr>
      </w:pPr>
      <w:r>
        <w:rPr>
          <w:rFonts w:hint="eastAsia" w:ascii="宋体" w:hAnsi="宋体" w:cs="宋体"/>
          <w:kern w:val="0"/>
          <w:szCs w:val="20"/>
        </w:rPr>
        <w:t>三类城市河道保洁应每天保洁时间不少于8h，每月对慢行系统、园路、亲水平台、河埠头、游船停靠点、廊亭地面等硬化设施冲水清洗不少于1次。</w:t>
      </w:r>
    </w:p>
    <w:p>
      <w:pPr>
        <w:widowControl/>
        <w:numPr>
          <w:ilvl w:val="1"/>
          <w:numId w:val="0"/>
        </w:numPr>
        <w:spacing w:line="360" w:lineRule="auto"/>
        <w:jc w:val="left"/>
        <w:outlineLvl w:val="2"/>
        <w:rPr>
          <w:rFonts w:ascii="宋体" w:hAnsi="宋体" w:cs="宋体"/>
          <w:kern w:val="0"/>
        </w:rPr>
      </w:pPr>
      <w:bookmarkStart w:id="175" w:name="_Toc528769154"/>
      <w:bookmarkStart w:id="176" w:name="_Toc9300"/>
      <w:bookmarkStart w:id="177" w:name="_Toc31848"/>
      <w:r>
        <w:rPr>
          <w:rFonts w:hint="eastAsia" w:ascii="宋体" w:hAnsi="宋体" w:cs="宋体"/>
          <w:kern w:val="0"/>
        </w:rPr>
        <w:t>4.4水体养护</w:t>
      </w:r>
      <w:bookmarkEnd w:id="175"/>
      <w:bookmarkEnd w:id="176"/>
      <w:bookmarkEnd w:id="177"/>
    </w:p>
    <w:p>
      <w:pPr>
        <w:widowControl/>
        <w:numPr>
          <w:ilvl w:val="2"/>
          <w:numId w:val="0"/>
        </w:numPr>
        <w:spacing w:line="360" w:lineRule="auto"/>
        <w:jc w:val="left"/>
        <w:outlineLvl w:val="3"/>
        <w:rPr>
          <w:rFonts w:ascii="宋体" w:hAnsi="宋体" w:cs="宋体"/>
          <w:kern w:val="0"/>
        </w:rPr>
      </w:pPr>
      <w:bookmarkStart w:id="178" w:name="_Toc528769155"/>
      <w:r>
        <w:rPr>
          <w:rFonts w:hint="eastAsia" w:ascii="宋体" w:hAnsi="宋体" w:cs="宋体"/>
          <w:kern w:val="0"/>
        </w:rPr>
        <w:t>4.4.1河道水体应水清、流畅、无异味、无异色。</w:t>
      </w:r>
      <w:bookmarkEnd w:id="178"/>
      <w:r>
        <w:rPr>
          <w:rFonts w:hint="eastAsia" w:ascii="宋体" w:hAnsi="宋体" w:cs="宋体"/>
          <w:kern w:val="0"/>
        </w:rPr>
        <w:t> </w:t>
      </w:r>
    </w:p>
    <w:p>
      <w:pPr>
        <w:widowControl/>
        <w:numPr>
          <w:ilvl w:val="2"/>
          <w:numId w:val="0"/>
        </w:numPr>
        <w:spacing w:line="360" w:lineRule="auto"/>
        <w:jc w:val="left"/>
        <w:outlineLvl w:val="3"/>
        <w:rPr>
          <w:rFonts w:ascii="宋体" w:hAnsi="宋体" w:cs="宋体"/>
          <w:kern w:val="0"/>
        </w:rPr>
      </w:pPr>
      <w:bookmarkStart w:id="179" w:name="_Toc1114"/>
      <w:bookmarkStart w:id="180" w:name="_Toc7762"/>
      <w:r>
        <w:rPr>
          <w:rFonts w:hint="eastAsia" w:ascii="宋体" w:hAnsi="宋体" w:cs="宋体"/>
          <w:kern w:val="0"/>
        </w:rPr>
        <w:t>4.4.2应实施截污纳管工作，消除河道两岸排水口晴天出水现象，防止污水入河。</w:t>
      </w:r>
      <w:bookmarkEnd w:id="179"/>
      <w:bookmarkEnd w:id="180"/>
    </w:p>
    <w:p>
      <w:pPr>
        <w:widowControl/>
        <w:numPr>
          <w:ilvl w:val="2"/>
          <w:numId w:val="0"/>
        </w:numPr>
        <w:spacing w:line="360" w:lineRule="auto"/>
        <w:jc w:val="left"/>
        <w:outlineLvl w:val="3"/>
        <w:rPr>
          <w:rFonts w:ascii="宋体" w:hAnsi="宋体" w:cs="宋体"/>
          <w:kern w:val="0"/>
        </w:rPr>
      </w:pPr>
      <w:bookmarkStart w:id="181" w:name="_Toc28943"/>
      <w:bookmarkStart w:id="182" w:name="_Toc9497"/>
      <w:r>
        <w:rPr>
          <w:rFonts w:hint="eastAsia" w:ascii="宋体" w:hAnsi="宋体" w:cs="宋体"/>
          <w:kern w:val="0"/>
        </w:rPr>
        <w:t>4.4.3应根据HJ/T　91的规定，在水系源头、过境、支流汇入等设置监测断面，断面布设应合理，每条河道应至少设置一个断面，在总体和宏观上反映水系或所在区域的水环境质量状况。</w:t>
      </w:r>
    </w:p>
    <w:p>
      <w:pPr>
        <w:widowControl/>
        <w:numPr>
          <w:ilvl w:val="2"/>
          <w:numId w:val="0"/>
        </w:numPr>
        <w:spacing w:line="360" w:lineRule="auto"/>
        <w:jc w:val="left"/>
        <w:outlineLvl w:val="3"/>
        <w:rPr>
          <w:rFonts w:ascii="宋体" w:hAnsi="宋体" w:cs="宋体"/>
          <w:kern w:val="0"/>
        </w:rPr>
      </w:pPr>
      <w:r>
        <w:rPr>
          <w:rFonts w:hint="eastAsia" w:ascii="宋体" w:hAnsi="宋体" w:cs="宋体"/>
          <w:kern w:val="0"/>
        </w:rPr>
        <w:t>4.4.4水质监测项目应至少包含pH值、透明度、溶解氧、氨氮、高锰酸盐指数、总磷等主要指标，监测频率每月不应少于一次。河道水质监测应符合GB　3838、GB　12997、GB　12998和GB　12999的规定，采取单因子评价方法确定每个水质监测断面的水质级别。</w:t>
      </w:r>
      <w:bookmarkEnd w:id="181"/>
      <w:bookmarkEnd w:id="182"/>
    </w:p>
    <w:p>
      <w:pPr>
        <w:widowControl/>
        <w:numPr>
          <w:ilvl w:val="1"/>
          <w:numId w:val="0"/>
        </w:numPr>
        <w:spacing w:line="360" w:lineRule="auto"/>
        <w:jc w:val="left"/>
        <w:outlineLvl w:val="2"/>
        <w:rPr>
          <w:rFonts w:ascii="宋体" w:hAnsi="宋体" w:cs="宋体"/>
          <w:kern w:val="0"/>
          <w:szCs w:val="22"/>
        </w:rPr>
      </w:pPr>
      <w:bookmarkStart w:id="183" w:name="_Toc18862"/>
      <w:bookmarkStart w:id="184" w:name="_Toc2915"/>
      <w:bookmarkStart w:id="185" w:name="_Toc528769156"/>
      <w:r>
        <w:rPr>
          <w:rFonts w:hint="eastAsia" w:ascii="宋体" w:hAnsi="宋体" w:cs="宋体"/>
          <w:kern w:val="0"/>
          <w:szCs w:val="22"/>
        </w:rPr>
        <w:t>4.5河岸养护</w:t>
      </w:r>
      <w:bookmarkEnd w:id="183"/>
      <w:bookmarkEnd w:id="184"/>
      <w:bookmarkEnd w:id="185"/>
      <w:r>
        <w:rPr>
          <w:rFonts w:hint="eastAsia" w:ascii="宋体" w:hAnsi="宋体" w:cs="宋体"/>
          <w:kern w:val="0"/>
          <w:szCs w:val="22"/>
        </w:rPr>
        <w:tab/>
      </w:r>
    </w:p>
    <w:p>
      <w:pPr>
        <w:widowControl/>
        <w:numPr>
          <w:ilvl w:val="2"/>
          <w:numId w:val="0"/>
        </w:numPr>
        <w:spacing w:line="360" w:lineRule="auto"/>
        <w:jc w:val="left"/>
        <w:outlineLvl w:val="3"/>
        <w:rPr>
          <w:rFonts w:ascii="宋体" w:hAnsi="宋体" w:cs="宋体"/>
          <w:kern w:val="0"/>
        </w:rPr>
      </w:pPr>
      <w:bookmarkStart w:id="186" w:name="_Hlk530599272"/>
      <w:r>
        <w:rPr>
          <w:rFonts w:hint="eastAsia" w:ascii="宋体" w:hAnsi="宋体" w:cs="宋体"/>
          <w:kern w:val="0"/>
        </w:rPr>
        <w:t>4.5.1河岸为</w:t>
      </w:r>
      <w:bookmarkEnd w:id="186"/>
      <w:r>
        <w:rPr>
          <w:rFonts w:hint="eastAsia" w:ascii="宋体" w:hAnsi="宋体" w:cs="宋体"/>
          <w:kern w:val="0"/>
        </w:rPr>
        <w:t>驳坎挡墙护岸的养护应符合下列规定：</w:t>
      </w:r>
    </w:p>
    <w:p>
      <w:pPr>
        <w:widowControl/>
        <w:numPr>
          <w:ilvl w:val="0"/>
          <w:numId w:val="6"/>
        </w:numPr>
        <w:spacing w:line="360" w:lineRule="auto"/>
        <w:rPr>
          <w:rFonts w:ascii="宋体" w:hAnsi="宋体" w:cs="宋体"/>
          <w:kern w:val="0"/>
          <w:szCs w:val="20"/>
        </w:rPr>
      </w:pPr>
      <w:r>
        <w:rPr>
          <w:rFonts w:hint="eastAsia" w:ascii="宋体" w:hAnsi="宋体" w:cs="宋体"/>
          <w:kern w:val="0"/>
          <w:szCs w:val="20"/>
        </w:rPr>
        <w:t>驳坎挡墙应保持工程完好、表面平整清洁，块石应整齐无松动、塌陷、隆起，砂浆勾缝应饱满、完整、无脱落；</w:t>
      </w:r>
    </w:p>
    <w:p>
      <w:pPr>
        <w:widowControl/>
        <w:numPr>
          <w:ilvl w:val="0"/>
          <w:numId w:val="6"/>
        </w:numPr>
        <w:spacing w:line="360" w:lineRule="auto"/>
        <w:rPr>
          <w:rFonts w:ascii="宋体" w:hAnsi="宋体" w:cs="宋体"/>
          <w:kern w:val="0"/>
          <w:szCs w:val="20"/>
        </w:rPr>
      </w:pPr>
      <w:r>
        <w:rPr>
          <w:rFonts w:hint="eastAsia" w:ascii="宋体" w:hAnsi="宋体" w:cs="宋体"/>
          <w:kern w:val="0"/>
          <w:szCs w:val="20"/>
        </w:rPr>
        <w:t>驳坎挡墙压顶上的杂物、杂草应及时清除，迎水面上的污垢应用人工或泵冲洗干净，止水设施应完整无损，无渗水，缝内流失填料应及时填补；</w:t>
      </w:r>
    </w:p>
    <w:p>
      <w:pPr>
        <w:widowControl/>
        <w:numPr>
          <w:ilvl w:val="0"/>
          <w:numId w:val="6"/>
        </w:numPr>
        <w:spacing w:line="360" w:lineRule="auto"/>
        <w:rPr>
          <w:rFonts w:ascii="宋体" w:hAnsi="宋体" w:cs="宋体"/>
          <w:kern w:val="0"/>
          <w:szCs w:val="20"/>
        </w:rPr>
      </w:pPr>
      <w:r>
        <w:rPr>
          <w:rFonts w:hint="eastAsia" w:ascii="宋体" w:hAnsi="宋体" w:cs="宋体"/>
          <w:kern w:val="0"/>
          <w:szCs w:val="20"/>
        </w:rPr>
        <w:t>驳坎挡墙不稳定，修补后继续发生倾斜、滑移、下沉等结构性破坏时，应将其拆除重建。</w:t>
      </w:r>
    </w:p>
    <w:p>
      <w:pPr>
        <w:widowControl/>
        <w:numPr>
          <w:ilvl w:val="2"/>
          <w:numId w:val="0"/>
        </w:numPr>
        <w:spacing w:line="360" w:lineRule="auto"/>
        <w:jc w:val="left"/>
        <w:outlineLvl w:val="3"/>
        <w:rPr>
          <w:rFonts w:ascii="宋体" w:hAnsi="宋体" w:cs="宋体"/>
          <w:kern w:val="0"/>
        </w:rPr>
      </w:pPr>
      <w:r>
        <w:rPr>
          <w:rFonts w:hint="eastAsia" w:ascii="宋体" w:hAnsi="宋体" w:cs="宋体"/>
          <w:kern w:val="0"/>
        </w:rPr>
        <w:t>4.5.2河岸为砌石混凝土护岸的养护应保持坡面平顺、砌块完好、砌缝紧密，无松动、塌陷、脱落、架空等现象，无杂草、杂物，保持坡面整洁完好。</w:t>
      </w:r>
    </w:p>
    <w:p>
      <w:pPr>
        <w:widowControl/>
        <w:numPr>
          <w:ilvl w:val="2"/>
          <w:numId w:val="0"/>
        </w:numPr>
        <w:spacing w:line="360" w:lineRule="auto"/>
        <w:jc w:val="left"/>
        <w:outlineLvl w:val="3"/>
        <w:rPr>
          <w:rFonts w:ascii="宋体" w:hAnsi="宋体" w:cs="宋体"/>
          <w:kern w:val="0"/>
        </w:rPr>
      </w:pPr>
      <w:bookmarkStart w:id="187" w:name="_Hlk530599324"/>
      <w:r>
        <w:rPr>
          <w:rFonts w:hint="eastAsia" w:ascii="宋体" w:hAnsi="宋体" w:cs="宋体"/>
          <w:kern w:val="0"/>
        </w:rPr>
        <w:t>4.5.3河岸为</w:t>
      </w:r>
      <w:bookmarkEnd w:id="187"/>
      <w:r>
        <w:rPr>
          <w:rFonts w:hint="eastAsia" w:ascii="宋体" w:hAnsi="宋体" w:cs="宋体"/>
          <w:kern w:val="0"/>
        </w:rPr>
        <w:t>干砌石护岸的养护应符合下列规定：</w:t>
      </w:r>
    </w:p>
    <w:p>
      <w:pPr>
        <w:widowControl/>
        <w:numPr>
          <w:ilvl w:val="0"/>
          <w:numId w:val="7"/>
        </w:numPr>
        <w:spacing w:line="360" w:lineRule="auto"/>
        <w:rPr>
          <w:rFonts w:ascii="宋体" w:hAnsi="宋体" w:cs="宋体"/>
          <w:kern w:val="0"/>
          <w:szCs w:val="20"/>
        </w:rPr>
      </w:pPr>
      <w:r>
        <w:rPr>
          <w:rFonts w:hint="eastAsia" w:ascii="宋体" w:hAnsi="宋体" w:cs="宋体"/>
          <w:kern w:val="0"/>
          <w:szCs w:val="20"/>
        </w:rPr>
        <w:t>填补、整修变形或损坏的块石；</w:t>
      </w:r>
    </w:p>
    <w:p>
      <w:pPr>
        <w:widowControl/>
        <w:numPr>
          <w:ilvl w:val="0"/>
          <w:numId w:val="7"/>
        </w:numPr>
        <w:spacing w:line="360" w:lineRule="auto"/>
        <w:rPr>
          <w:rFonts w:ascii="宋体" w:hAnsi="宋体" w:cs="宋体"/>
          <w:kern w:val="0"/>
          <w:szCs w:val="20"/>
        </w:rPr>
      </w:pPr>
      <w:r>
        <w:rPr>
          <w:rFonts w:hint="eastAsia" w:ascii="宋体" w:hAnsi="宋体" w:cs="宋体"/>
          <w:kern w:val="0"/>
          <w:szCs w:val="20"/>
        </w:rPr>
        <w:t>更换风化或损毁的块石，并嵌砌紧密；</w:t>
      </w:r>
    </w:p>
    <w:p>
      <w:pPr>
        <w:widowControl/>
        <w:numPr>
          <w:ilvl w:val="0"/>
          <w:numId w:val="7"/>
        </w:numPr>
        <w:spacing w:line="360" w:lineRule="auto"/>
        <w:rPr>
          <w:rFonts w:ascii="宋体" w:hAnsi="宋体" w:cs="宋体"/>
          <w:kern w:val="0"/>
          <w:szCs w:val="20"/>
        </w:rPr>
      </w:pPr>
      <w:r>
        <w:rPr>
          <w:rFonts w:hint="eastAsia" w:ascii="宋体" w:hAnsi="宋体" w:cs="宋体"/>
          <w:kern w:val="0"/>
          <w:szCs w:val="20"/>
        </w:rPr>
        <w:t>护岸局部塌陷或垫层被淘刷，应先翻出块石，恢复土体和垫层，再将块石嵌砌紧密。</w:t>
      </w:r>
    </w:p>
    <w:p>
      <w:pPr>
        <w:widowControl/>
        <w:numPr>
          <w:ilvl w:val="2"/>
          <w:numId w:val="0"/>
        </w:numPr>
        <w:spacing w:line="360" w:lineRule="auto"/>
        <w:jc w:val="left"/>
        <w:outlineLvl w:val="3"/>
        <w:rPr>
          <w:rFonts w:ascii="宋体" w:hAnsi="宋体" w:cs="宋体"/>
          <w:kern w:val="0"/>
        </w:rPr>
      </w:pPr>
      <w:bookmarkStart w:id="188" w:name="_Hlk530599388"/>
      <w:r>
        <w:rPr>
          <w:rFonts w:hint="eastAsia" w:ascii="宋体" w:hAnsi="宋体" w:cs="宋体"/>
          <w:kern w:val="0"/>
        </w:rPr>
        <w:t>4.5.4河岸为</w:t>
      </w:r>
      <w:bookmarkEnd w:id="188"/>
      <w:r>
        <w:rPr>
          <w:rFonts w:hint="eastAsia" w:ascii="宋体" w:hAnsi="宋体" w:cs="宋体"/>
          <w:kern w:val="0"/>
        </w:rPr>
        <w:t>混凝土或浆砌石</w:t>
      </w:r>
      <w:bookmarkStart w:id="189" w:name="_Hlk530599355"/>
      <w:r>
        <w:rPr>
          <w:rFonts w:hint="eastAsia" w:ascii="宋体" w:hAnsi="宋体" w:cs="宋体"/>
          <w:kern w:val="0"/>
        </w:rPr>
        <w:t>护岸的</w:t>
      </w:r>
      <w:bookmarkEnd w:id="189"/>
      <w:r>
        <w:rPr>
          <w:rFonts w:hint="eastAsia" w:ascii="宋体" w:hAnsi="宋体" w:cs="宋体"/>
          <w:kern w:val="0"/>
        </w:rPr>
        <w:t>养护应符合下列规定：</w:t>
      </w:r>
    </w:p>
    <w:p>
      <w:pPr>
        <w:widowControl/>
        <w:numPr>
          <w:ilvl w:val="0"/>
          <w:numId w:val="8"/>
        </w:numPr>
        <w:spacing w:line="360" w:lineRule="auto"/>
        <w:rPr>
          <w:rFonts w:ascii="宋体" w:hAnsi="宋体" w:cs="宋体"/>
          <w:kern w:val="0"/>
          <w:szCs w:val="20"/>
        </w:rPr>
      </w:pPr>
      <w:r>
        <w:rPr>
          <w:rFonts w:hint="eastAsia" w:ascii="宋体" w:hAnsi="宋体" w:cs="宋体"/>
          <w:kern w:val="0"/>
          <w:szCs w:val="20"/>
        </w:rPr>
        <w:t>清理河岸表面杂物；</w:t>
      </w:r>
    </w:p>
    <w:p>
      <w:pPr>
        <w:widowControl/>
        <w:numPr>
          <w:ilvl w:val="0"/>
          <w:numId w:val="8"/>
        </w:numPr>
        <w:spacing w:line="360" w:lineRule="auto"/>
        <w:rPr>
          <w:rFonts w:ascii="宋体" w:hAnsi="宋体" w:cs="宋体"/>
          <w:kern w:val="0"/>
          <w:szCs w:val="20"/>
        </w:rPr>
      </w:pPr>
      <w:r>
        <w:rPr>
          <w:rFonts w:hint="eastAsia" w:ascii="宋体" w:hAnsi="宋体" w:cs="宋体"/>
          <w:kern w:val="0"/>
          <w:szCs w:val="20"/>
        </w:rPr>
        <w:t>变形缝内填料流失应及时填补，填补前将缝内杂物清除干净；</w:t>
      </w:r>
    </w:p>
    <w:p>
      <w:pPr>
        <w:widowControl/>
        <w:numPr>
          <w:ilvl w:val="0"/>
          <w:numId w:val="8"/>
        </w:numPr>
        <w:spacing w:line="360" w:lineRule="auto"/>
        <w:rPr>
          <w:rFonts w:ascii="宋体" w:hAnsi="宋体" w:cs="宋体"/>
          <w:kern w:val="0"/>
          <w:szCs w:val="20"/>
        </w:rPr>
      </w:pPr>
      <w:r>
        <w:rPr>
          <w:rFonts w:hint="eastAsia" w:ascii="宋体" w:hAnsi="宋体" w:cs="宋体"/>
          <w:kern w:val="0"/>
          <w:szCs w:val="20"/>
        </w:rPr>
        <w:t>浆砌石的灰缝脱落应及时修补，修补时讲缝口剔清刷净，修补后洒水养护；</w:t>
      </w:r>
    </w:p>
    <w:p>
      <w:pPr>
        <w:widowControl/>
        <w:numPr>
          <w:ilvl w:val="0"/>
          <w:numId w:val="8"/>
        </w:numPr>
        <w:spacing w:line="360" w:lineRule="auto"/>
        <w:rPr>
          <w:rFonts w:ascii="宋体" w:hAnsi="宋体" w:cs="宋体"/>
          <w:kern w:val="0"/>
          <w:szCs w:val="20"/>
        </w:rPr>
      </w:pPr>
      <w:r>
        <w:rPr>
          <w:rFonts w:hint="eastAsia" w:ascii="宋体" w:hAnsi="宋体" w:cs="宋体"/>
          <w:kern w:val="0"/>
          <w:szCs w:val="20"/>
        </w:rPr>
        <w:t>河岸局部发生侵蚀剥落或破碎，应采用水泥砂浆进行抹补、喷浆处理；破碎面较大且有垫层淘刷砌体架空现象的，应填塞石料进行临时性处理，岁修时彻底整修；</w:t>
      </w:r>
    </w:p>
    <w:p>
      <w:pPr>
        <w:widowControl/>
        <w:numPr>
          <w:ilvl w:val="0"/>
          <w:numId w:val="9"/>
        </w:numPr>
        <w:spacing w:line="360" w:lineRule="auto"/>
        <w:rPr>
          <w:rFonts w:ascii="宋体" w:hAnsi="宋体" w:cs="宋体"/>
          <w:kern w:val="0"/>
          <w:szCs w:val="20"/>
        </w:rPr>
      </w:pPr>
      <w:r>
        <w:rPr>
          <w:rFonts w:hint="eastAsia" w:ascii="宋体" w:hAnsi="宋体" w:cs="宋体"/>
          <w:kern w:val="0"/>
          <w:szCs w:val="20"/>
        </w:rPr>
        <w:t>排水孔堵塞，应及时疏通；</w:t>
      </w:r>
    </w:p>
    <w:p>
      <w:pPr>
        <w:widowControl/>
        <w:numPr>
          <w:ilvl w:val="0"/>
          <w:numId w:val="9"/>
        </w:numPr>
        <w:spacing w:line="360" w:lineRule="auto"/>
        <w:rPr>
          <w:rFonts w:ascii="宋体" w:hAnsi="宋体" w:cs="宋体"/>
          <w:kern w:val="0"/>
          <w:szCs w:val="20"/>
        </w:rPr>
      </w:pPr>
      <w:r>
        <w:rPr>
          <w:rFonts w:hint="eastAsia" w:ascii="宋体" w:hAnsi="宋体" w:cs="宋体"/>
          <w:kern w:val="0"/>
          <w:szCs w:val="20"/>
        </w:rPr>
        <w:t>河岸局部出现裂缝，应加强观测，判别裂缝成因，进行处理。</w:t>
      </w:r>
    </w:p>
    <w:p>
      <w:pPr>
        <w:widowControl/>
        <w:numPr>
          <w:ilvl w:val="2"/>
          <w:numId w:val="0"/>
        </w:numPr>
        <w:spacing w:line="360" w:lineRule="auto"/>
        <w:jc w:val="left"/>
        <w:outlineLvl w:val="3"/>
        <w:rPr>
          <w:rFonts w:ascii="宋体" w:hAnsi="宋体" w:cs="宋体"/>
          <w:kern w:val="0"/>
        </w:rPr>
      </w:pPr>
      <w:r>
        <w:rPr>
          <w:rFonts w:hint="eastAsia" w:ascii="宋体" w:hAnsi="宋体" w:cs="宋体"/>
          <w:kern w:val="0"/>
        </w:rPr>
        <w:t>4.5.5河岸为混凝土网格护岸的养护应符合下列规定：</w:t>
      </w:r>
    </w:p>
    <w:p>
      <w:pPr>
        <w:widowControl/>
        <w:numPr>
          <w:ilvl w:val="0"/>
          <w:numId w:val="10"/>
        </w:numPr>
        <w:spacing w:line="360" w:lineRule="auto"/>
        <w:rPr>
          <w:rFonts w:ascii="宋体" w:hAnsi="宋体" w:cs="宋体"/>
          <w:kern w:val="0"/>
          <w:szCs w:val="20"/>
        </w:rPr>
      </w:pPr>
      <w:r>
        <w:rPr>
          <w:rFonts w:hint="eastAsia" w:ascii="宋体" w:hAnsi="宋体" w:cs="宋体"/>
          <w:kern w:val="0"/>
          <w:szCs w:val="20"/>
        </w:rPr>
        <w:t>混凝土网格破损，应采用水泥砂浆抹补，并填平混凝土网格与土基接合部；</w:t>
      </w:r>
    </w:p>
    <w:p>
      <w:pPr>
        <w:widowControl/>
        <w:numPr>
          <w:ilvl w:val="0"/>
          <w:numId w:val="10"/>
        </w:numPr>
        <w:spacing w:line="360" w:lineRule="auto"/>
        <w:rPr>
          <w:rFonts w:ascii="宋体" w:hAnsi="宋体" w:cs="宋体"/>
          <w:kern w:val="0"/>
          <w:szCs w:val="20"/>
        </w:rPr>
      </w:pPr>
      <w:r>
        <w:rPr>
          <w:rFonts w:hint="eastAsia" w:ascii="宋体" w:hAnsi="宋体" w:cs="宋体"/>
          <w:kern w:val="0"/>
          <w:szCs w:val="20"/>
        </w:rPr>
        <w:t>应及时对网格内河岸草皮进行补植、清除杂草，适时浇水，草皮覆盖率应达到　95%以上。</w:t>
      </w:r>
    </w:p>
    <w:p>
      <w:pPr>
        <w:widowControl/>
        <w:numPr>
          <w:ilvl w:val="2"/>
          <w:numId w:val="0"/>
        </w:numPr>
        <w:spacing w:line="360" w:lineRule="auto"/>
        <w:jc w:val="left"/>
        <w:outlineLvl w:val="3"/>
        <w:rPr>
          <w:rFonts w:ascii="宋体" w:hAnsi="宋体" w:cs="宋体"/>
          <w:kern w:val="0"/>
        </w:rPr>
      </w:pPr>
      <w:r>
        <w:rPr>
          <w:rFonts w:hint="eastAsia" w:ascii="宋体" w:hAnsi="宋体" w:cs="宋体"/>
          <w:kern w:val="0"/>
        </w:rPr>
        <w:t>4.5.6河岸为草皮护岸、生态护岸的养护应符合下列规定：</w:t>
      </w:r>
    </w:p>
    <w:p>
      <w:pPr>
        <w:widowControl/>
        <w:numPr>
          <w:ilvl w:val="0"/>
          <w:numId w:val="11"/>
        </w:numPr>
        <w:spacing w:line="360" w:lineRule="auto"/>
        <w:rPr>
          <w:rFonts w:ascii="宋体" w:hAnsi="宋体" w:cs="宋体"/>
          <w:kern w:val="0"/>
          <w:szCs w:val="20"/>
        </w:rPr>
      </w:pPr>
      <w:r>
        <w:rPr>
          <w:rFonts w:hint="eastAsia" w:ascii="宋体" w:hAnsi="宋体" w:cs="宋体"/>
          <w:kern w:val="0"/>
          <w:szCs w:val="20"/>
        </w:rPr>
        <w:t>草皮护岸、生态护岸应保持植物的存活率，根据植物的长势应适时修剪，防止其它杂草蔓延，并应注意病虫害的防治；</w:t>
      </w:r>
    </w:p>
    <w:p>
      <w:pPr>
        <w:widowControl/>
        <w:numPr>
          <w:ilvl w:val="0"/>
          <w:numId w:val="11"/>
        </w:numPr>
        <w:spacing w:line="360" w:lineRule="auto"/>
        <w:rPr>
          <w:rFonts w:ascii="宋体" w:hAnsi="宋体" w:cs="宋体"/>
          <w:kern w:val="0"/>
          <w:szCs w:val="20"/>
        </w:rPr>
      </w:pPr>
      <w:r>
        <w:rPr>
          <w:rFonts w:hint="eastAsia" w:ascii="宋体" w:hAnsi="宋体" w:cs="宋体"/>
          <w:kern w:val="0"/>
          <w:szCs w:val="20"/>
        </w:rPr>
        <w:t>夏季草皮干枯时，应及时浇水灌溉；</w:t>
      </w:r>
    </w:p>
    <w:p>
      <w:pPr>
        <w:widowControl/>
        <w:numPr>
          <w:ilvl w:val="0"/>
          <w:numId w:val="11"/>
        </w:numPr>
        <w:spacing w:line="360" w:lineRule="auto"/>
        <w:rPr>
          <w:rFonts w:ascii="宋体" w:hAnsi="宋体" w:cs="宋体"/>
          <w:kern w:val="0"/>
          <w:szCs w:val="20"/>
        </w:rPr>
      </w:pPr>
      <w:r>
        <w:rPr>
          <w:rFonts w:hint="eastAsia" w:ascii="宋体" w:hAnsi="宋体" w:cs="宋体"/>
          <w:kern w:val="0"/>
          <w:szCs w:val="20"/>
        </w:rPr>
        <w:t>草皮河岸、生态河岸应及时补植、补栽或换种，保持黄土不裸露；</w:t>
      </w:r>
    </w:p>
    <w:p>
      <w:pPr>
        <w:widowControl/>
        <w:numPr>
          <w:ilvl w:val="0"/>
          <w:numId w:val="11"/>
        </w:numPr>
        <w:spacing w:line="360" w:lineRule="auto"/>
        <w:rPr>
          <w:rFonts w:ascii="宋体" w:hAnsi="宋体" w:cs="宋体"/>
          <w:kern w:val="0"/>
          <w:szCs w:val="20"/>
        </w:rPr>
      </w:pPr>
      <w:r>
        <w:rPr>
          <w:rFonts w:hint="eastAsia" w:ascii="宋体" w:hAnsi="宋体" w:cs="宋体"/>
          <w:kern w:val="0"/>
          <w:szCs w:val="20"/>
        </w:rPr>
        <w:t>生态袋应完整、无破损、无填充物外漏；</w:t>
      </w:r>
    </w:p>
    <w:p>
      <w:pPr>
        <w:widowControl/>
        <w:numPr>
          <w:ilvl w:val="0"/>
          <w:numId w:val="11"/>
        </w:numPr>
        <w:spacing w:line="360" w:lineRule="auto"/>
        <w:rPr>
          <w:rFonts w:ascii="宋体" w:hAnsi="宋体" w:cs="宋体"/>
          <w:kern w:val="0"/>
          <w:szCs w:val="20"/>
        </w:rPr>
      </w:pPr>
      <w:r>
        <w:rPr>
          <w:rFonts w:hint="eastAsia" w:ascii="宋体" w:hAnsi="宋体" w:cs="宋体"/>
          <w:kern w:val="0"/>
          <w:szCs w:val="20"/>
        </w:rPr>
        <w:t>生态袋标准扣应连接牢固、无松脱，背后填土密实、无水土流失。</w:t>
      </w:r>
    </w:p>
    <w:p>
      <w:pPr>
        <w:widowControl/>
        <w:numPr>
          <w:ilvl w:val="2"/>
          <w:numId w:val="0"/>
        </w:numPr>
        <w:spacing w:line="360" w:lineRule="auto"/>
        <w:jc w:val="left"/>
        <w:outlineLvl w:val="3"/>
        <w:rPr>
          <w:rFonts w:ascii="宋体" w:hAnsi="宋体" w:cs="宋体"/>
          <w:kern w:val="0"/>
        </w:rPr>
      </w:pPr>
      <w:r>
        <w:rPr>
          <w:rFonts w:hint="eastAsia" w:ascii="宋体" w:hAnsi="宋体" w:cs="宋体"/>
          <w:kern w:val="0"/>
        </w:rPr>
        <w:t>4.5.7河岸为模袋混凝土、水泥土、异形块体护岸的应根据其材料性质，按有关规定进行养护。</w:t>
      </w:r>
    </w:p>
    <w:p>
      <w:pPr>
        <w:widowControl/>
        <w:numPr>
          <w:ilvl w:val="2"/>
          <w:numId w:val="0"/>
        </w:numPr>
        <w:spacing w:line="360" w:lineRule="auto"/>
        <w:jc w:val="left"/>
        <w:outlineLvl w:val="3"/>
        <w:rPr>
          <w:rFonts w:ascii="宋体" w:hAnsi="宋体" w:cs="宋体"/>
          <w:kern w:val="0"/>
        </w:rPr>
      </w:pPr>
      <w:r>
        <w:rPr>
          <w:rFonts w:hint="eastAsia" w:ascii="宋体" w:hAnsi="宋体" w:cs="宋体"/>
          <w:kern w:val="0"/>
        </w:rPr>
        <w:t>4.5.8防汛通道路面应保持平整，满足防汛巡查及运送防汛物资需要。防汛通道维修养护，参照CJJ36执行。</w:t>
      </w:r>
    </w:p>
    <w:p>
      <w:pPr>
        <w:widowControl/>
        <w:numPr>
          <w:ilvl w:val="2"/>
          <w:numId w:val="0"/>
        </w:numPr>
        <w:spacing w:line="360" w:lineRule="auto"/>
        <w:jc w:val="left"/>
        <w:outlineLvl w:val="3"/>
        <w:rPr>
          <w:rFonts w:ascii="宋体" w:hAnsi="宋体" w:cs="宋体"/>
          <w:kern w:val="0"/>
        </w:rPr>
      </w:pPr>
      <w:r>
        <w:rPr>
          <w:rFonts w:hint="eastAsia" w:ascii="宋体" w:hAnsi="宋体" w:cs="宋体"/>
          <w:kern w:val="0"/>
        </w:rPr>
        <w:t>4.5.9河道凹岸、过水断面变化河段和存在影响行洪的建（构）筑物如坝（闸）的河段，堤防或河岸前端出现冲刷坑时应及时采取砌筑或抛石护底等防冲加固措施。</w:t>
      </w:r>
    </w:p>
    <w:p>
      <w:pPr>
        <w:widowControl/>
        <w:numPr>
          <w:ilvl w:val="2"/>
          <w:numId w:val="0"/>
        </w:numPr>
        <w:spacing w:line="360" w:lineRule="auto"/>
        <w:jc w:val="left"/>
        <w:outlineLvl w:val="3"/>
        <w:rPr>
          <w:rFonts w:ascii="宋体" w:hAnsi="宋体" w:cs="宋体"/>
          <w:kern w:val="0"/>
        </w:rPr>
      </w:pPr>
      <w:r>
        <w:rPr>
          <w:rFonts w:hint="eastAsia" w:ascii="宋体" w:hAnsi="宋体" w:cs="宋体"/>
          <w:kern w:val="0"/>
        </w:rPr>
        <w:t>4.5.10河道堤岸受损维修标准不得低于原设计标准，对于原结构与维修部位之间的连接，应有相应的结构加强措施确保连接良好。</w:t>
      </w:r>
    </w:p>
    <w:p>
      <w:pPr>
        <w:widowControl/>
        <w:numPr>
          <w:ilvl w:val="1"/>
          <w:numId w:val="0"/>
        </w:numPr>
        <w:spacing w:line="360" w:lineRule="auto"/>
        <w:jc w:val="left"/>
        <w:outlineLvl w:val="2"/>
        <w:rPr>
          <w:rFonts w:ascii="宋体" w:hAnsi="宋体" w:cs="宋体"/>
          <w:kern w:val="0"/>
          <w:szCs w:val="22"/>
        </w:rPr>
      </w:pPr>
      <w:bookmarkStart w:id="190" w:name="_Toc27868"/>
      <w:bookmarkStart w:id="191" w:name="_Toc7886"/>
      <w:bookmarkStart w:id="192" w:name="_Toc528769157"/>
      <w:r>
        <w:rPr>
          <w:rFonts w:hint="eastAsia" w:ascii="宋体" w:hAnsi="宋体" w:cs="宋体"/>
          <w:kern w:val="0"/>
          <w:szCs w:val="22"/>
        </w:rPr>
        <w:t>4.6河床养护</w:t>
      </w:r>
      <w:bookmarkEnd w:id="190"/>
      <w:bookmarkEnd w:id="191"/>
      <w:bookmarkEnd w:id="192"/>
      <w:r>
        <w:rPr>
          <w:rFonts w:hint="eastAsia" w:ascii="宋体" w:hAnsi="宋体" w:cs="宋体"/>
          <w:kern w:val="0"/>
          <w:szCs w:val="22"/>
        </w:rPr>
        <w:tab/>
      </w:r>
    </w:p>
    <w:p>
      <w:pPr>
        <w:widowControl/>
        <w:numPr>
          <w:ilvl w:val="2"/>
          <w:numId w:val="0"/>
        </w:numPr>
        <w:spacing w:line="360" w:lineRule="auto"/>
        <w:jc w:val="left"/>
        <w:outlineLvl w:val="3"/>
        <w:rPr>
          <w:rFonts w:ascii="宋体" w:hAnsi="宋体" w:cs="宋体"/>
          <w:kern w:val="0"/>
        </w:rPr>
      </w:pPr>
      <w:bookmarkStart w:id="193" w:name="_Toc9750"/>
      <w:bookmarkStart w:id="194" w:name="_Toc15437"/>
      <w:r>
        <w:rPr>
          <w:rFonts w:hint="eastAsia" w:ascii="宋体" w:hAnsi="宋体" w:cs="宋体"/>
          <w:kern w:val="0"/>
        </w:rPr>
        <w:t>4.6.1河床淤积平均厚度大于设计河床标高0.5m的河段应进行疏浚</w:t>
      </w:r>
      <w:bookmarkEnd w:id="193"/>
      <w:bookmarkEnd w:id="194"/>
      <w:r>
        <w:rPr>
          <w:rFonts w:hint="eastAsia" w:ascii="宋体" w:hAnsi="宋体" w:cs="宋体"/>
          <w:kern w:val="0"/>
        </w:rPr>
        <w:t>。</w:t>
      </w:r>
    </w:p>
    <w:p>
      <w:pPr>
        <w:widowControl/>
        <w:numPr>
          <w:ilvl w:val="2"/>
          <w:numId w:val="0"/>
        </w:numPr>
        <w:spacing w:line="360" w:lineRule="auto"/>
        <w:jc w:val="left"/>
        <w:outlineLvl w:val="3"/>
        <w:rPr>
          <w:rFonts w:ascii="宋体" w:hAnsi="宋体" w:cs="宋体"/>
          <w:kern w:val="0"/>
        </w:rPr>
      </w:pPr>
      <w:bookmarkStart w:id="195" w:name="_Toc29074"/>
      <w:bookmarkStart w:id="196" w:name="_Toc21202"/>
      <w:r>
        <w:rPr>
          <w:rFonts w:hint="eastAsia" w:ascii="宋体" w:hAnsi="宋体" w:cs="宋体"/>
          <w:kern w:val="0"/>
        </w:rPr>
        <w:t>4.6.2岸边淤积不得影响排水管口的排水；河道凹岸、束水河段的河床均无冲刷深坑</w:t>
      </w:r>
      <w:bookmarkEnd w:id="195"/>
      <w:bookmarkEnd w:id="196"/>
      <w:r>
        <w:rPr>
          <w:rFonts w:hint="eastAsia" w:ascii="宋体" w:hAnsi="宋体" w:cs="宋体"/>
          <w:kern w:val="0"/>
        </w:rPr>
        <w:t>。</w:t>
      </w:r>
    </w:p>
    <w:p>
      <w:pPr>
        <w:widowControl/>
        <w:numPr>
          <w:ilvl w:val="2"/>
          <w:numId w:val="0"/>
        </w:numPr>
        <w:spacing w:line="360" w:lineRule="auto"/>
        <w:jc w:val="left"/>
        <w:outlineLvl w:val="3"/>
        <w:rPr>
          <w:rFonts w:ascii="宋体" w:hAnsi="宋体" w:cs="宋体"/>
          <w:kern w:val="0"/>
        </w:rPr>
      </w:pPr>
      <w:bookmarkStart w:id="197" w:name="_Toc29380"/>
      <w:bookmarkStart w:id="198" w:name="_Toc1915"/>
      <w:r>
        <w:rPr>
          <w:rFonts w:hint="eastAsia" w:ascii="宋体" w:hAnsi="宋体" w:cs="宋体"/>
          <w:kern w:val="0"/>
        </w:rPr>
        <w:t>4.6.3河床底应无突出的水下障碍物</w:t>
      </w:r>
      <w:bookmarkEnd w:id="197"/>
      <w:bookmarkEnd w:id="198"/>
      <w:r>
        <w:rPr>
          <w:rFonts w:hint="eastAsia" w:ascii="宋体" w:hAnsi="宋体" w:cs="宋体"/>
          <w:kern w:val="0"/>
        </w:rPr>
        <w:t>。</w:t>
      </w:r>
    </w:p>
    <w:p>
      <w:pPr>
        <w:widowControl/>
        <w:numPr>
          <w:ilvl w:val="2"/>
          <w:numId w:val="0"/>
        </w:numPr>
        <w:spacing w:line="360" w:lineRule="auto"/>
        <w:jc w:val="left"/>
        <w:outlineLvl w:val="3"/>
        <w:rPr>
          <w:rFonts w:ascii="宋体" w:hAnsi="宋体" w:cs="宋体"/>
          <w:kern w:val="0"/>
        </w:rPr>
      </w:pPr>
      <w:bookmarkStart w:id="199" w:name="_Toc3203"/>
      <w:bookmarkStart w:id="200" w:name="_Toc23791"/>
      <w:r>
        <w:rPr>
          <w:rFonts w:hint="eastAsia" w:ascii="宋体" w:hAnsi="宋体" w:cs="宋体"/>
          <w:kern w:val="0"/>
        </w:rPr>
        <w:t>4.6.4检查测量应每年进行2次，分为汛前、汛后检查，检查时宜将水位降到最低</w:t>
      </w:r>
      <w:bookmarkEnd w:id="199"/>
      <w:bookmarkEnd w:id="200"/>
      <w:bookmarkStart w:id="201" w:name="_Toc12622"/>
      <w:bookmarkStart w:id="202" w:name="_Toc19223"/>
      <w:r>
        <w:rPr>
          <w:rFonts w:hint="eastAsia" w:ascii="宋体" w:hAnsi="宋体" w:cs="宋体"/>
          <w:kern w:val="0"/>
        </w:rPr>
        <w:t>。</w:t>
      </w:r>
    </w:p>
    <w:p>
      <w:pPr>
        <w:widowControl/>
        <w:numPr>
          <w:ilvl w:val="2"/>
          <w:numId w:val="0"/>
        </w:numPr>
        <w:spacing w:line="360" w:lineRule="auto"/>
        <w:jc w:val="left"/>
        <w:outlineLvl w:val="3"/>
        <w:rPr>
          <w:rFonts w:ascii="宋体" w:hAnsi="宋体" w:cs="宋体"/>
          <w:kern w:val="0"/>
        </w:rPr>
      </w:pPr>
      <w:r>
        <w:rPr>
          <w:rFonts w:hint="eastAsia" w:ascii="宋体" w:hAnsi="宋体" w:cs="宋体"/>
          <w:kern w:val="0"/>
        </w:rPr>
        <w:t>4.6.5在具备一定条件且已整治的河道应推广开展常态化清淤工作。</w:t>
      </w:r>
      <w:bookmarkEnd w:id="201"/>
      <w:bookmarkEnd w:id="202"/>
    </w:p>
    <w:p>
      <w:pPr>
        <w:widowControl/>
        <w:numPr>
          <w:ilvl w:val="1"/>
          <w:numId w:val="0"/>
        </w:numPr>
        <w:spacing w:line="360" w:lineRule="auto"/>
        <w:jc w:val="left"/>
        <w:outlineLvl w:val="2"/>
        <w:rPr>
          <w:rFonts w:ascii="宋体" w:hAnsi="宋体" w:cs="宋体"/>
          <w:kern w:val="0"/>
          <w:szCs w:val="22"/>
        </w:rPr>
      </w:pPr>
      <w:bookmarkStart w:id="203" w:name="_Toc30798"/>
      <w:bookmarkStart w:id="204" w:name="_Toc528769158"/>
      <w:bookmarkStart w:id="205" w:name="_Toc32423"/>
      <w:r>
        <w:rPr>
          <w:rFonts w:hint="eastAsia" w:ascii="宋体" w:hAnsi="宋体" w:cs="宋体"/>
          <w:kern w:val="0"/>
          <w:szCs w:val="22"/>
        </w:rPr>
        <w:t>4.7绿化养护</w:t>
      </w:r>
      <w:bookmarkEnd w:id="203"/>
      <w:bookmarkEnd w:id="204"/>
      <w:bookmarkEnd w:id="205"/>
      <w:r>
        <w:rPr>
          <w:rFonts w:hint="eastAsia" w:ascii="宋体" w:hAnsi="宋体" w:cs="宋体"/>
          <w:kern w:val="0"/>
          <w:szCs w:val="22"/>
        </w:rPr>
        <w:tab/>
      </w:r>
    </w:p>
    <w:p>
      <w:pPr>
        <w:widowControl/>
        <w:numPr>
          <w:ilvl w:val="2"/>
          <w:numId w:val="0"/>
        </w:numPr>
        <w:spacing w:line="360" w:lineRule="auto"/>
        <w:jc w:val="left"/>
        <w:outlineLvl w:val="3"/>
        <w:rPr>
          <w:rFonts w:ascii="宋体" w:hAnsi="宋体" w:cs="宋体"/>
          <w:kern w:val="0"/>
        </w:rPr>
      </w:pPr>
      <w:bookmarkStart w:id="206" w:name="_Toc15960"/>
      <w:bookmarkStart w:id="207" w:name="_Toc7391"/>
      <w:r>
        <w:rPr>
          <w:rFonts w:hint="eastAsia" w:ascii="宋体" w:hAnsi="宋体" w:cs="宋体"/>
          <w:kern w:val="0"/>
        </w:rPr>
        <w:t>4.7.1绿化养护应结合季节特点科学合理进行。养护应重视和体现植物造景，对植物群落进行合理养护。</w:t>
      </w:r>
    </w:p>
    <w:p>
      <w:pPr>
        <w:widowControl/>
        <w:numPr>
          <w:ilvl w:val="2"/>
          <w:numId w:val="0"/>
        </w:numPr>
        <w:spacing w:line="360" w:lineRule="auto"/>
        <w:jc w:val="left"/>
        <w:outlineLvl w:val="3"/>
        <w:rPr>
          <w:rFonts w:ascii="宋体" w:hAnsi="宋体" w:cs="宋体"/>
          <w:kern w:val="0"/>
        </w:rPr>
      </w:pPr>
      <w:r>
        <w:rPr>
          <w:rFonts w:hint="eastAsia" w:ascii="宋体" w:hAnsi="宋体" w:cs="宋体"/>
          <w:kern w:val="0"/>
        </w:rPr>
        <w:t>4.7.2植物应季相分明，层次丰富，生长茂盛，无死树、无缺株、无枯枝、无杂草、无裸露、无病害。</w:t>
      </w:r>
      <w:bookmarkEnd w:id="206"/>
      <w:bookmarkEnd w:id="207"/>
    </w:p>
    <w:p>
      <w:pPr>
        <w:widowControl/>
        <w:numPr>
          <w:ilvl w:val="2"/>
          <w:numId w:val="0"/>
        </w:numPr>
        <w:spacing w:line="360" w:lineRule="auto"/>
        <w:jc w:val="left"/>
        <w:outlineLvl w:val="3"/>
        <w:rPr>
          <w:rFonts w:ascii="宋体" w:hAnsi="宋体" w:cs="宋体"/>
          <w:kern w:val="0"/>
        </w:rPr>
      </w:pPr>
      <w:bookmarkStart w:id="208" w:name="_Toc8761"/>
      <w:bookmarkStart w:id="209" w:name="_Toc15298"/>
      <w:r>
        <w:rPr>
          <w:rFonts w:hint="eastAsia" w:ascii="宋体" w:hAnsi="宋体" w:cs="宋体"/>
          <w:kern w:val="0"/>
        </w:rPr>
        <w:t>4.7.3树木应及时修剪，应无徒长枝、病虫枝、过密枝、枯枝、伤损枝，有防台措施；花灌木修剪后，应有利于促进短枝和花芽形成，有利于枝叶茂盛、分布均匀。修剪应遵循“先上后下，先内后外，去弱留强，去老留新”的原则。树木成活率应不少于98%；树木保存率应不少于100%。</w:t>
      </w:r>
      <w:bookmarkEnd w:id="208"/>
      <w:bookmarkEnd w:id="209"/>
    </w:p>
    <w:p>
      <w:pPr>
        <w:widowControl/>
        <w:numPr>
          <w:ilvl w:val="2"/>
          <w:numId w:val="0"/>
        </w:numPr>
        <w:spacing w:line="360" w:lineRule="auto"/>
        <w:jc w:val="left"/>
        <w:outlineLvl w:val="3"/>
        <w:rPr>
          <w:rFonts w:ascii="宋体" w:hAnsi="宋体" w:cs="宋体"/>
          <w:kern w:val="0"/>
        </w:rPr>
      </w:pPr>
      <w:bookmarkStart w:id="210" w:name="_Toc22983"/>
      <w:bookmarkStart w:id="211" w:name="_Toc27439"/>
      <w:r>
        <w:rPr>
          <w:rFonts w:hint="eastAsia" w:ascii="宋体" w:hAnsi="宋体" w:cs="宋体"/>
          <w:kern w:val="0"/>
        </w:rPr>
        <w:t>4.7.4草坪应生长茂盛，且草根不裸露，无空秃，无明显杂草，无明显枯黄现象；草坪边缘清晰，草高不应超过0.08m，草坪应保持整洁。</w:t>
      </w:r>
      <w:bookmarkEnd w:id="210"/>
      <w:bookmarkEnd w:id="211"/>
    </w:p>
    <w:p>
      <w:pPr>
        <w:widowControl/>
        <w:numPr>
          <w:ilvl w:val="2"/>
          <w:numId w:val="0"/>
        </w:numPr>
        <w:spacing w:line="360" w:lineRule="auto"/>
        <w:jc w:val="left"/>
        <w:outlineLvl w:val="3"/>
        <w:rPr>
          <w:rFonts w:ascii="宋体" w:hAnsi="宋体" w:cs="宋体"/>
          <w:kern w:val="0"/>
        </w:rPr>
      </w:pPr>
      <w:bookmarkStart w:id="212" w:name="_Toc217"/>
      <w:bookmarkStart w:id="213" w:name="_Toc22203"/>
      <w:r>
        <w:rPr>
          <w:rFonts w:hint="eastAsia" w:ascii="宋体" w:hAnsi="宋体" w:cs="宋体"/>
          <w:kern w:val="0"/>
        </w:rPr>
        <w:t>4.7.5应根据植物生长特性及时施肥。花灌木应在花前、花后进行，充分利用有机肥</w:t>
      </w:r>
      <w:bookmarkEnd w:id="212"/>
      <w:bookmarkEnd w:id="213"/>
      <w:r>
        <w:rPr>
          <w:rFonts w:hint="eastAsia" w:ascii="宋体" w:hAnsi="宋体" w:cs="宋体"/>
          <w:kern w:val="0"/>
        </w:rPr>
        <w:t>。</w:t>
      </w:r>
    </w:p>
    <w:p>
      <w:pPr>
        <w:widowControl/>
        <w:numPr>
          <w:ilvl w:val="2"/>
          <w:numId w:val="0"/>
        </w:numPr>
        <w:spacing w:line="360" w:lineRule="auto"/>
        <w:jc w:val="left"/>
        <w:outlineLvl w:val="3"/>
        <w:rPr>
          <w:rFonts w:ascii="宋体" w:hAnsi="宋体" w:cs="宋体"/>
          <w:kern w:val="0"/>
        </w:rPr>
      </w:pPr>
      <w:bookmarkStart w:id="214" w:name="_Toc17205"/>
      <w:bookmarkStart w:id="215" w:name="_Toc17850"/>
      <w:r>
        <w:rPr>
          <w:rFonts w:hint="eastAsia" w:ascii="宋体" w:hAnsi="宋体" w:cs="宋体"/>
          <w:kern w:val="0"/>
        </w:rPr>
        <w:t>4.7.6病虫害防治应以防为主。食叶性害虫危害的叶片，每株不超过5%；刺吸性害虫危害的叶片，每株不超过10%；无蛀干性害虫的活虫、活卵。</w:t>
      </w:r>
      <w:bookmarkEnd w:id="214"/>
      <w:bookmarkEnd w:id="215"/>
    </w:p>
    <w:p>
      <w:pPr>
        <w:widowControl/>
        <w:numPr>
          <w:ilvl w:val="2"/>
          <w:numId w:val="0"/>
        </w:numPr>
        <w:spacing w:line="360" w:lineRule="auto"/>
        <w:jc w:val="left"/>
        <w:outlineLvl w:val="3"/>
        <w:rPr>
          <w:rFonts w:ascii="宋体" w:hAnsi="宋体" w:cs="宋体"/>
          <w:kern w:val="0"/>
        </w:rPr>
      </w:pPr>
      <w:bookmarkStart w:id="216" w:name="_Toc5404"/>
      <w:bookmarkStart w:id="217" w:name="_Toc25732"/>
      <w:r>
        <w:rPr>
          <w:rFonts w:hint="eastAsia" w:ascii="宋体" w:hAnsi="宋体" w:cs="宋体"/>
          <w:kern w:val="0"/>
        </w:rPr>
        <w:t>4.7.7台风季节来临前应合理修剪，加固护树架；台风期间应迅速清理倒树断枝，疏通道路。台风后应及时扶正倒树及倾斜树，补植缺株，清除断枝、落叶和垃圾。</w:t>
      </w:r>
      <w:bookmarkEnd w:id="216"/>
      <w:bookmarkEnd w:id="217"/>
    </w:p>
    <w:p>
      <w:pPr>
        <w:widowControl/>
        <w:numPr>
          <w:ilvl w:val="2"/>
          <w:numId w:val="0"/>
        </w:numPr>
        <w:spacing w:line="360" w:lineRule="auto"/>
        <w:jc w:val="left"/>
        <w:outlineLvl w:val="3"/>
        <w:rPr>
          <w:rFonts w:ascii="宋体" w:hAnsi="宋体" w:cs="宋体"/>
          <w:kern w:val="0"/>
        </w:rPr>
      </w:pPr>
      <w:bookmarkStart w:id="218" w:name="_Toc12321"/>
      <w:bookmarkStart w:id="219" w:name="_Toc10246"/>
      <w:r>
        <w:rPr>
          <w:rFonts w:hint="eastAsia" w:ascii="宋体" w:hAnsi="宋体" w:cs="宋体"/>
          <w:kern w:val="0"/>
        </w:rPr>
        <w:t>4.7.8大雪天气应及时清除枝叶积雪。有倒伏危险的树木应立柱支撑保护，且清除积雪时不应损伤树冠。</w:t>
      </w:r>
      <w:bookmarkEnd w:id="218"/>
      <w:bookmarkEnd w:id="219"/>
    </w:p>
    <w:p>
      <w:pPr>
        <w:widowControl/>
        <w:numPr>
          <w:ilvl w:val="1"/>
          <w:numId w:val="0"/>
        </w:numPr>
        <w:spacing w:line="360" w:lineRule="auto"/>
        <w:jc w:val="left"/>
        <w:outlineLvl w:val="2"/>
        <w:rPr>
          <w:rFonts w:ascii="宋体" w:hAnsi="宋体" w:cs="宋体"/>
          <w:kern w:val="0"/>
          <w:szCs w:val="22"/>
        </w:rPr>
      </w:pPr>
      <w:bookmarkStart w:id="220" w:name="_Toc528769159"/>
      <w:bookmarkStart w:id="221" w:name="_Toc10997"/>
      <w:bookmarkStart w:id="222" w:name="_Toc16193"/>
      <w:r>
        <w:rPr>
          <w:rFonts w:hint="eastAsia" w:ascii="宋体" w:hAnsi="宋体" w:cs="宋体"/>
          <w:kern w:val="0"/>
          <w:szCs w:val="22"/>
        </w:rPr>
        <w:t>4.8慢行系统养护</w:t>
      </w:r>
      <w:bookmarkEnd w:id="220"/>
      <w:bookmarkEnd w:id="221"/>
      <w:bookmarkEnd w:id="222"/>
      <w:r>
        <w:rPr>
          <w:rFonts w:hint="eastAsia" w:ascii="宋体" w:hAnsi="宋体" w:cs="宋体"/>
          <w:kern w:val="0"/>
          <w:szCs w:val="22"/>
        </w:rPr>
        <w:tab/>
      </w:r>
      <w:r>
        <w:rPr>
          <w:rFonts w:hint="eastAsia" w:ascii="宋体" w:hAnsi="宋体" w:cs="宋体"/>
          <w:kern w:val="0"/>
          <w:szCs w:val="22"/>
        </w:rPr>
        <w:t>　</w:t>
      </w:r>
    </w:p>
    <w:p>
      <w:pPr>
        <w:widowControl/>
        <w:numPr>
          <w:ilvl w:val="2"/>
          <w:numId w:val="0"/>
        </w:numPr>
        <w:spacing w:line="360" w:lineRule="auto"/>
        <w:jc w:val="left"/>
        <w:outlineLvl w:val="3"/>
        <w:rPr>
          <w:rFonts w:ascii="宋体" w:hAnsi="宋体" w:cs="宋体"/>
          <w:kern w:val="0"/>
        </w:rPr>
      </w:pPr>
      <w:bookmarkStart w:id="223" w:name="_Toc32246"/>
      <w:bookmarkStart w:id="224" w:name="_Toc20308"/>
      <w:r>
        <w:rPr>
          <w:rFonts w:hint="eastAsia" w:ascii="宋体" w:hAnsi="宋体" w:cs="宋体"/>
          <w:kern w:val="0"/>
          <w:szCs w:val="22"/>
        </w:rPr>
        <w:t>4.8.1</w:t>
      </w:r>
      <w:r>
        <w:rPr>
          <w:rFonts w:hint="eastAsia" w:ascii="宋体" w:hAnsi="宋体" w:cs="宋体"/>
          <w:kern w:val="0"/>
        </w:rPr>
        <w:t>慢行系统应平整、完好，无积水现象。</w:t>
      </w:r>
      <w:bookmarkEnd w:id="223"/>
      <w:bookmarkEnd w:id="224"/>
    </w:p>
    <w:p>
      <w:pPr>
        <w:widowControl/>
        <w:numPr>
          <w:ilvl w:val="2"/>
          <w:numId w:val="0"/>
        </w:numPr>
        <w:spacing w:line="360" w:lineRule="auto"/>
        <w:jc w:val="left"/>
        <w:outlineLvl w:val="3"/>
        <w:rPr>
          <w:rFonts w:ascii="宋体" w:hAnsi="宋体" w:cs="宋体"/>
          <w:kern w:val="0"/>
        </w:rPr>
      </w:pPr>
      <w:bookmarkStart w:id="225" w:name="_Toc3096"/>
      <w:bookmarkStart w:id="226" w:name="_Toc7867"/>
      <w:r>
        <w:rPr>
          <w:rFonts w:hint="eastAsia" w:ascii="宋体" w:hAnsi="宋体" w:cs="宋体"/>
          <w:kern w:val="0"/>
          <w:szCs w:val="22"/>
        </w:rPr>
        <w:t>4.8.2</w:t>
      </w:r>
      <w:r>
        <w:rPr>
          <w:rFonts w:hint="eastAsia" w:ascii="宋体" w:hAnsi="宋体" w:cs="宋体"/>
          <w:kern w:val="0"/>
        </w:rPr>
        <w:t>慢行系统应定期维修保养，防止路面裂缝、松散、碎裂等病害发生和发展，保持路面的完整性、平整度和抗滑能力；养护时应保持原有结构，不得降低原结构强度。</w:t>
      </w:r>
      <w:bookmarkEnd w:id="225"/>
      <w:bookmarkEnd w:id="226"/>
    </w:p>
    <w:p>
      <w:pPr>
        <w:widowControl/>
        <w:numPr>
          <w:ilvl w:val="2"/>
          <w:numId w:val="0"/>
        </w:numPr>
        <w:spacing w:line="360" w:lineRule="auto"/>
        <w:jc w:val="left"/>
        <w:outlineLvl w:val="3"/>
        <w:rPr>
          <w:rFonts w:ascii="宋体" w:hAnsi="宋体" w:cs="宋体"/>
          <w:kern w:val="0"/>
        </w:rPr>
      </w:pPr>
      <w:bookmarkStart w:id="227" w:name="_Toc24274"/>
      <w:bookmarkStart w:id="228" w:name="_Toc10094"/>
      <w:r>
        <w:rPr>
          <w:rFonts w:hint="eastAsia" w:ascii="宋体" w:hAnsi="宋体" w:cs="宋体"/>
          <w:kern w:val="0"/>
          <w:szCs w:val="22"/>
        </w:rPr>
        <w:t>4.8.3</w:t>
      </w:r>
      <w:r>
        <w:rPr>
          <w:rFonts w:hint="eastAsia" w:ascii="宋体" w:hAnsi="宋体" w:cs="宋体"/>
          <w:kern w:val="0"/>
        </w:rPr>
        <w:t>侧石应整齐稳固，灌浆饱满，勾缝光洁结实。侧石损坏应及时调换。</w:t>
      </w:r>
      <w:bookmarkEnd w:id="227"/>
      <w:bookmarkEnd w:id="228"/>
    </w:p>
    <w:p>
      <w:pPr>
        <w:widowControl/>
        <w:numPr>
          <w:ilvl w:val="1"/>
          <w:numId w:val="0"/>
        </w:numPr>
        <w:spacing w:line="360" w:lineRule="auto"/>
        <w:jc w:val="left"/>
        <w:outlineLvl w:val="2"/>
        <w:rPr>
          <w:rFonts w:ascii="宋体" w:hAnsi="宋体" w:cs="宋体"/>
          <w:kern w:val="0"/>
          <w:szCs w:val="22"/>
        </w:rPr>
      </w:pPr>
      <w:bookmarkStart w:id="229" w:name="_Toc14399"/>
      <w:bookmarkStart w:id="230" w:name="_Toc528769160"/>
      <w:bookmarkStart w:id="231" w:name="_Toc4530"/>
      <w:r>
        <w:rPr>
          <w:rFonts w:hint="eastAsia" w:ascii="宋体" w:hAnsi="宋体" w:cs="宋体"/>
          <w:kern w:val="0"/>
          <w:szCs w:val="22"/>
        </w:rPr>
        <w:t>4.9生态设施养护</w:t>
      </w:r>
      <w:bookmarkEnd w:id="229"/>
      <w:bookmarkEnd w:id="230"/>
      <w:bookmarkEnd w:id="231"/>
      <w:r>
        <w:rPr>
          <w:rFonts w:hint="eastAsia" w:ascii="宋体" w:hAnsi="宋体" w:cs="宋体"/>
          <w:kern w:val="0"/>
          <w:szCs w:val="22"/>
        </w:rPr>
        <w:tab/>
      </w:r>
    </w:p>
    <w:p>
      <w:pPr>
        <w:spacing w:line="360" w:lineRule="auto"/>
        <w:rPr>
          <w:rFonts w:ascii="宋体" w:hAnsi="宋体" w:cs="宋体"/>
          <w:kern w:val="0"/>
          <w:szCs w:val="22"/>
        </w:rPr>
      </w:pPr>
      <w:bookmarkStart w:id="232" w:name="_Toc23862"/>
      <w:bookmarkStart w:id="233" w:name="_Toc3812"/>
      <w:r>
        <w:rPr>
          <w:rFonts w:hint="eastAsia" w:ascii="宋体" w:hAnsi="宋体" w:cs="宋体"/>
          <w:kern w:val="0"/>
          <w:szCs w:val="22"/>
        </w:rPr>
        <w:t>4.9.1　</w:t>
      </w:r>
      <w:bookmarkEnd w:id="232"/>
      <w:bookmarkEnd w:id="233"/>
      <w:r>
        <w:rPr>
          <w:rFonts w:hint="eastAsia" w:ascii="宋体" w:hAnsi="宋体" w:cs="宋体"/>
          <w:kern w:val="0"/>
          <w:szCs w:val="22"/>
        </w:rPr>
        <w:t>曝气增氧机养护应符合下列规定：</w:t>
      </w:r>
    </w:p>
    <w:p>
      <w:pPr>
        <w:widowControl/>
        <w:numPr>
          <w:ilvl w:val="0"/>
          <w:numId w:val="12"/>
        </w:numPr>
        <w:spacing w:line="360" w:lineRule="auto"/>
        <w:rPr>
          <w:rFonts w:ascii="宋体" w:hAnsi="宋体" w:cs="宋体"/>
          <w:kern w:val="0"/>
          <w:szCs w:val="20"/>
        </w:rPr>
      </w:pPr>
      <w:r>
        <w:rPr>
          <w:rFonts w:hint="eastAsia" w:ascii="宋体" w:hAnsi="宋体" w:cs="宋体"/>
          <w:kern w:val="0"/>
          <w:szCs w:val="20"/>
        </w:rPr>
        <w:t>每周两次定期巡检曝气机及供电线路，检察设备运转是否正常，电器电缆有无破损或异常，设备的固定有无松动情况。发生破损或其他异常情况应及时处理。应及时清理曝气机周围漂浮物和垃圾；</w:t>
      </w:r>
    </w:p>
    <w:p>
      <w:pPr>
        <w:widowControl/>
        <w:numPr>
          <w:ilvl w:val="0"/>
          <w:numId w:val="12"/>
        </w:numPr>
        <w:spacing w:line="360" w:lineRule="auto"/>
        <w:rPr>
          <w:rFonts w:ascii="宋体" w:hAnsi="宋体" w:cs="宋体"/>
          <w:kern w:val="0"/>
          <w:szCs w:val="20"/>
        </w:rPr>
      </w:pPr>
      <w:r>
        <w:rPr>
          <w:rFonts w:hint="eastAsia" w:ascii="宋体" w:hAnsi="宋体" w:cs="宋体"/>
          <w:kern w:val="0"/>
          <w:szCs w:val="20"/>
        </w:rPr>
        <w:t>每两月一次检查并校准控制箱内的时间继电器，及时更换电池。电器部分出现故障需立刻停机检修，涉水的维护管理作业应立即停止，以防漏电等问题出现安全事故；</w:t>
      </w:r>
    </w:p>
    <w:p>
      <w:pPr>
        <w:widowControl/>
        <w:numPr>
          <w:ilvl w:val="0"/>
          <w:numId w:val="12"/>
        </w:numPr>
        <w:spacing w:line="360" w:lineRule="auto"/>
        <w:rPr>
          <w:rFonts w:ascii="宋体" w:hAnsi="宋体" w:cs="宋体"/>
          <w:kern w:val="0"/>
          <w:szCs w:val="20"/>
        </w:rPr>
      </w:pPr>
      <w:r>
        <w:rPr>
          <w:rFonts w:hint="eastAsia" w:ascii="宋体" w:hAnsi="宋体" w:cs="宋体"/>
          <w:kern w:val="0"/>
          <w:szCs w:val="20"/>
        </w:rPr>
        <w:t>增氧机每年或累计运行2500h应维护保养1次。</w:t>
      </w:r>
    </w:p>
    <w:p>
      <w:pPr>
        <w:spacing w:line="360" w:lineRule="auto"/>
        <w:rPr>
          <w:rFonts w:ascii="宋体" w:hAnsi="宋体" w:cs="宋体"/>
          <w:kern w:val="0"/>
          <w:szCs w:val="22"/>
        </w:rPr>
      </w:pPr>
      <w:r>
        <w:rPr>
          <w:rFonts w:hint="eastAsia" w:ascii="宋体" w:hAnsi="宋体" w:cs="宋体"/>
          <w:kern w:val="0"/>
          <w:szCs w:val="22"/>
        </w:rPr>
        <w:t>4.9.2　生态浮岛养护应符合下列规定：</w:t>
      </w:r>
    </w:p>
    <w:p>
      <w:pPr>
        <w:widowControl/>
        <w:numPr>
          <w:ilvl w:val="0"/>
          <w:numId w:val="13"/>
        </w:numPr>
        <w:spacing w:line="360" w:lineRule="auto"/>
        <w:rPr>
          <w:rFonts w:ascii="宋体" w:hAnsi="宋体" w:cs="宋体"/>
          <w:kern w:val="0"/>
          <w:szCs w:val="20"/>
        </w:rPr>
      </w:pPr>
      <w:r>
        <w:rPr>
          <w:rFonts w:hint="eastAsia" w:ascii="宋体" w:hAnsi="宋体" w:cs="宋体"/>
          <w:kern w:val="0"/>
          <w:szCs w:val="20"/>
        </w:rPr>
        <w:t>每周巡检两次，检查浮岛有无破损、松散及链接扣有否掉落，及时清理附着在浮岛周围的杂物或垃圾；</w:t>
      </w:r>
    </w:p>
    <w:p>
      <w:pPr>
        <w:widowControl/>
        <w:numPr>
          <w:ilvl w:val="0"/>
          <w:numId w:val="13"/>
        </w:numPr>
        <w:spacing w:line="360" w:lineRule="auto"/>
        <w:rPr>
          <w:rFonts w:ascii="宋体" w:hAnsi="宋体" w:cs="宋体"/>
          <w:kern w:val="0"/>
          <w:szCs w:val="20"/>
        </w:rPr>
      </w:pPr>
      <w:r>
        <w:rPr>
          <w:rFonts w:hint="eastAsia" w:ascii="宋体" w:hAnsi="宋体" w:cs="宋体"/>
          <w:kern w:val="0"/>
          <w:szCs w:val="20"/>
        </w:rPr>
        <w:t>生态浮岛单体受到损坏时，依损坏程度进行修补或更换浮岛单体，同时补种植物。因水位涨落或其它原因而导致浮岛搁浅时，应及时将其推入水中复位；</w:t>
      </w:r>
    </w:p>
    <w:p>
      <w:pPr>
        <w:widowControl/>
        <w:numPr>
          <w:ilvl w:val="0"/>
          <w:numId w:val="13"/>
        </w:numPr>
        <w:spacing w:line="360" w:lineRule="auto"/>
        <w:rPr>
          <w:rFonts w:ascii="宋体" w:hAnsi="宋体" w:cs="宋体"/>
          <w:kern w:val="0"/>
          <w:szCs w:val="20"/>
        </w:rPr>
      </w:pPr>
      <w:r>
        <w:rPr>
          <w:rFonts w:hint="eastAsia" w:ascii="宋体" w:hAnsi="宋体" w:cs="宋体"/>
          <w:kern w:val="0"/>
          <w:szCs w:val="20"/>
        </w:rPr>
        <w:t>台风、大风大雨天气及强泄洪前后2～3天，应检查生态浮岛的固定情况，如有脱落及时固定。</w:t>
      </w:r>
    </w:p>
    <w:p>
      <w:pPr>
        <w:spacing w:line="360" w:lineRule="auto"/>
        <w:rPr>
          <w:rFonts w:ascii="宋体" w:hAnsi="宋体" w:cs="宋体"/>
          <w:kern w:val="0"/>
          <w:szCs w:val="22"/>
        </w:rPr>
      </w:pPr>
      <w:r>
        <w:rPr>
          <w:rFonts w:hint="eastAsia" w:ascii="宋体" w:hAnsi="宋体" w:cs="宋体"/>
          <w:kern w:val="0"/>
          <w:szCs w:val="22"/>
        </w:rPr>
        <w:t>4.9.3　人工水草养护应符合下列规定：</w:t>
      </w:r>
    </w:p>
    <w:p>
      <w:pPr>
        <w:widowControl/>
        <w:numPr>
          <w:ilvl w:val="0"/>
          <w:numId w:val="14"/>
        </w:numPr>
        <w:spacing w:line="360" w:lineRule="auto"/>
        <w:rPr>
          <w:rFonts w:ascii="宋体" w:hAnsi="宋体" w:cs="宋体"/>
          <w:kern w:val="0"/>
          <w:szCs w:val="20"/>
        </w:rPr>
      </w:pPr>
      <w:r>
        <w:rPr>
          <w:rFonts w:hint="eastAsia" w:ascii="宋体" w:hAnsi="宋体" w:cs="宋体"/>
          <w:kern w:val="0"/>
          <w:szCs w:val="20"/>
        </w:rPr>
        <w:t>直接安装在河道中的人工水草，每6个月人工刮除其上负载的生物膜。污染较为严重的河道，生物膜刮除周期为3个月一次。有移位、上浮、下沉等松动现象时，应及时维护加固。河水水质达到预定标准时，应打捞上岸。</w:t>
      </w:r>
    </w:p>
    <w:p>
      <w:pPr>
        <w:widowControl/>
        <w:numPr>
          <w:ilvl w:val="0"/>
          <w:numId w:val="14"/>
        </w:numPr>
        <w:spacing w:line="360" w:lineRule="auto"/>
        <w:rPr>
          <w:rFonts w:ascii="宋体" w:hAnsi="宋体" w:cs="宋体"/>
          <w:kern w:val="0"/>
          <w:szCs w:val="20"/>
        </w:rPr>
      </w:pPr>
      <w:r>
        <w:rPr>
          <w:rFonts w:hint="eastAsia" w:ascii="宋体" w:hAnsi="宋体" w:cs="宋体"/>
          <w:kern w:val="0"/>
          <w:szCs w:val="20"/>
        </w:rPr>
        <w:t>安装在排污口附近水域的以弹性填料或组合填料为主的封闭式生物处理装置，每6个月采用污泥泵抽取沉积在生物处理装置底部的底泥。直接放置在排污口附近水域的以弹性填料或组合填料为主的封闭式生物处理装置，应每月巡检1次，若有脱除及时检修或重新固定。</w:t>
      </w:r>
    </w:p>
    <w:p>
      <w:pPr>
        <w:spacing w:line="360" w:lineRule="auto"/>
        <w:rPr>
          <w:rFonts w:ascii="宋体" w:hAnsi="宋体" w:cs="宋体"/>
          <w:kern w:val="0"/>
          <w:szCs w:val="22"/>
        </w:rPr>
      </w:pPr>
      <w:r>
        <w:rPr>
          <w:rFonts w:hint="eastAsia" w:ascii="宋体" w:hAnsi="宋体" w:cs="宋体"/>
          <w:kern w:val="0"/>
          <w:szCs w:val="22"/>
        </w:rPr>
        <w:t>4.9.4　水生植物养护应符合下列规定：</w:t>
      </w:r>
    </w:p>
    <w:p>
      <w:pPr>
        <w:widowControl/>
        <w:numPr>
          <w:ilvl w:val="0"/>
          <w:numId w:val="15"/>
        </w:numPr>
        <w:spacing w:line="360" w:lineRule="auto"/>
        <w:rPr>
          <w:rFonts w:ascii="宋体" w:hAnsi="宋体" w:cs="宋体"/>
          <w:kern w:val="0"/>
          <w:szCs w:val="20"/>
        </w:rPr>
      </w:pPr>
      <w:r>
        <w:rPr>
          <w:rFonts w:hint="eastAsia" w:ascii="宋体" w:hAnsi="宋体" w:cs="宋体"/>
          <w:kern w:val="0"/>
          <w:szCs w:val="20"/>
        </w:rPr>
        <w:t>每周巡查2次，及时修剪枯黄、枯死和倒伏植株，及时清理植物周围的杂草、杂物或垃圾。冬至后至立春萌动前应对枯萎枝叶进行删剪。</w:t>
      </w:r>
    </w:p>
    <w:p>
      <w:pPr>
        <w:widowControl/>
        <w:numPr>
          <w:ilvl w:val="0"/>
          <w:numId w:val="15"/>
        </w:numPr>
        <w:spacing w:line="360" w:lineRule="auto"/>
        <w:rPr>
          <w:rFonts w:ascii="宋体" w:hAnsi="宋体" w:cs="宋体"/>
          <w:kern w:val="0"/>
          <w:szCs w:val="20"/>
        </w:rPr>
      </w:pPr>
      <w:r>
        <w:rPr>
          <w:rFonts w:hint="eastAsia" w:ascii="宋体" w:hAnsi="宋体" w:cs="宋体"/>
          <w:kern w:val="0"/>
          <w:szCs w:val="20"/>
        </w:rPr>
        <w:t>生态浮岛上种植的挺水植物宜于每年11月进行更换；</w:t>
      </w:r>
    </w:p>
    <w:p>
      <w:pPr>
        <w:widowControl/>
        <w:numPr>
          <w:ilvl w:val="0"/>
          <w:numId w:val="15"/>
        </w:numPr>
        <w:spacing w:line="360" w:lineRule="auto"/>
        <w:rPr>
          <w:rFonts w:ascii="宋体" w:hAnsi="宋体" w:cs="宋体"/>
          <w:kern w:val="0"/>
          <w:szCs w:val="20"/>
        </w:rPr>
      </w:pPr>
      <w:r>
        <w:rPr>
          <w:rFonts w:hint="eastAsia" w:ascii="宋体" w:hAnsi="宋体" w:cs="宋体"/>
          <w:kern w:val="0"/>
          <w:szCs w:val="20"/>
        </w:rPr>
        <w:t>生长扩张出种植网框外的浮水植物，视超出网框外围情况，每月修剪1次。每月定时打捞1次种植网框内的浮水植物，打捞面积为网框面积的1/5，修剪、打捞出的植物残体及时运走。台风、大风大雨天气及强泄洪前后2～3天检查浮水植物种植框的固定情况，固定绳应留有足够的伸缩长度。恶劣天气过后应及时检查、补种；</w:t>
      </w:r>
    </w:p>
    <w:p>
      <w:pPr>
        <w:widowControl/>
        <w:numPr>
          <w:ilvl w:val="0"/>
          <w:numId w:val="15"/>
        </w:numPr>
        <w:spacing w:line="360" w:lineRule="auto"/>
        <w:rPr>
          <w:rFonts w:ascii="宋体" w:hAnsi="宋体" w:cs="宋体"/>
          <w:kern w:val="0"/>
          <w:szCs w:val="20"/>
        </w:rPr>
      </w:pPr>
      <w:r>
        <w:rPr>
          <w:rFonts w:hint="eastAsia" w:ascii="宋体" w:hAnsi="宋体" w:cs="宋体"/>
          <w:kern w:val="0"/>
          <w:szCs w:val="20"/>
        </w:rPr>
        <w:t>沉水植物长出水面影响景观时，应进行人工打捞或机割。沉水植物每年至少收割1次，收割时间为枯萎1周内开始收割。</w:t>
      </w:r>
    </w:p>
    <w:p>
      <w:pPr>
        <w:spacing w:line="360" w:lineRule="auto"/>
        <w:rPr>
          <w:rFonts w:ascii="宋体" w:hAnsi="宋体" w:cs="宋体"/>
          <w:kern w:val="0"/>
          <w:szCs w:val="22"/>
        </w:rPr>
      </w:pPr>
      <w:r>
        <w:rPr>
          <w:rFonts w:hint="eastAsia" w:ascii="宋体" w:hAnsi="宋体" w:cs="宋体"/>
          <w:kern w:val="0"/>
          <w:szCs w:val="22"/>
        </w:rPr>
        <w:t>4.9.5　水生动物养护应符合下列规定：</w:t>
      </w:r>
    </w:p>
    <w:p>
      <w:pPr>
        <w:widowControl/>
        <w:numPr>
          <w:ilvl w:val="0"/>
          <w:numId w:val="16"/>
        </w:numPr>
        <w:spacing w:line="360" w:lineRule="auto"/>
        <w:rPr>
          <w:rFonts w:ascii="宋体" w:hAnsi="宋体" w:cs="宋体"/>
          <w:kern w:val="0"/>
          <w:szCs w:val="20"/>
        </w:rPr>
      </w:pPr>
      <w:r>
        <w:rPr>
          <w:rFonts w:hint="eastAsia" w:ascii="宋体" w:hAnsi="宋体" w:cs="宋体"/>
          <w:kern w:val="0"/>
          <w:szCs w:val="20"/>
        </w:rPr>
        <w:t>应根据河道水质观感及检测数据，投放或者补充数量合适、物种配比合理的水生动物。鱼类投放宜在温度5℃～20℃时进行，不应投放破坏生态的物种或入侵物种；</w:t>
      </w:r>
    </w:p>
    <w:p>
      <w:pPr>
        <w:widowControl/>
        <w:numPr>
          <w:ilvl w:val="0"/>
          <w:numId w:val="16"/>
        </w:numPr>
        <w:spacing w:line="360" w:lineRule="auto"/>
        <w:rPr>
          <w:rFonts w:ascii="宋体" w:hAnsi="宋体" w:cs="宋体"/>
          <w:kern w:val="0"/>
          <w:szCs w:val="20"/>
        </w:rPr>
      </w:pPr>
      <w:r>
        <w:rPr>
          <w:rFonts w:hint="eastAsia" w:ascii="宋体" w:hAnsi="宋体" w:cs="宋体"/>
          <w:kern w:val="0"/>
          <w:szCs w:val="20"/>
        </w:rPr>
        <w:t>各类水生动物严禁非法捕捞。按相关规定进行捕捞时，应在捕捞后及时回收捕捞器具；</w:t>
      </w:r>
    </w:p>
    <w:p>
      <w:pPr>
        <w:widowControl/>
        <w:numPr>
          <w:ilvl w:val="0"/>
          <w:numId w:val="16"/>
        </w:numPr>
        <w:spacing w:line="360" w:lineRule="auto"/>
        <w:rPr>
          <w:rFonts w:ascii="宋体" w:hAnsi="宋体" w:cs="宋体"/>
          <w:kern w:val="0"/>
          <w:szCs w:val="20"/>
        </w:rPr>
      </w:pPr>
      <w:r>
        <w:rPr>
          <w:rFonts w:hint="eastAsia" w:ascii="宋体" w:hAnsi="宋体" w:cs="宋体"/>
          <w:kern w:val="0"/>
          <w:szCs w:val="20"/>
        </w:rPr>
        <w:t>日常应对福寿螺及时进行清理，且每年5～8月福寿螺繁殖盛期应集中进行清理。</w:t>
      </w:r>
    </w:p>
    <w:p>
      <w:pPr>
        <w:widowControl/>
        <w:numPr>
          <w:ilvl w:val="1"/>
          <w:numId w:val="0"/>
        </w:numPr>
        <w:spacing w:line="360" w:lineRule="auto"/>
        <w:jc w:val="left"/>
        <w:outlineLvl w:val="2"/>
        <w:rPr>
          <w:rFonts w:ascii="宋体" w:hAnsi="宋体" w:cs="宋体"/>
          <w:kern w:val="0"/>
        </w:rPr>
      </w:pPr>
      <w:bookmarkStart w:id="234" w:name="_Toc528769161"/>
      <w:bookmarkStart w:id="235" w:name="_Toc32656"/>
      <w:bookmarkStart w:id="236" w:name="_Toc29718"/>
      <w:r>
        <w:rPr>
          <w:rFonts w:hint="eastAsia" w:ascii="宋体" w:hAnsi="宋体" w:cs="宋体"/>
          <w:kern w:val="0"/>
        </w:rPr>
        <w:t>4.10河埠头、亲水平台及游船停靠点养护</w:t>
      </w:r>
      <w:bookmarkEnd w:id="234"/>
      <w:bookmarkEnd w:id="235"/>
      <w:bookmarkEnd w:id="236"/>
    </w:p>
    <w:p>
      <w:pPr>
        <w:widowControl/>
        <w:numPr>
          <w:ilvl w:val="2"/>
          <w:numId w:val="0"/>
        </w:numPr>
        <w:spacing w:line="360" w:lineRule="auto"/>
        <w:jc w:val="left"/>
        <w:outlineLvl w:val="3"/>
        <w:rPr>
          <w:rFonts w:ascii="宋体" w:hAnsi="宋体" w:cs="宋体"/>
          <w:kern w:val="0"/>
        </w:rPr>
      </w:pPr>
      <w:bookmarkStart w:id="237" w:name="_Toc7983"/>
      <w:bookmarkStart w:id="238" w:name="_Toc14306"/>
      <w:r>
        <w:rPr>
          <w:rFonts w:hint="eastAsia" w:ascii="宋体" w:hAnsi="宋体" w:cs="宋体"/>
          <w:kern w:val="0"/>
        </w:rPr>
        <w:t>4.10.1河埠头、亲水平台及游船停靠点应保持基础稳固，无破损、松动、裂缝，且表面具备抗滑能力。</w:t>
      </w:r>
      <w:bookmarkEnd w:id="237"/>
      <w:bookmarkEnd w:id="238"/>
      <w:r>
        <w:rPr>
          <w:rFonts w:hint="eastAsia" w:ascii="宋体" w:hAnsi="宋体" w:cs="宋体"/>
          <w:kern w:val="0"/>
        </w:rPr>
        <w:t>　</w:t>
      </w:r>
    </w:p>
    <w:p>
      <w:pPr>
        <w:widowControl/>
        <w:numPr>
          <w:ilvl w:val="2"/>
          <w:numId w:val="0"/>
        </w:numPr>
        <w:spacing w:line="360" w:lineRule="auto"/>
        <w:jc w:val="left"/>
        <w:outlineLvl w:val="3"/>
        <w:rPr>
          <w:rFonts w:ascii="宋体" w:hAnsi="宋体" w:cs="宋体"/>
          <w:kern w:val="0"/>
        </w:rPr>
      </w:pPr>
      <w:bookmarkStart w:id="239" w:name="_Toc29642"/>
      <w:bookmarkStart w:id="240" w:name="_Toc25670"/>
      <w:r>
        <w:rPr>
          <w:rFonts w:hint="eastAsia" w:ascii="宋体" w:hAnsi="宋体" w:cs="宋体"/>
          <w:kern w:val="0"/>
        </w:rPr>
        <w:t>4.10.2每年汛前应进行一次全面检查，检查时需最大限度地降低水位。</w:t>
      </w:r>
      <w:bookmarkEnd w:id="239"/>
      <w:bookmarkEnd w:id="240"/>
    </w:p>
    <w:p>
      <w:pPr>
        <w:widowControl/>
        <w:numPr>
          <w:ilvl w:val="1"/>
          <w:numId w:val="0"/>
        </w:numPr>
        <w:spacing w:line="360" w:lineRule="auto"/>
        <w:jc w:val="left"/>
        <w:outlineLvl w:val="2"/>
        <w:rPr>
          <w:rFonts w:ascii="宋体" w:hAnsi="宋体" w:cs="宋体"/>
          <w:kern w:val="0"/>
          <w:szCs w:val="22"/>
        </w:rPr>
      </w:pPr>
      <w:bookmarkStart w:id="241" w:name="_Toc23328"/>
      <w:bookmarkStart w:id="242" w:name="_Toc24725"/>
      <w:bookmarkStart w:id="243" w:name="_Toc528769162"/>
      <w:r>
        <w:rPr>
          <w:rFonts w:hint="eastAsia" w:ascii="宋体" w:hAnsi="宋体" w:cs="宋体"/>
          <w:kern w:val="0"/>
          <w:szCs w:val="22"/>
        </w:rPr>
        <w:t>4.11沿河廊亭栈道及景观桥养护</w:t>
      </w:r>
      <w:bookmarkEnd w:id="241"/>
      <w:bookmarkEnd w:id="242"/>
      <w:bookmarkEnd w:id="243"/>
      <w:r>
        <w:rPr>
          <w:rFonts w:hint="eastAsia" w:ascii="宋体" w:hAnsi="宋体" w:cs="宋体"/>
          <w:kern w:val="0"/>
          <w:szCs w:val="22"/>
        </w:rPr>
        <w:tab/>
      </w:r>
    </w:p>
    <w:p>
      <w:pPr>
        <w:widowControl/>
        <w:tabs>
          <w:tab w:val="center" w:pos="4201"/>
          <w:tab w:val="right" w:leader="dot" w:pos="9298"/>
        </w:tabs>
        <w:autoSpaceDE w:val="0"/>
        <w:autoSpaceDN w:val="0"/>
        <w:spacing w:line="360" w:lineRule="auto"/>
        <w:rPr>
          <w:rFonts w:ascii="宋体" w:hAnsi="宋体" w:cs="宋体"/>
          <w:kern w:val="0"/>
          <w:szCs w:val="22"/>
        </w:rPr>
      </w:pPr>
      <w:r>
        <w:rPr>
          <w:rFonts w:hint="eastAsia" w:ascii="宋体" w:hAnsi="宋体" w:cs="宋体"/>
          <w:kern w:val="0"/>
          <w:szCs w:val="22"/>
        </w:rPr>
        <w:t>4.11.1　廊亭栈道养护应符合下列规定：</w:t>
      </w:r>
    </w:p>
    <w:p>
      <w:pPr>
        <w:widowControl/>
        <w:numPr>
          <w:ilvl w:val="0"/>
          <w:numId w:val="17"/>
        </w:numPr>
        <w:spacing w:line="360" w:lineRule="auto"/>
        <w:rPr>
          <w:rFonts w:ascii="宋体" w:hAnsi="宋体" w:cs="宋体"/>
          <w:kern w:val="0"/>
          <w:szCs w:val="20"/>
        </w:rPr>
      </w:pPr>
      <w:r>
        <w:rPr>
          <w:rFonts w:hint="eastAsia" w:ascii="宋体" w:hAnsi="宋体" w:cs="宋体"/>
          <w:kern w:val="0"/>
          <w:szCs w:val="20"/>
        </w:rPr>
        <w:t>每月对廊亭栈道进行1次外观检查；</w:t>
      </w:r>
    </w:p>
    <w:p>
      <w:pPr>
        <w:widowControl/>
        <w:numPr>
          <w:ilvl w:val="0"/>
          <w:numId w:val="17"/>
        </w:numPr>
        <w:spacing w:line="360" w:lineRule="auto"/>
        <w:rPr>
          <w:rFonts w:ascii="宋体" w:hAnsi="宋体" w:cs="宋体"/>
          <w:kern w:val="0"/>
          <w:szCs w:val="20"/>
        </w:rPr>
      </w:pPr>
      <w:r>
        <w:rPr>
          <w:rFonts w:hint="eastAsia" w:ascii="宋体" w:hAnsi="宋体" w:cs="宋体"/>
          <w:kern w:val="0"/>
          <w:szCs w:val="20"/>
        </w:rPr>
        <w:t>每年对廊亭栈道进行1次刷漆。</w:t>
      </w:r>
    </w:p>
    <w:p>
      <w:pPr>
        <w:widowControl/>
        <w:tabs>
          <w:tab w:val="center" w:pos="4201"/>
          <w:tab w:val="right" w:leader="dot" w:pos="9298"/>
        </w:tabs>
        <w:autoSpaceDE w:val="0"/>
        <w:autoSpaceDN w:val="0"/>
        <w:spacing w:line="360" w:lineRule="auto"/>
        <w:rPr>
          <w:rFonts w:ascii="宋体" w:hAnsi="宋体" w:cs="宋体"/>
          <w:kern w:val="0"/>
          <w:szCs w:val="20"/>
        </w:rPr>
      </w:pPr>
      <w:r>
        <w:rPr>
          <w:rFonts w:hint="eastAsia" w:ascii="宋体" w:hAnsi="宋体" w:cs="宋体"/>
          <w:kern w:val="0"/>
          <w:szCs w:val="22"/>
        </w:rPr>
        <w:t>4.11.2　</w:t>
      </w:r>
      <w:r>
        <w:rPr>
          <w:rFonts w:hint="eastAsia" w:ascii="宋体" w:hAnsi="宋体" w:cs="宋体"/>
          <w:kern w:val="0"/>
          <w:szCs w:val="20"/>
        </w:rPr>
        <w:t>景观桥养护应符合下列规定：</w:t>
      </w:r>
    </w:p>
    <w:p>
      <w:pPr>
        <w:widowControl/>
        <w:numPr>
          <w:ilvl w:val="0"/>
          <w:numId w:val="18"/>
        </w:numPr>
        <w:spacing w:line="360" w:lineRule="auto"/>
        <w:rPr>
          <w:rFonts w:ascii="宋体" w:hAnsi="宋体" w:cs="宋体"/>
          <w:kern w:val="0"/>
          <w:szCs w:val="20"/>
        </w:rPr>
      </w:pPr>
      <w:r>
        <w:rPr>
          <w:rFonts w:hint="eastAsia" w:ascii="宋体" w:hAnsi="宋体" w:cs="宋体"/>
          <w:kern w:val="0"/>
          <w:szCs w:val="20"/>
        </w:rPr>
        <w:t>每月对景观桥进行1次外观检查；</w:t>
      </w:r>
    </w:p>
    <w:p>
      <w:pPr>
        <w:widowControl/>
        <w:numPr>
          <w:ilvl w:val="0"/>
          <w:numId w:val="18"/>
        </w:numPr>
        <w:spacing w:line="360" w:lineRule="auto"/>
        <w:rPr>
          <w:rFonts w:ascii="宋体" w:hAnsi="宋体" w:cs="宋体"/>
          <w:kern w:val="0"/>
          <w:szCs w:val="20"/>
        </w:rPr>
      </w:pPr>
      <w:r>
        <w:rPr>
          <w:rFonts w:hint="eastAsia" w:ascii="宋体" w:hAnsi="宋体" w:cs="宋体"/>
          <w:kern w:val="0"/>
          <w:szCs w:val="20"/>
        </w:rPr>
        <w:t>景观桥整洁、完好，具体养护要求按照CJJ　99养护规定执行。</w:t>
      </w:r>
    </w:p>
    <w:p>
      <w:pPr>
        <w:widowControl/>
        <w:numPr>
          <w:ilvl w:val="1"/>
          <w:numId w:val="0"/>
        </w:numPr>
        <w:spacing w:line="360" w:lineRule="auto"/>
        <w:jc w:val="left"/>
        <w:outlineLvl w:val="2"/>
        <w:rPr>
          <w:rFonts w:ascii="宋体" w:hAnsi="宋体" w:cs="宋体"/>
          <w:kern w:val="0"/>
          <w:szCs w:val="22"/>
        </w:rPr>
      </w:pPr>
      <w:bookmarkStart w:id="244" w:name="_Toc528769163"/>
      <w:bookmarkStart w:id="245" w:name="_Toc17733"/>
      <w:bookmarkStart w:id="246" w:name="_Toc28444"/>
      <w:r>
        <w:rPr>
          <w:rFonts w:hint="eastAsia" w:ascii="宋体" w:hAnsi="宋体" w:cs="宋体"/>
          <w:kern w:val="0"/>
          <w:szCs w:val="22"/>
        </w:rPr>
        <w:t>4.12水质在线监测设施养护</w:t>
      </w:r>
      <w:bookmarkEnd w:id="244"/>
      <w:bookmarkEnd w:id="245"/>
      <w:bookmarkEnd w:id="246"/>
      <w:r>
        <w:rPr>
          <w:rFonts w:hint="eastAsia" w:ascii="宋体" w:hAnsi="宋体" w:cs="宋体"/>
          <w:kern w:val="0"/>
          <w:szCs w:val="22"/>
        </w:rPr>
        <w:tab/>
      </w:r>
    </w:p>
    <w:p>
      <w:pPr>
        <w:widowControl/>
        <w:tabs>
          <w:tab w:val="center" w:pos="4201"/>
          <w:tab w:val="right" w:leader="dot" w:pos="9298"/>
        </w:tabs>
        <w:autoSpaceDE w:val="0"/>
        <w:autoSpaceDN w:val="0"/>
        <w:spacing w:line="360" w:lineRule="auto"/>
        <w:ind w:firstLine="420" w:firstLineChars="200"/>
        <w:rPr>
          <w:rFonts w:ascii="宋体" w:hAnsi="宋体" w:cs="宋体"/>
          <w:kern w:val="0"/>
          <w:szCs w:val="20"/>
        </w:rPr>
      </w:pPr>
      <w:r>
        <w:rPr>
          <w:rFonts w:hint="eastAsia" w:ascii="宋体" w:hAnsi="宋体" w:cs="宋体"/>
          <w:kern w:val="0"/>
          <w:szCs w:val="20"/>
        </w:rPr>
        <w:t>每年汛前、汛后应对在线监测设施进行全面检查、校对。监测数据偏差时应立即进行检查，及时修复。</w:t>
      </w:r>
    </w:p>
    <w:p>
      <w:pPr>
        <w:widowControl/>
        <w:numPr>
          <w:ilvl w:val="1"/>
          <w:numId w:val="0"/>
        </w:numPr>
        <w:spacing w:line="360" w:lineRule="auto"/>
        <w:jc w:val="left"/>
        <w:outlineLvl w:val="2"/>
        <w:rPr>
          <w:rFonts w:ascii="宋体" w:hAnsi="宋体" w:cs="宋体"/>
          <w:kern w:val="0"/>
          <w:szCs w:val="22"/>
        </w:rPr>
      </w:pPr>
      <w:bookmarkStart w:id="247" w:name="_Toc7228"/>
      <w:bookmarkStart w:id="248" w:name="_Toc528769164"/>
      <w:bookmarkStart w:id="249" w:name="_Toc23153"/>
      <w:r>
        <w:rPr>
          <w:rFonts w:hint="eastAsia" w:ascii="宋体" w:hAnsi="宋体" w:cs="宋体"/>
          <w:kern w:val="0"/>
          <w:szCs w:val="22"/>
        </w:rPr>
        <w:t>4.13环卫设施养护</w:t>
      </w:r>
      <w:bookmarkEnd w:id="247"/>
      <w:bookmarkEnd w:id="248"/>
      <w:bookmarkEnd w:id="249"/>
      <w:r>
        <w:rPr>
          <w:rFonts w:hint="eastAsia" w:ascii="宋体" w:hAnsi="宋体" w:cs="宋体"/>
          <w:kern w:val="0"/>
          <w:szCs w:val="22"/>
        </w:rPr>
        <w:tab/>
      </w:r>
    </w:p>
    <w:p>
      <w:pPr>
        <w:widowControl/>
        <w:numPr>
          <w:ilvl w:val="2"/>
          <w:numId w:val="0"/>
        </w:numPr>
        <w:spacing w:line="360" w:lineRule="auto"/>
        <w:jc w:val="left"/>
        <w:outlineLvl w:val="3"/>
        <w:rPr>
          <w:rFonts w:ascii="宋体" w:hAnsi="宋体" w:cs="宋体"/>
          <w:kern w:val="0"/>
        </w:rPr>
      </w:pPr>
      <w:bookmarkStart w:id="250" w:name="_Toc5528"/>
      <w:bookmarkStart w:id="251" w:name="_Toc3896"/>
      <w:r>
        <w:rPr>
          <w:rFonts w:hint="eastAsia" w:ascii="宋体" w:hAnsi="宋体" w:cs="宋体"/>
          <w:kern w:val="0"/>
          <w:szCs w:val="22"/>
        </w:rPr>
        <w:t>4.13.1</w:t>
      </w:r>
      <w:r>
        <w:rPr>
          <w:rFonts w:hint="eastAsia" w:ascii="宋体" w:hAnsi="宋体" w:cs="宋体"/>
          <w:kern w:val="0"/>
        </w:rPr>
        <w:t>果壳箱、垃圾箱等环卫设施应保持洁净、无缺损、无歪斜、油漆完整</w:t>
      </w:r>
      <w:bookmarkEnd w:id="250"/>
      <w:bookmarkEnd w:id="251"/>
      <w:bookmarkStart w:id="252" w:name="_Toc9836"/>
      <w:bookmarkStart w:id="253" w:name="_Toc22456"/>
      <w:r>
        <w:rPr>
          <w:rFonts w:hint="eastAsia" w:ascii="宋体" w:hAnsi="宋体" w:cs="宋体"/>
          <w:kern w:val="0"/>
        </w:rPr>
        <w:t>。发生破损、歪斜应及时维修或更换，发生缺失应及时采购并原样恢复，外表油漆脱落应及时涂刷。</w:t>
      </w:r>
      <w:bookmarkEnd w:id="252"/>
      <w:bookmarkEnd w:id="253"/>
    </w:p>
    <w:p>
      <w:pPr>
        <w:widowControl/>
        <w:numPr>
          <w:ilvl w:val="2"/>
          <w:numId w:val="0"/>
        </w:numPr>
        <w:spacing w:line="360" w:lineRule="auto"/>
        <w:jc w:val="left"/>
        <w:outlineLvl w:val="3"/>
        <w:rPr>
          <w:rFonts w:ascii="宋体" w:hAnsi="宋体" w:cs="宋体"/>
          <w:kern w:val="0"/>
        </w:rPr>
      </w:pPr>
      <w:bookmarkStart w:id="254" w:name="_Toc29297"/>
      <w:bookmarkStart w:id="255" w:name="_Toc21180"/>
      <w:r>
        <w:rPr>
          <w:rFonts w:hint="eastAsia" w:ascii="宋体" w:hAnsi="宋体" w:cs="宋体"/>
          <w:kern w:val="0"/>
          <w:szCs w:val="22"/>
        </w:rPr>
        <w:t>4.13.2</w:t>
      </w:r>
      <w:r>
        <w:rPr>
          <w:rFonts w:hint="eastAsia" w:ascii="宋体" w:hAnsi="宋体" w:cs="宋体"/>
          <w:kern w:val="0"/>
        </w:rPr>
        <w:t>应根据垃圾量及时清运环卫设施内垃圾，每日不少于2次，且应巡回检查。发现垃圾满溢应及时清理，环卫设施清洗每日不少于1次。</w:t>
      </w:r>
      <w:bookmarkEnd w:id="254"/>
      <w:bookmarkEnd w:id="255"/>
    </w:p>
    <w:p>
      <w:pPr>
        <w:widowControl/>
        <w:numPr>
          <w:ilvl w:val="1"/>
          <w:numId w:val="0"/>
        </w:numPr>
        <w:spacing w:line="360" w:lineRule="auto"/>
        <w:jc w:val="left"/>
        <w:outlineLvl w:val="2"/>
        <w:rPr>
          <w:rFonts w:ascii="宋体" w:hAnsi="宋体" w:cs="宋体"/>
          <w:kern w:val="0"/>
          <w:szCs w:val="22"/>
        </w:rPr>
      </w:pPr>
      <w:bookmarkStart w:id="256" w:name="_Toc15761"/>
      <w:bookmarkStart w:id="257" w:name="_Toc528769165"/>
      <w:bookmarkStart w:id="258" w:name="_Toc4260"/>
      <w:r>
        <w:rPr>
          <w:rFonts w:hint="eastAsia" w:ascii="宋体" w:hAnsi="宋体" w:cs="宋体"/>
          <w:kern w:val="0"/>
          <w:szCs w:val="22"/>
        </w:rPr>
        <w:t>4.14河道标志牌养护</w:t>
      </w:r>
      <w:bookmarkEnd w:id="256"/>
      <w:bookmarkEnd w:id="257"/>
      <w:bookmarkEnd w:id="258"/>
      <w:r>
        <w:rPr>
          <w:rFonts w:hint="eastAsia" w:ascii="宋体" w:hAnsi="宋体" w:cs="宋体"/>
          <w:kern w:val="0"/>
          <w:szCs w:val="22"/>
        </w:rPr>
        <w:tab/>
      </w:r>
    </w:p>
    <w:p>
      <w:pPr>
        <w:widowControl/>
        <w:numPr>
          <w:ilvl w:val="2"/>
          <w:numId w:val="0"/>
        </w:numPr>
        <w:spacing w:line="360" w:lineRule="auto"/>
        <w:jc w:val="left"/>
        <w:outlineLvl w:val="3"/>
        <w:rPr>
          <w:rFonts w:ascii="宋体" w:hAnsi="宋体" w:cs="宋体"/>
          <w:kern w:val="0"/>
        </w:rPr>
      </w:pPr>
      <w:bookmarkStart w:id="259" w:name="_Toc5448"/>
      <w:bookmarkStart w:id="260" w:name="_Toc3654"/>
      <w:r>
        <w:rPr>
          <w:rFonts w:hint="eastAsia" w:ascii="宋体" w:hAnsi="宋体" w:cs="宋体"/>
          <w:kern w:val="0"/>
          <w:szCs w:val="22"/>
        </w:rPr>
        <w:t>4.14.1</w:t>
      </w:r>
      <w:r>
        <w:rPr>
          <w:rFonts w:hint="eastAsia" w:ascii="宋体" w:hAnsi="宋体" w:cs="宋体"/>
          <w:kern w:val="0"/>
        </w:rPr>
        <w:t>河道标志牌应设置在醒目处，应定期巡视检查。</w:t>
      </w:r>
      <w:bookmarkEnd w:id="259"/>
      <w:bookmarkEnd w:id="260"/>
    </w:p>
    <w:p>
      <w:pPr>
        <w:widowControl/>
        <w:numPr>
          <w:ilvl w:val="2"/>
          <w:numId w:val="0"/>
        </w:numPr>
        <w:spacing w:line="360" w:lineRule="auto"/>
        <w:jc w:val="left"/>
        <w:outlineLvl w:val="3"/>
        <w:rPr>
          <w:rFonts w:ascii="宋体" w:hAnsi="宋体" w:cs="宋体"/>
          <w:kern w:val="0"/>
        </w:rPr>
      </w:pPr>
      <w:r>
        <w:rPr>
          <w:rFonts w:hint="eastAsia" w:ascii="宋体" w:hAnsi="宋体" w:cs="宋体"/>
          <w:kern w:val="0"/>
          <w:szCs w:val="22"/>
        </w:rPr>
        <w:t>4.14.2</w:t>
      </w:r>
      <w:r>
        <w:rPr>
          <w:rFonts w:hint="eastAsia" w:ascii="宋体" w:hAnsi="宋体" w:cs="宋体"/>
          <w:kern w:val="0"/>
        </w:rPr>
        <w:t>河道标志牌应设置牢固、保持表面洁净，牌上字迹完整、清晰，镶嵌牢固。</w:t>
      </w:r>
    </w:p>
    <w:p>
      <w:pPr>
        <w:widowControl/>
        <w:numPr>
          <w:ilvl w:val="1"/>
          <w:numId w:val="0"/>
        </w:numPr>
        <w:spacing w:line="360" w:lineRule="auto"/>
        <w:jc w:val="left"/>
        <w:outlineLvl w:val="2"/>
        <w:rPr>
          <w:rFonts w:ascii="宋体" w:hAnsi="宋体" w:cs="宋体"/>
          <w:kern w:val="0"/>
          <w:szCs w:val="22"/>
        </w:rPr>
      </w:pPr>
      <w:bookmarkStart w:id="261" w:name="_Toc29585"/>
      <w:bookmarkStart w:id="262" w:name="_Toc528769166"/>
      <w:bookmarkStart w:id="263" w:name="_Toc3752"/>
      <w:r>
        <w:rPr>
          <w:rFonts w:hint="eastAsia" w:ascii="宋体" w:hAnsi="宋体" w:cs="宋体"/>
          <w:kern w:val="0"/>
          <w:szCs w:val="22"/>
        </w:rPr>
        <w:t>4.15其他附属设施养护</w:t>
      </w:r>
      <w:bookmarkEnd w:id="261"/>
      <w:bookmarkEnd w:id="262"/>
      <w:bookmarkEnd w:id="263"/>
      <w:r>
        <w:rPr>
          <w:rFonts w:hint="eastAsia" w:ascii="宋体" w:hAnsi="宋体" w:cs="宋体"/>
          <w:kern w:val="0"/>
          <w:szCs w:val="22"/>
        </w:rPr>
        <w:tab/>
      </w:r>
    </w:p>
    <w:p>
      <w:pPr>
        <w:widowControl/>
        <w:numPr>
          <w:ilvl w:val="2"/>
          <w:numId w:val="0"/>
        </w:numPr>
        <w:spacing w:line="360" w:lineRule="auto"/>
        <w:jc w:val="left"/>
        <w:outlineLvl w:val="3"/>
        <w:rPr>
          <w:rFonts w:ascii="宋体" w:hAnsi="宋体" w:cs="宋体"/>
          <w:kern w:val="0"/>
        </w:rPr>
      </w:pPr>
      <w:bookmarkStart w:id="264" w:name="_Toc14166"/>
      <w:bookmarkStart w:id="265" w:name="_Toc18337"/>
      <w:r>
        <w:rPr>
          <w:rFonts w:hint="eastAsia" w:ascii="宋体" w:hAnsi="宋体" w:cs="宋体"/>
          <w:kern w:val="0"/>
          <w:szCs w:val="22"/>
        </w:rPr>
        <w:t>4.15.1</w:t>
      </w:r>
      <w:r>
        <w:rPr>
          <w:rFonts w:hint="eastAsia" w:ascii="宋体" w:hAnsi="宋体" w:cs="宋体"/>
          <w:kern w:val="0"/>
        </w:rPr>
        <w:t>其他河道相关附属设施的养护，应包括对城市家具、河道栏杆、管理用房等的养护。</w:t>
      </w:r>
      <w:bookmarkEnd w:id="264"/>
      <w:bookmarkEnd w:id="265"/>
    </w:p>
    <w:p>
      <w:pPr>
        <w:widowControl/>
        <w:numPr>
          <w:ilvl w:val="2"/>
          <w:numId w:val="0"/>
        </w:numPr>
        <w:spacing w:line="360" w:lineRule="auto"/>
        <w:jc w:val="left"/>
        <w:outlineLvl w:val="3"/>
        <w:rPr>
          <w:rFonts w:ascii="宋体" w:hAnsi="宋体" w:cs="宋体"/>
          <w:kern w:val="0"/>
        </w:rPr>
      </w:pPr>
      <w:bookmarkStart w:id="266" w:name="_Toc27360"/>
      <w:bookmarkStart w:id="267" w:name="_Toc5799"/>
      <w:r>
        <w:rPr>
          <w:rFonts w:hint="eastAsia" w:ascii="宋体" w:hAnsi="宋体" w:cs="宋体"/>
          <w:kern w:val="0"/>
          <w:szCs w:val="22"/>
        </w:rPr>
        <w:t>4.15.2</w:t>
      </w:r>
      <w:r>
        <w:rPr>
          <w:rFonts w:hint="eastAsia" w:ascii="宋体" w:hAnsi="宋体" w:cs="宋体"/>
          <w:kern w:val="0"/>
        </w:rPr>
        <w:t>应定期巡视检查，保持设施洁净、无破损、无缺失、无歪斜、油漆完整。</w:t>
      </w:r>
      <w:bookmarkEnd w:id="266"/>
      <w:bookmarkEnd w:id="267"/>
    </w:p>
    <w:p>
      <w:pPr>
        <w:widowControl/>
        <w:numPr>
          <w:ilvl w:val="2"/>
          <w:numId w:val="0"/>
        </w:numPr>
        <w:spacing w:line="360" w:lineRule="auto"/>
        <w:jc w:val="left"/>
        <w:outlineLvl w:val="3"/>
        <w:rPr>
          <w:rFonts w:ascii="宋体" w:hAnsi="宋体" w:cs="宋体"/>
          <w:kern w:val="0"/>
        </w:rPr>
      </w:pPr>
      <w:bookmarkStart w:id="268" w:name="_Toc7755"/>
      <w:bookmarkStart w:id="269" w:name="_Toc10275"/>
      <w:r>
        <w:rPr>
          <w:rFonts w:hint="eastAsia" w:ascii="宋体" w:hAnsi="宋体" w:cs="宋体"/>
          <w:kern w:val="0"/>
          <w:szCs w:val="22"/>
        </w:rPr>
        <w:t>4.15.3</w:t>
      </w:r>
      <w:r>
        <w:rPr>
          <w:rFonts w:hint="eastAsia" w:ascii="宋体" w:hAnsi="宋体" w:cs="宋体"/>
          <w:kern w:val="0"/>
        </w:rPr>
        <w:t>管理用房应整洁有序，无乱拉电线，违规使用燃气用具等情况。</w:t>
      </w:r>
      <w:bookmarkEnd w:id="268"/>
      <w:bookmarkEnd w:id="269"/>
    </w:p>
    <w:p>
      <w:pPr>
        <w:widowControl/>
        <w:spacing w:line="360" w:lineRule="auto"/>
        <w:outlineLvl w:val="1"/>
        <w:rPr>
          <w:rFonts w:ascii="宋体" w:hAnsi="宋体" w:cs="宋体"/>
          <w:kern w:val="0"/>
          <w:szCs w:val="20"/>
        </w:rPr>
      </w:pPr>
      <w:bookmarkStart w:id="270" w:name="_Toc528769167"/>
      <w:bookmarkStart w:id="271" w:name="_Toc7560"/>
      <w:bookmarkStart w:id="272" w:name="_Toc22321"/>
      <w:r>
        <w:rPr>
          <w:rFonts w:hint="eastAsia" w:ascii="宋体" w:hAnsi="宋体" w:cs="宋体"/>
          <w:kern w:val="0"/>
          <w:szCs w:val="20"/>
        </w:rPr>
        <w:t>5管理</w:t>
      </w:r>
      <w:bookmarkEnd w:id="270"/>
      <w:bookmarkEnd w:id="271"/>
      <w:bookmarkEnd w:id="272"/>
    </w:p>
    <w:p>
      <w:pPr>
        <w:widowControl/>
        <w:numPr>
          <w:ilvl w:val="1"/>
          <w:numId w:val="0"/>
        </w:numPr>
        <w:spacing w:line="360" w:lineRule="auto"/>
        <w:jc w:val="left"/>
        <w:outlineLvl w:val="2"/>
        <w:rPr>
          <w:rFonts w:ascii="宋体" w:hAnsi="宋体" w:cs="宋体"/>
          <w:kern w:val="0"/>
        </w:rPr>
      </w:pPr>
      <w:bookmarkStart w:id="273" w:name="_Toc2183"/>
      <w:bookmarkStart w:id="274" w:name="_Toc528769168"/>
      <w:bookmarkStart w:id="275" w:name="_Toc11760"/>
      <w:bookmarkStart w:id="276" w:name="_Toc11899"/>
      <w:r>
        <w:rPr>
          <w:rFonts w:hint="eastAsia" w:ascii="宋体" w:hAnsi="宋体" w:cs="宋体"/>
          <w:kern w:val="0"/>
        </w:rPr>
        <w:t>5.1船只配备</w:t>
      </w:r>
      <w:bookmarkEnd w:id="273"/>
      <w:bookmarkEnd w:id="274"/>
      <w:bookmarkEnd w:id="275"/>
      <w:bookmarkEnd w:id="276"/>
    </w:p>
    <w:p>
      <w:pPr>
        <w:widowControl/>
        <w:numPr>
          <w:ilvl w:val="2"/>
          <w:numId w:val="0"/>
        </w:numPr>
        <w:spacing w:line="360" w:lineRule="auto"/>
        <w:jc w:val="left"/>
        <w:outlineLvl w:val="3"/>
        <w:rPr>
          <w:rFonts w:ascii="宋体" w:hAnsi="宋体" w:cs="宋体"/>
          <w:kern w:val="0"/>
        </w:rPr>
      </w:pPr>
      <w:r>
        <w:rPr>
          <w:rFonts w:hint="eastAsia" w:ascii="宋体" w:hAnsi="宋体" w:cs="宋体"/>
          <w:kern w:val="0"/>
        </w:rPr>
        <w:t>5.1.1城市河道船只配备应符合下列规定：</w:t>
      </w:r>
    </w:p>
    <w:p>
      <w:pPr>
        <w:widowControl/>
        <w:numPr>
          <w:ilvl w:val="0"/>
          <w:numId w:val="19"/>
        </w:numPr>
        <w:spacing w:line="360" w:lineRule="auto"/>
        <w:rPr>
          <w:rFonts w:ascii="宋体" w:hAnsi="宋体" w:cs="宋体"/>
          <w:kern w:val="0"/>
          <w:szCs w:val="20"/>
        </w:rPr>
      </w:pPr>
      <w:r>
        <w:rPr>
          <w:rFonts w:hint="eastAsia" w:ascii="宋体" w:hAnsi="宋体" w:cs="宋体"/>
          <w:kern w:val="0"/>
          <w:szCs w:val="20"/>
        </w:rPr>
        <w:t>一类城市河道，每50000㎡水域面积应配1艘机械船；</w:t>
      </w:r>
    </w:p>
    <w:p>
      <w:pPr>
        <w:widowControl/>
        <w:numPr>
          <w:ilvl w:val="0"/>
          <w:numId w:val="19"/>
        </w:numPr>
        <w:spacing w:line="360" w:lineRule="auto"/>
        <w:rPr>
          <w:rFonts w:ascii="宋体" w:hAnsi="宋体" w:cs="宋体"/>
          <w:kern w:val="0"/>
          <w:szCs w:val="20"/>
        </w:rPr>
      </w:pPr>
      <w:r>
        <w:rPr>
          <w:rFonts w:hint="eastAsia" w:ascii="宋体" w:hAnsi="宋体" w:cs="宋体"/>
          <w:kern w:val="0"/>
          <w:szCs w:val="20"/>
        </w:rPr>
        <w:t>二类城市河道，每60000㎡水域面积应配1艘机械船；</w:t>
      </w:r>
    </w:p>
    <w:p>
      <w:pPr>
        <w:widowControl/>
        <w:numPr>
          <w:ilvl w:val="0"/>
          <w:numId w:val="19"/>
        </w:numPr>
        <w:spacing w:line="360" w:lineRule="auto"/>
        <w:rPr>
          <w:rFonts w:ascii="宋体" w:hAnsi="宋体" w:cs="宋体"/>
          <w:kern w:val="0"/>
          <w:szCs w:val="20"/>
        </w:rPr>
      </w:pPr>
      <w:r>
        <w:rPr>
          <w:rFonts w:hint="eastAsia" w:ascii="宋体" w:hAnsi="宋体" w:cs="宋体"/>
          <w:kern w:val="0"/>
          <w:szCs w:val="20"/>
        </w:rPr>
        <w:t>三类城市河道，每110000㎡水域面积应配1艘机械船，或每12000㎡水域面配1艘手划船；</w:t>
      </w:r>
    </w:p>
    <w:p>
      <w:pPr>
        <w:widowControl/>
        <w:numPr>
          <w:ilvl w:val="0"/>
          <w:numId w:val="19"/>
        </w:numPr>
        <w:spacing w:line="360" w:lineRule="auto"/>
        <w:rPr>
          <w:rFonts w:ascii="宋体" w:hAnsi="宋体" w:cs="宋体"/>
          <w:kern w:val="0"/>
          <w:szCs w:val="20"/>
        </w:rPr>
      </w:pPr>
      <w:r>
        <w:rPr>
          <w:rFonts w:hint="eastAsia" w:ascii="宋体" w:hAnsi="宋体" w:cs="宋体"/>
          <w:kern w:val="0"/>
          <w:szCs w:val="20"/>
        </w:rPr>
        <w:t>未整治城市河道，每24000㎡水域面积应配1艘手划船；</w:t>
      </w:r>
    </w:p>
    <w:p>
      <w:pPr>
        <w:widowControl/>
        <w:numPr>
          <w:ilvl w:val="0"/>
          <w:numId w:val="19"/>
        </w:numPr>
        <w:spacing w:line="360" w:lineRule="auto"/>
        <w:rPr>
          <w:rFonts w:ascii="宋体" w:hAnsi="宋体" w:cs="宋体"/>
          <w:kern w:val="0"/>
          <w:szCs w:val="20"/>
        </w:rPr>
      </w:pPr>
      <w:r>
        <w:rPr>
          <w:rFonts w:hint="eastAsia" w:ascii="宋体" w:hAnsi="宋体" w:cs="宋体"/>
          <w:kern w:val="0"/>
          <w:szCs w:val="20"/>
        </w:rPr>
        <w:t>每艘手划船应至少配备1名保洁人员，每艘机动船至少配备3名人员。</w:t>
      </w:r>
    </w:p>
    <w:p>
      <w:pPr>
        <w:widowControl/>
        <w:numPr>
          <w:ilvl w:val="2"/>
          <w:numId w:val="0"/>
        </w:numPr>
        <w:spacing w:line="360" w:lineRule="auto"/>
        <w:jc w:val="left"/>
        <w:outlineLvl w:val="3"/>
        <w:rPr>
          <w:rFonts w:ascii="宋体" w:hAnsi="宋体" w:cs="宋体"/>
          <w:kern w:val="0"/>
        </w:rPr>
      </w:pPr>
      <w:r>
        <w:rPr>
          <w:rFonts w:hint="eastAsia" w:ascii="宋体" w:hAnsi="宋体" w:cs="宋体"/>
          <w:kern w:val="0"/>
        </w:rPr>
        <w:t>5.1.2每艘保洁船应配备适合清理各种垃圾漂浮物及污染物的打捞工具，宜安装定位装置。</w:t>
      </w:r>
    </w:p>
    <w:p>
      <w:pPr>
        <w:widowControl/>
        <w:numPr>
          <w:ilvl w:val="1"/>
          <w:numId w:val="0"/>
        </w:numPr>
        <w:spacing w:line="360" w:lineRule="auto"/>
        <w:jc w:val="left"/>
        <w:outlineLvl w:val="2"/>
        <w:rPr>
          <w:rFonts w:ascii="宋体" w:hAnsi="宋体" w:cs="宋体"/>
          <w:kern w:val="0"/>
          <w:szCs w:val="22"/>
        </w:rPr>
      </w:pPr>
      <w:bookmarkStart w:id="277" w:name="_Toc15173"/>
      <w:bookmarkStart w:id="278" w:name="_Toc7074"/>
      <w:bookmarkStart w:id="279" w:name="_Toc528769169"/>
      <w:r>
        <w:rPr>
          <w:rFonts w:hint="eastAsia" w:ascii="宋体" w:hAnsi="宋体" w:cs="宋体"/>
          <w:kern w:val="0"/>
          <w:szCs w:val="22"/>
        </w:rPr>
        <w:t>5.2人员配备及管理</w:t>
      </w:r>
      <w:bookmarkEnd w:id="277"/>
      <w:bookmarkEnd w:id="278"/>
      <w:bookmarkEnd w:id="279"/>
      <w:r>
        <w:rPr>
          <w:rFonts w:hint="eastAsia" w:ascii="宋体" w:hAnsi="宋体" w:cs="宋体"/>
          <w:kern w:val="0"/>
          <w:szCs w:val="22"/>
        </w:rPr>
        <w:tab/>
      </w:r>
    </w:p>
    <w:p>
      <w:pPr>
        <w:widowControl/>
        <w:numPr>
          <w:ilvl w:val="2"/>
          <w:numId w:val="0"/>
        </w:numPr>
        <w:spacing w:line="360" w:lineRule="auto"/>
        <w:jc w:val="left"/>
        <w:outlineLvl w:val="3"/>
        <w:rPr>
          <w:rFonts w:ascii="宋体" w:hAnsi="宋体" w:cs="宋体"/>
          <w:kern w:val="0"/>
        </w:rPr>
      </w:pPr>
      <w:r>
        <w:rPr>
          <w:rFonts w:hint="eastAsia" w:ascii="宋体" w:hAnsi="宋体" w:cs="宋体"/>
          <w:kern w:val="0"/>
        </w:rPr>
        <w:t>5.2.1巡查人员配备应符合下列规定：</w:t>
      </w:r>
    </w:p>
    <w:p>
      <w:pPr>
        <w:widowControl/>
        <w:numPr>
          <w:ilvl w:val="0"/>
          <w:numId w:val="20"/>
        </w:numPr>
        <w:spacing w:line="360" w:lineRule="auto"/>
        <w:rPr>
          <w:rFonts w:ascii="宋体" w:hAnsi="宋体" w:cs="宋体"/>
          <w:kern w:val="0"/>
          <w:szCs w:val="20"/>
        </w:rPr>
      </w:pPr>
      <w:r>
        <w:rPr>
          <w:rFonts w:hint="eastAsia" w:ascii="宋体" w:hAnsi="宋体" w:cs="宋体"/>
          <w:kern w:val="0"/>
          <w:szCs w:val="20"/>
        </w:rPr>
        <w:t>一类城市河道，每2000m长度应配备不少于1名巡查人员；</w:t>
      </w:r>
    </w:p>
    <w:p>
      <w:pPr>
        <w:widowControl/>
        <w:numPr>
          <w:ilvl w:val="0"/>
          <w:numId w:val="20"/>
        </w:numPr>
        <w:spacing w:line="360" w:lineRule="auto"/>
        <w:rPr>
          <w:rFonts w:ascii="宋体" w:hAnsi="宋体" w:cs="宋体"/>
          <w:kern w:val="0"/>
          <w:szCs w:val="20"/>
        </w:rPr>
      </w:pPr>
      <w:r>
        <w:rPr>
          <w:rFonts w:hint="eastAsia" w:ascii="宋体" w:hAnsi="宋体" w:cs="宋体"/>
          <w:kern w:val="0"/>
          <w:szCs w:val="20"/>
        </w:rPr>
        <w:t>二类城市河道，每4000m长度应配备不少于1名巡查人员；</w:t>
      </w:r>
    </w:p>
    <w:p>
      <w:pPr>
        <w:widowControl/>
        <w:numPr>
          <w:ilvl w:val="0"/>
          <w:numId w:val="20"/>
        </w:numPr>
        <w:spacing w:line="360" w:lineRule="auto"/>
        <w:rPr>
          <w:rFonts w:ascii="宋体" w:hAnsi="宋体" w:cs="宋体"/>
          <w:kern w:val="0"/>
          <w:szCs w:val="20"/>
        </w:rPr>
      </w:pPr>
      <w:r>
        <w:rPr>
          <w:rFonts w:hint="eastAsia" w:ascii="宋体" w:hAnsi="宋体" w:cs="宋体"/>
          <w:kern w:val="0"/>
          <w:szCs w:val="20"/>
        </w:rPr>
        <w:t>三类城市河道，每8000m长度应配备不少于1名巡查人员；</w:t>
      </w:r>
    </w:p>
    <w:p>
      <w:pPr>
        <w:widowControl/>
        <w:numPr>
          <w:ilvl w:val="0"/>
          <w:numId w:val="20"/>
        </w:numPr>
        <w:spacing w:line="360" w:lineRule="auto"/>
        <w:rPr>
          <w:rFonts w:ascii="宋体" w:hAnsi="宋体" w:cs="宋体"/>
          <w:kern w:val="0"/>
          <w:szCs w:val="20"/>
        </w:rPr>
      </w:pPr>
      <w:r>
        <w:rPr>
          <w:rFonts w:hint="eastAsia" w:ascii="宋体" w:hAnsi="宋体" w:cs="宋体"/>
          <w:kern w:val="0"/>
          <w:szCs w:val="20"/>
        </w:rPr>
        <w:t>未整治城市河道，每28000m长度应配备不少于1名巡查人员。</w:t>
      </w:r>
    </w:p>
    <w:p>
      <w:pPr>
        <w:widowControl/>
        <w:numPr>
          <w:ilvl w:val="2"/>
          <w:numId w:val="0"/>
        </w:numPr>
        <w:spacing w:line="360" w:lineRule="auto"/>
        <w:jc w:val="left"/>
        <w:outlineLvl w:val="3"/>
        <w:rPr>
          <w:rFonts w:ascii="宋体" w:hAnsi="宋体" w:cs="宋体"/>
          <w:kern w:val="0"/>
        </w:rPr>
      </w:pPr>
      <w:r>
        <w:rPr>
          <w:rFonts w:hint="eastAsia" w:ascii="宋体" w:hAnsi="宋体" w:cs="宋体"/>
          <w:kern w:val="0"/>
        </w:rPr>
        <w:t>5.2.2河面保洁人员配备应符合下列规定：</w:t>
      </w:r>
    </w:p>
    <w:p>
      <w:pPr>
        <w:widowControl/>
        <w:numPr>
          <w:ilvl w:val="0"/>
          <w:numId w:val="21"/>
        </w:numPr>
        <w:spacing w:line="360" w:lineRule="auto"/>
        <w:rPr>
          <w:rFonts w:ascii="宋体" w:hAnsi="宋体" w:cs="宋体"/>
          <w:kern w:val="0"/>
          <w:szCs w:val="20"/>
        </w:rPr>
      </w:pPr>
      <w:r>
        <w:rPr>
          <w:rFonts w:hint="eastAsia" w:ascii="宋体" w:hAnsi="宋体" w:cs="宋体"/>
          <w:kern w:val="0"/>
          <w:szCs w:val="20"/>
        </w:rPr>
        <w:t>一类城市河道，每50000㎡水域面积应配备不少于3名保洁人员；</w:t>
      </w:r>
    </w:p>
    <w:p>
      <w:pPr>
        <w:widowControl/>
        <w:numPr>
          <w:ilvl w:val="0"/>
          <w:numId w:val="21"/>
        </w:numPr>
        <w:spacing w:line="360" w:lineRule="auto"/>
        <w:rPr>
          <w:rFonts w:ascii="宋体" w:hAnsi="宋体" w:cs="宋体"/>
          <w:kern w:val="0"/>
          <w:szCs w:val="20"/>
        </w:rPr>
      </w:pPr>
      <w:r>
        <w:rPr>
          <w:rFonts w:hint="eastAsia" w:ascii="宋体" w:hAnsi="宋体" w:cs="宋体"/>
          <w:kern w:val="0"/>
          <w:szCs w:val="20"/>
        </w:rPr>
        <w:t>二类城市河道，每60000㎡水域面积应配备不少于3名保洁人员；</w:t>
      </w:r>
    </w:p>
    <w:p>
      <w:pPr>
        <w:widowControl/>
        <w:numPr>
          <w:ilvl w:val="0"/>
          <w:numId w:val="21"/>
        </w:numPr>
        <w:spacing w:line="360" w:lineRule="auto"/>
        <w:rPr>
          <w:rFonts w:ascii="宋体" w:hAnsi="宋体" w:cs="宋体"/>
          <w:kern w:val="0"/>
          <w:szCs w:val="20"/>
        </w:rPr>
      </w:pPr>
      <w:r>
        <w:rPr>
          <w:rFonts w:hint="eastAsia" w:ascii="宋体" w:hAnsi="宋体" w:cs="宋体"/>
          <w:kern w:val="0"/>
          <w:szCs w:val="20"/>
        </w:rPr>
        <w:t>三类城市河道，每110000㎡水域面积应配备不少于3名保洁人员；</w:t>
      </w:r>
    </w:p>
    <w:p>
      <w:pPr>
        <w:widowControl/>
        <w:numPr>
          <w:ilvl w:val="0"/>
          <w:numId w:val="21"/>
        </w:numPr>
        <w:spacing w:line="360" w:lineRule="auto"/>
        <w:rPr>
          <w:rFonts w:ascii="宋体" w:hAnsi="宋体" w:cs="宋体"/>
          <w:kern w:val="0"/>
          <w:szCs w:val="20"/>
        </w:rPr>
      </w:pPr>
      <w:r>
        <w:rPr>
          <w:rFonts w:hint="eastAsia" w:ascii="宋体" w:hAnsi="宋体" w:cs="宋体"/>
          <w:kern w:val="0"/>
          <w:szCs w:val="20"/>
        </w:rPr>
        <w:t>未整治城市河道，每24000㎡水域面积应配备不少于1名保洁人员。</w:t>
      </w:r>
    </w:p>
    <w:p>
      <w:pPr>
        <w:widowControl/>
        <w:numPr>
          <w:ilvl w:val="2"/>
          <w:numId w:val="0"/>
        </w:numPr>
        <w:spacing w:line="360" w:lineRule="auto"/>
        <w:jc w:val="left"/>
        <w:outlineLvl w:val="3"/>
        <w:rPr>
          <w:rFonts w:ascii="宋体" w:hAnsi="宋体" w:cs="宋体"/>
          <w:kern w:val="0"/>
        </w:rPr>
      </w:pPr>
      <w:r>
        <w:rPr>
          <w:rFonts w:hint="eastAsia" w:ascii="宋体" w:hAnsi="宋体" w:cs="宋体"/>
          <w:kern w:val="0"/>
        </w:rPr>
        <w:t>5.2.3河岸保洁人员配备应符合下列规定：</w:t>
      </w:r>
    </w:p>
    <w:p>
      <w:pPr>
        <w:widowControl/>
        <w:numPr>
          <w:ilvl w:val="0"/>
          <w:numId w:val="22"/>
        </w:numPr>
        <w:spacing w:line="360" w:lineRule="auto"/>
        <w:rPr>
          <w:rFonts w:ascii="宋体" w:hAnsi="宋体" w:cs="宋体"/>
          <w:kern w:val="0"/>
          <w:szCs w:val="20"/>
        </w:rPr>
      </w:pPr>
      <w:r>
        <w:rPr>
          <w:rFonts w:hint="eastAsia" w:ascii="宋体" w:hAnsi="宋体" w:cs="宋体"/>
          <w:kern w:val="0"/>
          <w:szCs w:val="20"/>
        </w:rPr>
        <w:t>一类城市河道，每5500㎡水域面积应配备不少于1名保洁人员；</w:t>
      </w:r>
    </w:p>
    <w:p>
      <w:pPr>
        <w:widowControl/>
        <w:numPr>
          <w:ilvl w:val="0"/>
          <w:numId w:val="22"/>
        </w:numPr>
        <w:spacing w:line="360" w:lineRule="auto"/>
        <w:rPr>
          <w:rFonts w:ascii="宋体" w:hAnsi="宋体" w:cs="宋体"/>
          <w:kern w:val="0"/>
          <w:szCs w:val="20"/>
        </w:rPr>
      </w:pPr>
      <w:r>
        <w:rPr>
          <w:rFonts w:hint="eastAsia" w:ascii="宋体" w:hAnsi="宋体" w:cs="宋体"/>
          <w:kern w:val="0"/>
          <w:szCs w:val="20"/>
        </w:rPr>
        <w:t>二类城市河道，每6000㎡水域面积应配备不少于1名保洁人员；</w:t>
      </w:r>
    </w:p>
    <w:p>
      <w:pPr>
        <w:widowControl/>
        <w:numPr>
          <w:ilvl w:val="0"/>
          <w:numId w:val="22"/>
        </w:numPr>
        <w:spacing w:line="360" w:lineRule="auto"/>
        <w:rPr>
          <w:rFonts w:ascii="宋体" w:hAnsi="宋体" w:cs="宋体"/>
          <w:kern w:val="0"/>
          <w:szCs w:val="20"/>
        </w:rPr>
      </w:pPr>
      <w:r>
        <w:rPr>
          <w:rFonts w:hint="eastAsia" w:ascii="宋体" w:hAnsi="宋体" w:cs="宋体"/>
          <w:kern w:val="0"/>
          <w:szCs w:val="20"/>
        </w:rPr>
        <w:t>三类城市河道，每7000㎡水域面积应配备不少于1名保洁人员；</w:t>
      </w:r>
    </w:p>
    <w:p>
      <w:pPr>
        <w:widowControl/>
        <w:numPr>
          <w:ilvl w:val="0"/>
          <w:numId w:val="22"/>
        </w:numPr>
        <w:spacing w:line="360" w:lineRule="auto"/>
        <w:rPr>
          <w:rFonts w:ascii="宋体" w:hAnsi="宋体" w:cs="宋体"/>
          <w:kern w:val="0"/>
          <w:szCs w:val="20"/>
        </w:rPr>
      </w:pPr>
      <w:r>
        <w:rPr>
          <w:rFonts w:hint="eastAsia" w:ascii="宋体" w:hAnsi="宋体" w:cs="宋体"/>
          <w:kern w:val="0"/>
          <w:szCs w:val="20"/>
        </w:rPr>
        <w:t>未整治城市河道，每7500㎡水域面积应配备不少于1名保洁人员。</w:t>
      </w:r>
    </w:p>
    <w:p>
      <w:pPr>
        <w:widowControl/>
        <w:numPr>
          <w:ilvl w:val="2"/>
          <w:numId w:val="0"/>
        </w:numPr>
        <w:spacing w:line="360" w:lineRule="auto"/>
        <w:jc w:val="left"/>
        <w:outlineLvl w:val="3"/>
        <w:rPr>
          <w:rFonts w:ascii="宋体" w:hAnsi="宋体" w:cs="宋体"/>
          <w:kern w:val="0"/>
        </w:rPr>
      </w:pPr>
      <w:r>
        <w:rPr>
          <w:rFonts w:hint="eastAsia" w:ascii="宋体" w:hAnsi="宋体" w:cs="宋体"/>
          <w:kern w:val="0"/>
        </w:rPr>
        <w:t>5.2.4每4000㎡绿地应配备不少于1名绿化养护人员。</w:t>
      </w:r>
    </w:p>
    <w:p>
      <w:pPr>
        <w:widowControl/>
        <w:numPr>
          <w:ilvl w:val="2"/>
          <w:numId w:val="0"/>
        </w:numPr>
        <w:spacing w:line="360" w:lineRule="auto"/>
        <w:jc w:val="left"/>
        <w:outlineLvl w:val="3"/>
        <w:rPr>
          <w:rFonts w:ascii="宋体" w:hAnsi="宋体" w:cs="宋体"/>
          <w:kern w:val="0"/>
        </w:rPr>
      </w:pPr>
      <w:bookmarkStart w:id="280" w:name="_Toc32102"/>
      <w:bookmarkStart w:id="281" w:name="_Toc20619"/>
      <w:bookmarkStart w:id="282" w:name="_Toc7689"/>
      <w:bookmarkStart w:id="283" w:name="_Toc6903"/>
      <w:r>
        <w:rPr>
          <w:rFonts w:hint="eastAsia" w:ascii="宋体" w:hAnsi="宋体" w:cs="宋体"/>
          <w:kern w:val="0"/>
        </w:rPr>
        <w:t>5.2.5作业人员管理应符合下列规定：</w:t>
      </w:r>
    </w:p>
    <w:p>
      <w:pPr>
        <w:widowControl/>
        <w:numPr>
          <w:ilvl w:val="0"/>
          <w:numId w:val="23"/>
        </w:numPr>
        <w:spacing w:line="360" w:lineRule="auto"/>
        <w:rPr>
          <w:rFonts w:ascii="宋体" w:hAnsi="宋体" w:cs="宋体"/>
          <w:kern w:val="0"/>
          <w:szCs w:val="20"/>
        </w:rPr>
      </w:pPr>
      <w:r>
        <w:rPr>
          <w:rFonts w:hint="eastAsia" w:ascii="宋体" w:hAnsi="宋体" w:cs="宋体"/>
          <w:kern w:val="0"/>
          <w:szCs w:val="20"/>
        </w:rPr>
        <w:t>工作期间应穿着统一工作服，工作服无污渍、无破损、无脱线、无纽扣缺损，扣全纽扣，不敞衣露怀，河面养护时须着救生衣,不挽袖卷裤腿，不穿拖鞋工作</w:t>
      </w:r>
      <w:bookmarkEnd w:id="280"/>
      <w:bookmarkEnd w:id="281"/>
      <w:bookmarkEnd w:id="282"/>
      <w:bookmarkEnd w:id="283"/>
      <w:r>
        <w:rPr>
          <w:rFonts w:hint="eastAsia" w:ascii="宋体" w:hAnsi="宋体" w:cs="宋体"/>
          <w:kern w:val="0"/>
          <w:szCs w:val="20"/>
        </w:rPr>
        <w:t>；</w:t>
      </w:r>
    </w:p>
    <w:p>
      <w:pPr>
        <w:widowControl/>
        <w:numPr>
          <w:ilvl w:val="0"/>
          <w:numId w:val="23"/>
        </w:numPr>
        <w:spacing w:line="360" w:lineRule="auto"/>
        <w:rPr>
          <w:rFonts w:ascii="宋体" w:hAnsi="宋体" w:cs="宋体"/>
          <w:kern w:val="0"/>
          <w:szCs w:val="20"/>
        </w:rPr>
      </w:pPr>
      <w:bookmarkStart w:id="284" w:name="_Toc24826"/>
      <w:bookmarkStart w:id="285" w:name="_Toc15342"/>
      <w:bookmarkStart w:id="286" w:name="_Toc28341"/>
      <w:bookmarkStart w:id="287" w:name="_Toc9695"/>
      <w:r>
        <w:rPr>
          <w:rFonts w:hint="eastAsia" w:ascii="宋体" w:hAnsi="宋体" w:cs="宋体"/>
          <w:kern w:val="0"/>
          <w:szCs w:val="20"/>
        </w:rPr>
        <w:t>工号牌应一人一号，不得转借。非工作时间不得穿戴工作服，离开河道作业队伍时，工作服和工号牌应回收</w:t>
      </w:r>
      <w:bookmarkEnd w:id="284"/>
      <w:bookmarkEnd w:id="285"/>
      <w:bookmarkEnd w:id="286"/>
      <w:bookmarkEnd w:id="287"/>
      <w:r>
        <w:rPr>
          <w:rFonts w:hint="eastAsia" w:ascii="宋体" w:hAnsi="宋体" w:cs="宋体"/>
          <w:kern w:val="0"/>
          <w:szCs w:val="20"/>
        </w:rPr>
        <w:t>；</w:t>
      </w:r>
    </w:p>
    <w:p>
      <w:pPr>
        <w:widowControl/>
        <w:numPr>
          <w:ilvl w:val="0"/>
          <w:numId w:val="23"/>
        </w:numPr>
        <w:spacing w:line="360" w:lineRule="auto"/>
        <w:rPr>
          <w:rFonts w:ascii="宋体" w:hAnsi="宋体" w:cs="宋体"/>
          <w:kern w:val="0"/>
          <w:szCs w:val="20"/>
        </w:rPr>
      </w:pPr>
      <w:bookmarkStart w:id="288" w:name="_Toc22108"/>
      <w:bookmarkStart w:id="289" w:name="_Toc19173"/>
      <w:bookmarkStart w:id="290" w:name="_Toc30826"/>
      <w:bookmarkStart w:id="291" w:name="_Toc14762"/>
      <w:r>
        <w:rPr>
          <w:rFonts w:hint="eastAsia" w:ascii="宋体" w:hAnsi="宋体" w:cs="宋体"/>
          <w:kern w:val="0"/>
          <w:szCs w:val="20"/>
        </w:rPr>
        <w:t>应保持仪表整洁。男作业人员不应留长发、蓄长须；女作业人员上岗前应把头发夹好。</w:t>
      </w:r>
      <w:bookmarkEnd w:id="288"/>
      <w:bookmarkEnd w:id="289"/>
      <w:bookmarkEnd w:id="290"/>
      <w:bookmarkEnd w:id="291"/>
    </w:p>
    <w:p>
      <w:pPr>
        <w:widowControl/>
        <w:numPr>
          <w:ilvl w:val="0"/>
          <w:numId w:val="23"/>
        </w:numPr>
        <w:spacing w:line="360" w:lineRule="auto"/>
        <w:rPr>
          <w:rFonts w:ascii="宋体" w:hAnsi="宋体" w:cs="宋体"/>
          <w:kern w:val="0"/>
          <w:szCs w:val="20"/>
        </w:rPr>
      </w:pPr>
      <w:bookmarkStart w:id="292" w:name="_Toc4975"/>
      <w:bookmarkStart w:id="293" w:name="_Toc6273"/>
      <w:bookmarkStart w:id="294" w:name="_Toc16659"/>
      <w:bookmarkStart w:id="295" w:name="_Toc19110"/>
      <w:r>
        <w:rPr>
          <w:rFonts w:hint="eastAsia" w:ascii="宋体" w:hAnsi="宋体" w:cs="宋体"/>
          <w:kern w:val="0"/>
          <w:szCs w:val="20"/>
        </w:rPr>
        <w:t>自觉做到文明礼仪，文明用语，礼让行人，不得与他人、单位发生冲突</w:t>
      </w:r>
      <w:bookmarkEnd w:id="292"/>
      <w:bookmarkEnd w:id="293"/>
      <w:bookmarkEnd w:id="294"/>
      <w:bookmarkEnd w:id="295"/>
      <w:r>
        <w:rPr>
          <w:rFonts w:hint="eastAsia" w:ascii="宋体" w:hAnsi="宋体" w:cs="宋体"/>
          <w:kern w:val="0"/>
          <w:szCs w:val="20"/>
        </w:rPr>
        <w:t>；</w:t>
      </w:r>
    </w:p>
    <w:p>
      <w:pPr>
        <w:widowControl/>
        <w:numPr>
          <w:ilvl w:val="0"/>
          <w:numId w:val="23"/>
        </w:numPr>
        <w:spacing w:line="360" w:lineRule="auto"/>
        <w:rPr>
          <w:rFonts w:ascii="宋体" w:hAnsi="宋体" w:cs="宋体"/>
          <w:kern w:val="0"/>
          <w:szCs w:val="20"/>
        </w:rPr>
      </w:pPr>
      <w:bookmarkStart w:id="296" w:name="_Toc27372"/>
      <w:bookmarkStart w:id="297" w:name="_Toc12392"/>
      <w:bookmarkStart w:id="298" w:name="_Toc13974"/>
      <w:bookmarkStart w:id="299" w:name="_Toc20586"/>
      <w:r>
        <w:rPr>
          <w:rFonts w:hint="eastAsia" w:ascii="宋体" w:hAnsi="宋体" w:cs="宋体"/>
          <w:kern w:val="0"/>
          <w:szCs w:val="20"/>
        </w:rPr>
        <w:t>作业时间内不应饮酒及酒后作业，不得从事与本职无关的其它活动</w:t>
      </w:r>
      <w:bookmarkEnd w:id="296"/>
      <w:bookmarkEnd w:id="297"/>
      <w:bookmarkEnd w:id="298"/>
      <w:bookmarkEnd w:id="299"/>
      <w:r>
        <w:rPr>
          <w:rFonts w:hint="eastAsia" w:ascii="宋体" w:hAnsi="宋体" w:cs="宋体"/>
          <w:kern w:val="0"/>
          <w:szCs w:val="20"/>
        </w:rPr>
        <w:t>；</w:t>
      </w:r>
    </w:p>
    <w:p>
      <w:pPr>
        <w:widowControl/>
        <w:numPr>
          <w:ilvl w:val="0"/>
          <w:numId w:val="23"/>
        </w:numPr>
        <w:spacing w:line="360" w:lineRule="auto"/>
        <w:rPr>
          <w:rFonts w:ascii="宋体" w:hAnsi="宋体" w:cs="宋体"/>
          <w:kern w:val="0"/>
          <w:szCs w:val="20"/>
        </w:rPr>
      </w:pPr>
      <w:bookmarkStart w:id="300" w:name="_Toc14188"/>
      <w:bookmarkStart w:id="301" w:name="_Toc32585"/>
      <w:bookmarkStart w:id="302" w:name="_Toc12550"/>
      <w:bookmarkStart w:id="303" w:name="_Toc21463"/>
      <w:r>
        <w:rPr>
          <w:rFonts w:hint="eastAsia" w:ascii="宋体" w:hAnsi="宋体" w:cs="宋体"/>
          <w:kern w:val="0"/>
          <w:szCs w:val="20"/>
        </w:rPr>
        <w:t>主动向班组长反馈作业过程中发现的异常情况。</w:t>
      </w:r>
      <w:bookmarkEnd w:id="300"/>
      <w:bookmarkEnd w:id="301"/>
      <w:bookmarkEnd w:id="302"/>
      <w:bookmarkEnd w:id="303"/>
    </w:p>
    <w:p>
      <w:pPr>
        <w:widowControl/>
        <w:numPr>
          <w:ilvl w:val="1"/>
          <w:numId w:val="0"/>
        </w:numPr>
        <w:spacing w:line="360" w:lineRule="auto"/>
        <w:jc w:val="left"/>
        <w:outlineLvl w:val="2"/>
        <w:rPr>
          <w:rFonts w:ascii="宋体" w:hAnsi="宋体" w:cs="宋体"/>
          <w:kern w:val="0"/>
          <w:szCs w:val="22"/>
        </w:rPr>
      </w:pPr>
      <w:bookmarkStart w:id="304" w:name="_Toc21803"/>
      <w:bookmarkStart w:id="305" w:name="_Toc528769170"/>
      <w:bookmarkStart w:id="306" w:name="_Toc23374"/>
      <w:r>
        <w:rPr>
          <w:rFonts w:hint="eastAsia" w:ascii="宋体" w:hAnsi="宋体" w:cs="宋体"/>
          <w:kern w:val="0"/>
          <w:szCs w:val="22"/>
        </w:rPr>
        <w:t>5.3应急管理</w:t>
      </w:r>
      <w:bookmarkEnd w:id="304"/>
      <w:bookmarkEnd w:id="305"/>
      <w:bookmarkEnd w:id="306"/>
      <w:r>
        <w:rPr>
          <w:rFonts w:hint="eastAsia" w:ascii="宋体" w:hAnsi="宋体" w:cs="宋体"/>
          <w:kern w:val="0"/>
          <w:szCs w:val="22"/>
        </w:rPr>
        <w:tab/>
      </w:r>
    </w:p>
    <w:p>
      <w:pPr>
        <w:widowControl/>
        <w:numPr>
          <w:ilvl w:val="2"/>
          <w:numId w:val="0"/>
        </w:numPr>
        <w:spacing w:line="360" w:lineRule="auto"/>
        <w:jc w:val="left"/>
        <w:outlineLvl w:val="3"/>
        <w:rPr>
          <w:rFonts w:ascii="宋体" w:hAnsi="宋体" w:cs="宋体"/>
          <w:kern w:val="0"/>
        </w:rPr>
      </w:pPr>
      <w:bookmarkStart w:id="307" w:name="_Toc14372"/>
      <w:bookmarkStart w:id="308" w:name="_Toc29257"/>
      <w:bookmarkStart w:id="309" w:name="_Toc12436"/>
      <w:bookmarkStart w:id="310" w:name="_Toc14512"/>
      <w:r>
        <w:rPr>
          <w:rFonts w:hint="eastAsia" w:ascii="宋体" w:hAnsi="宋体" w:cs="宋体"/>
          <w:kern w:val="0"/>
          <w:szCs w:val="22"/>
        </w:rPr>
        <w:t>5.3.1</w:t>
      </w:r>
      <w:r>
        <w:rPr>
          <w:rFonts w:hint="eastAsia" w:ascii="宋体" w:hAnsi="宋体" w:cs="宋体"/>
          <w:kern w:val="0"/>
        </w:rPr>
        <w:t>河道管理单位和养护单位应针对抗雪防冻、防汛抗台等情况制定相应的应急预案，制定重大活动及节假日保障方案，并按照要求做好相应保障及应急抢险工作。</w:t>
      </w:r>
      <w:bookmarkEnd w:id="307"/>
      <w:bookmarkEnd w:id="308"/>
      <w:bookmarkEnd w:id="309"/>
      <w:bookmarkEnd w:id="310"/>
    </w:p>
    <w:p>
      <w:pPr>
        <w:widowControl/>
        <w:numPr>
          <w:ilvl w:val="2"/>
          <w:numId w:val="0"/>
        </w:numPr>
        <w:spacing w:line="360" w:lineRule="auto"/>
        <w:jc w:val="left"/>
        <w:outlineLvl w:val="3"/>
        <w:rPr>
          <w:rFonts w:ascii="宋体" w:hAnsi="宋体" w:cs="宋体"/>
          <w:kern w:val="0"/>
        </w:rPr>
      </w:pPr>
      <w:bookmarkStart w:id="311" w:name="_Toc18283"/>
      <w:bookmarkStart w:id="312" w:name="_Toc6374"/>
      <w:bookmarkStart w:id="313" w:name="_Toc8980"/>
      <w:bookmarkStart w:id="314" w:name="_Toc16753"/>
      <w:r>
        <w:rPr>
          <w:rFonts w:hint="eastAsia" w:ascii="宋体" w:hAnsi="宋体" w:cs="宋体"/>
          <w:kern w:val="0"/>
          <w:szCs w:val="22"/>
        </w:rPr>
        <w:t>5.3.2</w:t>
      </w:r>
      <w:r>
        <w:rPr>
          <w:rFonts w:hint="eastAsia" w:ascii="宋体" w:hAnsi="宋体" w:cs="宋体"/>
          <w:kern w:val="0"/>
        </w:rPr>
        <w:t>应配备应急所需的人员、工具、设备和物资。</w:t>
      </w:r>
      <w:bookmarkEnd w:id="311"/>
      <w:bookmarkEnd w:id="312"/>
      <w:bookmarkEnd w:id="313"/>
      <w:bookmarkEnd w:id="314"/>
    </w:p>
    <w:p>
      <w:pPr>
        <w:widowControl/>
        <w:numPr>
          <w:ilvl w:val="2"/>
          <w:numId w:val="0"/>
        </w:numPr>
        <w:spacing w:line="360" w:lineRule="auto"/>
        <w:jc w:val="left"/>
        <w:outlineLvl w:val="3"/>
        <w:rPr>
          <w:rFonts w:ascii="宋体" w:hAnsi="宋体" w:cs="宋体"/>
          <w:kern w:val="0"/>
        </w:rPr>
      </w:pPr>
      <w:r>
        <w:rPr>
          <w:rFonts w:hint="eastAsia" w:ascii="宋体" w:hAnsi="宋体" w:cs="宋体"/>
          <w:kern w:val="0"/>
          <w:szCs w:val="22"/>
        </w:rPr>
        <w:t>5.3.3</w:t>
      </w:r>
      <w:r>
        <w:rPr>
          <w:rFonts w:hint="eastAsia" w:ascii="宋体" w:hAnsi="宋体" w:cs="宋体"/>
          <w:kern w:val="0"/>
        </w:rPr>
        <w:t>遇水质污染情况，应24h开启曝气循环设备，并采取增加设备数量、临时集中设置净水设备等措施，短时集中改善河道水质，直到河道水质达到预定标准。</w:t>
      </w:r>
    </w:p>
    <w:p>
      <w:pPr>
        <w:widowControl/>
        <w:numPr>
          <w:ilvl w:val="1"/>
          <w:numId w:val="0"/>
        </w:numPr>
        <w:spacing w:line="360" w:lineRule="auto"/>
        <w:jc w:val="left"/>
        <w:outlineLvl w:val="2"/>
        <w:rPr>
          <w:rFonts w:ascii="宋体" w:hAnsi="宋体" w:cs="宋体"/>
          <w:kern w:val="0"/>
        </w:rPr>
      </w:pPr>
      <w:bookmarkStart w:id="315" w:name="_Toc22537"/>
      <w:bookmarkStart w:id="316" w:name="_Toc528769171"/>
      <w:bookmarkStart w:id="317" w:name="_Toc22383"/>
      <w:r>
        <w:rPr>
          <w:rFonts w:hint="eastAsia" w:ascii="宋体" w:hAnsi="宋体" w:cs="宋体"/>
          <w:kern w:val="0"/>
        </w:rPr>
        <w:t>5.4资料管理</w:t>
      </w:r>
      <w:bookmarkEnd w:id="315"/>
      <w:bookmarkEnd w:id="316"/>
      <w:bookmarkEnd w:id="317"/>
    </w:p>
    <w:p>
      <w:pPr>
        <w:widowControl/>
        <w:numPr>
          <w:ilvl w:val="2"/>
          <w:numId w:val="0"/>
        </w:numPr>
        <w:spacing w:line="360" w:lineRule="auto"/>
        <w:jc w:val="left"/>
        <w:outlineLvl w:val="3"/>
        <w:rPr>
          <w:rFonts w:ascii="宋体" w:hAnsi="宋体" w:cs="宋体"/>
          <w:kern w:val="0"/>
        </w:rPr>
      </w:pPr>
      <w:r>
        <w:rPr>
          <w:rFonts w:hint="eastAsia" w:ascii="宋体" w:hAnsi="宋体" w:cs="宋体"/>
          <w:kern w:val="0"/>
        </w:rPr>
        <w:t>5.4.1城市河道养护管理单位应建立纸质、电子档案管理制度。</w:t>
      </w:r>
    </w:p>
    <w:p>
      <w:pPr>
        <w:widowControl/>
        <w:numPr>
          <w:ilvl w:val="2"/>
          <w:numId w:val="0"/>
        </w:numPr>
        <w:spacing w:line="360" w:lineRule="auto"/>
        <w:jc w:val="left"/>
        <w:outlineLvl w:val="3"/>
        <w:rPr>
          <w:rFonts w:ascii="宋体" w:hAnsi="宋体" w:cs="宋体"/>
          <w:kern w:val="0"/>
        </w:rPr>
      </w:pPr>
      <w:r>
        <w:rPr>
          <w:rFonts w:hint="eastAsia" w:ascii="宋体" w:hAnsi="宋体" w:cs="宋体"/>
          <w:kern w:val="0"/>
        </w:rPr>
        <w:t>5.4.2纸质档案整理应符合下列规定：</w:t>
      </w:r>
    </w:p>
    <w:p>
      <w:pPr>
        <w:widowControl/>
        <w:numPr>
          <w:ilvl w:val="0"/>
          <w:numId w:val="24"/>
        </w:numPr>
        <w:spacing w:line="360" w:lineRule="auto"/>
        <w:rPr>
          <w:rFonts w:ascii="宋体" w:hAnsi="宋体" w:cs="宋体"/>
          <w:kern w:val="0"/>
          <w:szCs w:val="20"/>
        </w:rPr>
      </w:pPr>
      <w:r>
        <w:rPr>
          <w:rFonts w:hint="eastAsia" w:ascii="宋体" w:hAnsi="宋体" w:cs="宋体"/>
          <w:kern w:val="0"/>
          <w:szCs w:val="20"/>
        </w:rPr>
        <w:t>养护管理均应形成台帐记录，留存巡查记录和整改记录，并形成档案留存；</w:t>
      </w:r>
    </w:p>
    <w:p>
      <w:pPr>
        <w:widowControl/>
        <w:numPr>
          <w:ilvl w:val="0"/>
          <w:numId w:val="24"/>
        </w:numPr>
        <w:spacing w:line="360" w:lineRule="auto"/>
        <w:rPr>
          <w:rFonts w:ascii="宋体" w:hAnsi="宋体" w:cs="宋体"/>
          <w:kern w:val="0"/>
          <w:szCs w:val="20"/>
        </w:rPr>
      </w:pPr>
      <w:r>
        <w:rPr>
          <w:rFonts w:hint="eastAsia" w:ascii="宋体" w:hAnsi="宋体" w:cs="宋体"/>
          <w:kern w:val="0"/>
          <w:szCs w:val="20"/>
        </w:rPr>
        <w:t>台帐档案应字迹工整、图面清晰、签章完备。</w:t>
      </w:r>
    </w:p>
    <w:p>
      <w:pPr>
        <w:widowControl/>
        <w:spacing w:line="360" w:lineRule="auto"/>
        <w:jc w:val="left"/>
        <w:outlineLvl w:val="3"/>
        <w:rPr>
          <w:rFonts w:ascii="宋体" w:hAnsi="宋体" w:cs="宋体"/>
          <w:kern w:val="0"/>
        </w:rPr>
      </w:pPr>
      <w:r>
        <w:rPr>
          <w:rFonts w:hint="eastAsia" w:ascii="宋体" w:hAnsi="宋体" w:cs="宋体"/>
          <w:kern w:val="0"/>
        </w:rPr>
        <w:t>5.4.3电子档案整理应符合下列规定：</w:t>
      </w:r>
    </w:p>
    <w:p>
      <w:pPr>
        <w:widowControl/>
        <w:spacing w:line="360" w:lineRule="auto"/>
        <w:ind w:left="420"/>
        <w:rPr>
          <w:rFonts w:ascii="宋体" w:hAnsi="宋体" w:cs="宋体"/>
          <w:kern w:val="0"/>
          <w:szCs w:val="20"/>
        </w:rPr>
      </w:pPr>
      <w:r>
        <w:rPr>
          <w:rFonts w:hint="eastAsia" w:ascii="宋体" w:hAnsi="宋体" w:cs="宋体"/>
          <w:kern w:val="0"/>
          <w:szCs w:val="20"/>
        </w:rPr>
        <w:t>a) 每条河道每月均应有照片留存，归档的照片应整理成册，分类编目，并附有相关说明；</w:t>
      </w:r>
    </w:p>
    <w:p>
      <w:pPr>
        <w:widowControl/>
        <w:spacing w:line="360" w:lineRule="auto"/>
        <w:ind w:left="420"/>
        <w:rPr>
          <w:rFonts w:ascii="宋体" w:hAnsi="宋体" w:cs="宋体"/>
          <w:kern w:val="0"/>
          <w:szCs w:val="20"/>
        </w:rPr>
      </w:pPr>
      <w:r>
        <w:rPr>
          <w:rFonts w:hint="eastAsia" w:ascii="宋体" w:hAnsi="宋体" w:cs="宋体"/>
          <w:kern w:val="0"/>
          <w:szCs w:val="20"/>
        </w:rPr>
        <w:t>b) 养护管理相关档案形成单位应制定电子文件管理制度和技术措施，并按要求归档，确保归档电子文件的质量；</w:t>
      </w:r>
    </w:p>
    <w:p>
      <w:pPr>
        <w:widowControl/>
        <w:spacing w:line="360" w:lineRule="auto"/>
        <w:ind w:left="420"/>
        <w:rPr>
          <w:rFonts w:ascii="宋体" w:hAnsi="宋体" w:cs="宋体"/>
          <w:kern w:val="0"/>
          <w:szCs w:val="20"/>
        </w:rPr>
      </w:pPr>
      <w:r>
        <w:rPr>
          <w:rFonts w:hint="eastAsia" w:ascii="宋体" w:hAnsi="宋体" w:cs="宋体"/>
          <w:kern w:val="0"/>
          <w:szCs w:val="20"/>
        </w:rPr>
        <w:t>c) 电子文件形成部门和个人应积极协助和支持档案机构开展电子文件归档管理的日常监督、指导及电子档案的保管、利用等工作。</w:t>
      </w:r>
    </w:p>
    <w:p>
      <w:pPr>
        <w:widowControl/>
        <w:numPr>
          <w:ilvl w:val="2"/>
          <w:numId w:val="0"/>
        </w:numPr>
        <w:spacing w:line="360" w:lineRule="auto"/>
        <w:jc w:val="left"/>
        <w:outlineLvl w:val="3"/>
        <w:rPr>
          <w:rFonts w:ascii="宋体" w:hAnsi="宋体" w:cs="宋体"/>
          <w:kern w:val="0"/>
        </w:rPr>
      </w:pPr>
      <w:r>
        <w:rPr>
          <w:rFonts w:hint="eastAsia" w:ascii="宋体" w:hAnsi="宋体" w:cs="宋体"/>
          <w:kern w:val="0"/>
        </w:rPr>
        <w:t>5.4.4电子档案的保管、存储、迁移、鉴定、利用、销毁、统计等管理应符合CJJ/T　117的规定。</w:t>
      </w:r>
    </w:p>
    <w:p>
      <w:pPr>
        <w:pStyle w:val="6"/>
        <w:spacing w:line="360" w:lineRule="auto"/>
        <w:jc w:val="center"/>
        <w:rPr>
          <w:rFonts w:hAnsi="宋体" w:cs="宋体"/>
          <w:color w:val="auto"/>
        </w:rPr>
      </w:pPr>
      <w:r>
        <w:rPr>
          <w:rFonts w:hint="eastAsia" w:hAnsi="宋体" w:cs="宋体"/>
          <w:color w:val="auto"/>
        </w:rPr>
        <w:br w:type="page"/>
      </w:r>
    </w:p>
    <w:p>
      <w:pPr>
        <w:spacing w:line="360" w:lineRule="auto"/>
        <w:rPr>
          <w:rFonts w:ascii="宋体" w:hAnsi="宋体" w:cs="宋体"/>
        </w:rPr>
      </w:pPr>
      <w:r>
        <w:rPr>
          <w:rFonts w:hint="eastAsia" w:ascii="宋体" w:hAnsi="宋体" w:cs="宋体"/>
          <w:b/>
          <w:sz w:val="36"/>
          <w:szCs w:val="36"/>
        </w:rPr>
        <w:t>附件2：</w:t>
      </w:r>
    </w:p>
    <w:p>
      <w:pPr>
        <w:pStyle w:val="6"/>
        <w:spacing w:line="360" w:lineRule="auto"/>
        <w:jc w:val="center"/>
        <w:rPr>
          <w:rFonts w:hAnsi="宋体" w:cs="宋体"/>
          <w:b/>
          <w:color w:val="auto"/>
          <w:sz w:val="36"/>
          <w:szCs w:val="36"/>
        </w:rPr>
      </w:pPr>
      <w:r>
        <w:rPr>
          <w:rFonts w:hint="eastAsia" w:hAnsi="宋体" w:cs="宋体"/>
          <w:b/>
          <w:color w:val="auto"/>
          <w:sz w:val="36"/>
          <w:szCs w:val="36"/>
        </w:rPr>
        <w:t>杭州市城市河道养护人员作业行为规范（试行）</w:t>
      </w:r>
    </w:p>
    <w:p>
      <w:pPr>
        <w:spacing w:line="360" w:lineRule="auto"/>
        <w:ind w:firstLine="420" w:firstLineChars="200"/>
        <w:jc w:val="center"/>
        <w:rPr>
          <w:rFonts w:ascii="宋体" w:hAnsi="宋体" w:cs="宋体"/>
          <w:szCs w:val="21"/>
        </w:rPr>
      </w:pPr>
      <w:r>
        <w:rPr>
          <w:rFonts w:hint="eastAsia" w:ascii="宋体" w:hAnsi="宋体" w:cs="宋体"/>
          <w:szCs w:val="21"/>
        </w:rPr>
        <w:t>第一章 总则</w:t>
      </w:r>
    </w:p>
    <w:p>
      <w:pPr>
        <w:spacing w:line="360" w:lineRule="auto"/>
        <w:ind w:firstLine="411" w:firstLineChars="196"/>
        <w:rPr>
          <w:rFonts w:ascii="宋体" w:hAnsi="宋体" w:cs="宋体"/>
          <w:szCs w:val="21"/>
        </w:rPr>
      </w:pPr>
      <w:r>
        <w:rPr>
          <w:rFonts w:hint="eastAsia" w:ascii="宋体" w:hAnsi="宋体" w:cs="宋体"/>
          <w:szCs w:val="21"/>
        </w:rPr>
        <w:t>第一条 为进一步规范城市河道日常养护操作管理，确保河道养护质量，树立城市河道养护人员良好的服务形象，特制定本规范。</w:t>
      </w:r>
    </w:p>
    <w:p>
      <w:pPr>
        <w:spacing w:line="360" w:lineRule="auto"/>
        <w:ind w:firstLine="411" w:firstLineChars="196"/>
        <w:rPr>
          <w:rFonts w:ascii="宋体" w:hAnsi="宋体" w:cs="宋体"/>
          <w:szCs w:val="21"/>
        </w:rPr>
      </w:pPr>
      <w:r>
        <w:rPr>
          <w:rFonts w:hint="eastAsia" w:ascii="宋体" w:hAnsi="宋体" w:cs="宋体"/>
          <w:szCs w:val="21"/>
        </w:rPr>
        <w:t>第二条 本规范是杭州市城市河道养护作业人员队伍队容风纪管理的基本依据，适用于杭州市区范围内（上城区、下城区、江干区、拱墅区、西湖区、景区、萧山区、余杭区、滨江区、经济技术开发区）所有城市河道一线养护作业人员。</w:t>
      </w:r>
    </w:p>
    <w:p>
      <w:pPr>
        <w:spacing w:line="360" w:lineRule="auto"/>
        <w:ind w:firstLine="420" w:firstLineChars="200"/>
        <w:jc w:val="center"/>
        <w:rPr>
          <w:rFonts w:ascii="宋体" w:hAnsi="宋体" w:cs="宋体"/>
          <w:szCs w:val="21"/>
        </w:rPr>
      </w:pPr>
      <w:r>
        <w:rPr>
          <w:rFonts w:hint="eastAsia" w:ascii="宋体" w:hAnsi="宋体" w:cs="宋体"/>
          <w:szCs w:val="21"/>
        </w:rPr>
        <w:t>第二章 仪容仪表</w:t>
      </w:r>
    </w:p>
    <w:p>
      <w:pPr>
        <w:spacing w:line="360" w:lineRule="auto"/>
        <w:ind w:firstLine="420" w:firstLineChars="200"/>
        <w:rPr>
          <w:rFonts w:ascii="宋体" w:hAnsi="宋体" w:cs="宋体"/>
          <w:szCs w:val="21"/>
        </w:rPr>
      </w:pPr>
      <w:r>
        <w:rPr>
          <w:rFonts w:hint="eastAsia" w:ascii="宋体" w:hAnsi="宋体" w:cs="宋体"/>
          <w:szCs w:val="21"/>
        </w:rPr>
        <w:t>第三条 河道作业人员工作期间应穿着统一工作服，保持着装整洁。</w:t>
      </w:r>
    </w:p>
    <w:p>
      <w:pPr>
        <w:numPr>
          <w:ilvl w:val="0"/>
          <w:numId w:val="25"/>
        </w:numPr>
        <w:spacing w:line="360" w:lineRule="auto"/>
        <w:ind w:firstLine="420" w:firstLineChars="200"/>
        <w:rPr>
          <w:rFonts w:ascii="宋体" w:hAnsi="宋体" w:cs="宋体"/>
          <w:szCs w:val="21"/>
        </w:rPr>
      </w:pPr>
      <w:r>
        <w:rPr>
          <w:rFonts w:hint="eastAsia" w:ascii="宋体" w:hAnsi="宋体" w:cs="宋体"/>
          <w:szCs w:val="21"/>
        </w:rPr>
        <w:t>作业时必须穿戴统一配发的工作服、工号牌。</w:t>
      </w:r>
    </w:p>
    <w:p>
      <w:pPr>
        <w:spacing w:line="360" w:lineRule="auto"/>
        <w:ind w:firstLine="1785" w:firstLineChars="850"/>
        <w:rPr>
          <w:rFonts w:ascii="宋体" w:hAnsi="宋体" w:cs="宋体"/>
          <w:szCs w:val="21"/>
        </w:rPr>
      </w:pPr>
      <w:r>
        <w:rPr>
          <w:rFonts w:hint="eastAsia" w:ascii="宋体" w:hAnsi="宋体" w:cs="宋体"/>
          <w:szCs w:val="21"/>
        </w:rPr>
        <w:t>正面                               侧面</w:t>
      </w:r>
    </w:p>
    <w:p>
      <w:pPr>
        <w:spacing w:line="360" w:lineRule="auto"/>
        <w:ind w:firstLine="480" w:firstLineChars="200"/>
        <w:rPr>
          <w:rFonts w:ascii="宋体" w:hAnsi="宋体" w:cs="宋体"/>
          <w:sz w:val="24"/>
        </w:rPr>
      </w:pPr>
      <w:r>
        <w:rPr>
          <w:rFonts w:hint="eastAsia" w:ascii="宋体" w:hAnsi="宋体" w:cs="宋体"/>
          <w:sz w:val="24"/>
        </w:rPr>
        <w:drawing>
          <wp:inline distT="0" distB="0" distL="114300" distR="114300">
            <wp:extent cx="2095500" cy="2676525"/>
            <wp:effectExtent l="0" t="0" r="7620" b="5715"/>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26"/>
                    <a:stretch>
                      <a:fillRect/>
                    </a:stretch>
                  </pic:blipFill>
                  <pic:spPr>
                    <a:xfrm>
                      <a:off x="0" y="0"/>
                      <a:ext cx="2095500" cy="2676525"/>
                    </a:xfrm>
                    <a:prstGeom prst="rect">
                      <a:avLst/>
                    </a:prstGeom>
                    <a:noFill/>
                    <a:ln>
                      <a:noFill/>
                    </a:ln>
                  </pic:spPr>
                </pic:pic>
              </a:graphicData>
            </a:graphic>
          </wp:inline>
        </w:drawing>
      </w:r>
      <w:r>
        <w:rPr>
          <w:rFonts w:hint="eastAsia" w:ascii="宋体" w:hAnsi="宋体" w:cs="宋体"/>
          <w:sz w:val="24"/>
        </w:rPr>
        <w:t xml:space="preserve">        </w:t>
      </w:r>
      <w:r>
        <w:rPr>
          <w:rFonts w:hint="eastAsia" w:ascii="宋体" w:hAnsi="宋体" w:cs="宋体"/>
          <w:sz w:val="24"/>
        </w:rPr>
        <w:drawing>
          <wp:inline distT="0" distB="0" distL="114300" distR="114300">
            <wp:extent cx="1943100" cy="2724150"/>
            <wp:effectExtent l="0" t="0" r="7620" b="381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27"/>
                    <a:stretch>
                      <a:fillRect/>
                    </a:stretch>
                  </pic:blipFill>
                  <pic:spPr>
                    <a:xfrm>
                      <a:off x="0" y="0"/>
                      <a:ext cx="1943100" cy="2724150"/>
                    </a:xfrm>
                    <a:prstGeom prst="rect">
                      <a:avLst/>
                    </a:prstGeom>
                    <a:noFill/>
                    <a:ln>
                      <a:noFill/>
                    </a:ln>
                  </pic:spPr>
                </pic:pic>
              </a:graphicData>
            </a:graphic>
          </wp:inline>
        </w:drawing>
      </w:r>
      <w:r>
        <w:rPr>
          <w:rFonts w:hint="eastAsia" w:ascii="宋体" w:hAnsi="宋体" w:cs="宋体"/>
          <w:sz w:val="24"/>
        </w:rPr>
        <w:t xml:space="preserve">   </w:t>
      </w:r>
    </w:p>
    <w:p>
      <w:pPr>
        <w:spacing w:line="360" w:lineRule="auto"/>
        <w:ind w:firstLine="420" w:firstLineChars="200"/>
        <w:rPr>
          <w:rFonts w:ascii="宋体" w:hAnsi="宋体" w:cs="宋体"/>
          <w:szCs w:val="21"/>
        </w:rPr>
      </w:pPr>
      <w:r>
        <w:rPr>
          <w:rFonts w:hint="eastAsia" w:ascii="宋体" w:hAnsi="宋体" w:cs="宋体"/>
          <w:szCs w:val="21"/>
        </w:rPr>
        <w:t>（二）作业时衣着整齐，工作服无污渍、无破损、无脱线、无纽扣缺损，扣全纽扣，不敞衣露怀（河面养护时须着救生衣），不挽袖卷裤腿（防汛时除外），不穿拖鞋工作。</w:t>
      </w:r>
    </w:p>
    <w:p>
      <w:pPr>
        <w:spacing w:line="360" w:lineRule="auto"/>
        <w:ind w:firstLine="420" w:firstLineChars="200"/>
        <w:rPr>
          <w:rFonts w:ascii="宋体" w:hAnsi="宋体" w:cs="宋体"/>
          <w:szCs w:val="21"/>
        </w:rPr>
      </w:pPr>
      <w:r>
        <w:rPr>
          <w:rFonts w:hint="eastAsia" w:ascii="宋体" w:hAnsi="宋体" w:cs="宋体"/>
          <w:szCs w:val="21"/>
        </w:rPr>
        <w:t>（三）工号牌要求佩戴在左胸前，表面保持干净，避免污渍迹沾染。工号牌长6.5cm，宽2cm，底色橘黄，字体为宋体，工号由各城区头两个字的首位字母和4位数字组成，如上城区，用SC开头后面跟0001，各城区可结合实际具体划分后四位数字。</w:t>
      </w:r>
    </w:p>
    <w:p>
      <w:pPr>
        <w:spacing w:line="360" w:lineRule="auto"/>
        <w:ind w:firstLine="420" w:firstLineChars="200"/>
        <w:rPr>
          <w:rFonts w:ascii="宋体" w:hAnsi="宋体" w:cs="宋体"/>
          <w:szCs w:val="21"/>
        </w:rPr>
      </w:pPr>
      <w:r>
        <w:rPr>
          <w:rFonts w:hint="eastAsia" w:ascii="宋体" w:hAnsi="宋体" w:cs="宋体"/>
          <w:szCs w:val="21"/>
        </w:rPr>
        <w:t>第四条 河道作业人员工号牌，一人一号，不得转借。河道作业人员在非工作时间，不得穿戴工作服，凡离开河道作业队伍时，工作服和工号牌一律上交。</w:t>
      </w:r>
    </w:p>
    <w:p>
      <w:pPr>
        <w:spacing w:line="360" w:lineRule="auto"/>
        <w:ind w:firstLine="660"/>
        <w:rPr>
          <w:rFonts w:ascii="宋体" w:hAnsi="宋体" w:cs="宋体"/>
          <w:szCs w:val="21"/>
        </w:rPr>
      </w:pPr>
      <w:r>
        <w:rPr>
          <w:rFonts w:hint="eastAsia" w:ascii="宋体" w:hAnsi="宋体" w:cs="宋体"/>
          <w:szCs w:val="21"/>
        </w:rPr>
        <w:t>第五条 河道作业人员仪表应当整洁。男作业人员不得留长发、蓄长须；女作业人员上岗前应把头发夹好。</w:t>
      </w:r>
    </w:p>
    <w:p>
      <w:pPr>
        <w:spacing w:line="360" w:lineRule="auto"/>
        <w:ind w:firstLine="420" w:firstLineChars="200"/>
        <w:jc w:val="center"/>
        <w:rPr>
          <w:rFonts w:ascii="宋体" w:hAnsi="宋体" w:cs="宋体"/>
          <w:szCs w:val="21"/>
        </w:rPr>
      </w:pPr>
      <w:r>
        <w:rPr>
          <w:rFonts w:hint="eastAsia" w:ascii="宋体" w:hAnsi="宋体" w:cs="宋体"/>
          <w:szCs w:val="21"/>
        </w:rPr>
        <w:t>第三章 行为规范</w:t>
      </w:r>
    </w:p>
    <w:p>
      <w:pPr>
        <w:spacing w:line="360" w:lineRule="auto"/>
        <w:ind w:firstLine="411" w:firstLineChars="196"/>
        <w:rPr>
          <w:rFonts w:ascii="宋体" w:hAnsi="宋体" w:cs="宋体"/>
          <w:szCs w:val="21"/>
        </w:rPr>
      </w:pPr>
      <w:r>
        <w:rPr>
          <w:rFonts w:hint="eastAsia" w:ascii="宋体" w:hAnsi="宋体" w:cs="宋体"/>
          <w:szCs w:val="21"/>
        </w:rPr>
        <w:t>第六条 河道作业人员应自觉做到文明礼仪，文明用语，礼让行人，规范作业，不得与他人、单位发生冲突。</w:t>
      </w:r>
    </w:p>
    <w:p>
      <w:pPr>
        <w:spacing w:line="360" w:lineRule="auto"/>
        <w:ind w:firstLine="411" w:firstLineChars="196"/>
        <w:rPr>
          <w:rFonts w:ascii="宋体" w:hAnsi="宋体" w:cs="宋体"/>
          <w:szCs w:val="21"/>
        </w:rPr>
      </w:pPr>
      <w:r>
        <w:rPr>
          <w:rFonts w:hint="eastAsia" w:ascii="宋体" w:hAnsi="宋体" w:cs="宋体"/>
          <w:szCs w:val="21"/>
        </w:rPr>
        <w:t>第七条 作业时间内严禁饮酒及酒后作业。不得边作业边吸烟、吃零食，不得聚堆闲聊、打牌休闲，不得从事与本职无关的其它活动。</w:t>
      </w:r>
    </w:p>
    <w:p>
      <w:pPr>
        <w:spacing w:line="360" w:lineRule="auto"/>
        <w:rPr>
          <w:rFonts w:ascii="宋体" w:hAnsi="宋体" w:cs="宋体"/>
          <w:szCs w:val="21"/>
        </w:rPr>
      </w:pPr>
      <w:r>
        <w:rPr>
          <w:rFonts w:hint="eastAsia" w:ascii="宋体" w:hAnsi="宋体" w:cs="宋体"/>
          <w:szCs w:val="21"/>
        </w:rPr>
        <w:t xml:space="preserve">    第八条 河岸作业人员应将作业工具和设备摆放整齐，不得将扫帚、畚箕等作业工具存放在绿化带中。垃圾运输车辆保持车容车貌整洁，停放在不影响其它车辆、行人通行的合适位置。河面作业人员下班时应将作业船只打扫干净并系在固定地点。非作业需要，不得使用作业车辆或船只。</w:t>
      </w:r>
    </w:p>
    <w:p>
      <w:pPr>
        <w:spacing w:line="360" w:lineRule="auto"/>
        <w:ind w:firstLine="415" w:firstLineChars="198"/>
        <w:rPr>
          <w:rFonts w:ascii="宋体" w:hAnsi="宋体" w:cs="宋体"/>
          <w:szCs w:val="21"/>
        </w:rPr>
      </w:pPr>
      <w:r>
        <w:rPr>
          <w:rFonts w:hint="eastAsia" w:ascii="宋体" w:hAnsi="宋体" w:cs="宋体"/>
          <w:szCs w:val="21"/>
        </w:rPr>
        <w:t>第九条 河岸作业人员作业时不漏扫、返扫，变换工作位置时，不得将工具沿地拖行或扛在肩上，应将工具手持离地或放置于作业车辆内。作业时装载垃圾防止撒漏，以免影响环境卫生。不得在河道内清洗作业工具。</w:t>
      </w:r>
    </w:p>
    <w:p>
      <w:pPr>
        <w:spacing w:line="360" w:lineRule="auto"/>
        <w:ind w:firstLine="420" w:firstLineChars="200"/>
        <w:rPr>
          <w:rFonts w:ascii="宋体" w:hAnsi="宋体" w:cs="宋体"/>
          <w:szCs w:val="21"/>
        </w:rPr>
      </w:pPr>
      <w:r>
        <w:rPr>
          <w:rFonts w:hint="eastAsia" w:ascii="宋体" w:hAnsi="宋体" w:cs="宋体"/>
          <w:szCs w:val="21"/>
        </w:rPr>
        <w:t>第十条 主动向班组长反馈作业过程中发现的异常情况（如违章行为、水质突变、已整治河道排水口晴天出水等现象）。</w:t>
      </w:r>
    </w:p>
    <w:p>
      <w:pPr>
        <w:spacing w:line="360" w:lineRule="auto"/>
        <w:ind w:firstLine="420" w:firstLineChars="200"/>
        <w:jc w:val="center"/>
        <w:rPr>
          <w:rFonts w:ascii="宋体" w:hAnsi="宋体" w:cs="宋体"/>
          <w:szCs w:val="21"/>
        </w:rPr>
      </w:pPr>
      <w:r>
        <w:rPr>
          <w:rFonts w:hint="eastAsia" w:ascii="宋体" w:hAnsi="宋体" w:cs="宋体"/>
          <w:szCs w:val="21"/>
        </w:rPr>
        <w:t>第四章 检查考核</w:t>
      </w:r>
    </w:p>
    <w:p>
      <w:pPr>
        <w:spacing w:line="360" w:lineRule="auto"/>
        <w:ind w:firstLine="420" w:firstLineChars="200"/>
        <w:rPr>
          <w:rFonts w:ascii="宋体" w:hAnsi="宋体" w:cs="宋体"/>
          <w:szCs w:val="21"/>
        </w:rPr>
      </w:pPr>
      <w:r>
        <w:rPr>
          <w:rFonts w:hint="eastAsia" w:ascii="宋体" w:hAnsi="宋体" w:cs="宋体"/>
          <w:szCs w:val="21"/>
        </w:rPr>
        <w:t>第十一条 各级监管部门应加强队容风纪教育，建立健全队容风纪检查制度。河道养护单位对队容风纪进行自查，区级河道行业主管部门组织日常检查，市级河道行业主管部门不定时抽查，及时督促纠正。</w:t>
      </w:r>
    </w:p>
    <w:p>
      <w:pPr>
        <w:spacing w:line="360" w:lineRule="auto"/>
        <w:ind w:firstLine="420" w:firstLineChars="200"/>
        <w:rPr>
          <w:rFonts w:ascii="宋体" w:hAnsi="宋体" w:cs="宋体"/>
          <w:szCs w:val="21"/>
        </w:rPr>
      </w:pPr>
      <w:r>
        <w:rPr>
          <w:rFonts w:hint="eastAsia" w:ascii="宋体" w:hAnsi="宋体" w:cs="宋体"/>
          <w:szCs w:val="21"/>
        </w:rPr>
        <w:t>第十二条 对检查中发现的作业等问题将纳入杭州市城市河道长效管理考核及养护服务考核。</w:t>
      </w:r>
    </w:p>
    <w:p>
      <w:pPr>
        <w:pStyle w:val="2"/>
        <w:spacing w:line="360" w:lineRule="auto"/>
        <w:ind w:firstLine="0" w:firstLineChars="0"/>
        <w:rPr>
          <w:rFonts w:cs="宋体"/>
          <w:sz w:val="21"/>
          <w:szCs w:val="21"/>
        </w:rPr>
        <w:sectPr>
          <w:footerReference r:id="rId8" w:type="default"/>
          <w:pgSz w:w="11907" w:h="16840"/>
          <w:pgMar w:top="1474" w:right="1814" w:bottom="1474" w:left="1814" w:header="851" w:footer="851" w:gutter="0"/>
          <w:pgNumType w:fmt="numberInDash"/>
          <w:cols w:space="720" w:num="1"/>
        </w:sectPr>
      </w:pPr>
    </w:p>
    <w:p>
      <w:pPr>
        <w:spacing w:line="360" w:lineRule="auto"/>
        <w:rPr>
          <w:rFonts w:ascii="宋体" w:hAnsi="宋体" w:cs="宋体"/>
        </w:rPr>
      </w:pPr>
      <w:r>
        <w:rPr>
          <w:rFonts w:hint="eastAsia" w:ascii="宋体" w:hAnsi="宋体" w:cs="宋体"/>
          <w:b/>
          <w:sz w:val="36"/>
          <w:szCs w:val="36"/>
        </w:rPr>
        <w:t>附件3：</w:t>
      </w: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pacing w:val="1"/>
          <w:sz w:val="32"/>
          <w:szCs w:val="32"/>
        </w:rPr>
        <w:t>2022年度杭州市城市水设施河道管理评分细则</w:t>
      </w:r>
    </w:p>
    <w:tbl>
      <w:tblPr>
        <w:tblStyle w:val="966"/>
        <w:tblW w:w="14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6"/>
        <w:gridCol w:w="1450"/>
        <w:gridCol w:w="11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5" w:hRule="atLeast"/>
          <w:jc w:val="center"/>
        </w:trPr>
        <w:tc>
          <w:tcPr>
            <w:tcW w:w="1196" w:type="dxa"/>
          </w:tcPr>
          <w:p>
            <w:pPr>
              <w:spacing w:before="13"/>
              <w:jc w:val="center"/>
              <w:rPr>
                <w:rFonts w:ascii="宋体" w:hAnsi="宋体" w:cs="宋体"/>
                <w:szCs w:val="21"/>
              </w:rPr>
            </w:pPr>
            <w:bookmarkStart w:id="318" w:name="_bookmark3"/>
            <w:bookmarkEnd w:id="318"/>
            <w:r>
              <w:rPr>
                <w:rFonts w:hint="eastAsia" w:ascii="宋体" w:hAnsi="宋体" w:cs="宋体"/>
                <w:spacing w:val="4"/>
                <w:szCs w:val="21"/>
              </w:rPr>
              <w:t>考核类别</w:t>
            </w:r>
          </w:p>
        </w:tc>
        <w:tc>
          <w:tcPr>
            <w:tcW w:w="1450" w:type="dxa"/>
          </w:tcPr>
          <w:p>
            <w:pPr>
              <w:spacing w:before="13"/>
              <w:ind w:left="321"/>
              <w:jc w:val="center"/>
              <w:rPr>
                <w:rFonts w:ascii="宋体" w:hAnsi="宋体" w:cs="宋体"/>
                <w:szCs w:val="21"/>
              </w:rPr>
            </w:pPr>
            <w:r>
              <w:rPr>
                <w:rFonts w:hint="eastAsia" w:ascii="宋体" w:hAnsi="宋体" w:cs="宋体"/>
                <w:spacing w:val="10"/>
                <w:szCs w:val="21"/>
              </w:rPr>
              <w:t>考核项目</w:t>
            </w:r>
          </w:p>
        </w:tc>
        <w:tc>
          <w:tcPr>
            <w:tcW w:w="11403" w:type="dxa"/>
          </w:tcPr>
          <w:p>
            <w:pPr>
              <w:spacing w:before="13"/>
              <w:ind w:left="5132"/>
              <w:rPr>
                <w:rFonts w:ascii="宋体" w:hAnsi="宋体" w:cs="宋体"/>
                <w:szCs w:val="21"/>
              </w:rPr>
            </w:pPr>
            <w:r>
              <w:rPr>
                <w:rFonts w:hint="eastAsia" w:ascii="宋体" w:hAnsi="宋体" w:cs="宋体"/>
                <w:spacing w:val="12"/>
                <w:szCs w:val="21"/>
              </w:rPr>
              <w:t>考核内容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jc w:val="center"/>
        </w:trPr>
        <w:tc>
          <w:tcPr>
            <w:tcW w:w="1196" w:type="dxa"/>
            <w:vMerge w:val="restart"/>
            <w:tcBorders>
              <w:bottom w:val="nil"/>
            </w:tcBorders>
          </w:tcPr>
          <w:p>
            <w:pPr>
              <w:spacing w:before="7"/>
              <w:ind w:left="124"/>
              <w:rPr>
                <w:rFonts w:ascii="宋体" w:hAnsi="宋体" w:cs="宋体"/>
                <w:szCs w:val="21"/>
              </w:rPr>
            </w:pPr>
            <w:r>
              <w:rPr>
                <w:rFonts w:hint="eastAsia" w:ascii="宋体" w:hAnsi="宋体" w:cs="宋体"/>
                <w:szCs w:val="21"/>
              </w:rPr>
              <w:t>1河道管理</w:t>
            </w:r>
          </w:p>
          <w:p>
            <w:pPr>
              <w:ind w:left="144"/>
              <w:rPr>
                <w:rFonts w:ascii="宋体" w:hAnsi="宋体" w:cs="宋体"/>
                <w:szCs w:val="21"/>
              </w:rPr>
            </w:pPr>
            <w:r>
              <w:rPr>
                <w:rFonts w:hint="eastAsia" w:ascii="宋体" w:hAnsi="宋体" w:cs="宋体"/>
                <w:spacing w:val="9"/>
                <w:szCs w:val="21"/>
              </w:rPr>
              <w:t>(38分)</w:t>
            </w:r>
          </w:p>
        </w:tc>
        <w:tc>
          <w:tcPr>
            <w:tcW w:w="1450" w:type="dxa"/>
          </w:tcPr>
          <w:p>
            <w:pPr>
              <w:spacing w:before="8"/>
              <w:ind w:left="121" w:right="198"/>
              <w:rPr>
                <w:rFonts w:ascii="宋体" w:hAnsi="宋体" w:cs="宋体"/>
                <w:szCs w:val="21"/>
              </w:rPr>
            </w:pPr>
            <w:r>
              <w:rPr>
                <w:rFonts w:hint="eastAsia" w:ascii="宋体" w:hAnsi="宋体" w:cs="宋体"/>
                <w:szCs w:val="21"/>
              </w:rPr>
              <w:t>1.1河道环境</w:t>
            </w:r>
            <w:r>
              <w:rPr>
                <w:rFonts w:hint="eastAsia" w:ascii="宋体" w:hAnsi="宋体" w:cs="宋体"/>
                <w:spacing w:val="2"/>
                <w:szCs w:val="21"/>
              </w:rPr>
              <w:t xml:space="preserve"> </w:t>
            </w:r>
            <w:r>
              <w:rPr>
                <w:rFonts w:hint="eastAsia" w:ascii="宋体" w:hAnsi="宋体" w:cs="宋体"/>
                <w:spacing w:val="6"/>
                <w:szCs w:val="21"/>
              </w:rPr>
              <w:t>管理(12分)</w:t>
            </w:r>
          </w:p>
        </w:tc>
        <w:tc>
          <w:tcPr>
            <w:tcW w:w="11403" w:type="dxa"/>
          </w:tcPr>
          <w:p>
            <w:pPr>
              <w:spacing w:before="7"/>
              <w:ind w:left="132"/>
              <w:rPr>
                <w:rFonts w:ascii="宋体" w:hAnsi="宋体" w:cs="宋体"/>
                <w:szCs w:val="21"/>
              </w:rPr>
            </w:pPr>
            <w:r>
              <w:rPr>
                <w:rFonts w:hint="eastAsia" w:ascii="宋体" w:hAnsi="宋体" w:cs="宋体"/>
                <w:spacing w:val="5"/>
                <w:szCs w:val="21"/>
              </w:rPr>
              <w:t>1.1.1河道养护</w:t>
            </w:r>
          </w:p>
          <w:p>
            <w:pPr>
              <w:spacing w:before="1"/>
              <w:ind w:left="132" w:right="11"/>
              <w:rPr>
                <w:rFonts w:ascii="宋体" w:hAnsi="宋体" w:cs="宋体"/>
                <w:szCs w:val="21"/>
              </w:rPr>
            </w:pPr>
            <w:r>
              <w:rPr>
                <w:rFonts w:hint="eastAsia" w:ascii="宋体" w:hAnsi="宋体" w:cs="宋体"/>
                <w:szCs w:val="21"/>
              </w:rPr>
              <w:t>未按《杭州市城市河道长效管理考核规范》《杭州市城市河道养护技术要求》《城市河道养护管理规范》《杭州市城市</w:t>
            </w:r>
            <w:r>
              <w:rPr>
                <w:rFonts w:hint="eastAsia" w:ascii="宋体" w:hAnsi="宋体" w:cs="宋体"/>
                <w:spacing w:val="11"/>
                <w:szCs w:val="21"/>
              </w:rPr>
              <w:t xml:space="preserve"> </w:t>
            </w:r>
            <w:r>
              <w:rPr>
                <w:rFonts w:hint="eastAsia" w:ascii="宋体" w:hAnsi="宋体" w:cs="宋体"/>
                <w:spacing w:val="4"/>
                <w:szCs w:val="21"/>
              </w:rPr>
              <w:t>河道养护人员作业行为规范》落实河道养护单位进行河道标准化、规范化养护的，根</w:t>
            </w:r>
            <w:r>
              <w:rPr>
                <w:rFonts w:hint="eastAsia" w:ascii="宋体" w:hAnsi="宋体" w:cs="宋体"/>
                <w:spacing w:val="3"/>
                <w:szCs w:val="21"/>
              </w:rPr>
              <w:t>据情况扣0.5至10分。</w:t>
            </w:r>
          </w:p>
          <w:p>
            <w:pPr>
              <w:ind w:left="132"/>
              <w:rPr>
                <w:rFonts w:ascii="宋体" w:hAnsi="宋体" w:cs="宋体"/>
                <w:szCs w:val="21"/>
              </w:rPr>
            </w:pPr>
            <w:r>
              <w:rPr>
                <w:rFonts w:hint="eastAsia" w:ascii="宋体" w:hAnsi="宋体" w:cs="宋体"/>
                <w:spacing w:val="5"/>
                <w:szCs w:val="21"/>
              </w:rPr>
              <w:t>1.1.2河道违章</w:t>
            </w:r>
          </w:p>
          <w:p>
            <w:pPr>
              <w:spacing w:before="22"/>
              <w:ind w:left="132" w:right="140"/>
              <w:rPr>
                <w:rFonts w:ascii="宋体" w:hAnsi="宋体" w:cs="宋体"/>
                <w:szCs w:val="21"/>
              </w:rPr>
            </w:pPr>
            <w:r>
              <w:rPr>
                <w:rFonts w:hint="eastAsia" w:ascii="宋体" w:hAnsi="宋体" w:cs="宋体"/>
                <w:szCs w:val="21"/>
              </w:rPr>
              <w:t>未按《杭州市城市河道建设管理条例》《杭州市城市河道保护管理办法》做好河道违章行为查</w:t>
            </w:r>
            <w:r>
              <w:rPr>
                <w:rFonts w:hint="eastAsia" w:ascii="宋体" w:hAnsi="宋体" w:cs="宋体"/>
                <w:spacing w:val="-1"/>
                <w:szCs w:val="21"/>
              </w:rPr>
              <w:t>处的，根据情况扣0.5至</w:t>
            </w:r>
            <w:r>
              <w:rPr>
                <w:rFonts w:hint="eastAsia" w:ascii="宋体" w:hAnsi="宋体" w:cs="宋体"/>
                <w:szCs w:val="21"/>
              </w:rPr>
              <w:t xml:space="preserve"> </w:t>
            </w:r>
            <w:r>
              <w:rPr>
                <w:rFonts w:hint="eastAsia" w:ascii="宋体" w:hAnsi="宋体" w:cs="宋体"/>
                <w:spacing w:val="-8"/>
                <w:szCs w:val="21"/>
              </w:rPr>
              <w:t>2</w:t>
            </w:r>
            <w:r>
              <w:rPr>
                <w:rFonts w:hint="eastAsia" w:ascii="宋体" w:hAnsi="宋体" w:cs="宋体"/>
                <w:spacing w:val="-23"/>
                <w:szCs w:val="21"/>
              </w:rPr>
              <w:t xml:space="preserve"> </w:t>
            </w:r>
            <w:r>
              <w:rPr>
                <w:rFonts w:hint="eastAsia" w:ascii="宋体" w:hAnsi="宋体" w:cs="宋体"/>
                <w:spacing w:val="-8"/>
                <w:szCs w:val="21"/>
              </w:rPr>
              <w:t>分</w:t>
            </w:r>
            <w:r>
              <w:rPr>
                <w:rFonts w:hint="eastAsia" w:ascii="宋体" w:hAnsi="宋体" w:cs="宋体"/>
                <w:spacing w:val="-34"/>
                <w:szCs w:val="21"/>
              </w:rPr>
              <w:t xml:space="preserve"> </w:t>
            </w:r>
            <w:r>
              <w:rPr>
                <w:rFonts w:hint="eastAsia" w:ascii="宋体" w:hAnsi="宋体" w:cs="宋体"/>
                <w:spacing w:val="-8"/>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9" w:hRule="atLeast"/>
          <w:jc w:val="center"/>
        </w:trPr>
        <w:tc>
          <w:tcPr>
            <w:tcW w:w="1196" w:type="dxa"/>
            <w:vMerge w:val="continue"/>
            <w:tcBorders>
              <w:top w:val="nil"/>
              <w:bottom w:val="nil"/>
            </w:tcBorders>
          </w:tcPr>
          <w:p>
            <w:pPr>
              <w:rPr>
                <w:rFonts w:ascii="宋体" w:hAnsi="宋体" w:cs="宋体"/>
              </w:rPr>
            </w:pPr>
          </w:p>
        </w:tc>
        <w:tc>
          <w:tcPr>
            <w:tcW w:w="1450" w:type="dxa"/>
          </w:tcPr>
          <w:p>
            <w:pPr>
              <w:spacing w:before="9"/>
              <w:ind w:left="121" w:right="167"/>
              <w:rPr>
                <w:rFonts w:ascii="宋体" w:hAnsi="宋体" w:cs="宋体"/>
                <w:szCs w:val="21"/>
              </w:rPr>
            </w:pPr>
            <w:r>
              <w:rPr>
                <w:rFonts w:hint="eastAsia" w:ascii="宋体" w:hAnsi="宋体" w:cs="宋体"/>
                <w:spacing w:val="5"/>
                <w:szCs w:val="21"/>
              </w:rPr>
              <w:t>1.2改善项目</w:t>
            </w:r>
            <w:r>
              <w:rPr>
                <w:rFonts w:hint="eastAsia" w:ascii="宋体" w:hAnsi="宋体" w:cs="宋体"/>
                <w:szCs w:val="21"/>
              </w:rPr>
              <w:t xml:space="preserve"> </w:t>
            </w:r>
            <w:r>
              <w:rPr>
                <w:rFonts w:hint="eastAsia" w:ascii="宋体" w:hAnsi="宋体" w:cs="宋体"/>
                <w:spacing w:val="6"/>
                <w:szCs w:val="21"/>
              </w:rPr>
              <w:t>管理(5分)</w:t>
            </w:r>
          </w:p>
        </w:tc>
        <w:tc>
          <w:tcPr>
            <w:tcW w:w="11403" w:type="dxa"/>
          </w:tcPr>
          <w:p>
            <w:pPr>
              <w:spacing w:before="10"/>
              <w:ind w:left="132"/>
              <w:rPr>
                <w:rFonts w:ascii="宋体" w:hAnsi="宋体" w:cs="宋体"/>
                <w:szCs w:val="21"/>
              </w:rPr>
            </w:pPr>
            <w:r>
              <w:rPr>
                <w:rFonts w:hint="eastAsia" w:ascii="宋体" w:hAnsi="宋体" w:cs="宋体"/>
                <w:spacing w:val="2"/>
                <w:szCs w:val="21"/>
              </w:rPr>
              <w:t>1.2.1城市河道及闸泵站工程管理</w:t>
            </w:r>
          </w:p>
          <w:p>
            <w:pPr>
              <w:spacing w:before="9"/>
              <w:ind w:left="132" w:right="3"/>
              <w:rPr>
                <w:rFonts w:ascii="宋体" w:hAnsi="宋体" w:cs="宋体"/>
                <w:szCs w:val="21"/>
              </w:rPr>
            </w:pPr>
            <w:r>
              <w:rPr>
                <w:rFonts w:hint="eastAsia" w:ascii="宋体" w:hAnsi="宋体" w:cs="宋体"/>
                <w:spacing w:val="1"/>
                <w:szCs w:val="21"/>
              </w:rPr>
              <w:t>未按《杭州市城市河道设施改善项目管理及考核</w:t>
            </w:r>
            <w:r>
              <w:rPr>
                <w:rFonts w:hint="eastAsia" w:ascii="宋体" w:hAnsi="宋体" w:cs="宋体"/>
                <w:szCs w:val="21"/>
              </w:rPr>
              <w:t xml:space="preserve">规范》、《杭州市城市河道设施改善工作规范》相关要求做好河道及闸 </w:t>
            </w:r>
            <w:r>
              <w:rPr>
                <w:rFonts w:hint="eastAsia" w:ascii="宋体" w:hAnsi="宋体" w:cs="宋体"/>
                <w:spacing w:val="5"/>
                <w:szCs w:val="21"/>
              </w:rPr>
              <w:t>站工程，导致台账记录缺失、错误、及报送不规范的，工程质量低下，进度滞后情况的，根据情况扣0.5至5分.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76" w:hRule="atLeast"/>
          <w:jc w:val="center"/>
        </w:trPr>
        <w:tc>
          <w:tcPr>
            <w:tcW w:w="1196" w:type="dxa"/>
            <w:vMerge w:val="continue"/>
            <w:tcBorders>
              <w:top w:val="nil"/>
              <w:bottom w:val="nil"/>
            </w:tcBorders>
          </w:tcPr>
          <w:p>
            <w:pPr>
              <w:rPr>
                <w:rFonts w:ascii="宋体" w:hAnsi="宋体" w:cs="宋体"/>
              </w:rPr>
            </w:pPr>
          </w:p>
        </w:tc>
        <w:tc>
          <w:tcPr>
            <w:tcW w:w="1450" w:type="dxa"/>
          </w:tcPr>
          <w:p>
            <w:pPr>
              <w:spacing w:before="11"/>
              <w:ind w:left="121" w:right="183"/>
              <w:rPr>
                <w:rFonts w:ascii="宋体" w:hAnsi="宋体" w:cs="宋体"/>
                <w:szCs w:val="21"/>
              </w:rPr>
            </w:pPr>
            <w:r>
              <w:rPr>
                <w:rFonts w:hint="eastAsia" w:ascii="宋体" w:hAnsi="宋体" w:cs="宋体"/>
                <w:spacing w:val="2"/>
                <w:szCs w:val="21"/>
              </w:rPr>
              <w:t>1.3河道水质</w:t>
            </w:r>
            <w:r>
              <w:rPr>
                <w:rFonts w:hint="eastAsia" w:ascii="宋体" w:hAnsi="宋体" w:cs="宋体"/>
                <w:spacing w:val="3"/>
                <w:szCs w:val="21"/>
              </w:rPr>
              <w:t xml:space="preserve"> </w:t>
            </w:r>
            <w:r>
              <w:rPr>
                <w:rFonts w:hint="eastAsia" w:ascii="宋体" w:hAnsi="宋体" w:cs="宋体"/>
                <w:spacing w:val="6"/>
                <w:szCs w:val="21"/>
              </w:rPr>
              <w:t>达标(10分)</w:t>
            </w:r>
          </w:p>
        </w:tc>
        <w:tc>
          <w:tcPr>
            <w:tcW w:w="11403" w:type="dxa"/>
          </w:tcPr>
          <w:p>
            <w:pPr>
              <w:spacing w:before="11"/>
              <w:ind w:left="132"/>
              <w:rPr>
                <w:rFonts w:ascii="宋体" w:hAnsi="宋体" w:cs="宋体"/>
                <w:szCs w:val="21"/>
              </w:rPr>
            </w:pPr>
            <w:r>
              <w:rPr>
                <w:rFonts w:hint="eastAsia" w:ascii="宋体" w:hAnsi="宋体" w:cs="宋体"/>
                <w:spacing w:val="5"/>
                <w:szCs w:val="21"/>
              </w:rPr>
              <w:t>1.3.1断面考核</w:t>
            </w:r>
          </w:p>
          <w:p>
            <w:pPr>
              <w:spacing w:before="2"/>
              <w:ind w:left="132" w:right="33"/>
              <w:rPr>
                <w:rFonts w:ascii="宋体" w:hAnsi="宋体" w:cs="宋体"/>
                <w:szCs w:val="21"/>
              </w:rPr>
            </w:pPr>
            <w:r>
              <w:rPr>
                <w:rFonts w:hint="eastAsia" w:ascii="宋体" w:hAnsi="宋体" w:cs="宋体"/>
                <w:szCs w:val="21"/>
              </w:rPr>
              <w:t>按照《杭州市河道水质考核方案》考核各城区考核断面水质情况。城区水质考核最终得分为该辖</w:t>
            </w:r>
            <w:r>
              <w:rPr>
                <w:rFonts w:hint="eastAsia" w:ascii="宋体" w:hAnsi="宋体" w:cs="宋体"/>
                <w:spacing w:val="-1"/>
                <w:szCs w:val="21"/>
              </w:rPr>
              <w:t>区内所有考核断面的平</w:t>
            </w:r>
            <w:r>
              <w:rPr>
                <w:rFonts w:hint="eastAsia" w:ascii="宋体" w:hAnsi="宋体" w:cs="宋体"/>
                <w:szCs w:val="21"/>
              </w:rPr>
              <w:t xml:space="preserve"> </w:t>
            </w:r>
            <w:r>
              <w:rPr>
                <w:rFonts w:hint="eastAsia" w:ascii="宋体" w:hAnsi="宋体" w:cs="宋体"/>
                <w:spacing w:val="7"/>
                <w:szCs w:val="21"/>
              </w:rPr>
              <w:t>均分计分乘以本项系数0.06。</w:t>
            </w:r>
          </w:p>
          <w:p>
            <w:pPr>
              <w:spacing w:before="2"/>
              <w:ind w:left="132"/>
              <w:rPr>
                <w:rFonts w:ascii="宋体" w:hAnsi="宋体" w:cs="宋体"/>
                <w:szCs w:val="21"/>
              </w:rPr>
            </w:pPr>
            <w:r>
              <w:rPr>
                <w:rFonts w:hint="eastAsia" w:ascii="宋体" w:hAnsi="宋体" w:cs="宋体"/>
                <w:spacing w:val="4"/>
                <w:szCs w:val="21"/>
              </w:rPr>
              <w:t>1.3.2排水口动态监管</w:t>
            </w:r>
          </w:p>
          <w:p>
            <w:pPr>
              <w:ind w:left="132" w:right="35"/>
              <w:rPr>
                <w:rFonts w:ascii="宋体" w:hAnsi="宋体" w:cs="宋体"/>
                <w:szCs w:val="21"/>
              </w:rPr>
            </w:pPr>
            <w:r>
              <w:rPr>
                <w:rFonts w:hint="eastAsia" w:ascii="宋体" w:hAnsi="宋体" w:cs="宋体"/>
                <w:szCs w:val="21"/>
              </w:rPr>
              <w:t>发现新增排水口或发生排水口失管的，或其他未按照《河道排水口动态监管管理规范》做好</w:t>
            </w:r>
            <w:r>
              <w:rPr>
                <w:rFonts w:hint="eastAsia" w:ascii="宋体" w:hAnsi="宋体" w:cs="宋体"/>
                <w:spacing w:val="-1"/>
                <w:szCs w:val="21"/>
              </w:rPr>
              <w:t>排出口动态监管工作的，根</w:t>
            </w:r>
            <w:r>
              <w:rPr>
                <w:rFonts w:hint="eastAsia" w:ascii="宋体" w:hAnsi="宋体" w:cs="宋体"/>
                <w:szCs w:val="21"/>
              </w:rPr>
              <w:t xml:space="preserve"> </w:t>
            </w:r>
            <w:r>
              <w:rPr>
                <w:rFonts w:hint="eastAsia" w:ascii="宋体" w:hAnsi="宋体" w:cs="宋体"/>
                <w:spacing w:val="15"/>
                <w:szCs w:val="21"/>
              </w:rPr>
              <w:t>据情况扣0.5至2分。</w:t>
            </w:r>
          </w:p>
          <w:p>
            <w:pPr>
              <w:ind w:left="132"/>
              <w:rPr>
                <w:rFonts w:ascii="宋体" w:hAnsi="宋体" w:cs="宋体"/>
                <w:szCs w:val="21"/>
              </w:rPr>
            </w:pPr>
            <w:r>
              <w:rPr>
                <w:rFonts w:hint="eastAsia" w:ascii="宋体" w:hAnsi="宋体" w:cs="宋体"/>
                <w:spacing w:val="4"/>
                <w:szCs w:val="21"/>
              </w:rPr>
              <w:t>1.3.3水生态修复提升</w:t>
            </w:r>
          </w:p>
          <w:p>
            <w:pPr>
              <w:spacing w:before="1"/>
              <w:ind w:left="132" w:right="35"/>
              <w:rPr>
                <w:rFonts w:ascii="宋体" w:hAnsi="宋体" w:cs="宋体"/>
                <w:szCs w:val="21"/>
              </w:rPr>
            </w:pPr>
            <w:r>
              <w:rPr>
                <w:rFonts w:hint="eastAsia" w:ascii="宋体" w:hAnsi="宋体" w:cs="宋体"/>
                <w:szCs w:val="21"/>
              </w:rPr>
              <w:t>未做好大面积外来物种入侵的；发现已完成生态治理项目缺失的；生态设施设备破损、不能</w:t>
            </w:r>
            <w:r>
              <w:rPr>
                <w:rFonts w:hint="eastAsia" w:ascii="宋体" w:hAnsi="宋体" w:cs="宋体"/>
                <w:spacing w:val="-1"/>
                <w:szCs w:val="21"/>
              </w:rPr>
              <w:t>正常使用的；发现生态治理</w:t>
            </w:r>
            <w:r>
              <w:rPr>
                <w:rFonts w:hint="eastAsia" w:ascii="宋体" w:hAnsi="宋体" w:cs="宋体"/>
                <w:szCs w:val="21"/>
              </w:rPr>
              <w:t xml:space="preserve"> </w:t>
            </w:r>
            <w:r>
              <w:rPr>
                <w:rFonts w:hint="eastAsia" w:ascii="宋体" w:hAnsi="宋体" w:cs="宋体"/>
                <w:spacing w:val="4"/>
                <w:szCs w:val="21"/>
              </w:rPr>
              <w:t>项目中存在失管状态的，或其他未按要求做好水生态修复提升的，根据情况扣0.2至1分。</w:t>
            </w:r>
          </w:p>
          <w:p>
            <w:pPr>
              <w:ind w:left="132"/>
              <w:rPr>
                <w:rFonts w:ascii="宋体" w:hAnsi="宋体" w:cs="宋体"/>
                <w:szCs w:val="21"/>
              </w:rPr>
            </w:pPr>
            <w:r>
              <w:rPr>
                <w:rFonts w:hint="eastAsia" w:ascii="宋体" w:hAnsi="宋体" w:cs="宋体"/>
                <w:spacing w:val="5"/>
                <w:szCs w:val="21"/>
              </w:rPr>
              <w:t>1.3.4水质突变情况</w:t>
            </w:r>
          </w:p>
          <w:p>
            <w:pPr>
              <w:spacing w:before="1"/>
              <w:ind w:left="132"/>
              <w:rPr>
                <w:rFonts w:ascii="宋体" w:hAnsi="宋体" w:cs="宋体"/>
                <w:szCs w:val="21"/>
              </w:rPr>
            </w:pPr>
            <w:r>
              <w:rPr>
                <w:rFonts w:hint="eastAsia" w:ascii="宋体" w:hAnsi="宋体" w:cs="宋体"/>
                <w:spacing w:val="5"/>
                <w:szCs w:val="21"/>
              </w:rPr>
              <w:t>河道有污花、蓝藻、死鱼，或其他水质突变情况的，根据情况扣0.2至1分。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jc w:val="center"/>
        </w:trPr>
        <w:tc>
          <w:tcPr>
            <w:tcW w:w="1196" w:type="dxa"/>
            <w:vMerge w:val="continue"/>
            <w:tcBorders>
              <w:top w:val="nil"/>
              <w:bottom w:val="nil"/>
            </w:tcBorders>
          </w:tcPr>
          <w:p>
            <w:pPr>
              <w:rPr>
                <w:rFonts w:ascii="宋体" w:hAnsi="宋体" w:cs="宋体"/>
              </w:rPr>
            </w:pPr>
          </w:p>
        </w:tc>
        <w:tc>
          <w:tcPr>
            <w:tcW w:w="1450" w:type="dxa"/>
          </w:tcPr>
          <w:p>
            <w:pPr>
              <w:spacing w:before="27"/>
              <w:ind w:left="121" w:right="217" w:hanging="20"/>
              <w:rPr>
                <w:rFonts w:ascii="宋体" w:hAnsi="宋体" w:cs="宋体"/>
                <w:szCs w:val="21"/>
              </w:rPr>
            </w:pPr>
            <w:r>
              <w:rPr>
                <w:rFonts w:hint="eastAsia" w:ascii="宋体" w:hAnsi="宋体" w:cs="宋体"/>
                <w:szCs w:val="21"/>
              </w:rPr>
              <w:t>1.4闸站设施</w:t>
            </w:r>
            <w:r>
              <w:rPr>
                <w:rFonts w:hint="eastAsia" w:ascii="宋体" w:hAnsi="宋体" w:cs="宋体"/>
                <w:spacing w:val="4"/>
                <w:szCs w:val="21"/>
              </w:rPr>
              <w:t xml:space="preserve"> </w:t>
            </w:r>
            <w:r>
              <w:rPr>
                <w:rFonts w:hint="eastAsia" w:ascii="宋体" w:hAnsi="宋体" w:cs="宋体"/>
                <w:spacing w:val="6"/>
                <w:szCs w:val="21"/>
              </w:rPr>
              <w:t>管理(6分)</w:t>
            </w:r>
          </w:p>
        </w:tc>
        <w:tc>
          <w:tcPr>
            <w:tcW w:w="11403" w:type="dxa"/>
          </w:tcPr>
          <w:p>
            <w:pPr>
              <w:spacing w:before="14"/>
              <w:ind w:left="132"/>
              <w:rPr>
                <w:rFonts w:ascii="宋体" w:hAnsi="宋体" w:cs="宋体"/>
                <w:szCs w:val="21"/>
              </w:rPr>
            </w:pPr>
            <w:r>
              <w:rPr>
                <w:rFonts w:hint="eastAsia" w:ascii="宋体" w:hAnsi="宋体" w:cs="宋体"/>
                <w:spacing w:val="4"/>
                <w:szCs w:val="21"/>
              </w:rPr>
              <w:t>1.4.1组织管理</w:t>
            </w:r>
          </w:p>
          <w:p>
            <w:pPr>
              <w:spacing w:before="1"/>
              <w:ind w:left="132"/>
              <w:rPr>
                <w:rFonts w:ascii="宋体" w:hAnsi="宋体" w:cs="宋体"/>
                <w:szCs w:val="21"/>
              </w:rPr>
            </w:pPr>
            <w:r>
              <w:rPr>
                <w:rFonts w:hint="eastAsia" w:ascii="宋体" w:hAnsi="宋体" w:cs="宋体"/>
                <w:szCs w:val="21"/>
              </w:rPr>
              <w:t>闸站生产管理、信息报送、引配水调度等规章制度不全，或其他未按要求做好闸站设施组织管理工作的，根据情况扣0.5至3分。</w:t>
            </w:r>
          </w:p>
          <w:p>
            <w:pPr>
              <w:spacing w:before="1"/>
              <w:ind w:left="132"/>
              <w:rPr>
                <w:rFonts w:ascii="宋体" w:hAnsi="宋体" w:cs="宋体"/>
                <w:szCs w:val="21"/>
              </w:rPr>
            </w:pPr>
            <w:r>
              <w:rPr>
                <w:rFonts w:hint="eastAsia" w:ascii="宋体" w:hAnsi="宋体" w:cs="宋体"/>
                <w:spacing w:val="5"/>
                <w:szCs w:val="21"/>
              </w:rPr>
              <w:t>1.4.2设施养护</w:t>
            </w:r>
          </w:p>
          <w:p>
            <w:pPr>
              <w:spacing w:before="1"/>
              <w:ind w:left="132" w:right="31"/>
              <w:rPr>
                <w:rFonts w:ascii="宋体" w:hAnsi="宋体" w:cs="宋体"/>
                <w:szCs w:val="21"/>
              </w:rPr>
            </w:pPr>
            <w:r>
              <w:rPr>
                <w:rFonts w:hint="eastAsia" w:ascii="宋体" w:hAnsi="宋体" w:cs="宋体"/>
                <w:spacing w:val="4"/>
                <w:szCs w:val="21"/>
              </w:rPr>
              <w:t>闸站范围保洁及绿化养护不到位，或其他设施未按《杭州市城市河道闸站管理养护》进行养护的，</w:t>
            </w:r>
            <w:r>
              <w:rPr>
                <w:rFonts w:hint="eastAsia" w:ascii="宋体" w:hAnsi="宋体" w:cs="宋体"/>
                <w:spacing w:val="3"/>
                <w:szCs w:val="21"/>
              </w:rPr>
              <w:t>根据情况扣0.5至3</w:t>
            </w:r>
            <w:r>
              <w:rPr>
                <w:rFonts w:hint="eastAsia" w:ascii="宋体" w:hAnsi="宋体" w:cs="宋体"/>
                <w:szCs w:val="21"/>
              </w:rPr>
              <w:t xml:space="preserve"> </w:t>
            </w:r>
            <w:r>
              <w:rPr>
                <w:rFonts w:hint="eastAsia" w:ascii="宋体" w:hAnsi="宋体" w:cs="宋体"/>
                <w:spacing w:val="-6"/>
                <w:szCs w:val="21"/>
              </w:rPr>
              <w:t>分</w:t>
            </w:r>
            <w:r>
              <w:rPr>
                <w:rFonts w:hint="eastAsia" w:ascii="宋体" w:hAnsi="宋体" w:cs="宋体"/>
                <w:spacing w:val="41"/>
                <w:szCs w:val="21"/>
              </w:rPr>
              <w:t xml:space="preserve"> </w:t>
            </w:r>
            <w:r>
              <w:rPr>
                <w:rFonts w:hint="eastAsia" w:ascii="宋体" w:hAnsi="宋体" w:cs="宋体"/>
                <w:spacing w:val="-6"/>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4" w:hRule="atLeast"/>
          <w:jc w:val="center"/>
        </w:trPr>
        <w:tc>
          <w:tcPr>
            <w:tcW w:w="1196" w:type="dxa"/>
            <w:vMerge w:val="continue"/>
            <w:tcBorders>
              <w:top w:val="nil"/>
            </w:tcBorders>
          </w:tcPr>
          <w:p>
            <w:pPr>
              <w:rPr>
                <w:rFonts w:ascii="宋体" w:hAnsi="宋体" w:cs="宋体"/>
              </w:rPr>
            </w:pPr>
          </w:p>
        </w:tc>
        <w:tc>
          <w:tcPr>
            <w:tcW w:w="1450" w:type="dxa"/>
          </w:tcPr>
          <w:p>
            <w:pPr>
              <w:spacing w:before="38"/>
              <w:ind w:left="121" w:right="198"/>
              <w:rPr>
                <w:rFonts w:ascii="宋体" w:hAnsi="宋体" w:cs="宋体"/>
                <w:szCs w:val="21"/>
              </w:rPr>
            </w:pPr>
            <w:r>
              <w:rPr>
                <w:rFonts w:hint="eastAsia" w:ascii="宋体" w:hAnsi="宋体" w:cs="宋体"/>
                <w:szCs w:val="21"/>
              </w:rPr>
              <w:t>1.5河道综合</w:t>
            </w:r>
            <w:r>
              <w:rPr>
                <w:rFonts w:hint="eastAsia" w:ascii="宋体" w:hAnsi="宋体" w:cs="宋体"/>
                <w:spacing w:val="2"/>
                <w:szCs w:val="21"/>
              </w:rPr>
              <w:t xml:space="preserve"> </w:t>
            </w:r>
            <w:r>
              <w:rPr>
                <w:rFonts w:hint="eastAsia" w:ascii="宋体" w:hAnsi="宋体" w:cs="宋体"/>
                <w:spacing w:val="6"/>
                <w:szCs w:val="21"/>
              </w:rPr>
              <w:t>管理(5分)</w:t>
            </w:r>
          </w:p>
        </w:tc>
        <w:tc>
          <w:tcPr>
            <w:tcW w:w="11403" w:type="dxa"/>
          </w:tcPr>
          <w:p>
            <w:pPr>
              <w:spacing w:before="47"/>
              <w:ind w:left="132"/>
              <w:rPr>
                <w:rFonts w:ascii="宋体" w:hAnsi="宋体" w:cs="宋体"/>
                <w:szCs w:val="21"/>
              </w:rPr>
            </w:pPr>
            <w:r>
              <w:rPr>
                <w:rFonts w:hint="eastAsia" w:ascii="宋体" w:hAnsi="宋体" w:cs="宋体"/>
                <w:spacing w:val="5"/>
                <w:szCs w:val="21"/>
              </w:rPr>
              <w:t>1.5.1法治化管理</w:t>
            </w:r>
          </w:p>
          <w:p>
            <w:pPr>
              <w:spacing w:before="1"/>
              <w:ind w:left="132" w:right="15"/>
              <w:rPr>
                <w:rFonts w:ascii="宋体" w:hAnsi="宋体" w:cs="宋体"/>
                <w:sz w:val="20"/>
                <w:szCs w:val="20"/>
              </w:rPr>
            </w:pPr>
            <w:r>
              <w:rPr>
                <w:rFonts w:hint="eastAsia" w:ascii="宋体" w:hAnsi="宋体" w:cs="宋体"/>
                <w:spacing w:val="10"/>
                <w:sz w:val="20"/>
                <w:szCs w:val="20"/>
              </w:rPr>
              <w:t>未按《杭州市城市河道建设和管理条例》《杭州市城市河道保护管理办法》做好涉河审批、批后监管，或其他法律法规</w:t>
            </w:r>
            <w:r>
              <w:rPr>
                <w:rFonts w:hint="eastAsia" w:ascii="宋体" w:hAnsi="宋体" w:cs="宋体"/>
                <w:spacing w:val="7"/>
                <w:sz w:val="20"/>
                <w:szCs w:val="20"/>
              </w:rPr>
              <w:t xml:space="preserve"> </w:t>
            </w:r>
            <w:r>
              <w:rPr>
                <w:rFonts w:hint="eastAsia" w:ascii="宋体" w:hAnsi="宋体" w:cs="宋体"/>
                <w:spacing w:val="17"/>
                <w:sz w:val="20"/>
                <w:szCs w:val="20"/>
              </w:rPr>
              <w:t>执行工作的，根据情况扣0.5至1分。</w:t>
            </w:r>
          </w:p>
        </w:tc>
      </w:tr>
    </w:tbl>
    <w:p>
      <w:pPr>
        <w:rPr>
          <w:rFonts w:ascii="宋体" w:hAnsi="宋体" w:cs="宋体"/>
        </w:rPr>
        <w:sectPr>
          <w:footerReference r:id="rId9" w:type="default"/>
          <w:pgSz w:w="17100" w:h="12280"/>
          <w:pgMar w:top="1043" w:right="2115" w:bottom="1634" w:left="925" w:header="0" w:footer="1515" w:gutter="0"/>
          <w:pgNumType w:fmt="numberInDash"/>
          <w:cols w:space="720" w:num="1"/>
        </w:sectPr>
      </w:pPr>
    </w:p>
    <w:p>
      <w:pPr>
        <w:rPr>
          <w:rFonts w:ascii="宋体" w:hAnsi="宋体" w:cs="宋体"/>
        </w:rPr>
      </w:pPr>
    </w:p>
    <w:tbl>
      <w:tblPr>
        <w:tblStyle w:val="966"/>
        <w:tblW w:w="140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3"/>
        <w:gridCol w:w="1499"/>
        <w:gridCol w:w="11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5" w:hRule="atLeast"/>
        </w:trPr>
        <w:tc>
          <w:tcPr>
            <w:tcW w:w="1463" w:type="dxa"/>
          </w:tcPr>
          <w:p>
            <w:pPr>
              <w:spacing w:before="13"/>
              <w:ind w:left="304"/>
              <w:rPr>
                <w:rFonts w:ascii="宋体" w:hAnsi="宋体" w:cs="宋体"/>
                <w:szCs w:val="21"/>
              </w:rPr>
            </w:pPr>
            <w:r>
              <w:rPr>
                <w:rFonts w:hint="eastAsia" w:ascii="宋体" w:hAnsi="宋体" w:cs="宋体"/>
                <w:spacing w:val="4"/>
                <w:szCs w:val="21"/>
              </w:rPr>
              <w:t>考核类别</w:t>
            </w:r>
          </w:p>
        </w:tc>
        <w:tc>
          <w:tcPr>
            <w:tcW w:w="1499" w:type="dxa"/>
          </w:tcPr>
          <w:p>
            <w:pPr>
              <w:spacing w:before="13"/>
              <w:ind w:left="301"/>
              <w:rPr>
                <w:rFonts w:ascii="宋体" w:hAnsi="宋体" w:cs="宋体"/>
                <w:szCs w:val="21"/>
              </w:rPr>
            </w:pPr>
            <w:r>
              <w:rPr>
                <w:rFonts w:hint="eastAsia" w:ascii="宋体" w:hAnsi="宋体" w:cs="宋体"/>
                <w:spacing w:val="10"/>
                <w:szCs w:val="21"/>
              </w:rPr>
              <w:t>考核项目</w:t>
            </w:r>
          </w:p>
        </w:tc>
        <w:tc>
          <w:tcPr>
            <w:tcW w:w="11127" w:type="dxa"/>
          </w:tcPr>
          <w:p>
            <w:pPr>
              <w:spacing w:before="13"/>
              <w:ind w:left="5122"/>
              <w:rPr>
                <w:rFonts w:ascii="宋体" w:hAnsi="宋体" w:cs="宋体"/>
                <w:szCs w:val="21"/>
              </w:rPr>
            </w:pPr>
            <w:r>
              <w:rPr>
                <w:rFonts w:hint="eastAsia" w:ascii="宋体" w:hAnsi="宋体" w:cs="宋体"/>
                <w:spacing w:val="12"/>
                <w:szCs w:val="21"/>
              </w:rPr>
              <w:t>考核内容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1463" w:type="dxa"/>
          </w:tcPr>
          <w:p>
            <w:pPr>
              <w:rPr>
                <w:rFonts w:ascii="宋体" w:hAnsi="宋体" w:cs="宋体"/>
              </w:rPr>
            </w:pPr>
          </w:p>
        </w:tc>
        <w:tc>
          <w:tcPr>
            <w:tcW w:w="1499" w:type="dxa"/>
          </w:tcPr>
          <w:p>
            <w:pPr>
              <w:rPr>
                <w:rFonts w:ascii="宋体" w:hAnsi="宋体" w:cs="宋体"/>
              </w:rPr>
            </w:pPr>
          </w:p>
        </w:tc>
        <w:tc>
          <w:tcPr>
            <w:tcW w:w="11127" w:type="dxa"/>
          </w:tcPr>
          <w:p>
            <w:pPr>
              <w:spacing w:before="7"/>
              <w:ind w:left="132"/>
              <w:rPr>
                <w:rFonts w:ascii="宋体" w:hAnsi="宋体" w:cs="宋体"/>
                <w:szCs w:val="21"/>
              </w:rPr>
            </w:pPr>
            <w:r>
              <w:rPr>
                <w:rFonts w:hint="eastAsia" w:ascii="宋体" w:hAnsi="宋体" w:cs="宋体"/>
                <w:spacing w:val="7"/>
                <w:szCs w:val="21"/>
              </w:rPr>
              <w:t>1.5.2专业化管理</w:t>
            </w:r>
          </w:p>
          <w:p>
            <w:pPr>
              <w:ind w:left="132"/>
              <w:rPr>
                <w:rFonts w:ascii="宋体" w:hAnsi="宋体" w:cs="宋体"/>
                <w:szCs w:val="21"/>
              </w:rPr>
            </w:pPr>
            <w:r>
              <w:rPr>
                <w:rFonts w:hint="eastAsia" w:ascii="宋体" w:hAnsi="宋体" w:cs="宋体"/>
                <w:szCs w:val="21"/>
              </w:rPr>
              <w:t>未按要求完成城市河道名录、设施量动态维护工作的；图审存在不符合相关法律法规及其他规定情形的：移交接收不及</w:t>
            </w:r>
          </w:p>
          <w:p>
            <w:pPr>
              <w:spacing w:before="70"/>
              <w:ind w:left="132"/>
              <w:rPr>
                <w:rFonts w:ascii="宋体" w:hAnsi="宋体" w:cs="宋体"/>
                <w:szCs w:val="21"/>
              </w:rPr>
            </w:pPr>
            <w:r>
              <w:rPr>
                <w:rFonts w:hint="eastAsia" w:ascii="宋体" w:hAnsi="宋体" w:cs="宋体"/>
                <w:spacing w:val="5"/>
                <w:szCs w:val="21"/>
              </w:rPr>
              <w:t>时造成城市河道失管的；或其他有未按要求做好城市</w:t>
            </w:r>
            <w:r>
              <w:rPr>
                <w:rFonts w:hint="eastAsia" w:ascii="宋体" w:hAnsi="宋体" w:cs="宋体"/>
                <w:spacing w:val="4"/>
                <w:szCs w:val="21"/>
              </w:rPr>
              <w:t>河道建管衔接工作的，根据情况扣0.5至2分，</w:t>
            </w:r>
          </w:p>
          <w:p>
            <w:pPr>
              <w:spacing w:before="21"/>
              <w:ind w:left="132"/>
              <w:rPr>
                <w:rFonts w:ascii="宋体" w:hAnsi="宋体" w:cs="宋体"/>
                <w:szCs w:val="21"/>
              </w:rPr>
            </w:pPr>
            <w:r>
              <w:rPr>
                <w:rFonts w:hint="eastAsia" w:ascii="宋体" w:hAnsi="宋体" w:cs="宋体"/>
                <w:spacing w:val="7"/>
                <w:szCs w:val="21"/>
              </w:rPr>
              <w:t>1.5.3智慧化管理</w:t>
            </w:r>
          </w:p>
          <w:p>
            <w:pPr>
              <w:spacing w:before="1"/>
              <w:ind w:left="132" w:right="53"/>
              <w:rPr>
                <w:rFonts w:ascii="宋体" w:hAnsi="宋体" w:cs="宋体"/>
                <w:sz w:val="20"/>
                <w:szCs w:val="20"/>
              </w:rPr>
            </w:pPr>
            <w:r>
              <w:rPr>
                <w:rFonts w:hint="eastAsia" w:ascii="宋体" w:hAnsi="宋体" w:cs="宋体"/>
                <w:spacing w:val="12"/>
                <w:sz w:val="20"/>
                <w:szCs w:val="20"/>
              </w:rPr>
              <w:t>每月平台系统登录率低于标准的；未做好城市河道智慧系统巡查、闸站、设施量维护等系统运用的，根据情</w:t>
            </w:r>
            <w:r>
              <w:rPr>
                <w:rFonts w:hint="eastAsia" w:ascii="宋体" w:hAnsi="宋体" w:cs="宋体"/>
                <w:spacing w:val="11"/>
                <w:sz w:val="20"/>
                <w:szCs w:val="20"/>
              </w:rPr>
              <w:t>况扣0.5至</w:t>
            </w:r>
            <w:r>
              <w:rPr>
                <w:rFonts w:hint="eastAsia" w:ascii="宋体" w:hAnsi="宋体" w:cs="宋体"/>
                <w:sz w:val="20"/>
                <w:szCs w:val="20"/>
              </w:rPr>
              <w:t xml:space="preserve"> </w:t>
            </w:r>
            <w:r>
              <w:rPr>
                <w:rFonts w:hint="eastAsia" w:ascii="宋体" w:hAnsi="宋体" w:cs="宋体"/>
                <w:spacing w:val="-3"/>
                <w:sz w:val="20"/>
                <w:szCs w:val="20"/>
              </w:rPr>
              <w:t>2</w:t>
            </w:r>
            <w:r>
              <w:rPr>
                <w:rFonts w:hint="eastAsia" w:ascii="宋体" w:hAnsi="宋体" w:cs="宋体"/>
                <w:spacing w:val="-18"/>
                <w:sz w:val="20"/>
                <w:szCs w:val="20"/>
              </w:rPr>
              <w:t xml:space="preserve"> </w:t>
            </w:r>
            <w:r>
              <w:rPr>
                <w:rFonts w:hint="eastAsia" w:ascii="宋体" w:hAnsi="宋体" w:cs="宋体"/>
                <w:spacing w:val="-3"/>
                <w:sz w:val="20"/>
                <w:szCs w:val="20"/>
              </w:rPr>
              <w:t>分</w:t>
            </w:r>
            <w:r>
              <w:rPr>
                <w:rFonts w:hint="eastAsia" w:ascii="宋体" w:hAnsi="宋体" w:cs="宋体"/>
                <w:spacing w:val="-28"/>
                <w:sz w:val="20"/>
                <w:szCs w:val="20"/>
              </w:rPr>
              <w:t xml:space="preserve"> </w:t>
            </w:r>
            <w:r>
              <w:rPr>
                <w:rFonts w:hint="eastAsia" w:ascii="宋体" w:hAnsi="宋体" w:cs="宋体"/>
                <w:spacing w:val="-3"/>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9" w:hRule="atLeast"/>
        </w:trPr>
        <w:tc>
          <w:tcPr>
            <w:tcW w:w="1463" w:type="dxa"/>
            <w:vMerge w:val="restart"/>
            <w:tcBorders>
              <w:bottom w:val="nil"/>
            </w:tcBorders>
          </w:tcPr>
          <w:p>
            <w:pPr>
              <w:spacing w:before="20"/>
              <w:ind w:left="114"/>
              <w:rPr>
                <w:rFonts w:ascii="宋体" w:hAnsi="宋体" w:cs="宋体"/>
                <w:szCs w:val="21"/>
              </w:rPr>
            </w:pPr>
            <w:r>
              <w:rPr>
                <w:rFonts w:hint="eastAsia" w:ascii="宋体" w:hAnsi="宋体" w:cs="宋体"/>
                <w:spacing w:val="-2"/>
                <w:position w:val="5"/>
                <w:szCs w:val="21"/>
              </w:rPr>
              <w:t>2污水管理</w:t>
            </w:r>
          </w:p>
          <w:p>
            <w:pPr>
              <w:ind w:left="184"/>
              <w:rPr>
                <w:rFonts w:ascii="宋体" w:hAnsi="宋体" w:cs="宋体"/>
                <w:szCs w:val="21"/>
              </w:rPr>
            </w:pPr>
            <w:r>
              <w:rPr>
                <w:rFonts w:hint="eastAsia" w:ascii="宋体" w:hAnsi="宋体" w:cs="宋体"/>
                <w:spacing w:val="-9"/>
                <w:szCs w:val="21"/>
              </w:rPr>
              <w:t>(18)</w:t>
            </w:r>
          </w:p>
        </w:tc>
        <w:tc>
          <w:tcPr>
            <w:tcW w:w="1499" w:type="dxa"/>
          </w:tcPr>
          <w:p>
            <w:pPr>
              <w:spacing w:before="39"/>
              <w:ind w:left="101" w:right="252" w:hanging="10"/>
              <w:rPr>
                <w:rFonts w:ascii="宋体" w:hAnsi="宋体" w:cs="宋体"/>
                <w:szCs w:val="21"/>
              </w:rPr>
            </w:pPr>
            <w:r>
              <w:rPr>
                <w:rFonts w:hint="eastAsia" w:ascii="宋体" w:hAnsi="宋体" w:cs="宋体"/>
                <w:spacing w:val="-2"/>
                <w:szCs w:val="21"/>
              </w:rPr>
              <w:t>2.1污水设施</w:t>
            </w:r>
            <w:r>
              <w:rPr>
                <w:rFonts w:hint="eastAsia" w:ascii="宋体" w:hAnsi="宋体" w:cs="宋体"/>
                <w:spacing w:val="2"/>
                <w:szCs w:val="21"/>
              </w:rPr>
              <w:t xml:space="preserve"> </w:t>
            </w:r>
            <w:r>
              <w:rPr>
                <w:rFonts w:hint="eastAsia" w:ascii="宋体" w:hAnsi="宋体" w:cs="宋体"/>
                <w:spacing w:val="6"/>
                <w:szCs w:val="21"/>
              </w:rPr>
              <w:t>管理(5分)</w:t>
            </w:r>
          </w:p>
        </w:tc>
        <w:tc>
          <w:tcPr>
            <w:tcW w:w="11127" w:type="dxa"/>
          </w:tcPr>
          <w:p>
            <w:pPr>
              <w:spacing w:before="18"/>
              <w:ind w:left="132" w:right="51"/>
              <w:rPr>
                <w:rFonts w:ascii="宋体" w:hAnsi="宋体" w:cs="宋体"/>
                <w:sz w:val="20"/>
                <w:szCs w:val="20"/>
              </w:rPr>
            </w:pPr>
            <w:r>
              <w:rPr>
                <w:rFonts w:hint="eastAsia" w:ascii="宋体" w:hAnsi="宋体" w:cs="宋体"/>
                <w:spacing w:val="10"/>
                <w:sz w:val="20"/>
                <w:szCs w:val="20"/>
              </w:rPr>
              <w:t>未按《杭州市城镇污水处理厂检查工作方案》和管网养护标准，进行养护或未开展相关工作的；相关数据未按时上报住</w:t>
            </w:r>
            <w:r>
              <w:rPr>
                <w:rFonts w:hint="eastAsia" w:ascii="宋体" w:hAnsi="宋体" w:cs="宋体"/>
                <w:spacing w:val="11"/>
                <w:sz w:val="20"/>
                <w:szCs w:val="20"/>
              </w:rPr>
              <w:t xml:space="preserve"> </w:t>
            </w:r>
            <w:r>
              <w:rPr>
                <w:rFonts w:hint="eastAsia" w:ascii="宋体" w:hAnsi="宋体" w:cs="宋体"/>
                <w:spacing w:val="13"/>
                <w:sz w:val="20"/>
                <w:szCs w:val="20"/>
              </w:rPr>
              <w:t>建部全国城镇污水处理管理信息系统、省厅系统平台的，根据情况扣0.5至5分。因管理不到位发生有责安全事故，此</w:t>
            </w:r>
            <w:r>
              <w:rPr>
                <w:rFonts w:hint="eastAsia" w:ascii="宋体" w:hAnsi="宋体" w:cs="宋体"/>
                <w:spacing w:val="18"/>
                <w:sz w:val="20"/>
                <w:szCs w:val="20"/>
              </w:rPr>
              <w:t xml:space="preserve"> </w:t>
            </w:r>
            <w:r>
              <w:rPr>
                <w:rFonts w:hint="eastAsia" w:ascii="宋体" w:hAnsi="宋体" w:cs="宋体"/>
                <w:spacing w:val="29"/>
                <w:sz w:val="20"/>
                <w:szCs w:val="20"/>
              </w:rPr>
              <w:t>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1463" w:type="dxa"/>
            <w:vMerge w:val="continue"/>
            <w:tcBorders>
              <w:top w:val="nil"/>
              <w:bottom w:val="nil"/>
            </w:tcBorders>
          </w:tcPr>
          <w:p>
            <w:pPr>
              <w:rPr>
                <w:rFonts w:ascii="宋体" w:hAnsi="宋体" w:cs="宋体"/>
              </w:rPr>
            </w:pPr>
          </w:p>
        </w:tc>
        <w:tc>
          <w:tcPr>
            <w:tcW w:w="1499" w:type="dxa"/>
          </w:tcPr>
          <w:p>
            <w:pPr>
              <w:spacing w:before="31"/>
              <w:ind w:left="101" w:right="242"/>
              <w:rPr>
                <w:rFonts w:ascii="宋体" w:hAnsi="宋体" w:cs="宋体"/>
                <w:szCs w:val="21"/>
              </w:rPr>
            </w:pPr>
            <w:r>
              <w:rPr>
                <w:rFonts w:hint="eastAsia" w:ascii="宋体" w:hAnsi="宋体" w:cs="宋体"/>
                <w:spacing w:val="-2"/>
                <w:szCs w:val="21"/>
              </w:rPr>
              <w:t>2.2雨污分流</w:t>
            </w:r>
            <w:r>
              <w:rPr>
                <w:rFonts w:hint="eastAsia" w:ascii="宋体" w:hAnsi="宋体" w:cs="宋体"/>
                <w:spacing w:val="2"/>
                <w:szCs w:val="21"/>
              </w:rPr>
              <w:t xml:space="preserve"> </w:t>
            </w:r>
            <w:r>
              <w:rPr>
                <w:rFonts w:hint="eastAsia" w:ascii="宋体" w:hAnsi="宋体" w:cs="宋体"/>
                <w:spacing w:val="6"/>
                <w:szCs w:val="21"/>
              </w:rPr>
              <w:t>管理(8分)</w:t>
            </w:r>
          </w:p>
        </w:tc>
        <w:tc>
          <w:tcPr>
            <w:tcW w:w="11127" w:type="dxa"/>
          </w:tcPr>
          <w:p>
            <w:pPr>
              <w:spacing w:before="31"/>
              <w:ind w:left="132"/>
              <w:rPr>
                <w:rFonts w:ascii="宋体" w:hAnsi="宋体" w:cs="宋体"/>
                <w:szCs w:val="21"/>
              </w:rPr>
            </w:pPr>
            <w:r>
              <w:rPr>
                <w:rFonts w:hint="eastAsia" w:ascii="宋体" w:hAnsi="宋体" w:cs="宋体"/>
                <w:spacing w:val="5"/>
                <w:szCs w:val="21"/>
              </w:rPr>
              <w:t>2.2.1河道异常出水</w:t>
            </w:r>
          </w:p>
          <w:p>
            <w:pPr>
              <w:spacing w:before="1"/>
              <w:ind w:left="132" w:right="74"/>
              <w:rPr>
                <w:rFonts w:ascii="宋体" w:hAnsi="宋体" w:cs="宋体"/>
                <w:szCs w:val="21"/>
              </w:rPr>
            </w:pPr>
            <w:r>
              <w:rPr>
                <w:rFonts w:hint="eastAsia" w:ascii="宋体" w:hAnsi="宋体" w:cs="宋体"/>
                <w:spacing w:val="8"/>
                <w:szCs w:val="21"/>
              </w:rPr>
              <w:t>河道排出口晴天异常出水；河道排出口雨天出水主要水质指标(氨氮、</w:t>
            </w:r>
            <w:r>
              <w:rPr>
                <w:rFonts w:hint="eastAsia" w:ascii="宋体" w:hAnsi="宋体" w:cs="宋体"/>
                <w:szCs w:val="21"/>
              </w:rPr>
              <w:t>COD</w:t>
            </w:r>
            <w:r>
              <w:rPr>
                <w:rFonts w:hint="eastAsia" w:ascii="宋体" w:hAnsi="宋体" w:cs="宋体"/>
                <w:spacing w:val="8"/>
                <w:szCs w:val="21"/>
              </w:rPr>
              <w:t>等)超过地表水V类水质标准5</w:t>
            </w:r>
            <w:r>
              <w:rPr>
                <w:rFonts w:hint="eastAsia" w:ascii="宋体" w:hAnsi="宋体" w:cs="宋体"/>
                <w:spacing w:val="7"/>
                <w:szCs w:val="21"/>
              </w:rPr>
              <w:t>0%,根据情况</w:t>
            </w:r>
            <w:r>
              <w:rPr>
                <w:rFonts w:hint="eastAsia" w:ascii="宋体" w:hAnsi="宋体" w:cs="宋体"/>
                <w:szCs w:val="21"/>
              </w:rPr>
              <w:t xml:space="preserve"> </w:t>
            </w:r>
            <w:r>
              <w:rPr>
                <w:rFonts w:hint="eastAsia" w:ascii="宋体" w:hAnsi="宋体" w:cs="宋体"/>
                <w:spacing w:val="11"/>
                <w:szCs w:val="21"/>
              </w:rPr>
              <w:t>扣0</w:t>
            </w:r>
            <w:r>
              <w:rPr>
                <w:rFonts w:hint="eastAsia" w:ascii="宋体" w:hAnsi="宋体" w:cs="宋体"/>
                <w:spacing w:val="-53"/>
                <w:szCs w:val="21"/>
              </w:rPr>
              <w:t xml:space="preserve"> </w:t>
            </w:r>
            <w:r>
              <w:rPr>
                <w:rFonts w:hint="eastAsia" w:ascii="宋体" w:hAnsi="宋体" w:cs="宋体"/>
                <w:spacing w:val="11"/>
                <w:szCs w:val="21"/>
              </w:rPr>
              <w:t>.</w:t>
            </w:r>
            <w:r>
              <w:rPr>
                <w:rFonts w:hint="eastAsia" w:ascii="宋体" w:hAnsi="宋体" w:cs="宋体"/>
                <w:spacing w:val="-62"/>
                <w:szCs w:val="21"/>
              </w:rPr>
              <w:t xml:space="preserve"> </w:t>
            </w:r>
            <w:r>
              <w:rPr>
                <w:rFonts w:hint="eastAsia" w:ascii="宋体" w:hAnsi="宋体" w:cs="宋体"/>
                <w:spacing w:val="11"/>
                <w:szCs w:val="21"/>
              </w:rPr>
              <w:t>2至2分。</w:t>
            </w:r>
          </w:p>
          <w:p>
            <w:pPr>
              <w:spacing w:before="9"/>
              <w:ind w:left="132"/>
              <w:rPr>
                <w:rFonts w:ascii="宋体" w:hAnsi="宋体" w:cs="宋体"/>
                <w:szCs w:val="21"/>
              </w:rPr>
            </w:pPr>
            <w:r>
              <w:rPr>
                <w:rFonts w:hint="eastAsia" w:ascii="宋体" w:hAnsi="宋体" w:cs="宋体"/>
                <w:spacing w:val="9"/>
                <w:szCs w:val="21"/>
              </w:rPr>
              <w:t>2.2.2晴雨比</w:t>
            </w:r>
          </w:p>
          <w:p>
            <w:pPr>
              <w:spacing w:before="1"/>
              <w:ind w:left="132" w:right="19"/>
              <w:rPr>
                <w:rFonts w:ascii="宋体" w:hAnsi="宋体" w:cs="宋体"/>
                <w:szCs w:val="21"/>
              </w:rPr>
            </w:pPr>
            <w:r>
              <w:rPr>
                <w:rFonts w:hint="eastAsia" w:ascii="宋体" w:hAnsi="宋体" w:cs="宋体"/>
                <w:spacing w:val="3"/>
                <w:szCs w:val="21"/>
              </w:rPr>
              <w:t>辖区街道晴雨比系数超过1.3,雨天污水支管接入主管处水质指标(氨氮、</w:t>
            </w:r>
            <w:r>
              <w:rPr>
                <w:rFonts w:hint="eastAsia" w:ascii="宋体" w:hAnsi="宋体" w:cs="宋体"/>
                <w:szCs w:val="21"/>
              </w:rPr>
              <w:t>COD</w:t>
            </w:r>
            <w:r>
              <w:rPr>
                <w:rFonts w:hint="eastAsia" w:ascii="宋体" w:hAnsi="宋体" w:cs="宋体"/>
                <w:spacing w:val="3"/>
                <w:szCs w:val="21"/>
              </w:rPr>
              <w:t>等)相比晴</w:t>
            </w:r>
            <w:r>
              <w:rPr>
                <w:rFonts w:hint="eastAsia" w:ascii="宋体" w:hAnsi="宋体" w:cs="宋体"/>
                <w:spacing w:val="2"/>
                <w:szCs w:val="21"/>
              </w:rPr>
              <w:t>天下降30%,辖区出现污水满溢，</w:t>
            </w:r>
            <w:r>
              <w:rPr>
                <w:rFonts w:hint="eastAsia" w:ascii="宋体" w:hAnsi="宋体" w:cs="宋体"/>
                <w:szCs w:val="21"/>
              </w:rPr>
              <w:t xml:space="preserve"> </w:t>
            </w:r>
            <w:r>
              <w:rPr>
                <w:rFonts w:hint="eastAsia" w:ascii="宋体" w:hAnsi="宋体" w:cs="宋体"/>
                <w:spacing w:val="15"/>
                <w:szCs w:val="21"/>
              </w:rPr>
              <w:t>根据情况扣0.2至2分。</w:t>
            </w:r>
          </w:p>
          <w:p>
            <w:pPr>
              <w:spacing w:before="1"/>
              <w:ind w:left="132"/>
              <w:rPr>
                <w:rFonts w:ascii="宋体" w:hAnsi="宋体" w:cs="宋体"/>
                <w:szCs w:val="21"/>
              </w:rPr>
            </w:pPr>
            <w:r>
              <w:rPr>
                <w:rFonts w:hint="eastAsia" w:ascii="宋体" w:hAnsi="宋体" w:cs="宋体"/>
                <w:spacing w:val="4"/>
                <w:szCs w:val="21"/>
              </w:rPr>
              <w:t>2.2.3生活小区零直排</w:t>
            </w:r>
          </w:p>
          <w:p>
            <w:pPr>
              <w:spacing w:before="2"/>
              <w:ind w:left="132" w:right="87"/>
              <w:rPr>
                <w:rFonts w:ascii="宋体" w:hAnsi="宋体" w:cs="宋体"/>
                <w:szCs w:val="21"/>
              </w:rPr>
            </w:pPr>
            <w:r>
              <w:rPr>
                <w:rFonts w:hint="eastAsia" w:ascii="宋体" w:hAnsi="宋体" w:cs="宋体"/>
                <w:spacing w:val="6"/>
                <w:szCs w:val="21"/>
              </w:rPr>
              <w:t>生活小区污水零直排工作不到位；污水总出口水质检测，雨天主要水质</w:t>
            </w:r>
            <w:r>
              <w:rPr>
                <w:rFonts w:hint="eastAsia" w:ascii="宋体" w:hAnsi="宋体" w:cs="宋体"/>
                <w:spacing w:val="5"/>
                <w:szCs w:val="21"/>
              </w:rPr>
              <w:t>指标(氨氮、</w:t>
            </w:r>
            <w:r>
              <w:rPr>
                <w:rFonts w:hint="eastAsia" w:ascii="宋体" w:hAnsi="宋体" w:cs="宋体"/>
                <w:szCs w:val="21"/>
              </w:rPr>
              <w:t>COD</w:t>
            </w:r>
            <w:r>
              <w:rPr>
                <w:rFonts w:hint="eastAsia" w:ascii="宋体" w:hAnsi="宋体" w:cs="宋体"/>
                <w:spacing w:val="5"/>
                <w:szCs w:val="21"/>
              </w:rPr>
              <w:t>等)相比晴天下降30%;雨天雨</w:t>
            </w:r>
            <w:r>
              <w:rPr>
                <w:rFonts w:hint="eastAsia" w:ascii="宋体" w:hAnsi="宋体" w:cs="宋体"/>
                <w:szCs w:val="21"/>
              </w:rPr>
              <w:t xml:space="preserve"> </w:t>
            </w:r>
            <w:r>
              <w:rPr>
                <w:rFonts w:hint="eastAsia" w:ascii="宋体" w:hAnsi="宋体" w:cs="宋体"/>
                <w:spacing w:val="12"/>
                <w:szCs w:val="21"/>
              </w:rPr>
              <w:t>水排出口主要水质指标(氨氮、</w:t>
            </w:r>
            <w:r>
              <w:rPr>
                <w:rFonts w:hint="eastAsia" w:ascii="宋体" w:hAnsi="宋体" w:cs="宋体"/>
                <w:szCs w:val="21"/>
              </w:rPr>
              <w:t>COD</w:t>
            </w:r>
            <w:r>
              <w:rPr>
                <w:rFonts w:hint="eastAsia" w:ascii="宋体" w:hAnsi="宋体" w:cs="宋体"/>
                <w:spacing w:val="12"/>
                <w:szCs w:val="21"/>
              </w:rPr>
              <w:t>等)超过地表水V</w:t>
            </w:r>
            <w:r>
              <w:rPr>
                <w:rFonts w:hint="eastAsia" w:ascii="宋体" w:hAnsi="宋体" w:cs="宋体"/>
                <w:spacing w:val="11"/>
                <w:szCs w:val="21"/>
              </w:rPr>
              <w:t>类水质标准50%,根据情况扣0.2至2分。</w:t>
            </w:r>
          </w:p>
          <w:p>
            <w:pPr>
              <w:spacing w:before="37"/>
              <w:ind w:left="132"/>
              <w:rPr>
                <w:rFonts w:ascii="宋体" w:hAnsi="宋体" w:cs="宋体"/>
                <w:szCs w:val="21"/>
              </w:rPr>
            </w:pPr>
            <w:r>
              <w:rPr>
                <w:rFonts w:hint="eastAsia" w:ascii="宋体" w:hAnsi="宋体" w:cs="宋体"/>
                <w:spacing w:val="7"/>
                <w:szCs w:val="21"/>
              </w:rPr>
              <w:t>2.2.4排查整改</w:t>
            </w:r>
          </w:p>
          <w:p>
            <w:pPr>
              <w:ind w:left="132"/>
              <w:rPr>
                <w:rFonts w:ascii="宋体" w:hAnsi="宋体" w:cs="宋体"/>
                <w:szCs w:val="21"/>
              </w:rPr>
            </w:pPr>
            <w:r>
              <w:rPr>
                <w:rFonts w:hint="eastAsia" w:ascii="宋体" w:hAnsi="宋体" w:cs="宋体"/>
                <w:spacing w:val="7"/>
                <w:szCs w:val="21"/>
              </w:rPr>
              <w:t>对河道异常出水、雨污分流排查、整改工作质量不高、推进不力，根据情况扣0.2至2分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1" w:hRule="atLeast"/>
        </w:trPr>
        <w:tc>
          <w:tcPr>
            <w:tcW w:w="1463" w:type="dxa"/>
            <w:vMerge w:val="continue"/>
            <w:tcBorders>
              <w:top w:val="nil"/>
            </w:tcBorders>
          </w:tcPr>
          <w:p>
            <w:pPr>
              <w:rPr>
                <w:rFonts w:ascii="宋体" w:hAnsi="宋体" w:cs="宋体"/>
              </w:rPr>
            </w:pPr>
          </w:p>
        </w:tc>
        <w:tc>
          <w:tcPr>
            <w:tcW w:w="1499" w:type="dxa"/>
          </w:tcPr>
          <w:p>
            <w:pPr>
              <w:spacing w:before="33"/>
              <w:ind w:left="101" w:right="262" w:hanging="20"/>
              <w:rPr>
                <w:rFonts w:ascii="宋体" w:hAnsi="宋体" w:cs="宋体"/>
                <w:szCs w:val="21"/>
              </w:rPr>
            </w:pPr>
            <w:r>
              <w:rPr>
                <w:rFonts w:hint="eastAsia" w:ascii="宋体" w:hAnsi="宋体" w:cs="宋体"/>
                <w:spacing w:val="-2"/>
                <w:szCs w:val="21"/>
              </w:rPr>
              <w:t>2.3污水综合</w:t>
            </w:r>
            <w:r>
              <w:rPr>
                <w:rFonts w:hint="eastAsia" w:ascii="宋体" w:hAnsi="宋体" w:cs="宋体"/>
                <w:spacing w:val="2"/>
                <w:szCs w:val="21"/>
              </w:rPr>
              <w:t xml:space="preserve"> </w:t>
            </w:r>
            <w:r>
              <w:rPr>
                <w:rFonts w:hint="eastAsia" w:ascii="宋体" w:hAnsi="宋体" w:cs="宋体"/>
                <w:spacing w:val="6"/>
                <w:szCs w:val="21"/>
              </w:rPr>
              <w:t>管理(5分)</w:t>
            </w:r>
          </w:p>
        </w:tc>
        <w:tc>
          <w:tcPr>
            <w:tcW w:w="11127" w:type="dxa"/>
          </w:tcPr>
          <w:p>
            <w:pPr>
              <w:spacing w:before="94"/>
              <w:ind w:left="132"/>
              <w:rPr>
                <w:rFonts w:ascii="宋体" w:hAnsi="宋体" w:cs="宋体"/>
                <w:szCs w:val="21"/>
              </w:rPr>
            </w:pPr>
            <w:r>
              <w:rPr>
                <w:rFonts w:hint="eastAsia" w:ascii="宋体" w:hAnsi="宋体" w:cs="宋体"/>
                <w:spacing w:val="9"/>
                <w:szCs w:val="21"/>
              </w:rPr>
              <w:t>2.3.1用户管理</w:t>
            </w:r>
          </w:p>
          <w:p>
            <w:pPr>
              <w:spacing w:before="69"/>
              <w:ind w:left="132" w:right="72"/>
              <w:rPr>
                <w:rFonts w:ascii="宋体" w:hAnsi="宋体" w:cs="宋体"/>
                <w:szCs w:val="21"/>
              </w:rPr>
            </w:pPr>
            <w:r>
              <w:rPr>
                <w:rFonts w:hint="eastAsia" w:ascii="宋体" w:hAnsi="宋体" w:cs="宋体"/>
                <w:szCs w:val="21"/>
              </w:rPr>
              <w:t>排水用户进网水质检测未按目标任务完成；未及时督促污水水质检测超标排水用户进行整改；未及</w:t>
            </w:r>
            <w:r>
              <w:rPr>
                <w:rFonts w:hint="eastAsia" w:ascii="宋体" w:hAnsi="宋体" w:cs="宋体"/>
                <w:spacing w:val="-1"/>
                <w:szCs w:val="21"/>
              </w:rPr>
              <w:t>时督促雨水口排出污</w:t>
            </w:r>
            <w:r>
              <w:rPr>
                <w:rFonts w:hint="eastAsia" w:ascii="宋体" w:hAnsi="宋体" w:cs="宋体"/>
                <w:szCs w:val="21"/>
              </w:rPr>
              <w:t xml:space="preserve"> </w:t>
            </w:r>
            <w:r>
              <w:rPr>
                <w:rFonts w:hint="eastAsia" w:ascii="宋体" w:hAnsi="宋体" w:cs="宋体"/>
                <w:spacing w:val="7"/>
                <w:szCs w:val="21"/>
              </w:rPr>
              <w:t>水的排水用户进行整改，根据情况扣0.1至1分。</w:t>
            </w:r>
          </w:p>
          <w:p>
            <w:pPr>
              <w:spacing w:before="100"/>
              <w:ind w:left="132"/>
              <w:rPr>
                <w:rFonts w:ascii="宋体" w:hAnsi="宋体" w:cs="宋体"/>
                <w:szCs w:val="21"/>
              </w:rPr>
            </w:pPr>
            <w:r>
              <w:rPr>
                <w:rFonts w:hint="eastAsia" w:ascii="宋体" w:hAnsi="宋体" w:cs="宋体"/>
                <w:spacing w:val="4"/>
                <w:szCs w:val="21"/>
              </w:rPr>
              <w:t>2.3.2工地管理</w:t>
            </w:r>
          </w:p>
          <w:p>
            <w:pPr>
              <w:spacing w:before="61"/>
              <w:ind w:left="132"/>
              <w:rPr>
                <w:rFonts w:ascii="宋体" w:hAnsi="宋体" w:cs="宋体"/>
                <w:szCs w:val="21"/>
              </w:rPr>
            </w:pPr>
            <w:r>
              <w:rPr>
                <w:rFonts w:hint="eastAsia" w:ascii="宋体" w:hAnsi="宋体" w:cs="宋体"/>
                <w:spacing w:val="5"/>
                <w:szCs w:val="21"/>
              </w:rPr>
              <w:t>在建工地排水未规范纳管；工地周边区管排水设施监护不到位的，根据情况扣0.2至1分。</w:t>
            </w:r>
          </w:p>
          <w:p>
            <w:pPr>
              <w:spacing w:before="131"/>
              <w:ind w:left="132"/>
              <w:rPr>
                <w:rFonts w:ascii="宋体" w:hAnsi="宋体" w:cs="宋体"/>
                <w:szCs w:val="21"/>
              </w:rPr>
            </w:pPr>
            <w:r>
              <w:rPr>
                <w:rFonts w:hint="eastAsia" w:ascii="宋体" w:hAnsi="宋体" w:cs="宋体"/>
                <w:spacing w:val="7"/>
                <w:szCs w:val="21"/>
              </w:rPr>
              <w:t>2.3.3任务推进</w:t>
            </w:r>
          </w:p>
          <w:p>
            <w:pPr>
              <w:spacing w:before="51"/>
              <w:ind w:left="132" w:right="54"/>
              <w:rPr>
                <w:rFonts w:ascii="宋体" w:hAnsi="宋体" w:cs="宋体"/>
                <w:szCs w:val="21"/>
              </w:rPr>
            </w:pPr>
            <w:r>
              <w:rPr>
                <w:rFonts w:hint="eastAsia" w:ascii="宋体" w:hAnsi="宋体" w:cs="宋体"/>
                <w:szCs w:val="21"/>
              </w:rPr>
              <w:t>未按要求完成设施量统计上报、动态维护工作的；年度重点任务工作推进不力或滞后的，及其他未按要求上报污水任务</w:t>
            </w:r>
            <w:r>
              <w:rPr>
                <w:rFonts w:hint="eastAsia" w:ascii="宋体" w:hAnsi="宋体" w:cs="宋体"/>
                <w:spacing w:val="8"/>
                <w:szCs w:val="21"/>
              </w:rPr>
              <w:t xml:space="preserve"> </w:t>
            </w:r>
            <w:r>
              <w:rPr>
                <w:rFonts w:hint="eastAsia" w:ascii="宋体" w:hAnsi="宋体" w:cs="宋体"/>
                <w:spacing w:val="9"/>
                <w:szCs w:val="21"/>
              </w:rPr>
              <w:t>推进工作资料。根据情况扣0.2至1分。</w:t>
            </w:r>
          </w:p>
          <w:p>
            <w:pPr>
              <w:spacing w:before="91"/>
              <w:ind w:left="132"/>
              <w:rPr>
                <w:rFonts w:ascii="宋体" w:hAnsi="宋体" w:cs="宋体"/>
                <w:szCs w:val="21"/>
              </w:rPr>
            </w:pPr>
            <w:r>
              <w:rPr>
                <w:rFonts w:hint="eastAsia" w:ascii="宋体" w:hAnsi="宋体" w:cs="宋体"/>
                <w:spacing w:val="6"/>
                <w:szCs w:val="21"/>
              </w:rPr>
              <w:t>2.3.4智慧应用</w:t>
            </w:r>
          </w:p>
        </w:tc>
      </w:tr>
    </w:tbl>
    <w:p>
      <w:pPr>
        <w:rPr>
          <w:rFonts w:ascii="宋体" w:hAnsi="宋体" w:cs="宋体"/>
        </w:rPr>
      </w:pPr>
    </w:p>
    <w:p>
      <w:pPr>
        <w:rPr>
          <w:rFonts w:ascii="宋体" w:hAnsi="宋体" w:cs="宋体"/>
        </w:rPr>
        <w:sectPr>
          <w:footerReference r:id="rId10" w:type="default"/>
          <w:pgSz w:w="16840" w:h="11910"/>
          <w:pgMar w:top="1012" w:right="1605" w:bottom="1258" w:left="1135" w:header="0" w:footer="1119" w:gutter="0"/>
          <w:cols w:space="720" w:num="1"/>
        </w:sectPr>
      </w:pPr>
    </w:p>
    <w:p>
      <w:pPr>
        <w:rPr>
          <w:rFonts w:ascii="宋体" w:hAnsi="宋体" w:cs="宋体"/>
        </w:rPr>
      </w:pPr>
    </w:p>
    <w:tbl>
      <w:tblPr>
        <w:tblStyle w:val="966"/>
        <w:tblW w:w="140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4"/>
        <w:gridCol w:w="1499"/>
        <w:gridCol w:w="11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5" w:hRule="atLeast"/>
        </w:trPr>
        <w:tc>
          <w:tcPr>
            <w:tcW w:w="1464" w:type="dxa"/>
          </w:tcPr>
          <w:p>
            <w:pPr>
              <w:spacing w:before="13"/>
              <w:ind w:left="284"/>
              <w:rPr>
                <w:rFonts w:ascii="宋体" w:hAnsi="宋体" w:cs="宋体"/>
                <w:szCs w:val="21"/>
              </w:rPr>
            </w:pPr>
            <w:r>
              <w:rPr>
                <w:rFonts w:hint="eastAsia" w:ascii="宋体" w:hAnsi="宋体" w:cs="宋体"/>
                <w:spacing w:val="4"/>
                <w:szCs w:val="21"/>
              </w:rPr>
              <w:t>考核类别</w:t>
            </w:r>
          </w:p>
        </w:tc>
        <w:tc>
          <w:tcPr>
            <w:tcW w:w="1499" w:type="dxa"/>
          </w:tcPr>
          <w:p>
            <w:pPr>
              <w:spacing w:before="13"/>
              <w:ind w:left="331"/>
              <w:rPr>
                <w:rFonts w:ascii="宋体" w:hAnsi="宋体" w:cs="宋体"/>
                <w:szCs w:val="21"/>
              </w:rPr>
            </w:pPr>
            <w:r>
              <w:rPr>
                <w:rFonts w:hint="eastAsia" w:ascii="宋体" w:hAnsi="宋体" w:cs="宋体"/>
                <w:spacing w:val="10"/>
                <w:szCs w:val="21"/>
              </w:rPr>
              <w:t>考核项目</w:t>
            </w:r>
          </w:p>
        </w:tc>
        <w:tc>
          <w:tcPr>
            <w:tcW w:w="11097" w:type="dxa"/>
          </w:tcPr>
          <w:p>
            <w:pPr>
              <w:spacing w:before="13"/>
              <w:ind w:left="5142"/>
              <w:rPr>
                <w:rFonts w:ascii="宋体" w:hAnsi="宋体" w:cs="宋体"/>
                <w:szCs w:val="21"/>
              </w:rPr>
            </w:pPr>
            <w:r>
              <w:rPr>
                <w:rFonts w:hint="eastAsia" w:ascii="宋体" w:hAnsi="宋体" w:cs="宋体"/>
                <w:spacing w:val="7"/>
                <w:szCs w:val="21"/>
              </w:rPr>
              <w:t>考核内容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8" w:hRule="atLeast"/>
        </w:trPr>
        <w:tc>
          <w:tcPr>
            <w:tcW w:w="1464" w:type="dxa"/>
          </w:tcPr>
          <w:p>
            <w:pPr>
              <w:rPr>
                <w:rFonts w:ascii="宋体" w:hAnsi="宋体" w:cs="宋体"/>
              </w:rPr>
            </w:pPr>
          </w:p>
        </w:tc>
        <w:tc>
          <w:tcPr>
            <w:tcW w:w="1499" w:type="dxa"/>
          </w:tcPr>
          <w:p>
            <w:pPr>
              <w:rPr>
                <w:rFonts w:ascii="宋体" w:hAnsi="宋体" w:cs="宋体"/>
              </w:rPr>
            </w:pPr>
          </w:p>
        </w:tc>
        <w:tc>
          <w:tcPr>
            <w:tcW w:w="11097" w:type="dxa"/>
          </w:tcPr>
          <w:p>
            <w:pPr>
              <w:spacing w:before="78"/>
              <w:ind w:left="142" w:right="71"/>
              <w:rPr>
                <w:rFonts w:ascii="宋体" w:hAnsi="宋体" w:cs="宋体"/>
                <w:szCs w:val="21"/>
              </w:rPr>
            </w:pPr>
            <w:r>
              <w:rPr>
                <w:rFonts w:hint="eastAsia" w:ascii="宋体" w:hAnsi="宋体" w:cs="宋体"/>
                <w:spacing w:val="1"/>
                <w:szCs w:val="21"/>
              </w:rPr>
              <w:t>未通过智慧系统上报晴天异常排出口整改方案的，或其他未按要求推进污水信息化建设、应用工作的，根据情况扣0.2</w:t>
            </w:r>
            <w:r>
              <w:rPr>
                <w:rFonts w:hint="eastAsia" w:ascii="宋体" w:hAnsi="宋体" w:cs="宋体"/>
                <w:spacing w:val="4"/>
                <w:szCs w:val="21"/>
              </w:rPr>
              <w:t xml:space="preserve"> </w:t>
            </w:r>
            <w:r>
              <w:rPr>
                <w:rFonts w:hint="eastAsia" w:ascii="宋体" w:hAnsi="宋体" w:cs="宋体"/>
                <w:spacing w:val="24"/>
                <w:szCs w:val="21"/>
              </w:rPr>
              <w:t>至1分。</w:t>
            </w:r>
          </w:p>
          <w:p>
            <w:pPr>
              <w:spacing w:before="99"/>
              <w:ind w:left="142"/>
              <w:rPr>
                <w:rFonts w:ascii="宋体" w:hAnsi="宋体" w:cs="宋体"/>
                <w:szCs w:val="21"/>
              </w:rPr>
            </w:pPr>
            <w:r>
              <w:rPr>
                <w:rFonts w:hint="eastAsia" w:ascii="宋体" w:hAnsi="宋体" w:cs="宋体"/>
                <w:spacing w:val="6"/>
                <w:szCs w:val="21"/>
              </w:rPr>
              <w:t>2.3.5投诉处理</w:t>
            </w:r>
          </w:p>
          <w:p>
            <w:pPr>
              <w:spacing w:before="26"/>
              <w:ind w:left="142"/>
              <w:rPr>
                <w:rFonts w:ascii="宋体" w:hAnsi="宋体" w:cs="宋体"/>
                <w:sz w:val="20"/>
                <w:szCs w:val="20"/>
              </w:rPr>
            </w:pPr>
            <w:r>
              <w:rPr>
                <w:rFonts w:hint="eastAsia" w:ascii="宋体" w:hAnsi="宋体" w:cs="宋体"/>
                <w:spacing w:val="10"/>
                <w:sz w:val="20"/>
                <w:szCs w:val="20"/>
              </w:rPr>
              <w:t>出现有责投诉、处理投诉不及时、不到位或未告知其他相关部门的、处理投诉相互推诿情况的，根据情况扣0.2至1分。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59" w:hRule="atLeast"/>
        </w:trPr>
        <w:tc>
          <w:tcPr>
            <w:tcW w:w="1464" w:type="dxa"/>
            <w:vMerge w:val="restart"/>
            <w:tcBorders>
              <w:bottom w:val="nil"/>
            </w:tcBorders>
          </w:tcPr>
          <w:p>
            <w:pPr>
              <w:spacing w:before="10"/>
              <w:ind w:left="144"/>
              <w:rPr>
                <w:rFonts w:ascii="宋体" w:hAnsi="宋体" w:cs="宋体"/>
                <w:szCs w:val="21"/>
              </w:rPr>
            </w:pPr>
            <w:r>
              <w:rPr>
                <w:rFonts w:hint="eastAsia" w:ascii="宋体" w:hAnsi="宋体" w:cs="宋体"/>
                <w:spacing w:val="-2"/>
                <w:szCs w:val="21"/>
              </w:rPr>
              <w:t>3雨水管理</w:t>
            </w:r>
          </w:p>
          <w:p>
            <w:pPr>
              <w:ind w:left="144"/>
              <w:rPr>
                <w:rFonts w:ascii="宋体" w:hAnsi="宋体" w:cs="宋体"/>
                <w:szCs w:val="21"/>
              </w:rPr>
            </w:pPr>
            <w:r>
              <w:rPr>
                <w:rFonts w:hint="eastAsia" w:ascii="宋体" w:hAnsi="宋体" w:cs="宋体"/>
                <w:spacing w:val="9"/>
                <w:szCs w:val="21"/>
              </w:rPr>
              <w:t>(15分)</w:t>
            </w:r>
          </w:p>
        </w:tc>
        <w:tc>
          <w:tcPr>
            <w:tcW w:w="1499" w:type="dxa"/>
          </w:tcPr>
          <w:p>
            <w:pPr>
              <w:spacing w:before="9"/>
              <w:ind w:left="120" w:right="225"/>
              <w:rPr>
                <w:rFonts w:ascii="宋体" w:hAnsi="宋体" w:cs="宋体"/>
                <w:szCs w:val="21"/>
              </w:rPr>
            </w:pPr>
            <w:r>
              <w:rPr>
                <w:rFonts w:hint="eastAsia" w:ascii="宋体" w:hAnsi="宋体" w:cs="宋体"/>
                <w:spacing w:val="-2"/>
                <w:szCs w:val="21"/>
              </w:rPr>
              <w:t>3.1雨水设施</w:t>
            </w:r>
            <w:r>
              <w:rPr>
                <w:rFonts w:hint="eastAsia" w:ascii="宋体" w:hAnsi="宋体" w:cs="宋体"/>
                <w:szCs w:val="21"/>
              </w:rPr>
              <w:t xml:space="preserve"> </w:t>
            </w:r>
            <w:r>
              <w:rPr>
                <w:rFonts w:hint="eastAsia" w:ascii="宋体" w:hAnsi="宋体" w:cs="宋体"/>
                <w:spacing w:val="6"/>
                <w:szCs w:val="21"/>
              </w:rPr>
              <w:t>管理(8分)</w:t>
            </w:r>
          </w:p>
        </w:tc>
        <w:tc>
          <w:tcPr>
            <w:tcW w:w="11097" w:type="dxa"/>
          </w:tcPr>
          <w:p>
            <w:pPr>
              <w:spacing w:before="10"/>
              <w:ind w:left="142"/>
              <w:rPr>
                <w:rFonts w:ascii="宋体" w:hAnsi="宋体" w:cs="宋体"/>
                <w:szCs w:val="21"/>
              </w:rPr>
            </w:pPr>
            <w:r>
              <w:rPr>
                <w:rFonts w:hint="eastAsia" w:ascii="宋体" w:hAnsi="宋体" w:cs="宋体"/>
                <w:spacing w:val="7"/>
                <w:szCs w:val="21"/>
              </w:rPr>
              <w:t>3.1现场检查</w:t>
            </w:r>
          </w:p>
          <w:p>
            <w:pPr>
              <w:spacing w:before="1"/>
              <w:ind w:left="142" w:right="1118"/>
              <w:rPr>
                <w:rFonts w:ascii="宋体" w:hAnsi="宋体" w:cs="宋体"/>
                <w:szCs w:val="21"/>
              </w:rPr>
            </w:pPr>
            <w:r>
              <w:rPr>
                <w:rFonts w:hint="eastAsia" w:ascii="宋体" w:hAnsi="宋体" w:cs="宋体"/>
                <w:spacing w:val="6"/>
                <w:szCs w:val="21"/>
              </w:rPr>
              <w:t>雨水管渠及泵站作业要求及质量不符合《杭州市城市排水管渠养护管理</w:t>
            </w:r>
            <w:r>
              <w:rPr>
                <w:rFonts w:hint="eastAsia" w:ascii="宋体" w:hAnsi="宋体" w:cs="宋体"/>
                <w:spacing w:val="5"/>
                <w:szCs w:val="21"/>
              </w:rPr>
              <w:t>标准》的，根据情况扣0.5至4分.</w:t>
            </w:r>
            <w:r>
              <w:rPr>
                <w:rFonts w:hint="eastAsia" w:ascii="宋体" w:hAnsi="宋体" w:cs="宋体"/>
                <w:szCs w:val="21"/>
              </w:rPr>
              <w:t xml:space="preserve"> </w:t>
            </w:r>
            <w:r>
              <w:rPr>
                <w:rFonts w:hint="eastAsia" w:ascii="宋体" w:hAnsi="宋体" w:cs="宋体"/>
                <w:spacing w:val="8"/>
                <w:szCs w:val="21"/>
              </w:rPr>
              <w:t>3.2日常养护</w:t>
            </w:r>
          </w:p>
          <w:p>
            <w:pPr>
              <w:spacing w:before="1"/>
              <w:ind w:left="142"/>
              <w:rPr>
                <w:rFonts w:ascii="宋体" w:hAnsi="宋体" w:cs="宋体"/>
                <w:sz w:val="20"/>
                <w:szCs w:val="20"/>
              </w:rPr>
            </w:pPr>
            <w:r>
              <w:rPr>
                <w:rFonts w:hint="eastAsia" w:ascii="宋体" w:hAnsi="宋体" w:cs="宋体"/>
                <w:spacing w:val="11"/>
                <w:sz w:val="20"/>
                <w:szCs w:val="20"/>
              </w:rPr>
              <w:t>管网清疏、检测质量不高；未完成清疏、检测</w:t>
            </w:r>
            <w:r>
              <w:rPr>
                <w:rFonts w:hint="eastAsia" w:ascii="宋体" w:hAnsi="宋体" w:cs="宋体"/>
                <w:spacing w:val="10"/>
                <w:sz w:val="20"/>
                <w:szCs w:val="20"/>
              </w:rPr>
              <w:t>任务量；未开展清疏、检测工作的；相关数据未及时录入省厅等平台的，</w:t>
            </w:r>
            <w:r>
              <w:rPr>
                <w:rFonts w:hint="eastAsia" w:ascii="宋体" w:hAnsi="宋体" w:cs="宋体"/>
                <w:sz w:val="20"/>
                <w:szCs w:val="20"/>
              </w:rPr>
              <w:t xml:space="preserve"> </w:t>
            </w:r>
            <w:r>
              <w:rPr>
                <w:rFonts w:hint="eastAsia" w:ascii="宋体" w:hAnsi="宋体" w:cs="宋体"/>
                <w:spacing w:val="12"/>
                <w:sz w:val="20"/>
                <w:szCs w:val="20"/>
              </w:rPr>
              <w:t>及其它不符合《杭州市城市排水管渠养护管理标准》进行养护的，根据情况扣0.5至4分。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18" w:hRule="atLeast"/>
        </w:trPr>
        <w:tc>
          <w:tcPr>
            <w:tcW w:w="1464" w:type="dxa"/>
            <w:vMerge w:val="continue"/>
            <w:tcBorders>
              <w:top w:val="nil"/>
              <w:bottom w:val="nil"/>
            </w:tcBorders>
          </w:tcPr>
          <w:p>
            <w:pPr>
              <w:rPr>
                <w:rFonts w:ascii="宋体" w:hAnsi="宋体" w:cs="宋体"/>
              </w:rPr>
            </w:pPr>
          </w:p>
        </w:tc>
        <w:tc>
          <w:tcPr>
            <w:tcW w:w="1499" w:type="dxa"/>
          </w:tcPr>
          <w:p>
            <w:pPr>
              <w:spacing w:before="22"/>
              <w:ind w:left="120" w:right="225"/>
              <w:rPr>
                <w:rFonts w:ascii="宋体" w:hAnsi="宋体" w:cs="宋体"/>
                <w:szCs w:val="21"/>
              </w:rPr>
            </w:pPr>
            <w:r>
              <w:rPr>
                <w:rFonts w:hint="eastAsia" w:ascii="宋体" w:hAnsi="宋体" w:cs="宋体"/>
                <w:spacing w:val="-2"/>
                <w:szCs w:val="21"/>
              </w:rPr>
              <w:t>3.2设施改善</w:t>
            </w:r>
            <w:r>
              <w:rPr>
                <w:rFonts w:hint="eastAsia" w:ascii="宋体" w:hAnsi="宋体" w:cs="宋体"/>
                <w:szCs w:val="21"/>
              </w:rPr>
              <w:t xml:space="preserve"> </w:t>
            </w:r>
            <w:r>
              <w:rPr>
                <w:rFonts w:hint="eastAsia" w:ascii="宋体" w:hAnsi="宋体" w:cs="宋体"/>
                <w:spacing w:val="10"/>
                <w:szCs w:val="21"/>
              </w:rPr>
              <w:t>(4分)</w:t>
            </w:r>
          </w:p>
        </w:tc>
        <w:tc>
          <w:tcPr>
            <w:tcW w:w="11097" w:type="dxa"/>
          </w:tcPr>
          <w:p>
            <w:pPr>
              <w:spacing w:before="21"/>
              <w:ind w:left="142"/>
              <w:rPr>
                <w:rFonts w:ascii="宋体" w:hAnsi="宋体" w:cs="宋体"/>
                <w:szCs w:val="21"/>
              </w:rPr>
            </w:pPr>
            <w:r>
              <w:rPr>
                <w:rFonts w:hint="eastAsia" w:ascii="宋体" w:hAnsi="宋体" w:cs="宋体"/>
                <w:spacing w:val="5"/>
                <w:szCs w:val="21"/>
              </w:rPr>
              <w:t>3.2.1积水点治理</w:t>
            </w:r>
          </w:p>
          <w:p>
            <w:pPr>
              <w:spacing w:before="1"/>
              <w:ind w:left="142" w:right="13"/>
              <w:rPr>
                <w:rFonts w:ascii="宋体" w:hAnsi="宋体" w:cs="宋体"/>
                <w:szCs w:val="21"/>
              </w:rPr>
            </w:pPr>
            <w:r>
              <w:rPr>
                <w:rFonts w:hint="eastAsia" w:ascii="宋体" w:hAnsi="宋体" w:cs="宋体"/>
                <w:szCs w:val="21"/>
              </w:rPr>
              <w:t>易港片区、积水点治理工作推进不实、进度滞后的；积水点分析及整改方案未按要求上报，分析成果或整改方案存在不</w:t>
            </w:r>
            <w:r>
              <w:rPr>
                <w:rFonts w:hint="eastAsia" w:ascii="宋体" w:hAnsi="宋体" w:cs="宋体"/>
                <w:spacing w:val="10"/>
                <w:szCs w:val="21"/>
              </w:rPr>
              <w:t xml:space="preserve"> </w:t>
            </w:r>
            <w:r>
              <w:rPr>
                <w:rFonts w:hint="eastAsia" w:ascii="宋体" w:hAnsi="宋体" w:cs="宋体"/>
                <w:spacing w:val="11"/>
                <w:szCs w:val="21"/>
              </w:rPr>
              <w:t>足的，根据情况扣0.5至4分。</w:t>
            </w:r>
          </w:p>
          <w:p>
            <w:pPr>
              <w:ind w:left="142"/>
              <w:rPr>
                <w:rFonts w:ascii="宋体" w:hAnsi="宋体" w:cs="宋体"/>
                <w:szCs w:val="21"/>
              </w:rPr>
            </w:pPr>
            <w:r>
              <w:rPr>
                <w:rFonts w:hint="eastAsia" w:ascii="宋体" w:hAnsi="宋体" w:cs="宋体"/>
                <w:spacing w:val="5"/>
                <w:szCs w:val="21"/>
              </w:rPr>
              <w:t>3.2.2雨水设施改善</w:t>
            </w:r>
          </w:p>
          <w:p>
            <w:pPr>
              <w:spacing w:before="1"/>
              <w:ind w:left="142"/>
              <w:rPr>
                <w:rFonts w:ascii="宋体" w:hAnsi="宋体" w:cs="宋体"/>
                <w:szCs w:val="21"/>
              </w:rPr>
            </w:pPr>
            <w:r>
              <w:rPr>
                <w:rFonts w:hint="eastAsia" w:ascii="宋体" w:hAnsi="宋体" w:cs="宋体"/>
                <w:spacing w:val="5"/>
                <w:szCs w:val="21"/>
              </w:rPr>
              <w:t>雨水口提标改造等改善工作推进不实、进度滞后的，根据情况扣0.5至2分。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9" w:hRule="atLeast"/>
        </w:trPr>
        <w:tc>
          <w:tcPr>
            <w:tcW w:w="1464" w:type="dxa"/>
            <w:vMerge w:val="continue"/>
            <w:tcBorders>
              <w:top w:val="nil"/>
            </w:tcBorders>
          </w:tcPr>
          <w:p>
            <w:pPr>
              <w:rPr>
                <w:rFonts w:ascii="宋体" w:hAnsi="宋体" w:cs="宋体"/>
              </w:rPr>
            </w:pPr>
          </w:p>
        </w:tc>
        <w:tc>
          <w:tcPr>
            <w:tcW w:w="1499" w:type="dxa"/>
          </w:tcPr>
          <w:p>
            <w:pPr>
              <w:spacing w:before="14"/>
              <w:ind w:left="120" w:right="225"/>
              <w:rPr>
                <w:rFonts w:ascii="宋体" w:hAnsi="宋体" w:cs="宋体"/>
                <w:szCs w:val="21"/>
              </w:rPr>
            </w:pPr>
            <w:r>
              <w:rPr>
                <w:rFonts w:hint="eastAsia" w:ascii="宋体" w:hAnsi="宋体" w:cs="宋体"/>
                <w:spacing w:val="-2"/>
                <w:szCs w:val="21"/>
              </w:rPr>
              <w:t>3.4雨水综合</w:t>
            </w:r>
            <w:r>
              <w:rPr>
                <w:rFonts w:hint="eastAsia" w:ascii="宋体" w:hAnsi="宋体" w:cs="宋体"/>
                <w:szCs w:val="21"/>
              </w:rPr>
              <w:t xml:space="preserve"> </w:t>
            </w:r>
            <w:r>
              <w:rPr>
                <w:rFonts w:hint="eastAsia" w:ascii="宋体" w:hAnsi="宋体" w:cs="宋体"/>
                <w:spacing w:val="6"/>
                <w:szCs w:val="21"/>
              </w:rPr>
              <w:t>管理(3分)</w:t>
            </w:r>
          </w:p>
        </w:tc>
        <w:tc>
          <w:tcPr>
            <w:tcW w:w="11097" w:type="dxa"/>
          </w:tcPr>
          <w:p>
            <w:pPr>
              <w:spacing w:before="13"/>
              <w:ind w:left="142"/>
              <w:rPr>
                <w:rFonts w:ascii="宋体" w:hAnsi="宋体" w:cs="宋体"/>
                <w:szCs w:val="21"/>
              </w:rPr>
            </w:pPr>
            <w:r>
              <w:rPr>
                <w:rFonts w:hint="eastAsia" w:ascii="宋体" w:hAnsi="宋体" w:cs="宋体"/>
                <w:spacing w:val="5"/>
                <w:szCs w:val="21"/>
              </w:rPr>
              <w:t>3.4.1雨水综合管理</w:t>
            </w:r>
          </w:p>
          <w:p>
            <w:pPr>
              <w:spacing w:before="10"/>
              <w:ind w:left="142" w:right="6"/>
              <w:rPr>
                <w:rFonts w:ascii="宋体" w:hAnsi="宋体" w:cs="宋体"/>
                <w:szCs w:val="21"/>
              </w:rPr>
            </w:pPr>
            <w:r>
              <w:rPr>
                <w:rFonts w:hint="eastAsia" w:ascii="宋体" w:hAnsi="宋体" w:cs="宋体"/>
                <w:szCs w:val="21"/>
              </w:rPr>
              <w:t>未按要求完成设施量统计上报、动态维护工作的；未制订并报送巡查、清疏和检测(含整改)等养护工作计划；年度重点</w:t>
            </w:r>
            <w:r>
              <w:rPr>
                <w:rFonts w:hint="eastAsia" w:ascii="宋体" w:hAnsi="宋体" w:cs="宋体"/>
                <w:spacing w:val="17"/>
                <w:szCs w:val="21"/>
              </w:rPr>
              <w:t xml:space="preserve"> </w:t>
            </w:r>
            <w:r>
              <w:rPr>
                <w:rFonts w:hint="eastAsia" w:ascii="宋体" w:hAnsi="宋体" w:cs="宋体"/>
                <w:spacing w:val="5"/>
                <w:szCs w:val="21"/>
              </w:rPr>
              <w:t>在务推进不力或滞后的，或其他未建立、落实辖区全覆盖排水长效管理</w:t>
            </w:r>
            <w:r>
              <w:rPr>
                <w:rFonts w:hint="eastAsia" w:ascii="宋体" w:hAnsi="宋体" w:cs="宋体"/>
                <w:spacing w:val="4"/>
                <w:szCs w:val="21"/>
              </w:rPr>
              <w:t>制度的，根据情况扣0.2至3分。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7" w:hRule="atLeast"/>
        </w:trPr>
        <w:tc>
          <w:tcPr>
            <w:tcW w:w="1464" w:type="dxa"/>
            <w:vMerge w:val="restart"/>
            <w:tcBorders>
              <w:bottom w:val="nil"/>
            </w:tcBorders>
          </w:tcPr>
          <w:p>
            <w:pPr>
              <w:spacing w:before="13"/>
              <w:ind w:left="144" w:right="266"/>
              <w:rPr>
                <w:rFonts w:ascii="宋体" w:hAnsi="宋体" w:cs="宋体"/>
                <w:szCs w:val="21"/>
              </w:rPr>
            </w:pPr>
            <w:r>
              <w:rPr>
                <w:rFonts w:hint="eastAsia" w:ascii="宋体" w:hAnsi="宋体" w:cs="宋体"/>
                <w:spacing w:val="-2"/>
                <w:szCs w:val="21"/>
              </w:rPr>
              <w:t>4.供节水管</w:t>
            </w:r>
            <w:r>
              <w:rPr>
                <w:rFonts w:hint="eastAsia" w:ascii="宋体" w:hAnsi="宋体" w:cs="宋体"/>
                <w:spacing w:val="3"/>
                <w:szCs w:val="21"/>
              </w:rPr>
              <w:t xml:space="preserve"> </w:t>
            </w:r>
            <w:r>
              <w:rPr>
                <w:rFonts w:hint="eastAsia" w:ascii="宋体" w:hAnsi="宋体" w:cs="宋体"/>
                <w:spacing w:val="7"/>
                <w:szCs w:val="21"/>
              </w:rPr>
              <w:t>理(15分)</w:t>
            </w:r>
          </w:p>
        </w:tc>
        <w:tc>
          <w:tcPr>
            <w:tcW w:w="1499" w:type="dxa"/>
          </w:tcPr>
          <w:p>
            <w:pPr>
              <w:spacing w:before="24"/>
              <w:ind w:left="120" w:right="220"/>
              <w:rPr>
                <w:rFonts w:ascii="宋体" w:hAnsi="宋体" w:cs="宋体"/>
                <w:szCs w:val="21"/>
              </w:rPr>
            </w:pPr>
            <w:r>
              <w:rPr>
                <w:rFonts w:hint="eastAsia" w:ascii="宋体" w:hAnsi="宋体" w:cs="宋体"/>
                <w:spacing w:val="-2"/>
                <w:szCs w:val="21"/>
              </w:rPr>
              <w:t>4.1供水设施</w:t>
            </w:r>
            <w:r>
              <w:rPr>
                <w:rFonts w:hint="eastAsia" w:ascii="宋体" w:hAnsi="宋体" w:cs="宋体"/>
                <w:spacing w:val="5"/>
                <w:szCs w:val="21"/>
              </w:rPr>
              <w:t xml:space="preserve"> </w:t>
            </w:r>
            <w:r>
              <w:rPr>
                <w:rFonts w:hint="eastAsia" w:ascii="宋体" w:hAnsi="宋体" w:cs="宋体"/>
                <w:spacing w:val="6"/>
                <w:szCs w:val="21"/>
              </w:rPr>
              <w:t>管理(7分)</w:t>
            </w:r>
          </w:p>
        </w:tc>
        <w:tc>
          <w:tcPr>
            <w:tcW w:w="11097" w:type="dxa"/>
          </w:tcPr>
          <w:p>
            <w:pPr>
              <w:spacing w:before="13"/>
              <w:ind w:left="142"/>
              <w:rPr>
                <w:rFonts w:ascii="宋体" w:hAnsi="宋体" w:cs="宋体"/>
                <w:szCs w:val="21"/>
              </w:rPr>
            </w:pPr>
            <w:r>
              <w:rPr>
                <w:rFonts w:hint="eastAsia" w:ascii="宋体" w:hAnsi="宋体" w:cs="宋体"/>
                <w:spacing w:val="3"/>
                <w:szCs w:val="21"/>
              </w:rPr>
              <w:t>4.1.1城市供水设施管理和保护</w:t>
            </w:r>
          </w:p>
          <w:p>
            <w:pPr>
              <w:spacing w:before="1"/>
              <w:ind w:left="142" w:right="136"/>
              <w:rPr>
                <w:rFonts w:ascii="宋体" w:hAnsi="宋体" w:cs="宋体"/>
                <w:szCs w:val="21"/>
              </w:rPr>
            </w:pPr>
            <w:r>
              <w:rPr>
                <w:rFonts w:hint="eastAsia" w:ascii="宋体" w:hAnsi="宋体" w:cs="宋体"/>
                <w:spacing w:val="2"/>
                <w:szCs w:val="21"/>
              </w:rPr>
              <w:t>夫技《关于下达2022年杭州市城市水设施和河道保护管理工作目标任务的通知》做好城市供水管理</w:t>
            </w:r>
            <w:r>
              <w:rPr>
                <w:rFonts w:hint="eastAsia" w:ascii="宋体" w:hAnsi="宋体" w:cs="宋体"/>
                <w:spacing w:val="1"/>
                <w:szCs w:val="21"/>
              </w:rPr>
              <w:t>工作的，根据情况</w:t>
            </w:r>
            <w:r>
              <w:rPr>
                <w:rFonts w:hint="eastAsia" w:ascii="宋体" w:hAnsi="宋体" w:cs="宋体"/>
                <w:szCs w:val="21"/>
              </w:rPr>
              <w:t xml:space="preserve"> </w:t>
            </w:r>
            <w:r>
              <w:rPr>
                <w:rFonts w:hint="eastAsia" w:ascii="宋体" w:hAnsi="宋体" w:cs="宋体"/>
                <w:spacing w:val="11"/>
                <w:szCs w:val="21"/>
              </w:rPr>
              <w:t>扣0</w:t>
            </w:r>
            <w:r>
              <w:rPr>
                <w:rFonts w:hint="eastAsia" w:ascii="宋体" w:hAnsi="宋体" w:cs="宋体"/>
                <w:spacing w:val="-55"/>
                <w:szCs w:val="21"/>
              </w:rPr>
              <w:t xml:space="preserve"> </w:t>
            </w:r>
            <w:r>
              <w:rPr>
                <w:rFonts w:hint="eastAsia" w:ascii="宋体" w:hAnsi="宋体" w:cs="宋体"/>
                <w:spacing w:val="11"/>
                <w:szCs w:val="21"/>
              </w:rPr>
              <w:t>.</w:t>
            </w:r>
            <w:r>
              <w:rPr>
                <w:rFonts w:hint="eastAsia" w:ascii="宋体" w:hAnsi="宋体" w:cs="宋体"/>
                <w:spacing w:val="-60"/>
                <w:szCs w:val="21"/>
              </w:rPr>
              <w:t xml:space="preserve"> </w:t>
            </w:r>
            <w:r>
              <w:rPr>
                <w:rFonts w:hint="eastAsia" w:ascii="宋体" w:hAnsi="宋体" w:cs="宋体"/>
                <w:spacing w:val="11"/>
                <w:szCs w:val="21"/>
              </w:rPr>
              <w:t>2至3分；</w:t>
            </w:r>
          </w:p>
          <w:p>
            <w:pPr>
              <w:spacing w:before="9"/>
              <w:ind w:left="142" w:right="55"/>
              <w:rPr>
                <w:rFonts w:ascii="宋体" w:hAnsi="宋体" w:cs="宋体"/>
                <w:szCs w:val="21"/>
              </w:rPr>
            </w:pPr>
            <w:r>
              <w:rPr>
                <w:rFonts w:hint="eastAsia" w:ascii="宋体" w:hAnsi="宋体" w:cs="宋体"/>
                <w:spacing w:val="4"/>
                <w:szCs w:val="21"/>
              </w:rPr>
              <w:t>4.12未建立定期巡查各类供水设施及对影</w:t>
            </w:r>
            <w:r>
              <w:rPr>
                <w:rFonts w:hint="eastAsia" w:ascii="宋体" w:hAnsi="宋体" w:cs="宋体"/>
                <w:spacing w:val="3"/>
                <w:szCs w:val="21"/>
              </w:rPr>
              <w:t>响供水管线安全的在建项目等机制的；未建立相关台账的，或其他未按要求</w:t>
            </w:r>
            <w:r>
              <w:rPr>
                <w:rFonts w:hint="eastAsia" w:ascii="宋体" w:hAnsi="宋体" w:cs="宋体"/>
                <w:szCs w:val="21"/>
              </w:rPr>
              <w:t xml:space="preserve"> </w:t>
            </w:r>
            <w:r>
              <w:rPr>
                <w:rFonts w:hint="eastAsia" w:ascii="宋体" w:hAnsi="宋体" w:cs="宋体"/>
                <w:spacing w:val="5"/>
                <w:szCs w:val="21"/>
              </w:rPr>
              <w:t>做好供水设施管理保护工作的，根据情况扣0.2至3分。</w:t>
            </w:r>
          </w:p>
          <w:p>
            <w:pPr>
              <w:ind w:left="142"/>
              <w:rPr>
                <w:rFonts w:ascii="宋体" w:hAnsi="宋体" w:cs="宋体"/>
                <w:szCs w:val="21"/>
              </w:rPr>
            </w:pPr>
            <w:r>
              <w:rPr>
                <w:rFonts w:hint="eastAsia" w:ascii="宋体" w:hAnsi="宋体" w:cs="宋体"/>
                <w:spacing w:val="5"/>
                <w:szCs w:val="21"/>
              </w:rPr>
              <w:t>4.1.3年度供水规范化管理</w:t>
            </w:r>
          </w:p>
          <w:p>
            <w:pPr>
              <w:spacing w:before="10"/>
              <w:ind w:left="142"/>
              <w:rPr>
                <w:rFonts w:ascii="宋体" w:hAnsi="宋体" w:cs="宋体"/>
                <w:sz w:val="20"/>
                <w:szCs w:val="20"/>
              </w:rPr>
            </w:pPr>
            <w:r>
              <w:rPr>
                <w:rFonts w:hint="eastAsia" w:ascii="宋体" w:hAnsi="宋体" w:cs="宋体"/>
                <w:spacing w:val="11"/>
                <w:sz w:val="20"/>
                <w:szCs w:val="20"/>
              </w:rPr>
              <w:t>未技时完成年度供水规范化管理考核的；未开</w:t>
            </w:r>
            <w:r>
              <w:rPr>
                <w:rFonts w:hint="eastAsia" w:ascii="宋体" w:hAnsi="宋体" w:cs="宋体"/>
                <w:spacing w:val="10"/>
                <w:sz w:val="20"/>
                <w:szCs w:val="20"/>
              </w:rPr>
              <w:t>展居民住宅二次供水设施规范化管理检查的或规范化管理未达到要求的，</w:t>
            </w:r>
            <w:r>
              <w:rPr>
                <w:rFonts w:hint="eastAsia" w:ascii="宋体" w:hAnsi="宋体" w:cs="宋体"/>
                <w:sz w:val="20"/>
                <w:szCs w:val="20"/>
              </w:rPr>
              <w:t xml:space="preserve"> </w:t>
            </w:r>
            <w:r>
              <w:rPr>
                <w:rFonts w:hint="eastAsia" w:ascii="宋体" w:hAnsi="宋体" w:cs="宋体"/>
                <w:spacing w:val="23"/>
                <w:sz w:val="20"/>
                <w:szCs w:val="20"/>
              </w:rPr>
              <w:t>根据情况扣0.2至2分。</w:t>
            </w:r>
          </w:p>
          <w:p>
            <w:pPr>
              <w:spacing w:before="2"/>
              <w:ind w:left="142"/>
              <w:rPr>
                <w:rFonts w:ascii="宋体" w:hAnsi="宋体" w:cs="宋体"/>
                <w:szCs w:val="21"/>
              </w:rPr>
            </w:pPr>
            <w:r>
              <w:rPr>
                <w:rFonts w:hint="eastAsia" w:ascii="宋体" w:hAnsi="宋体" w:cs="宋体"/>
                <w:spacing w:val="5"/>
                <w:szCs w:val="21"/>
              </w:rPr>
              <w:t>4.1.4用水户回流污染管理</w:t>
            </w:r>
          </w:p>
          <w:p>
            <w:pPr>
              <w:spacing w:before="1"/>
              <w:ind w:left="142"/>
              <w:rPr>
                <w:rFonts w:ascii="宋体" w:hAnsi="宋体" w:cs="宋体"/>
                <w:szCs w:val="21"/>
              </w:rPr>
            </w:pPr>
            <w:r>
              <w:rPr>
                <w:rFonts w:hint="eastAsia" w:ascii="宋体" w:hAnsi="宋体" w:cs="宋体"/>
                <w:spacing w:val="4"/>
                <w:szCs w:val="21"/>
              </w:rPr>
              <w:t>夫按时完成用水户回流污染管理排查的及整改的；未落实长效管理的，根据情况</w:t>
            </w:r>
            <w:r>
              <w:rPr>
                <w:rFonts w:hint="eastAsia" w:ascii="宋体" w:hAnsi="宋体" w:cs="宋体"/>
                <w:spacing w:val="3"/>
                <w:szCs w:val="21"/>
              </w:rPr>
              <w:t>扣0.2至2分：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1" w:hRule="atLeast"/>
        </w:trPr>
        <w:tc>
          <w:tcPr>
            <w:tcW w:w="1464" w:type="dxa"/>
            <w:vMerge w:val="continue"/>
            <w:tcBorders>
              <w:top w:val="nil"/>
              <w:bottom w:val="nil"/>
            </w:tcBorders>
          </w:tcPr>
          <w:p>
            <w:pPr>
              <w:rPr>
                <w:rFonts w:ascii="宋体" w:hAnsi="宋体" w:cs="宋体"/>
              </w:rPr>
            </w:pPr>
          </w:p>
        </w:tc>
        <w:tc>
          <w:tcPr>
            <w:tcW w:w="1499" w:type="dxa"/>
          </w:tcPr>
          <w:p>
            <w:pPr>
              <w:spacing w:before="18"/>
              <w:ind w:left="120" w:right="220"/>
              <w:rPr>
                <w:rFonts w:ascii="宋体" w:hAnsi="宋体" w:cs="宋体"/>
                <w:szCs w:val="21"/>
              </w:rPr>
            </w:pPr>
            <w:r>
              <w:rPr>
                <w:rFonts w:hint="eastAsia" w:ascii="宋体" w:hAnsi="宋体" w:cs="宋体"/>
                <w:spacing w:val="-2"/>
                <w:szCs w:val="21"/>
              </w:rPr>
              <w:t>4.2节水管理</w:t>
            </w:r>
            <w:r>
              <w:rPr>
                <w:rFonts w:hint="eastAsia" w:ascii="宋体" w:hAnsi="宋体" w:cs="宋体"/>
                <w:spacing w:val="5"/>
                <w:szCs w:val="21"/>
              </w:rPr>
              <w:t xml:space="preserve"> </w:t>
            </w:r>
            <w:r>
              <w:rPr>
                <w:rFonts w:hint="eastAsia" w:ascii="宋体" w:hAnsi="宋体" w:cs="宋体"/>
                <w:spacing w:val="10"/>
                <w:szCs w:val="21"/>
              </w:rPr>
              <w:t>(5分)</w:t>
            </w:r>
          </w:p>
        </w:tc>
        <w:tc>
          <w:tcPr>
            <w:tcW w:w="11097" w:type="dxa"/>
          </w:tcPr>
          <w:p>
            <w:pPr>
              <w:spacing w:before="24"/>
              <w:ind w:left="142"/>
              <w:rPr>
                <w:rFonts w:ascii="宋体" w:hAnsi="宋体" w:cs="宋体"/>
                <w:szCs w:val="21"/>
              </w:rPr>
            </w:pPr>
            <w:r>
              <w:rPr>
                <w:rFonts w:hint="eastAsia" w:ascii="宋体" w:hAnsi="宋体" w:cs="宋体"/>
                <w:spacing w:val="5"/>
                <w:szCs w:val="21"/>
              </w:rPr>
              <w:t>4,2.1计划用水与定额管理</w:t>
            </w:r>
          </w:p>
          <w:p>
            <w:pPr>
              <w:ind w:left="142"/>
              <w:rPr>
                <w:rFonts w:ascii="宋体" w:hAnsi="宋体" w:cs="宋体"/>
                <w:szCs w:val="21"/>
              </w:rPr>
            </w:pPr>
            <w:r>
              <w:rPr>
                <w:rFonts w:hint="eastAsia" w:ascii="宋体" w:hAnsi="宋体" w:cs="宋体"/>
                <w:szCs w:val="21"/>
              </w:rPr>
              <w:t>柔按要求划成新增计划用来户调查、用水计划(定额)核定的；计划用水率未达90%的；未执行非居民</w:t>
            </w:r>
            <w:r>
              <w:rPr>
                <w:rFonts w:hint="eastAsia" w:ascii="宋体" w:hAnsi="宋体" w:cs="宋体"/>
                <w:spacing w:val="-1"/>
                <w:szCs w:val="21"/>
              </w:rPr>
              <w:t>用户用水超计划(超</w:t>
            </w:r>
          </w:p>
        </w:tc>
      </w:tr>
    </w:tbl>
    <w:p>
      <w:pPr>
        <w:rPr>
          <w:rFonts w:ascii="宋体" w:hAnsi="宋体" w:cs="宋体"/>
        </w:rPr>
      </w:pPr>
    </w:p>
    <w:p>
      <w:pPr>
        <w:pStyle w:val="79"/>
        <w:rPr>
          <w:rFonts w:ascii="宋体" w:hAnsi="宋体" w:cs="宋体"/>
        </w:rPr>
      </w:pPr>
    </w:p>
    <w:tbl>
      <w:tblPr>
        <w:tblStyle w:val="966"/>
        <w:tblW w:w="140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4"/>
        <w:gridCol w:w="1509"/>
        <w:gridCol w:w="11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5" w:hRule="atLeast"/>
        </w:trPr>
        <w:tc>
          <w:tcPr>
            <w:tcW w:w="1464" w:type="dxa"/>
          </w:tcPr>
          <w:p>
            <w:pPr>
              <w:spacing w:before="13"/>
              <w:ind w:left="295"/>
              <w:rPr>
                <w:rFonts w:ascii="宋体" w:hAnsi="宋体" w:cs="宋体"/>
                <w:szCs w:val="21"/>
              </w:rPr>
            </w:pPr>
            <w:r>
              <w:rPr>
                <w:rFonts w:hint="eastAsia" w:ascii="宋体" w:hAnsi="宋体" w:cs="宋体"/>
                <w:spacing w:val="4"/>
                <w:szCs w:val="21"/>
              </w:rPr>
              <w:t>考核类别</w:t>
            </w:r>
          </w:p>
        </w:tc>
        <w:tc>
          <w:tcPr>
            <w:tcW w:w="1509" w:type="dxa"/>
          </w:tcPr>
          <w:p>
            <w:pPr>
              <w:spacing w:before="13"/>
              <w:ind w:left="311"/>
              <w:rPr>
                <w:rFonts w:ascii="宋体" w:hAnsi="宋体" w:cs="宋体"/>
                <w:szCs w:val="21"/>
              </w:rPr>
            </w:pPr>
            <w:r>
              <w:rPr>
                <w:rFonts w:hint="eastAsia" w:ascii="宋体" w:hAnsi="宋体" w:cs="宋体"/>
                <w:spacing w:val="10"/>
                <w:szCs w:val="21"/>
              </w:rPr>
              <w:t>考核项目</w:t>
            </w:r>
          </w:p>
        </w:tc>
        <w:tc>
          <w:tcPr>
            <w:tcW w:w="11117" w:type="dxa"/>
          </w:tcPr>
          <w:p>
            <w:pPr>
              <w:spacing w:before="13"/>
              <w:ind w:left="5122"/>
              <w:rPr>
                <w:rFonts w:ascii="宋体" w:hAnsi="宋体" w:cs="宋体"/>
                <w:szCs w:val="21"/>
              </w:rPr>
            </w:pPr>
            <w:r>
              <w:rPr>
                <w:rFonts w:hint="eastAsia" w:ascii="宋体" w:hAnsi="宋体" w:cs="宋体"/>
                <w:spacing w:val="12"/>
                <w:szCs w:val="21"/>
              </w:rPr>
              <w:t>考核内容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6" w:hRule="atLeast"/>
        </w:trPr>
        <w:tc>
          <w:tcPr>
            <w:tcW w:w="1464" w:type="dxa"/>
            <w:vMerge w:val="restart"/>
            <w:tcBorders>
              <w:bottom w:val="nil"/>
            </w:tcBorders>
          </w:tcPr>
          <w:p>
            <w:pPr>
              <w:rPr>
                <w:rFonts w:ascii="宋体" w:hAnsi="宋体" w:cs="宋体"/>
              </w:rPr>
            </w:pPr>
          </w:p>
        </w:tc>
        <w:tc>
          <w:tcPr>
            <w:tcW w:w="1509" w:type="dxa"/>
          </w:tcPr>
          <w:p>
            <w:pPr>
              <w:rPr>
                <w:rFonts w:ascii="宋体" w:hAnsi="宋体" w:cs="宋体"/>
              </w:rPr>
            </w:pPr>
          </w:p>
        </w:tc>
        <w:tc>
          <w:tcPr>
            <w:tcW w:w="11117" w:type="dxa"/>
          </w:tcPr>
          <w:p>
            <w:pPr>
              <w:spacing w:before="6"/>
              <w:ind w:left="121"/>
              <w:rPr>
                <w:rFonts w:ascii="宋体" w:hAnsi="宋体" w:cs="宋体"/>
                <w:szCs w:val="21"/>
              </w:rPr>
            </w:pPr>
            <w:r>
              <w:rPr>
                <w:rFonts w:hint="eastAsia" w:ascii="宋体" w:hAnsi="宋体" w:cs="宋体"/>
                <w:spacing w:val="7"/>
                <w:szCs w:val="21"/>
              </w:rPr>
              <w:t>定额)累进加价制度的，根据情况扣0.2至1分。</w:t>
            </w:r>
          </w:p>
          <w:p>
            <w:pPr>
              <w:spacing w:before="23"/>
              <w:ind w:left="121"/>
              <w:rPr>
                <w:rFonts w:ascii="宋体" w:hAnsi="宋体" w:cs="宋体"/>
                <w:szCs w:val="21"/>
              </w:rPr>
            </w:pPr>
            <w:r>
              <w:rPr>
                <w:rFonts w:hint="eastAsia" w:ascii="宋体" w:hAnsi="宋体" w:cs="宋体"/>
                <w:spacing w:val="7"/>
                <w:szCs w:val="21"/>
              </w:rPr>
              <w:t>4.2.2管网降损管理</w:t>
            </w:r>
          </w:p>
          <w:p>
            <w:pPr>
              <w:spacing w:before="10"/>
              <w:ind w:left="121"/>
              <w:rPr>
                <w:rFonts w:ascii="宋体" w:hAnsi="宋体" w:cs="宋体"/>
                <w:szCs w:val="21"/>
              </w:rPr>
            </w:pPr>
            <w:r>
              <w:rPr>
                <w:rFonts w:hint="eastAsia" w:ascii="宋体" w:hAnsi="宋体" w:cs="宋体"/>
                <w:spacing w:val="8"/>
                <w:szCs w:val="21"/>
              </w:rPr>
              <w:t>管网漏损率低于9.5%的；未完成分区计量工作的根据情况扣0.5分。</w:t>
            </w:r>
          </w:p>
          <w:p>
            <w:pPr>
              <w:spacing w:before="1"/>
              <w:ind w:left="121"/>
              <w:rPr>
                <w:rFonts w:ascii="宋体" w:hAnsi="宋体" w:cs="宋体"/>
                <w:szCs w:val="21"/>
              </w:rPr>
            </w:pPr>
            <w:r>
              <w:rPr>
                <w:rFonts w:hint="eastAsia" w:ascii="宋体" w:hAnsi="宋体" w:cs="宋体"/>
                <w:spacing w:val="6"/>
                <w:szCs w:val="21"/>
              </w:rPr>
              <w:t>4.2.3节水创建行动</w:t>
            </w:r>
          </w:p>
          <w:p>
            <w:pPr>
              <w:spacing w:before="11"/>
              <w:ind w:left="121"/>
              <w:rPr>
                <w:rFonts w:ascii="宋体" w:hAnsi="宋体" w:cs="宋体"/>
                <w:szCs w:val="21"/>
              </w:rPr>
            </w:pPr>
            <w:r>
              <w:rPr>
                <w:rFonts w:hint="eastAsia" w:ascii="宋体" w:hAnsi="宋体" w:cs="宋体"/>
                <w:spacing w:val="4"/>
                <w:szCs w:val="21"/>
              </w:rPr>
              <w:t>每项节水载体创建工作未按要求完成的，扣0.5分。</w:t>
            </w:r>
          </w:p>
          <w:p>
            <w:pPr>
              <w:spacing w:before="1"/>
              <w:ind w:left="121"/>
              <w:rPr>
                <w:rFonts w:ascii="宋体" w:hAnsi="宋体" w:cs="宋体"/>
                <w:szCs w:val="21"/>
              </w:rPr>
            </w:pPr>
            <w:r>
              <w:rPr>
                <w:rFonts w:hint="eastAsia" w:ascii="宋体" w:hAnsi="宋体" w:cs="宋体"/>
                <w:spacing w:val="4"/>
                <w:szCs w:val="21"/>
              </w:rPr>
              <w:t>4.2.4节水型器具普及</w:t>
            </w:r>
          </w:p>
          <w:p>
            <w:pPr>
              <w:spacing w:before="9"/>
              <w:ind w:left="121" w:right="54"/>
              <w:rPr>
                <w:rFonts w:ascii="宋体" w:hAnsi="宋体" w:cs="宋体"/>
                <w:szCs w:val="21"/>
              </w:rPr>
            </w:pPr>
            <w:r>
              <w:rPr>
                <w:rFonts w:hint="eastAsia" w:ascii="宋体" w:hAnsi="宋体" w:cs="宋体"/>
                <w:szCs w:val="21"/>
              </w:rPr>
              <w:t>未完成辖区内重点用水户全覆盖检查的；公共建筑节水型器具普及率未到100%且未整改的；生活用水器具市场抽检率未</w:t>
            </w:r>
            <w:r>
              <w:rPr>
                <w:rFonts w:hint="eastAsia" w:ascii="宋体" w:hAnsi="宋体" w:cs="宋体"/>
                <w:spacing w:val="9"/>
                <w:szCs w:val="21"/>
              </w:rPr>
              <w:t xml:space="preserve"> </w:t>
            </w:r>
            <w:r>
              <w:rPr>
                <w:rFonts w:hint="eastAsia" w:ascii="宋体" w:hAnsi="宋体" w:cs="宋体"/>
                <w:spacing w:val="12"/>
                <w:szCs w:val="21"/>
              </w:rPr>
              <w:t>达80%或发现非节水型器具的，根据情况扣0.2至1分。</w:t>
            </w:r>
          </w:p>
          <w:p>
            <w:pPr>
              <w:spacing w:before="1"/>
              <w:ind w:left="121"/>
              <w:rPr>
                <w:rFonts w:ascii="宋体" w:hAnsi="宋体" w:cs="宋体"/>
                <w:szCs w:val="21"/>
              </w:rPr>
            </w:pPr>
            <w:r>
              <w:rPr>
                <w:rFonts w:hint="eastAsia" w:ascii="宋体" w:hAnsi="宋体" w:cs="宋体"/>
                <w:spacing w:val="9"/>
                <w:szCs w:val="21"/>
              </w:rPr>
              <w:t>4.2.5节水“三同时”管理</w:t>
            </w:r>
          </w:p>
          <w:p>
            <w:pPr>
              <w:spacing w:before="1"/>
              <w:ind w:left="16" w:right="74" w:firstLine="104"/>
              <w:rPr>
                <w:rFonts w:ascii="宋体" w:hAnsi="宋体" w:cs="宋体"/>
                <w:szCs w:val="21"/>
              </w:rPr>
            </w:pPr>
            <w:r>
              <w:rPr>
                <w:rFonts w:hint="eastAsia" w:ascii="宋体" w:hAnsi="宋体" w:cs="宋体"/>
                <w:szCs w:val="21"/>
              </w:rPr>
              <w:t>新建、改建、扩建工程项目中节水设施未与主体工程同时设计、施工、投入使用的；设计、施工</w:t>
            </w:r>
            <w:r>
              <w:rPr>
                <w:rFonts w:hint="eastAsia" w:ascii="宋体" w:hAnsi="宋体" w:cs="宋体"/>
                <w:spacing w:val="-1"/>
                <w:szCs w:val="21"/>
              </w:rPr>
              <w:t>、验收环节未建立节水</w:t>
            </w:r>
            <w:r>
              <w:rPr>
                <w:rFonts w:hint="eastAsia" w:ascii="宋体" w:hAnsi="宋体" w:cs="宋体"/>
                <w:szCs w:val="21"/>
              </w:rPr>
              <w:t xml:space="preserve"> </w:t>
            </w:r>
            <w:r>
              <w:rPr>
                <w:rFonts w:hint="eastAsia" w:ascii="宋体" w:hAnsi="宋体" w:cs="宋体"/>
                <w:spacing w:val="9"/>
                <w:szCs w:val="21"/>
              </w:rPr>
              <w:t>“三同时”管理相关台账的，根据情况扣0.5至1分。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9" w:hRule="atLeast"/>
        </w:trPr>
        <w:tc>
          <w:tcPr>
            <w:tcW w:w="1464" w:type="dxa"/>
            <w:vMerge w:val="continue"/>
            <w:tcBorders>
              <w:top w:val="nil"/>
            </w:tcBorders>
          </w:tcPr>
          <w:p>
            <w:pPr>
              <w:rPr>
                <w:rFonts w:ascii="宋体" w:hAnsi="宋体" w:cs="宋体"/>
              </w:rPr>
            </w:pPr>
          </w:p>
        </w:tc>
        <w:tc>
          <w:tcPr>
            <w:tcW w:w="1509" w:type="dxa"/>
          </w:tcPr>
          <w:p>
            <w:pPr>
              <w:spacing w:before="11"/>
              <w:ind w:left="111" w:right="191"/>
              <w:rPr>
                <w:rFonts w:ascii="宋体" w:hAnsi="宋体" w:cs="宋体"/>
                <w:szCs w:val="21"/>
              </w:rPr>
            </w:pPr>
            <w:r>
              <w:rPr>
                <w:rFonts w:hint="eastAsia" w:ascii="宋体" w:hAnsi="宋体" w:cs="宋体"/>
                <w:spacing w:val="-2"/>
                <w:szCs w:val="21"/>
              </w:rPr>
              <w:t>4.3供节水综</w:t>
            </w:r>
            <w:r>
              <w:rPr>
                <w:rFonts w:hint="eastAsia" w:ascii="宋体" w:hAnsi="宋体" w:cs="宋体"/>
                <w:spacing w:val="5"/>
                <w:szCs w:val="21"/>
              </w:rPr>
              <w:t xml:space="preserve"> 合管理(3分)</w:t>
            </w:r>
          </w:p>
        </w:tc>
        <w:tc>
          <w:tcPr>
            <w:tcW w:w="11117" w:type="dxa"/>
          </w:tcPr>
          <w:p>
            <w:pPr>
              <w:spacing w:before="12"/>
              <w:ind w:left="121"/>
              <w:rPr>
                <w:rFonts w:ascii="宋体" w:hAnsi="宋体" w:cs="宋体"/>
                <w:szCs w:val="21"/>
              </w:rPr>
            </w:pPr>
            <w:r>
              <w:rPr>
                <w:rFonts w:hint="eastAsia" w:ascii="宋体" w:hAnsi="宋体" w:cs="宋体"/>
                <w:spacing w:val="3"/>
                <w:szCs w:val="21"/>
              </w:rPr>
              <w:t>未完成节水型城市基础数据统计报送的；未按时完成的</w:t>
            </w:r>
            <w:r>
              <w:rPr>
                <w:rFonts w:hint="eastAsia" w:ascii="宋体" w:hAnsi="宋体" w:cs="宋体"/>
                <w:spacing w:val="2"/>
                <w:szCs w:val="21"/>
              </w:rPr>
              <w:t>；未按要求落实相关任务的，每次扣0.5分。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9" w:hRule="atLeast"/>
        </w:trPr>
        <w:tc>
          <w:tcPr>
            <w:tcW w:w="1464" w:type="dxa"/>
            <w:vMerge w:val="restart"/>
            <w:tcBorders>
              <w:bottom w:val="nil"/>
            </w:tcBorders>
          </w:tcPr>
          <w:p>
            <w:pPr>
              <w:spacing w:before="16"/>
              <w:ind w:left="94" w:right="216"/>
              <w:rPr>
                <w:rFonts w:ascii="宋体" w:hAnsi="宋体" w:cs="宋体"/>
                <w:szCs w:val="21"/>
              </w:rPr>
            </w:pPr>
            <w:r>
              <w:rPr>
                <w:rFonts w:hint="eastAsia" w:ascii="宋体" w:hAnsi="宋体" w:cs="宋体"/>
                <w:spacing w:val="-2"/>
                <w:szCs w:val="21"/>
              </w:rPr>
              <w:t>5应急处置(7</w:t>
            </w:r>
            <w:r>
              <w:rPr>
                <w:rFonts w:hint="eastAsia" w:ascii="宋体" w:hAnsi="宋体" w:cs="宋体"/>
                <w:szCs w:val="21"/>
              </w:rPr>
              <w:t xml:space="preserve"> </w:t>
            </w:r>
            <w:r>
              <w:rPr>
                <w:rFonts w:hint="eastAsia" w:ascii="宋体" w:hAnsi="宋体" w:cs="宋体"/>
                <w:spacing w:val="-6"/>
                <w:szCs w:val="21"/>
              </w:rPr>
              <w:t>分</w:t>
            </w:r>
            <w:r>
              <w:rPr>
                <w:rFonts w:hint="eastAsia" w:ascii="宋体" w:hAnsi="宋体" w:cs="宋体"/>
                <w:spacing w:val="-44"/>
                <w:szCs w:val="21"/>
              </w:rPr>
              <w:t xml:space="preserve"> </w:t>
            </w:r>
            <w:r>
              <w:rPr>
                <w:rFonts w:hint="eastAsia" w:ascii="宋体" w:hAnsi="宋体" w:cs="宋体"/>
                <w:spacing w:val="-6"/>
                <w:szCs w:val="21"/>
              </w:rPr>
              <w:t>)</w:t>
            </w:r>
          </w:p>
        </w:tc>
        <w:tc>
          <w:tcPr>
            <w:tcW w:w="1509" w:type="dxa"/>
          </w:tcPr>
          <w:p>
            <w:pPr>
              <w:spacing w:before="13"/>
              <w:ind w:left="111"/>
              <w:rPr>
                <w:rFonts w:ascii="宋体" w:hAnsi="宋体" w:cs="宋体"/>
                <w:szCs w:val="21"/>
              </w:rPr>
            </w:pPr>
            <w:r>
              <w:rPr>
                <w:rFonts w:hint="eastAsia" w:ascii="宋体" w:hAnsi="宋体" w:cs="宋体"/>
                <w:spacing w:val="-2"/>
                <w:szCs w:val="21"/>
              </w:rPr>
              <w:t>5.1汛期积水</w:t>
            </w:r>
          </w:p>
        </w:tc>
        <w:tc>
          <w:tcPr>
            <w:tcW w:w="11117" w:type="dxa"/>
          </w:tcPr>
          <w:p>
            <w:pPr>
              <w:spacing w:before="13"/>
              <w:ind w:left="121"/>
              <w:rPr>
                <w:rFonts w:ascii="宋体" w:hAnsi="宋体" w:cs="宋体"/>
                <w:szCs w:val="21"/>
              </w:rPr>
            </w:pPr>
            <w:r>
              <w:rPr>
                <w:rFonts w:hint="eastAsia" w:ascii="宋体" w:hAnsi="宋体" w:cs="宋体"/>
                <w:spacing w:val="5"/>
                <w:szCs w:val="21"/>
              </w:rPr>
              <w:t>发生积水或积水处置不及时的；或其他未按要</w:t>
            </w:r>
            <w:r>
              <w:rPr>
                <w:rFonts w:hint="eastAsia" w:ascii="宋体" w:hAnsi="宋体" w:cs="宋体"/>
                <w:spacing w:val="4"/>
                <w:szCs w:val="21"/>
              </w:rPr>
              <w:t>求做好汛期积水处置工作的，根据情况扣0.5至3分。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trPr>
        <w:tc>
          <w:tcPr>
            <w:tcW w:w="1464" w:type="dxa"/>
            <w:vMerge w:val="continue"/>
            <w:tcBorders>
              <w:top w:val="nil"/>
              <w:bottom w:val="nil"/>
            </w:tcBorders>
          </w:tcPr>
          <w:p>
            <w:pPr>
              <w:rPr>
                <w:rFonts w:ascii="宋体" w:hAnsi="宋体" w:cs="宋体"/>
              </w:rPr>
            </w:pPr>
          </w:p>
        </w:tc>
        <w:tc>
          <w:tcPr>
            <w:tcW w:w="1509" w:type="dxa"/>
          </w:tcPr>
          <w:p>
            <w:pPr>
              <w:spacing w:before="15"/>
              <w:ind w:left="111"/>
              <w:rPr>
                <w:rFonts w:ascii="宋体" w:hAnsi="宋体" w:cs="宋体"/>
                <w:szCs w:val="21"/>
              </w:rPr>
            </w:pPr>
            <w:r>
              <w:rPr>
                <w:rFonts w:hint="eastAsia" w:ascii="宋体" w:hAnsi="宋体" w:cs="宋体"/>
                <w:spacing w:val="-2"/>
                <w:szCs w:val="21"/>
              </w:rPr>
              <w:t>5.2应急准备</w:t>
            </w:r>
          </w:p>
        </w:tc>
        <w:tc>
          <w:tcPr>
            <w:tcW w:w="11117" w:type="dxa"/>
          </w:tcPr>
          <w:p>
            <w:pPr>
              <w:spacing w:before="13"/>
              <w:ind w:left="132"/>
              <w:rPr>
                <w:rFonts w:ascii="宋体" w:hAnsi="宋体" w:cs="宋体"/>
                <w:sz w:val="20"/>
                <w:szCs w:val="20"/>
              </w:rPr>
            </w:pPr>
            <w:r>
              <w:rPr>
                <w:rFonts w:hint="eastAsia" w:ascii="宋体" w:hAnsi="宋体" w:cs="宋体"/>
                <w:spacing w:val="11"/>
                <w:sz w:val="20"/>
                <w:szCs w:val="20"/>
              </w:rPr>
              <w:t>未按要求响应会商联调联试、增配应急排涝设备、防汛值班和落实应</w:t>
            </w:r>
            <w:r>
              <w:rPr>
                <w:rFonts w:hint="eastAsia" w:ascii="宋体" w:hAnsi="宋体" w:cs="宋体"/>
                <w:spacing w:val="10"/>
                <w:sz w:val="20"/>
                <w:szCs w:val="20"/>
              </w:rPr>
              <w:t>急处置“一点一方案”的，根据情况扣0.5至2分。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9" w:hRule="atLeast"/>
        </w:trPr>
        <w:tc>
          <w:tcPr>
            <w:tcW w:w="1464" w:type="dxa"/>
            <w:vMerge w:val="continue"/>
            <w:tcBorders>
              <w:top w:val="nil"/>
            </w:tcBorders>
          </w:tcPr>
          <w:p>
            <w:pPr>
              <w:rPr>
                <w:rFonts w:ascii="宋体" w:hAnsi="宋体" w:cs="宋体"/>
              </w:rPr>
            </w:pPr>
          </w:p>
        </w:tc>
        <w:tc>
          <w:tcPr>
            <w:tcW w:w="1509" w:type="dxa"/>
          </w:tcPr>
          <w:p>
            <w:pPr>
              <w:spacing w:before="35"/>
              <w:ind w:left="111"/>
              <w:rPr>
                <w:rFonts w:ascii="宋体" w:hAnsi="宋体" w:cs="宋体"/>
                <w:szCs w:val="21"/>
              </w:rPr>
            </w:pPr>
            <w:r>
              <w:rPr>
                <w:rFonts w:hint="eastAsia" w:ascii="宋体" w:hAnsi="宋体" w:cs="宋体"/>
                <w:spacing w:val="-2"/>
                <w:szCs w:val="21"/>
              </w:rPr>
              <w:t>5.3调度处置</w:t>
            </w:r>
          </w:p>
        </w:tc>
        <w:tc>
          <w:tcPr>
            <w:tcW w:w="11117" w:type="dxa"/>
          </w:tcPr>
          <w:p>
            <w:pPr>
              <w:spacing w:before="25"/>
              <w:ind w:left="121" w:right="56"/>
              <w:rPr>
                <w:rFonts w:ascii="宋体" w:hAnsi="宋体" w:cs="宋体"/>
                <w:szCs w:val="21"/>
              </w:rPr>
            </w:pPr>
            <w:r>
              <w:rPr>
                <w:rFonts w:hint="eastAsia" w:ascii="宋体" w:hAnsi="宋体" w:cs="宋体"/>
                <w:szCs w:val="21"/>
              </w:rPr>
              <w:t>突发应急事件发生后行动迟缓、推诿或没有第一时间上报的；经督查后处置仍不得力的加重扣分；重大隐患未发现或发</w:t>
            </w:r>
            <w:r>
              <w:rPr>
                <w:rFonts w:hint="eastAsia" w:ascii="宋体" w:hAnsi="宋体" w:cs="宋体"/>
                <w:spacing w:val="7"/>
                <w:szCs w:val="21"/>
              </w:rPr>
              <w:t xml:space="preserve"> </w:t>
            </w:r>
            <w:r>
              <w:rPr>
                <w:rFonts w:hint="eastAsia" w:ascii="宋体" w:hAnsi="宋体" w:cs="宋体"/>
                <w:spacing w:val="5"/>
                <w:szCs w:val="21"/>
              </w:rPr>
              <w:t>现后未及时整改造成不良影响的，或其他未按要求做好调度处置工作的，根</w:t>
            </w:r>
            <w:r>
              <w:rPr>
                <w:rFonts w:hint="eastAsia" w:ascii="宋体" w:hAnsi="宋体" w:cs="宋体"/>
                <w:spacing w:val="4"/>
                <w:szCs w:val="21"/>
              </w:rPr>
              <w:t>据情况扣0.5至2分。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9" w:hRule="atLeast"/>
        </w:trPr>
        <w:tc>
          <w:tcPr>
            <w:tcW w:w="1464" w:type="dxa"/>
            <w:vMerge w:val="restart"/>
            <w:tcBorders>
              <w:bottom w:val="nil"/>
            </w:tcBorders>
          </w:tcPr>
          <w:p>
            <w:pPr>
              <w:spacing w:before="14"/>
              <w:ind w:left="94" w:right="213"/>
              <w:rPr>
                <w:rFonts w:ascii="宋体" w:hAnsi="宋体" w:cs="宋体"/>
                <w:szCs w:val="21"/>
              </w:rPr>
            </w:pPr>
            <w:r>
              <w:rPr>
                <w:rFonts w:hint="eastAsia" w:ascii="宋体" w:hAnsi="宋体" w:cs="宋体"/>
                <w:spacing w:val="-2"/>
                <w:szCs w:val="21"/>
              </w:rPr>
              <w:t>6行业发展管</w:t>
            </w:r>
            <w:r>
              <w:rPr>
                <w:rFonts w:hint="eastAsia" w:ascii="宋体" w:hAnsi="宋体" w:cs="宋体"/>
                <w:spacing w:val="1"/>
                <w:szCs w:val="21"/>
              </w:rPr>
              <w:t xml:space="preserve"> </w:t>
            </w:r>
            <w:r>
              <w:rPr>
                <w:rFonts w:hint="eastAsia" w:ascii="宋体" w:hAnsi="宋体" w:cs="宋体"/>
                <w:spacing w:val="8"/>
                <w:szCs w:val="21"/>
              </w:rPr>
              <w:t>理(7分)</w:t>
            </w:r>
          </w:p>
        </w:tc>
        <w:tc>
          <w:tcPr>
            <w:tcW w:w="1509" w:type="dxa"/>
          </w:tcPr>
          <w:p>
            <w:pPr>
              <w:spacing w:before="35"/>
              <w:ind w:left="111" w:right="242"/>
              <w:rPr>
                <w:rFonts w:ascii="宋体" w:hAnsi="宋体" w:cs="宋体"/>
                <w:szCs w:val="21"/>
              </w:rPr>
            </w:pPr>
            <w:r>
              <w:rPr>
                <w:rFonts w:hint="eastAsia" w:ascii="宋体" w:hAnsi="宋体" w:cs="宋体"/>
                <w:spacing w:val="-2"/>
                <w:szCs w:val="21"/>
              </w:rPr>
              <w:t>6.1行业提升</w:t>
            </w:r>
            <w:r>
              <w:rPr>
                <w:rFonts w:hint="eastAsia" w:ascii="宋体" w:hAnsi="宋体" w:cs="宋体"/>
                <w:spacing w:val="3"/>
                <w:szCs w:val="21"/>
              </w:rPr>
              <w:t xml:space="preserve"> </w:t>
            </w:r>
            <w:r>
              <w:rPr>
                <w:rFonts w:hint="eastAsia" w:ascii="宋体" w:hAnsi="宋体" w:cs="宋体"/>
                <w:spacing w:val="10"/>
                <w:szCs w:val="21"/>
              </w:rPr>
              <w:t>(3分)</w:t>
            </w:r>
          </w:p>
        </w:tc>
        <w:tc>
          <w:tcPr>
            <w:tcW w:w="11117" w:type="dxa"/>
          </w:tcPr>
          <w:p>
            <w:pPr>
              <w:spacing w:before="15"/>
              <w:ind w:left="121" w:right="52"/>
              <w:rPr>
                <w:rFonts w:ascii="宋体" w:hAnsi="宋体" w:cs="宋体"/>
                <w:szCs w:val="21"/>
              </w:rPr>
            </w:pPr>
            <w:r>
              <w:rPr>
                <w:rFonts w:hint="eastAsia" w:ascii="宋体" w:hAnsi="宋体" w:cs="宋体"/>
                <w:szCs w:val="21"/>
              </w:rPr>
              <w:t>未按要求做好行业培训工作的；未开展行业六化案例梳理上报工作的，或其他未按要求做好行业提升相关工作的，根据</w:t>
            </w:r>
            <w:r>
              <w:rPr>
                <w:rFonts w:hint="eastAsia" w:ascii="宋体" w:hAnsi="宋体" w:cs="宋体"/>
                <w:spacing w:val="11"/>
                <w:szCs w:val="21"/>
              </w:rPr>
              <w:t xml:space="preserve"> </w:t>
            </w:r>
            <w:r>
              <w:rPr>
                <w:rFonts w:hint="eastAsia" w:ascii="宋体" w:hAnsi="宋体" w:cs="宋体"/>
                <w:spacing w:val="18"/>
                <w:szCs w:val="21"/>
              </w:rPr>
              <w:t>情况扣0.2至2分。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9" w:hRule="atLeast"/>
        </w:trPr>
        <w:tc>
          <w:tcPr>
            <w:tcW w:w="1464" w:type="dxa"/>
            <w:vMerge w:val="continue"/>
            <w:tcBorders>
              <w:top w:val="nil"/>
              <w:bottom w:val="nil"/>
            </w:tcBorders>
          </w:tcPr>
          <w:p>
            <w:pPr>
              <w:rPr>
                <w:rFonts w:ascii="宋体" w:hAnsi="宋体" w:cs="宋体"/>
              </w:rPr>
            </w:pPr>
          </w:p>
        </w:tc>
        <w:tc>
          <w:tcPr>
            <w:tcW w:w="1509" w:type="dxa"/>
          </w:tcPr>
          <w:p>
            <w:pPr>
              <w:spacing w:before="36"/>
              <w:ind w:left="111" w:right="242"/>
              <w:rPr>
                <w:rFonts w:ascii="宋体" w:hAnsi="宋体" w:cs="宋体"/>
                <w:szCs w:val="21"/>
              </w:rPr>
            </w:pPr>
            <w:r>
              <w:rPr>
                <w:rFonts w:hint="eastAsia" w:ascii="宋体" w:hAnsi="宋体" w:cs="宋体"/>
                <w:spacing w:val="-2"/>
                <w:szCs w:val="21"/>
              </w:rPr>
              <w:t>6.2行业文化</w:t>
            </w:r>
            <w:r>
              <w:rPr>
                <w:rFonts w:hint="eastAsia" w:ascii="宋体" w:hAnsi="宋体" w:cs="宋体"/>
                <w:spacing w:val="3"/>
                <w:szCs w:val="21"/>
              </w:rPr>
              <w:t xml:space="preserve"> </w:t>
            </w:r>
            <w:r>
              <w:rPr>
                <w:rFonts w:hint="eastAsia" w:ascii="宋体" w:hAnsi="宋体" w:cs="宋体"/>
                <w:spacing w:val="10"/>
                <w:szCs w:val="21"/>
              </w:rPr>
              <w:t>(2分)</w:t>
            </w:r>
          </w:p>
        </w:tc>
        <w:tc>
          <w:tcPr>
            <w:tcW w:w="11117" w:type="dxa"/>
          </w:tcPr>
          <w:p>
            <w:pPr>
              <w:spacing w:before="25"/>
              <w:ind w:left="121"/>
              <w:rPr>
                <w:rFonts w:ascii="宋体" w:hAnsi="宋体" w:cs="宋体"/>
                <w:sz w:val="20"/>
                <w:szCs w:val="20"/>
              </w:rPr>
            </w:pPr>
            <w:r>
              <w:rPr>
                <w:rFonts w:hint="eastAsia" w:ascii="宋体" w:hAnsi="宋体" w:cs="宋体"/>
                <w:spacing w:val="11"/>
                <w:sz w:val="20"/>
                <w:szCs w:val="20"/>
              </w:rPr>
              <w:t>未结合节水宣传周等普及城市节水，开展节水宣传活动的；每月未按要求开展社会共建活动</w:t>
            </w:r>
            <w:r>
              <w:rPr>
                <w:rFonts w:hint="eastAsia" w:ascii="宋体" w:hAnsi="宋体" w:cs="宋体"/>
                <w:spacing w:val="10"/>
                <w:sz w:val="20"/>
                <w:szCs w:val="20"/>
              </w:rPr>
              <w:t>的，根据情况扣0.2至2分。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4" w:hRule="atLeast"/>
        </w:trPr>
        <w:tc>
          <w:tcPr>
            <w:tcW w:w="1464" w:type="dxa"/>
            <w:vMerge w:val="continue"/>
            <w:tcBorders>
              <w:top w:val="nil"/>
            </w:tcBorders>
          </w:tcPr>
          <w:p>
            <w:pPr>
              <w:rPr>
                <w:rFonts w:ascii="宋体" w:hAnsi="宋体" w:cs="宋体"/>
              </w:rPr>
            </w:pPr>
          </w:p>
        </w:tc>
        <w:tc>
          <w:tcPr>
            <w:tcW w:w="1509" w:type="dxa"/>
          </w:tcPr>
          <w:p>
            <w:pPr>
              <w:spacing w:before="19"/>
              <w:ind w:left="111" w:right="242"/>
              <w:rPr>
                <w:rFonts w:ascii="宋体" w:hAnsi="宋体" w:cs="宋体"/>
                <w:szCs w:val="21"/>
              </w:rPr>
            </w:pPr>
            <w:r>
              <w:rPr>
                <w:rFonts w:hint="eastAsia" w:ascii="宋体" w:hAnsi="宋体" w:cs="宋体"/>
                <w:spacing w:val="-2"/>
                <w:szCs w:val="21"/>
              </w:rPr>
              <w:t>6.3智慧建设</w:t>
            </w:r>
            <w:r>
              <w:rPr>
                <w:rFonts w:hint="eastAsia" w:ascii="宋体" w:hAnsi="宋体" w:cs="宋体"/>
                <w:spacing w:val="3"/>
                <w:szCs w:val="21"/>
              </w:rPr>
              <w:t xml:space="preserve"> </w:t>
            </w:r>
            <w:r>
              <w:rPr>
                <w:rFonts w:hint="eastAsia" w:ascii="宋体" w:hAnsi="宋体" w:cs="宋体"/>
                <w:spacing w:val="10"/>
                <w:szCs w:val="21"/>
              </w:rPr>
              <w:t>(2分)</w:t>
            </w:r>
          </w:p>
        </w:tc>
        <w:tc>
          <w:tcPr>
            <w:tcW w:w="11117" w:type="dxa"/>
          </w:tcPr>
          <w:p>
            <w:pPr>
              <w:spacing w:before="16"/>
              <w:ind w:left="121" w:right="52"/>
              <w:rPr>
                <w:rFonts w:ascii="宋体" w:hAnsi="宋体" w:cs="宋体"/>
                <w:szCs w:val="21"/>
              </w:rPr>
            </w:pPr>
            <w:r>
              <w:rPr>
                <w:rFonts w:hint="eastAsia" w:ascii="宋体" w:hAnsi="宋体" w:cs="宋体"/>
                <w:szCs w:val="21"/>
              </w:rPr>
              <w:t>未建立区(具)级河道和内满智慧平台，或区级智慧平台未与市平台对接联动的；未按要求建设感知设备、设备未接入市</w:t>
            </w:r>
            <w:r>
              <w:rPr>
                <w:rFonts w:hint="eastAsia" w:ascii="宋体" w:hAnsi="宋体" w:cs="宋体"/>
                <w:spacing w:val="11"/>
                <w:szCs w:val="21"/>
              </w:rPr>
              <w:t xml:space="preserve"> </w:t>
            </w:r>
            <w:r>
              <w:rPr>
                <w:rFonts w:hint="eastAsia" w:ascii="宋体" w:hAnsi="宋体" w:cs="宋体"/>
                <w:szCs w:val="21"/>
              </w:rPr>
              <w:t>级平台、感知设备离线失效等未达到感知设备建设要求的；未执行信息安全规定，导致系统信息泄露、泄密；根据情况</w:t>
            </w:r>
            <w:r>
              <w:rPr>
                <w:rFonts w:hint="eastAsia" w:ascii="宋体" w:hAnsi="宋体" w:cs="宋体"/>
                <w:spacing w:val="7"/>
                <w:szCs w:val="21"/>
              </w:rPr>
              <w:t xml:space="preserve"> </w:t>
            </w:r>
            <w:r>
              <w:rPr>
                <w:rFonts w:hint="eastAsia" w:ascii="宋体" w:hAnsi="宋体" w:cs="宋体"/>
                <w:spacing w:val="18"/>
                <w:szCs w:val="21"/>
              </w:rPr>
              <w:t>扣0</w:t>
            </w:r>
            <w:r>
              <w:rPr>
                <w:rFonts w:hint="eastAsia" w:ascii="宋体" w:hAnsi="宋体" w:cs="宋体"/>
                <w:spacing w:val="-46"/>
                <w:szCs w:val="21"/>
              </w:rPr>
              <w:t xml:space="preserve"> </w:t>
            </w:r>
            <w:r>
              <w:rPr>
                <w:rFonts w:hint="eastAsia" w:ascii="宋体" w:hAnsi="宋体" w:cs="宋体"/>
                <w:spacing w:val="18"/>
                <w:szCs w:val="21"/>
              </w:rPr>
              <w:t>.</w:t>
            </w:r>
            <w:r>
              <w:rPr>
                <w:rFonts w:hint="eastAsia" w:ascii="宋体" w:hAnsi="宋体" w:cs="宋体"/>
                <w:spacing w:val="-52"/>
                <w:szCs w:val="21"/>
              </w:rPr>
              <w:t xml:space="preserve"> </w:t>
            </w:r>
            <w:r>
              <w:rPr>
                <w:rFonts w:hint="eastAsia" w:ascii="宋体" w:hAnsi="宋体" w:cs="宋体"/>
                <w:spacing w:val="18"/>
                <w:szCs w:val="21"/>
              </w:rPr>
              <w:t>2至2分</w:t>
            </w:r>
          </w:p>
        </w:tc>
      </w:tr>
    </w:tbl>
    <w:p>
      <w:pPr>
        <w:spacing w:line="360" w:lineRule="auto"/>
        <w:rPr>
          <w:rFonts w:ascii="宋体" w:hAnsi="宋体" w:cs="宋体"/>
        </w:rPr>
        <w:sectPr>
          <w:footerReference r:id="rId11" w:type="default"/>
          <w:pgSz w:w="17280" w:h="12540"/>
          <w:pgMar w:top="1065" w:right="2214" w:bottom="1807" w:left="994" w:header="0" w:footer="1698" w:gutter="0"/>
          <w:cols w:space="720" w:num="1"/>
        </w:sectPr>
      </w:pPr>
    </w:p>
    <w:p>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319" w:name="_Toc184313256"/>
      <w:bookmarkEnd w:id="319"/>
      <w:bookmarkStart w:id="320" w:name="_Toc184313287"/>
      <w:bookmarkEnd w:id="320"/>
      <w:bookmarkStart w:id="321" w:name="_Toc184314478"/>
      <w:bookmarkEnd w:id="321"/>
      <w:bookmarkStart w:id="322" w:name="_Toc184310273"/>
      <w:bookmarkEnd w:id="322"/>
      <w:bookmarkStart w:id="323" w:name="_Toc184310281"/>
      <w:bookmarkEnd w:id="323"/>
      <w:bookmarkStart w:id="324" w:name="_Toc184314473"/>
      <w:bookmarkEnd w:id="324"/>
      <w:bookmarkStart w:id="325" w:name="_Toc184313291"/>
      <w:bookmarkEnd w:id="325"/>
      <w:bookmarkStart w:id="326" w:name="_Toc184312135"/>
      <w:bookmarkEnd w:id="326"/>
      <w:bookmarkStart w:id="327" w:name="_Toc184313264"/>
      <w:bookmarkEnd w:id="327"/>
      <w:bookmarkStart w:id="328" w:name="_Toc184313307"/>
      <w:bookmarkEnd w:id="328"/>
      <w:bookmarkStart w:id="329" w:name="_Toc184312106"/>
      <w:bookmarkEnd w:id="329"/>
      <w:bookmarkStart w:id="330" w:name="_Toc184310296"/>
      <w:bookmarkEnd w:id="330"/>
      <w:bookmarkStart w:id="331" w:name="_Toc184312095"/>
      <w:bookmarkEnd w:id="331"/>
      <w:bookmarkStart w:id="332" w:name="_Toc184312078"/>
      <w:bookmarkEnd w:id="332"/>
      <w:bookmarkStart w:id="333" w:name="_Toc184314446"/>
      <w:bookmarkEnd w:id="333"/>
      <w:bookmarkStart w:id="334" w:name="_Toc184310289"/>
      <w:bookmarkEnd w:id="334"/>
      <w:bookmarkStart w:id="335" w:name="_Toc184314475"/>
      <w:bookmarkEnd w:id="335"/>
      <w:bookmarkStart w:id="336" w:name="_Toc184310282"/>
      <w:bookmarkEnd w:id="336"/>
      <w:bookmarkStart w:id="337" w:name="_Toc184310295"/>
      <w:bookmarkEnd w:id="337"/>
      <w:bookmarkStart w:id="338" w:name="_Toc184308053"/>
      <w:bookmarkEnd w:id="338"/>
      <w:bookmarkStart w:id="339" w:name="_Toc184312086"/>
      <w:bookmarkEnd w:id="339"/>
      <w:bookmarkStart w:id="340" w:name="_Toc184308079"/>
      <w:bookmarkEnd w:id="340"/>
      <w:bookmarkStart w:id="341" w:name="_Toc184310288"/>
      <w:bookmarkEnd w:id="341"/>
      <w:bookmarkStart w:id="342" w:name="_Toc184314439"/>
      <w:bookmarkEnd w:id="342"/>
      <w:bookmarkStart w:id="343" w:name="_Toc184310306"/>
      <w:bookmarkEnd w:id="343"/>
      <w:bookmarkStart w:id="344" w:name="_Toc184313253"/>
      <w:bookmarkEnd w:id="344"/>
      <w:bookmarkStart w:id="345" w:name="_Toc184310330"/>
      <w:bookmarkEnd w:id="345"/>
      <w:bookmarkStart w:id="346" w:name="_Toc184308070"/>
      <w:bookmarkEnd w:id="346"/>
      <w:bookmarkStart w:id="347" w:name="_Toc184314410"/>
      <w:bookmarkEnd w:id="347"/>
      <w:bookmarkStart w:id="348" w:name="_Toc184310319"/>
      <w:bookmarkEnd w:id="348"/>
      <w:bookmarkStart w:id="349" w:name="_Toc184313266"/>
      <w:bookmarkEnd w:id="349"/>
      <w:bookmarkStart w:id="350" w:name="_Toc184308069"/>
      <w:bookmarkEnd w:id="350"/>
      <w:bookmarkStart w:id="351" w:name="_Toc184312117"/>
      <w:bookmarkEnd w:id="351"/>
      <w:bookmarkStart w:id="352" w:name="_Toc184310317"/>
      <w:bookmarkEnd w:id="352"/>
      <w:bookmarkStart w:id="353" w:name="_Toc184312085"/>
      <w:bookmarkEnd w:id="353"/>
      <w:bookmarkStart w:id="354" w:name="_Toc184313303"/>
      <w:bookmarkEnd w:id="354"/>
      <w:bookmarkStart w:id="355" w:name="_Toc184310325"/>
      <w:bookmarkEnd w:id="355"/>
      <w:bookmarkStart w:id="356" w:name="_Toc184312112"/>
      <w:bookmarkEnd w:id="356"/>
      <w:bookmarkStart w:id="357" w:name="_Toc184314428"/>
      <w:bookmarkEnd w:id="357"/>
      <w:bookmarkStart w:id="358" w:name="_Toc184314447"/>
      <w:bookmarkEnd w:id="358"/>
      <w:bookmarkStart w:id="359" w:name="_Toc184310284"/>
      <w:bookmarkEnd w:id="359"/>
      <w:bookmarkStart w:id="360" w:name="_Toc184314455"/>
      <w:bookmarkEnd w:id="360"/>
      <w:bookmarkStart w:id="361" w:name="_Toc184308101"/>
      <w:bookmarkEnd w:id="361"/>
      <w:bookmarkStart w:id="362" w:name="_Toc184310301"/>
      <w:bookmarkEnd w:id="362"/>
      <w:bookmarkStart w:id="363" w:name="_Toc184310334"/>
      <w:bookmarkEnd w:id="363"/>
      <w:bookmarkStart w:id="364" w:name="_Toc184308057"/>
      <w:bookmarkEnd w:id="364"/>
      <w:bookmarkStart w:id="365" w:name="_Toc184312127"/>
      <w:bookmarkEnd w:id="365"/>
      <w:bookmarkStart w:id="366" w:name="_Toc184313257"/>
      <w:bookmarkEnd w:id="366"/>
      <w:bookmarkStart w:id="367" w:name="_Toc184313271"/>
      <w:bookmarkEnd w:id="367"/>
      <w:bookmarkStart w:id="368" w:name="_Toc184312070"/>
      <w:bookmarkEnd w:id="368"/>
      <w:bookmarkStart w:id="369" w:name="_Toc184310294"/>
      <w:bookmarkEnd w:id="369"/>
      <w:bookmarkStart w:id="370" w:name="_Toc184310305"/>
      <w:bookmarkEnd w:id="370"/>
      <w:bookmarkStart w:id="371" w:name="_Toc184313280"/>
      <w:bookmarkEnd w:id="371"/>
      <w:bookmarkStart w:id="372" w:name="_Toc184310316"/>
      <w:bookmarkEnd w:id="372"/>
      <w:bookmarkStart w:id="373" w:name="_Toc184313261"/>
      <w:bookmarkEnd w:id="373"/>
      <w:bookmarkStart w:id="374" w:name="_Toc184308045"/>
      <w:bookmarkEnd w:id="374"/>
      <w:bookmarkStart w:id="375" w:name="_Toc184310333"/>
      <w:bookmarkEnd w:id="375"/>
      <w:bookmarkStart w:id="376" w:name="_Toc184312109"/>
      <w:bookmarkEnd w:id="376"/>
      <w:bookmarkStart w:id="377" w:name="_Toc184308099"/>
      <w:bookmarkEnd w:id="377"/>
      <w:bookmarkStart w:id="378" w:name="_Toc184313246"/>
      <w:bookmarkEnd w:id="378"/>
      <w:bookmarkStart w:id="379" w:name="_Toc184314449"/>
      <w:bookmarkEnd w:id="379"/>
      <w:bookmarkStart w:id="380" w:name="_Toc184310341"/>
      <w:bookmarkEnd w:id="380"/>
      <w:bookmarkStart w:id="381" w:name="_Toc184308050"/>
      <w:bookmarkEnd w:id="381"/>
      <w:bookmarkStart w:id="382" w:name="_Toc184310279"/>
      <w:bookmarkEnd w:id="382"/>
      <w:bookmarkStart w:id="383" w:name="_Toc184314471"/>
      <w:bookmarkEnd w:id="383"/>
      <w:bookmarkStart w:id="384" w:name="_Toc184314414"/>
      <w:bookmarkEnd w:id="384"/>
      <w:bookmarkStart w:id="385" w:name="_Toc184313249"/>
      <w:bookmarkEnd w:id="385"/>
      <w:bookmarkStart w:id="386" w:name="_Toc184313251"/>
      <w:bookmarkEnd w:id="386"/>
      <w:bookmarkStart w:id="387" w:name="_Toc184314456"/>
      <w:bookmarkEnd w:id="387"/>
      <w:bookmarkStart w:id="388" w:name="_Toc184312082"/>
      <w:bookmarkEnd w:id="388"/>
      <w:bookmarkStart w:id="389" w:name="_Toc184312069"/>
      <w:bookmarkEnd w:id="389"/>
      <w:bookmarkStart w:id="390" w:name="_Toc184310339"/>
      <w:bookmarkEnd w:id="390"/>
      <w:bookmarkStart w:id="391" w:name="_Toc184308051"/>
      <w:bookmarkEnd w:id="391"/>
      <w:bookmarkStart w:id="392" w:name="_Toc184314481"/>
      <w:bookmarkEnd w:id="392"/>
      <w:bookmarkStart w:id="393" w:name="_Toc184313306"/>
      <w:bookmarkEnd w:id="393"/>
      <w:bookmarkStart w:id="394" w:name="_Toc184314466"/>
      <w:bookmarkEnd w:id="394"/>
      <w:bookmarkStart w:id="395" w:name="_Toc184312136"/>
      <w:bookmarkEnd w:id="395"/>
      <w:bookmarkStart w:id="396" w:name="_Toc184313270"/>
      <w:bookmarkEnd w:id="396"/>
      <w:bookmarkStart w:id="397" w:name="_Toc184310318"/>
      <w:bookmarkEnd w:id="397"/>
      <w:bookmarkStart w:id="398" w:name="_Toc184314453"/>
      <w:bookmarkEnd w:id="398"/>
      <w:bookmarkStart w:id="399" w:name="_Toc184310343"/>
      <w:bookmarkEnd w:id="399"/>
      <w:bookmarkStart w:id="400" w:name="_Toc184310311"/>
      <w:bookmarkEnd w:id="400"/>
      <w:bookmarkStart w:id="401" w:name="_Toc184314442"/>
      <w:bookmarkEnd w:id="401"/>
      <w:bookmarkStart w:id="402" w:name="_Toc184314461"/>
      <w:bookmarkEnd w:id="402"/>
      <w:bookmarkStart w:id="403" w:name="_Toc184308077"/>
      <w:bookmarkEnd w:id="403"/>
      <w:bookmarkStart w:id="404" w:name="_Toc184314472"/>
      <w:bookmarkEnd w:id="404"/>
      <w:bookmarkStart w:id="405" w:name="_Toc184308096"/>
      <w:bookmarkEnd w:id="405"/>
      <w:bookmarkStart w:id="406" w:name="_Toc184312120"/>
      <w:bookmarkEnd w:id="406"/>
      <w:bookmarkStart w:id="407" w:name="_Toc184310313"/>
      <w:bookmarkEnd w:id="407"/>
      <w:bookmarkStart w:id="408" w:name="_Toc184313288"/>
      <w:bookmarkEnd w:id="408"/>
      <w:bookmarkStart w:id="409" w:name="_Toc184313252"/>
      <w:bookmarkEnd w:id="409"/>
      <w:bookmarkStart w:id="410" w:name="_Toc184310291"/>
      <w:bookmarkEnd w:id="410"/>
      <w:bookmarkStart w:id="411" w:name="_Toc184314426"/>
      <w:bookmarkEnd w:id="411"/>
      <w:bookmarkStart w:id="412" w:name="_Toc184314424"/>
      <w:bookmarkEnd w:id="412"/>
      <w:bookmarkStart w:id="413" w:name="_Toc184308100"/>
      <w:bookmarkEnd w:id="413"/>
      <w:bookmarkStart w:id="414" w:name="_Toc184312084"/>
      <w:bookmarkEnd w:id="414"/>
      <w:bookmarkStart w:id="415" w:name="_Toc184310303"/>
      <w:bookmarkEnd w:id="415"/>
      <w:bookmarkStart w:id="416" w:name="_Toc184308086"/>
      <w:bookmarkEnd w:id="416"/>
      <w:bookmarkStart w:id="417" w:name="_Toc184314450"/>
      <w:bookmarkEnd w:id="417"/>
      <w:bookmarkStart w:id="418" w:name="_Toc184312121"/>
      <w:bookmarkEnd w:id="418"/>
      <w:bookmarkStart w:id="419" w:name="_Toc184308072"/>
      <w:bookmarkEnd w:id="419"/>
      <w:bookmarkStart w:id="420" w:name="_Toc184308049"/>
      <w:bookmarkEnd w:id="420"/>
      <w:bookmarkStart w:id="421" w:name="_Toc184314443"/>
      <w:bookmarkEnd w:id="421"/>
      <w:bookmarkStart w:id="422" w:name="_Toc184312118"/>
      <w:bookmarkEnd w:id="422"/>
      <w:bookmarkStart w:id="423" w:name="_Toc184312083"/>
      <w:bookmarkEnd w:id="423"/>
      <w:bookmarkStart w:id="424" w:name="_Toc184312132"/>
      <w:bookmarkEnd w:id="424"/>
      <w:bookmarkStart w:id="425" w:name="_Toc184308065"/>
      <w:bookmarkEnd w:id="425"/>
      <w:bookmarkStart w:id="426" w:name="_Toc184308056"/>
      <w:bookmarkEnd w:id="426"/>
      <w:bookmarkStart w:id="427" w:name="_Toc184308063"/>
      <w:bookmarkEnd w:id="427"/>
      <w:bookmarkStart w:id="428" w:name="_Toc184310292"/>
      <w:bookmarkEnd w:id="428"/>
      <w:bookmarkStart w:id="429" w:name="_Toc184312134"/>
      <w:bookmarkEnd w:id="429"/>
      <w:bookmarkStart w:id="430" w:name="_Toc184313305"/>
      <w:bookmarkEnd w:id="430"/>
      <w:bookmarkStart w:id="431" w:name="_Toc184312103"/>
      <w:bookmarkEnd w:id="431"/>
      <w:bookmarkStart w:id="432" w:name="_Toc184313262"/>
      <w:bookmarkEnd w:id="432"/>
      <w:bookmarkStart w:id="433" w:name="_Toc184312090"/>
      <w:bookmarkEnd w:id="433"/>
      <w:bookmarkStart w:id="434" w:name="_Toc184312129"/>
      <w:bookmarkEnd w:id="434"/>
      <w:bookmarkStart w:id="435" w:name="_Toc184314413"/>
      <w:bookmarkEnd w:id="435"/>
      <w:bookmarkStart w:id="436" w:name="_Toc184312131"/>
      <w:bookmarkEnd w:id="436"/>
      <w:bookmarkStart w:id="437" w:name="_Toc184313268"/>
      <w:bookmarkEnd w:id="437"/>
      <w:bookmarkStart w:id="438" w:name="_Toc184312101"/>
      <w:bookmarkEnd w:id="438"/>
      <w:bookmarkStart w:id="439" w:name="_Toc184313275"/>
      <w:bookmarkEnd w:id="439"/>
      <w:bookmarkStart w:id="440" w:name="_Toc184308064"/>
      <w:bookmarkEnd w:id="440"/>
      <w:bookmarkStart w:id="441" w:name="_Toc184314429"/>
      <w:bookmarkEnd w:id="441"/>
      <w:bookmarkStart w:id="442" w:name="_Toc184313279"/>
      <w:bookmarkEnd w:id="442"/>
      <w:bookmarkStart w:id="443" w:name="_Toc184314411"/>
      <w:bookmarkEnd w:id="443"/>
      <w:bookmarkStart w:id="444" w:name="_Toc184308047"/>
      <w:bookmarkEnd w:id="444"/>
      <w:bookmarkStart w:id="445" w:name="_Toc184312087"/>
      <w:bookmarkEnd w:id="445"/>
      <w:bookmarkStart w:id="446" w:name="_Toc184310323"/>
      <w:bookmarkEnd w:id="446"/>
      <w:bookmarkStart w:id="447" w:name="_Toc184310309"/>
      <w:bookmarkEnd w:id="447"/>
      <w:bookmarkStart w:id="448" w:name="_Toc184310314"/>
      <w:bookmarkEnd w:id="448"/>
      <w:bookmarkStart w:id="449" w:name="_Toc184308066"/>
      <w:bookmarkEnd w:id="449"/>
      <w:bookmarkStart w:id="450" w:name="_Toc184313273"/>
      <w:bookmarkEnd w:id="450"/>
      <w:bookmarkStart w:id="451" w:name="_Toc184308087"/>
      <w:bookmarkEnd w:id="451"/>
      <w:bookmarkStart w:id="452" w:name="_Toc184308041"/>
      <w:bookmarkEnd w:id="452"/>
      <w:bookmarkStart w:id="453" w:name="_Toc184314438"/>
      <w:bookmarkEnd w:id="453"/>
      <w:bookmarkStart w:id="454" w:name="_Toc184312074"/>
      <w:bookmarkEnd w:id="454"/>
      <w:bookmarkStart w:id="455" w:name="_Toc184314460"/>
      <w:bookmarkEnd w:id="455"/>
      <w:bookmarkStart w:id="456" w:name="_Toc184314416"/>
      <w:bookmarkEnd w:id="456"/>
      <w:bookmarkStart w:id="457" w:name="_Toc184310274"/>
      <w:bookmarkEnd w:id="457"/>
      <w:bookmarkStart w:id="458" w:name="_Toc184312125"/>
      <w:bookmarkEnd w:id="458"/>
      <w:bookmarkStart w:id="459" w:name="_Toc184312126"/>
      <w:bookmarkEnd w:id="459"/>
      <w:bookmarkStart w:id="460" w:name="_Toc184312080"/>
      <w:bookmarkEnd w:id="460"/>
      <w:bookmarkStart w:id="461" w:name="_Toc184314448"/>
      <w:bookmarkEnd w:id="461"/>
      <w:bookmarkStart w:id="462" w:name="_Toc184314415"/>
      <w:bookmarkEnd w:id="462"/>
      <w:bookmarkStart w:id="463" w:name="_Toc184313309"/>
      <w:bookmarkEnd w:id="463"/>
      <w:bookmarkStart w:id="464" w:name="_Toc184313242"/>
      <w:bookmarkEnd w:id="464"/>
      <w:bookmarkStart w:id="465" w:name="_Toc184313267"/>
      <w:bookmarkEnd w:id="465"/>
      <w:bookmarkStart w:id="466" w:name="_Toc184314425"/>
      <w:bookmarkEnd w:id="466"/>
      <w:bookmarkStart w:id="467" w:name="_Toc184313297"/>
      <w:bookmarkEnd w:id="467"/>
      <w:bookmarkStart w:id="468" w:name="_Toc184310335"/>
      <w:bookmarkEnd w:id="468"/>
      <w:bookmarkStart w:id="469" w:name="_Toc184313269"/>
      <w:bookmarkEnd w:id="469"/>
      <w:bookmarkStart w:id="470" w:name="_Toc184314457"/>
      <w:bookmarkEnd w:id="470"/>
      <w:bookmarkStart w:id="471" w:name="_Toc184312092"/>
      <w:bookmarkEnd w:id="471"/>
      <w:bookmarkStart w:id="472" w:name="_Toc184314470"/>
      <w:bookmarkEnd w:id="472"/>
      <w:bookmarkStart w:id="473" w:name="_Toc184308102"/>
      <w:bookmarkEnd w:id="473"/>
      <w:bookmarkStart w:id="474" w:name="_Toc184310340"/>
      <w:bookmarkEnd w:id="474"/>
      <w:bookmarkStart w:id="475" w:name="_Toc184313286"/>
      <w:bookmarkEnd w:id="475"/>
      <w:bookmarkStart w:id="476" w:name="_Toc184313293"/>
      <w:bookmarkEnd w:id="476"/>
      <w:bookmarkStart w:id="477" w:name="_Toc184314474"/>
      <w:bookmarkEnd w:id="477"/>
      <w:bookmarkStart w:id="478" w:name="_Toc184313282"/>
      <w:bookmarkEnd w:id="478"/>
      <w:bookmarkStart w:id="479" w:name="_Toc184312077"/>
      <w:bookmarkEnd w:id="479"/>
      <w:bookmarkStart w:id="480" w:name="_Toc184313289"/>
      <w:bookmarkEnd w:id="480"/>
      <w:bookmarkStart w:id="481" w:name="_Toc184312111"/>
      <w:bookmarkEnd w:id="481"/>
      <w:bookmarkStart w:id="482" w:name="_Toc184308095"/>
      <w:bookmarkEnd w:id="482"/>
      <w:bookmarkStart w:id="483" w:name="_Toc184310278"/>
      <w:bookmarkEnd w:id="483"/>
      <w:bookmarkStart w:id="484" w:name="_Toc184308093"/>
      <w:bookmarkEnd w:id="484"/>
      <w:bookmarkStart w:id="485" w:name="_Toc184308106"/>
      <w:bookmarkEnd w:id="485"/>
      <w:bookmarkStart w:id="486" w:name="_Toc184312116"/>
      <w:bookmarkEnd w:id="486"/>
      <w:bookmarkStart w:id="487" w:name="_Toc184313300"/>
      <w:bookmarkEnd w:id="487"/>
      <w:bookmarkStart w:id="488" w:name="_Toc184310312"/>
      <w:bookmarkEnd w:id="488"/>
      <w:bookmarkStart w:id="489" w:name="_Toc184308098"/>
      <w:bookmarkEnd w:id="489"/>
      <w:bookmarkStart w:id="490" w:name="_Toc184308104"/>
      <w:bookmarkEnd w:id="490"/>
      <w:bookmarkStart w:id="491" w:name="_Toc184313295"/>
      <w:bookmarkEnd w:id="491"/>
      <w:bookmarkStart w:id="492" w:name="_Toc184314417"/>
      <w:bookmarkEnd w:id="492"/>
      <w:bookmarkStart w:id="493" w:name="_Toc184314441"/>
      <w:bookmarkEnd w:id="493"/>
      <w:bookmarkStart w:id="494" w:name="_Toc184308089"/>
      <w:bookmarkEnd w:id="494"/>
      <w:bookmarkStart w:id="495" w:name="_Toc184312130"/>
      <w:bookmarkEnd w:id="495"/>
      <w:bookmarkStart w:id="496" w:name="_Toc184312089"/>
      <w:bookmarkEnd w:id="496"/>
      <w:bookmarkStart w:id="497" w:name="_Toc184308075"/>
      <w:bookmarkEnd w:id="497"/>
      <w:bookmarkStart w:id="498" w:name="_Toc184313272"/>
      <w:bookmarkEnd w:id="498"/>
      <w:bookmarkStart w:id="499" w:name="_Toc184308088"/>
      <w:bookmarkEnd w:id="499"/>
      <w:bookmarkStart w:id="500" w:name="_Toc184314432"/>
      <w:bookmarkEnd w:id="500"/>
      <w:bookmarkStart w:id="501" w:name="_Toc184312137"/>
      <w:bookmarkEnd w:id="501"/>
      <w:bookmarkStart w:id="502" w:name="_Toc184314427"/>
      <w:bookmarkEnd w:id="502"/>
      <w:bookmarkStart w:id="503" w:name="_Toc184308076"/>
      <w:bookmarkEnd w:id="503"/>
      <w:bookmarkStart w:id="504" w:name="_Toc184308062"/>
      <w:bookmarkEnd w:id="504"/>
      <w:bookmarkStart w:id="505" w:name="_Toc184314430"/>
      <w:bookmarkEnd w:id="505"/>
      <w:bookmarkStart w:id="506" w:name="_Toc184313245"/>
      <w:bookmarkEnd w:id="506"/>
      <w:bookmarkStart w:id="507" w:name="_Toc184308039"/>
      <w:bookmarkEnd w:id="507"/>
      <w:bookmarkStart w:id="508" w:name="_Toc184314437"/>
      <w:bookmarkEnd w:id="508"/>
      <w:bookmarkStart w:id="509" w:name="_Toc184310277"/>
      <w:bookmarkEnd w:id="509"/>
      <w:bookmarkStart w:id="510" w:name="_Toc184313284"/>
      <w:bookmarkEnd w:id="510"/>
      <w:bookmarkStart w:id="511" w:name="_Toc184308037"/>
      <w:bookmarkEnd w:id="511"/>
      <w:bookmarkStart w:id="512" w:name="_Toc184313243"/>
      <w:bookmarkEnd w:id="512"/>
      <w:bookmarkStart w:id="513" w:name="_Toc184314462"/>
      <w:bookmarkEnd w:id="513"/>
      <w:bookmarkStart w:id="514" w:name="_Toc184313285"/>
      <w:bookmarkEnd w:id="514"/>
      <w:bookmarkStart w:id="515" w:name="_Toc184314468"/>
      <w:bookmarkEnd w:id="515"/>
      <w:bookmarkStart w:id="516" w:name="_Toc184308090"/>
      <w:bookmarkEnd w:id="516"/>
      <w:bookmarkStart w:id="517" w:name="_Toc184310320"/>
      <w:bookmarkEnd w:id="517"/>
      <w:bookmarkStart w:id="518" w:name="_Toc184310336"/>
      <w:bookmarkEnd w:id="518"/>
      <w:bookmarkStart w:id="519" w:name="_Toc184312123"/>
      <w:bookmarkEnd w:id="519"/>
      <w:bookmarkStart w:id="520" w:name="_Toc184312133"/>
      <w:bookmarkEnd w:id="520"/>
      <w:bookmarkStart w:id="521" w:name="_Toc184308082"/>
      <w:bookmarkEnd w:id="521"/>
      <w:bookmarkStart w:id="522" w:name="_Toc184313255"/>
      <w:bookmarkEnd w:id="522"/>
      <w:bookmarkStart w:id="523" w:name="_Toc184313265"/>
      <w:bookmarkEnd w:id="523"/>
      <w:bookmarkStart w:id="524" w:name="_Toc184312072"/>
      <w:bookmarkEnd w:id="524"/>
      <w:bookmarkStart w:id="525" w:name="_Toc184308042"/>
      <w:bookmarkEnd w:id="525"/>
      <w:bookmarkStart w:id="526" w:name="_Toc184310272"/>
      <w:bookmarkEnd w:id="526"/>
      <w:bookmarkStart w:id="527" w:name="_Toc184308059"/>
      <w:bookmarkEnd w:id="527"/>
      <w:bookmarkStart w:id="528" w:name="_Toc184308080"/>
      <w:bookmarkEnd w:id="528"/>
      <w:bookmarkStart w:id="529" w:name="_Toc184310276"/>
      <w:bookmarkEnd w:id="529"/>
      <w:bookmarkStart w:id="530" w:name="_Toc184314477"/>
      <w:bookmarkEnd w:id="530"/>
      <w:bookmarkStart w:id="531" w:name="_Toc184310338"/>
      <w:bookmarkEnd w:id="531"/>
      <w:bookmarkStart w:id="532" w:name="_Toc184313290"/>
      <w:bookmarkEnd w:id="532"/>
      <w:bookmarkStart w:id="533" w:name="_Toc184312104"/>
      <w:bookmarkEnd w:id="533"/>
      <w:bookmarkStart w:id="534" w:name="_Toc184310342"/>
      <w:bookmarkEnd w:id="534"/>
      <w:bookmarkStart w:id="535" w:name="_Toc184310280"/>
      <w:bookmarkEnd w:id="535"/>
      <w:bookmarkStart w:id="536" w:name="_Toc184312071"/>
      <w:bookmarkEnd w:id="536"/>
      <w:bookmarkStart w:id="537" w:name="_Toc184314452"/>
      <w:bookmarkEnd w:id="537"/>
      <w:bookmarkStart w:id="538" w:name="_Toc184314418"/>
      <w:bookmarkEnd w:id="538"/>
      <w:bookmarkStart w:id="539" w:name="_Toc184308060"/>
      <w:bookmarkEnd w:id="539"/>
      <w:bookmarkStart w:id="540" w:name="_Toc184313260"/>
      <w:bookmarkEnd w:id="540"/>
      <w:bookmarkStart w:id="541" w:name="_Toc184312122"/>
      <w:bookmarkEnd w:id="541"/>
      <w:bookmarkStart w:id="542" w:name="_Toc184314482"/>
      <w:bookmarkEnd w:id="542"/>
      <w:bookmarkStart w:id="543" w:name="_Toc184308074"/>
      <w:bookmarkEnd w:id="543"/>
      <w:bookmarkStart w:id="544" w:name="_Toc184310297"/>
      <w:bookmarkEnd w:id="544"/>
      <w:bookmarkStart w:id="545" w:name="_Toc184314412"/>
      <w:bookmarkEnd w:id="545"/>
      <w:bookmarkStart w:id="546" w:name="_Toc184310310"/>
      <w:bookmarkEnd w:id="546"/>
      <w:bookmarkStart w:id="547" w:name="_Toc184312094"/>
      <w:bookmarkEnd w:id="547"/>
      <w:bookmarkStart w:id="548" w:name="_Toc184308105"/>
      <w:bookmarkEnd w:id="548"/>
      <w:bookmarkStart w:id="549" w:name="_Toc184314444"/>
      <w:bookmarkEnd w:id="549"/>
      <w:bookmarkStart w:id="550" w:name="_Toc184310344"/>
      <w:bookmarkEnd w:id="550"/>
      <w:bookmarkStart w:id="551" w:name="_Toc184308038"/>
      <w:bookmarkEnd w:id="551"/>
      <w:bookmarkStart w:id="552" w:name="_Toc184314465"/>
      <w:bookmarkEnd w:id="552"/>
      <w:bookmarkStart w:id="553" w:name="_Toc184312107"/>
      <w:bookmarkEnd w:id="553"/>
      <w:bookmarkStart w:id="554" w:name="_Toc184308044"/>
      <w:bookmarkEnd w:id="554"/>
      <w:bookmarkStart w:id="555" w:name="_Toc184313244"/>
      <w:bookmarkEnd w:id="555"/>
      <w:bookmarkStart w:id="556" w:name="_Toc184312076"/>
      <w:bookmarkEnd w:id="556"/>
      <w:bookmarkStart w:id="557" w:name="_Toc184310321"/>
      <w:bookmarkEnd w:id="557"/>
      <w:bookmarkStart w:id="558" w:name="_Toc184313310"/>
      <w:bookmarkEnd w:id="558"/>
      <w:bookmarkStart w:id="559" w:name="_Toc184312097"/>
      <w:bookmarkEnd w:id="559"/>
      <w:bookmarkStart w:id="560" w:name="_Toc184312075"/>
      <w:bookmarkEnd w:id="560"/>
      <w:bookmarkStart w:id="561" w:name="_Toc184308094"/>
      <w:bookmarkEnd w:id="561"/>
      <w:bookmarkStart w:id="562" w:name="_Toc184313258"/>
      <w:bookmarkEnd w:id="562"/>
      <w:bookmarkStart w:id="563" w:name="_Toc184310302"/>
      <w:bookmarkEnd w:id="563"/>
      <w:bookmarkStart w:id="564" w:name="_Toc184313254"/>
      <w:bookmarkEnd w:id="564"/>
      <w:bookmarkStart w:id="565" w:name="_Toc184312088"/>
      <w:bookmarkEnd w:id="565"/>
      <w:bookmarkStart w:id="566" w:name="_Toc184312139"/>
      <w:bookmarkEnd w:id="566"/>
      <w:bookmarkStart w:id="567" w:name="_Toc184313298"/>
      <w:bookmarkEnd w:id="567"/>
      <w:bookmarkStart w:id="568" w:name="_Toc184314463"/>
      <w:bookmarkEnd w:id="568"/>
      <w:bookmarkStart w:id="569" w:name="_Toc184313238"/>
      <w:bookmarkEnd w:id="569"/>
      <w:bookmarkStart w:id="570" w:name="_Toc184314435"/>
      <w:bookmarkEnd w:id="570"/>
      <w:bookmarkStart w:id="571" w:name="_Toc184312114"/>
      <w:bookmarkEnd w:id="571"/>
      <w:bookmarkStart w:id="572" w:name="_Toc184310300"/>
      <w:bookmarkEnd w:id="572"/>
      <w:bookmarkStart w:id="573" w:name="_Toc184308103"/>
      <w:bookmarkEnd w:id="573"/>
      <w:bookmarkStart w:id="574" w:name="_Toc184313241"/>
      <w:bookmarkEnd w:id="574"/>
      <w:bookmarkStart w:id="575" w:name="_Toc184308092"/>
      <w:bookmarkEnd w:id="575"/>
      <w:bookmarkStart w:id="576" w:name="_Toc184310307"/>
      <w:bookmarkEnd w:id="576"/>
      <w:bookmarkStart w:id="577" w:name="_Toc184313294"/>
      <w:bookmarkEnd w:id="577"/>
      <w:bookmarkStart w:id="578" w:name="_Toc184314469"/>
      <w:bookmarkEnd w:id="578"/>
      <w:bookmarkStart w:id="579" w:name="_Toc184312119"/>
      <w:bookmarkEnd w:id="579"/>
      <w:bookmarkStart w:id="580" w:name="_Toc184312113"/>
      <w:bookmarkEnd w:id="580"/>
      <w:bookmarkStart w:id="581" w:name="_Toc184308036"/>
      <w:bookmarkEnd w:id="581"/>
      <w:bookmarkStart w:id="582" w:name="_Toc184313302"/>
      <w:bookmarkEnd w:id="582"/>
      <w:bookmarkStart w:id="583" w:name="_Toc184312124"/>
      <w:bookmarkEnd w:id="583"/>
      <w:bookmarkStart w:id="584" w:name="_Toc184308084"/>
      <w:bookmarkEnd w:id="584"/>
      <w:bookmarkStart w:id="585" w:name="_Toc184308083"/>
      <w:bookmarkEnd w:id="585"/>
      <w:bookmarkStart w:id="586" w:name="_Toc184312099"/>
      <w:bookmarkEnd w:id="586"/>
      <w:bookmarkStart w:id="587" w:name="_Toc184308061"/>
      <w:bookmarkEnd w:id="587"/>
      <w:bookmarkStart w:id="588" w:name="_Toc184314433"/>
      <w:bookmarkEnd w:id="588"/>
      <w:bookmarkStart w:id="589" w:name="_Toc184312138"/>
      <w:bookmarkEnd w:id="589"/>
      <w:bookmarkStart w:id="590" w:name="_Toc184313276"/>
      <w:bookmarkEnd w:id="590"/>
      <w:bookmarkStart w:id="591" w:name="_Toc184314440"/>
      <w:bookmarkEnd w:id="591"/>
      <w:bookmarkStart w:id="592" w:name="_Toc184310290"/>
      <w:bookmarkEnd w:id="592"/>
      <w:bookmarkStart w:id="593" w:name="_Toc184312110"/>
      <w:bookmarkEnd w:id="593"/>
      <w:bookmarkStart w:id="594" w:name="_Toc184308071"/>
      <w:bookmarkEnd w:id="594"/>
      <w:bookmarkStart w:id="595" w:name="_Toc184310299"/>
      <w:bookmarkEnd w:id="595"/>
      <w:bookmarkStart w:id="596" w:name="_Toc184313240"/>
      <w:bookmarkEnd w:id="596"/>
      <w:bookmarkStart w:id="597" w:name="_Toc184310337"/>
      <w:bookmarkEnd w:id="597"/>
      <w:bookmarkStart w:id="598" w:name="_Toc184308043"/>
      <w:bookmarkEnd w:id="598"/>
      <w:bookmarkStart w:id="599" w:name="_Toc184308073"/>
      <w:bookmarkEnd w:id="599"/>
      <w:bookmarkStart w:id="600" w:name="_Toc184312091"/>
      <w:bookmarkEnd w:id="600"/>
      <w:bookmarkStart w:id="601" w:name="_Toc184314459"/>
      <w:bookmarkEnd w:id="601"/>
      <w:bookmarkStart w:id="602" w:name="_Toc184312128"/>
      <w:bookmarkEnd w:id="602"/>
      <w:bookmarkStart w:id="603" w:name="_Toc184310327"/>
      <w:bookmarkEnd w:id="603"/>
      <w:bookmarkStart w:id="604" w:name="_Toc184313248"/>
      <w:bookmarkEnd w:id="604"/>
      <w:bookmarkStart w:id="605" w:name="_Toc184313304"/>
      <w:bookmarkEnd w:id="605"/>
      <w:bookmarkStart w:id="606" w:name="_Toc184310287"/>
      <w:bookmarkEnd w:id="606"/>
      <w:bookmarkStart w:id="607" w:name="_Toc184314458"/>
      <w:bookmarkEnd w:id="607"/>
      <w:bookmarkStart w:id="608" w:name="_Toc184312105"/>
      <w:bookmarkEnd w:id="608"/>
      <w:bookmarkStart w:id="609" w:name="_Toc184314479"/>
      <w:bookmarkEnd w:id="609"/>
      <w:bookmarkStart w:id="610" w:name="_Toc184312093"/>
      <w:bookmarkEnd w:id="610"/>
      <w:bookmarkStart w:id="611" w:name="_Toc184310283"/>
      <w:bookmarkEnd w:id="611"/>
      <w:bookmarkStart w:id="612" w:name="_Toc184312108"/>
      <w:bookmarkEnd w:id="612"/>
      <w:bookmarkStart w:id="613" w:name="_Toc184310324"/>
      <w:bookmarkEnd w:id="613"/>
      <w:bookmarkStart w:id="614" w:name="_Toc184308068"/>
      <w:bookmarkEnd w:id="614"/>
      <w:bookmarkStart w:id="615" w:name="_Toc184313299"/>
      <w:bookmarkEnd w:id="615"/>
      <w:bookmarkStart w:id="616" w:name="_Toc184308091"/>
      <w:bookmarkEnd w:id="616"/>
      <w:bookmarkStart w:id="617" w:name="_Toc184310315"/>
      <w:bookmarkEnd w:id="617"/>
      <w:bookmarkStart w:id="618" w:name="_Toc184313259"/>
      <w:bookmarkEnd w:id="618"/>
      <w:bookmarkStart w:id="619" w:name="_Toc184313277"/>
      <w:bookmarkEnd w:id="619"/>
      <w:bookmarkStart w:id="620" w:name="_Toc184313296"/>
      <w:bookmarkEnd w:id="620"/>
      <w:bookmarkStart w:id="621" w:name="_Toc184314476"/>
      <w:bookmarkEnd w:id="621"/>
      <w:bookmarkStart w:id="622" w:name="_Toc184308108"/>
      <w:bookmarkEnd w:id="622"/>
      <w:bookmarkStart w:id="623" w:name="_Toc184310286"/>
      <w:bookmarkEnd w:id="623"/>
      <w:bookmarkStart w:id="624" w:name="_Toc184313283"/>
      <w:bookmarkEnd w:id="624"/>
      <w:bookmarkStart w:id="625" w:name="_Toc184312073"/>
      <w:bookmarkEnd w:id="625"/>
      <w:bookmarkStart w:id="626" w:name="_Toc184308052"/>
      <w:bookmarkEnd w:id="626"/>
      <w:bookmarkStart w:id="627" w:name="_Toc184308040"/>
      <w:bookmarkEnd w:id="627"/>
      <w:bookmarkStart w:id="628" w:name="_Toc184314420"/>
      <w:bookmarkEnd w:id="628"/>
      <w:bookmarkStart w:id="629" w:name="_Toc184312102"/>
      <w:bookmarkEnd w:id="629"/>
      <w:bookmarkStart w:id="630" w:name="_Toc184314480"/>
      <w:bookmarkEnd w:id="630"/>
      <w:bookmarkStart w:id="631" w:name="_Toc184313263"/>
      <w:bookmarkEnd w:id="631"/>
      <w:bookmarkStart w:id="632" w:name="_Toc184314421"/>
      <w:bookmarkEnd w:id="632"/>
      <w:bookmarkStart w:id="633" w:name="_Toc184310328"/>
      <w:bookmarkEnd w:id="633"/>
      <w:bookmarkStart w:id="634" w:name="_Toc184313274"/>
      <w:bookmarkEnd w:id="634"/>
      <w:bookmarkStart w:id="635" w:name="_Toc184314445"/>
      <w:bookmarkEnd w:id="635"/>
      <w:bookmarkStart w:id="636" w:name="_Toc184312115"/>
      <w:bookmarkEnd w:id="636"/>
      <w:bookmarkStart w:id="637" w:name="_Toc184308107"/>
      <w:bookmarkEnd w:id="637"/>
      <w:bookmarkStart w:id="638" w:name="_Toc184312067"/>
      <w:bookmarkEnd w:id="638"/>
      <w:bookmarkStart w:id="639" w:name="_Toc184308081"/>
      <w:bookmarkEnd w:id="639"/>
      <w:bookmarkStart w:id="640" w:name="_Toc184310326"/>
      <w:bookmarkEnd w:id="640"/>
      <w:bookmarkStart w:id="641" w:name="_Toc184314467"/>
      <w:bookmarkEnd w:id="641"/>
      <w:bookmarkStart w:id="642" w:name="_Toc184312098"/>
      <w:bookmarkEnd w:id="642"/>
      <w:bookmarkStart w:id="643" w:name="_Toc184312079"/>
      <w:bookmarkEnd w:id="643"/>
      <w:bookmarkStart w:id="644" w:name="_Toc184308067"/>
      <w:bookmarkEnd w:id="644"/>
      <w:bookmarkStart w:id="645" w:name="_Toc184308097"/>
      <w:bookmarkEnd w:id="645"/>
      <w:bookmarkStart w:id="646" w:name="_Toc184312096"/>
      <w:bookmarkEnd w:id="646"/>
      <w:bookmarkStart w:id="647" w:name="_Toc184313281"/>
      <w:bookmarkEnd w:id="647"/>
      <w:bookmarkStart w:id="648" w:name="_Toc184310293"/>
      <w:bookmarkEnd w:id="648"/>
      <w:bookmarkStart w:id="649" w:name="_Toc184310329"/>
      <w:bookmarkEnd w:id="649"/>
      <w:bookmarkStart w:id="650" w:name="_Toc184308048"/>
      <w:bookmarkEnd w:id="650"/>
      <w:bookmarkStart w:id="651" w:name="_Toc184314423"/>
      <w:bookmarkEnd w:id="651"/>
      <w:bookmarkStart w:id="652" w:name="_Toc184308085"/>
      <w:bookmarkEnd w:id="652"/>
      <w:bookmarkStart w:id="653" w:name="_Toc184313250"/>
      <w:bookmarkEnd w:id="653"/>
      <w:bookmarkStart w:id="654" w:name="_Toc184308078"/>
      <w:bookmarkEnd w:id="654"/>
      <w:bookmarkStart w:id="655" w:name="_Toc184314454"/>
      <w:bookmarkEnd w:id="655"/>
      <w:bookmarkStart w:id="656" w:name="_Toc184314464"/>
      <w:bookmarkEnd w:id="656"/>
      <w:bookmarkStart w:id="657" w:name="_Toc184310285"/>
      <w:bookmarkEnd w:id="657"/>
      <w:bookmarkStart w:id="658" w:name="_Toc184308046"/>
      <w:bookmarkEnd w:id="658"/>
      <w:bookmarkStart w:id="659" w:name="_Toc184313301"/>
      <w:bookmarkEnd w:id="659"/>
      <w:bookmarkStart w:id="660" w:name="_Toc184312068"/>
      <w:bookmarkEnd w:id="660"/>
      <w:bookmarkStart w:id="661" w:name="_Toc184314422"/>
      <w:bookmarkEnd w:id="661"/>
      <w:bookmarkStart w:id="662" w:name="_Toc184313239"/>
      <w:bookmarkEnd w:id="662"/>
      <w:bookmarkStart w:id="663" w:name="_Toc184310332"/>
      <w:bookmarkEnd w:id="663"/>
      <w:bookmarkStart w:id="664" w:name="_Toc184314419"/>
      <w:bookmarkEnd w:id="664"/>
      <w:bookmarkStart w:id="665" w:name="_Toc184314431"/>
      <w:bookmarkEnd w:id="665"/>
      <w:bookmarkStart w:id="666" w:name="_Toc184314451"/>
      <w:bookmarkEnd w:id="666"/>
      <w:bookmarkStart w:id="667" w:name="_Toc184313292"/>
      <w:bookmarkEnd w:id="667"/>
      <w:bookmarkStart w:id="668" w:name="_Toc184313308"/>
      <w:bookmarkEnd w:id="668"/>
      <w:bookmarkStart w:id="669" w:name="_Toc184310275"/>
      <w:bookmarkEnd w:id="669"/>
      <w:bookmarkStart w:id="670" w:name="_Toc184312081"/>
      <w:bookmarkEnd w:id="670"/>
      <w:bookmarkStart w:id="671" w:name="_Toc184314434"/>
      <w:bookmarkEnd w:id="671"/>
      <w:bookmarkStart w:id="672" w:name="_Toc184310298"/>
      <w:bookmarkEnd w:id="672"/>
      <w:bookmarkStart w:id="673" w:name="_Toc184310304"/>
      <w:bookmarkEnd w:id="673"/>
      <w:bookmarkStart w:id="674" w:name="_Toc184314436"/>
      <w:bookmarkEnd w:id="674"/>
      <w:bookmarkStart w:id="675" w:name="_Toc184313278"/>
      <w:bookmarkEnd w:id="675"/>
      <w:bookmarkStart w:id="676" w:name="_Toc184310331"/>
      <w:bookmarkEnd w:id="676"/>
      <w:bookmarkStart w:id="677" w:name="_Toc184308058"/>
      <w:bookmarkEnd w:id="677"/>
      <w:bookmarkStart w:id="678" w:name="_Toc184312100"/>
      <w:bookmarkEnd w:id="678"/>
      <w:bookmarkStart w:id="679" w:name="_Toc184308054"/>
      <w:bookmarkEnd w:id="679"/>
      <w:bookmarkStart w:id="680" w:name="_Toc184310322"/>
      <w:bookmarkEnd w:id="680"/>
      <w:bookmarkStart w:id="681" w:name="_Toc184310308"/>
      <w:bookmarkEnd w:id="681"/>
      <w:bookmarkStart w:id="682" w:name="_Toc184313247"/>
      <w:bookmarkEnd w:id="682"/>
      <w:bookmarkStart w:id="683" w:name="_Toc184308055"/>
      <w:bookmarkEnd w:id="683"/>
      <w:r>
        <w:rPr>
          <w:rFonts w:hint="eastAsia" w:ascii="宋体" w:hAnsi="宋体" w:cs="宋体"/>
          <w:b/>
          <w:sz w:val="36"/>
          <w:szCs w:val="36"/>
        </w:rPr>
        <w:t>评标办法</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评标办法表</w:t>
      </w:r>
    </w:p>
    <w:tbl>
      <w:tblPr>
        <w:tblStyle w:val="62"/>
        <w:tblW w:w="50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071"/>
        <w:gridCol w:w="680"/>
        <w:gridCol w:w="5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宋体" w:hAnsi="宋体" w:cs="宋体"/>
                <w:b/>
                <w:bCs/>
                <w:kern w:val="0"/>
                <w:sz w:val="24"/>
              </w:rPr>
            </w:pPr>
            <w:r>
              <w:rPr>
                <w:rFonts w:hint="eastAsia" w:ascii="宋体" w:hAnsi="宋体" w:cs="宋体"/>
                <w:b/>
                <w:bCs/>
                <w:kern w:val="0"/>
                <w:sz w:val="24"/>
              </w:rPr>
              <w:t>评审</w:t>
            </w:r>
          </w:p>
          <w:p>
            <w:pPr>
              <w:autoSpaceDE w:val="0"/>
              <w:autoSpaceDN w:val="0"/>
              <w:snapToGrid w:val="0"/>
              <w:jc w:val="center"/>
              <w:rPr>
                <w:rFonts w:ascii="宋体" w:hAnsi="宋体" w:cs="宋体"/>
                <w:b/>
                <w:bCs/>
                <w:kern w:val="0"/>
                <w:sz w:val="24"/>
              </w:rPr>
            </w:pPr>
            <w:r>
              <w:rPr>
                <w:rFonts w:hint="eastAsia" w:ascii="宋体" w:hAnsi="宋体" w:cs="宋体"/>
                <w:b/>
                <w:bCs/>
                <w:kern w:val="0"/>
                <w:sz w:val="24"/>
              </w:rPr>
              <w:t>类别</w:t>
            </w:r>
          </w:p>
        </w:tc>
        <w:tc>
          <w:tcPr>
            <w:tcW w:w="628"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宋体" w:hAnsi="宋体" w:cs="宋体"/>
                <w:b/>
                <w:bCs/>
                <w:kern w:val="0"/>
                <w:sz w:val="24"/>
              </w:rPr>
            </w:pPr>
            <w:r>
              <w:rPr>
                <w:rFonts w:hint="eastAsia" w:ascii="宋体" w:hAnsi="宋体" w:cs="宋体"/>
                <w:b/>
                <w:bCs/>
                <w:kern w:val="0"/>
                <w:sz w:val="24"/>
              </w:rPr>
              <w:t>评审</w:t>
            </w:r>
          </w:p>
          <w:p>
            <w:pPr>
              <w:autoSpaceDE w:val="0"/>
              <w:autoSpaceDN w:val="0"/>
              <w:snapToGrid w:val="0"/>
              <w:jc w:val="center"/>
              <w:rPr>
                <w:rFonts w:ascii="宋体" w:hAnsi="宋体" w:cs="宋体"/>
                <w:b/>
                <w:bCs/>
                <w:kern w:val="0"/>
                <w:sz w:val="24"/>
              </w:rPr>
            </w:pPr>
            <w:r>
              <w:rPr>
                <w:rFonts w:hint="eastAsia" w:ascii="宋体" w:hAnsi="宋体" w:cs="宋体"/>
                <w:b/>
                <w:bCs/>
                <w:kern w:val="0"/>
                <w:sz w:val="24"/>
              </w:rPr>
              <w:t>项目</w:t>
            </w:r>
          </w:p>
        </w:tc>
        <w:tc>
          <w:tcPr>
            <w:tcW w:w="39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宋体" w:hAnsi="宋体" w:cs="宋体"/>
                <w:b/>
                <w:bCs/>
                <w:kern w:val="0"/>
                <w:sz w:val="24"/>
              </w:rPr>
            </w:pPr>
            <w:r>
              <w:rPr>
                <w:rFonts w:hint="eastAsia" w:ascii="宋体" w:hAnsi="宋体" w:cs="宋体"/>
                <w:b/>
                <w:bCs/>
                <w:kern w:val="0"/>
                <w:sz w:val="24"/>
              </w:rPr>
              <w:t>标准分</w:t>
            </w:r>
          </w:p>
        </w:tc>
        <w:tc>
          <w:tcPr>
            <w:tcW w:w="339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宋体" w:hAnsi="宋体" w:cs="宋体"/>
                <w:b/>
                <w:bCs/>
                <w:kern w:val="0"/>
                <w:sz w:val="24"/>
              </w:rPr>
            </w:pPr>
            <w:r>
              <w:rPr>
                <w:rFonts w:hint="eastAsia" w:ascii="宋体" w:hAnsi="宋体" w:cs="宋体"/>
                <w:b/>
                <w:bCs/>
                <w:kern w:val="0"/>
                <w:sz w:val="24"/>
              </w:rPr>
              <w:t>评分内容及标准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7"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rPr>
                <w:rFonts w:ascii="宋体" w:hAnsi="宋体" w:cs="宋体"/>
                <w:kern w:val="0"/>
                <w:sz w:val="24"/>
              </w:rPr>
            </w:pPr>
            <w:r>
              <w:rPr>
                <w:rFonts w:hint="eastAsia" w:ascii="宋体" w:hAnsi="宋体" w:cs="宋体"/>
                <w:kern w:val="0"/>
                <w:sz w:val="24"/>
              </w:rPr>
              <w:t>报价部分(15分）</w:t>
            </w:r>
          </w:p>
          <w:p>
            <w:pPr>
              <w:autoSpaceDE w:val="0"/>
              <w:autoSpaceDN w:val="0"/>
              <w:snapToGrid w:val="0"/>
              <w:jc w:val="left"/>
              <w:rPr>
                <w:rFonts w:ascii="宋体" w:hAnsi="宋体" w:cs="宋体"/>
                <w:kern w:val="0"/>
                <w:sz w:val="24"/>
              </w:rPr>
            </w:pPr>
          </w:p>
        </w:tc>
        <w:tc>
          <w:tcPr>
            <w:tcW w:w="628"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rPr>
                <w:rFonts w:ascii="宋体" w:hAnsi="宋体" w:cs="宋体"/>
                <w:kern w:val="0"/>
                <w:sz w:val="24"/>
              </w:rPr>
            </w:pPr>
            <w:r>
              <w:rPr>
                <w:rFonts w:hint="eastAsia" w:ascii="宋体" w:hAnsi="宋体" w:cs="宋体"/>
                <w:kern w:val="0"/>
                <w:sz w:val="24"/>
              </w:rPr>
              <w:t>投标报价</w:t>
            </w:r>
          </w:p>
        </w:tc>
        <w:tc>
          <w:tcPr>
            <w:tcW w:w="39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宋体" w:hAnsi="宋体" w:cs="宋体"/>
                <w:kern w:val="0"/>
                <w:sz w:val="24"/>
              </w:rPr>
            </w:pPr>
            <w:r>
              <w:rPr>
                <w:rFonts w:hint="eastAsia" w:ascii="宋体" w:hAnsi="宋体" w:cs="宋体"/>
                <w:kern w:val="0"/>
                <w:sz w:val="24"/>
              </w:rPr>
              <w:t>15分</w:t>
            </w:r>
          </w:p>
        </w:tc>
        <w:tc>
          <w:tcPr>
            <w:tcW w:w="3395" w:type="pct"/>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kern w:val="0"/>
                <w:sz w:val="24"/>
              </w:rPr>
            </w:pPr>
            <w:r>
              <w:rPr>
                <w:rFonts w:hint="eastAsia" w:ascii="宋体" w:hAnsi="宋体" w:cs="宋体"/>
                <w:kern w:val="0"/>
                <w:sz w:val="24"/>
              </w:rPr>
              <w:t>价格评分将在有效投标人范围内进行，最高得15分，最低得0分（小数点后保留二位小数，第三位四舍五入）。满足采购文件要求且投标价格最低的</w:t>
            </w:r>
            <w:r>
              <w:rPr>
                <w:rFonts w:hint="eastAsia" w:ascii="宋体" w:hAnsi="宋体" w:cs="宋体"/>
                <w:b/>
                <w:kern w:val="0"/>
                <w:sz w:val="24"/>
                <w:u w:val="thick"/>
              </w:rPr>
              <w:t>投标报价</w:t>
            </w:r>
            <w:r>
              <w:rPr>
                <w:rFonts w:hint="eastAsia" w:ascii="宋体" w:hAnsi="宋体" w:cs="宋体"/>
                <w:kern w:val="0"/>
                <w:sz w:val="24"/>
              </w:rPr>
              <w:t>为</w:t>
            </w:r>
            <w:r>
              <w:rPr>
                <w:rFonts w:hint="eastAsia" w:ascii="宋体" w:hAnsi="宋体" w:cs="宋体"/>
                <w:b/>
                <w:kern w:val="0"/>
                <w:sz w:val="24"/>
                <w:u w:val="thick"/>
              </w:rPr>
              <w:t>评标基准价</w:t>
            </w:r>
            <w:r>
              <w:rPr>
                <w:rFonts w:hint="eastAsia" w:ascii="宋体" w:hAnsi="宋体" w:cs="宋体"/>
                <w:kern w:val="0"/>
                <w:sz w:val="24"/>
              </w:rPr>
              <w:t>，投标人的价格分统一按照下列公式计算：</w:t>
            </w:r>
          </w:p>
          <w:p>
            <w:pPr>
              <w:widowControl/>
              <w:snapToGrid w:val="0"/>
              <w:rPr>
                <w:rFonts w:ascii="宋体" w:hAnsi="宋体" w:cs="宋体"/>
                <w:kern w:val="0"/>
                <w:sz w:val="24"/>
              </w:rPr>
            </w:pPr>
            <w:r>
              <w:rPr>
                <w:rFonts w:hint="eastAsia" w:ascii="宋体" w:hAnsi="宋体" w:cs="宋体"/>
                <w:kern w:val="0"/>
                <w:sz w:val="24"/>
              </w:rPr>
              <w:t>投标报价得分=（</w:t>
            </w:r>
            <w:r>
              <w:rPr>
                <w:rFonts w:hint="eastAsia" w:ascii="宋体" w:hAnsi="宋体" w:cs="宋体"/>
                <w:b/>
                <w:kern w:val="0"/>
                <w:sz w:val="24"/>
                <w:u w:val="thick"/>
              </w:rPr>
              <w:t>评标基准价</w:t>
            </w:r>
            <w:r>
              <w:rPr>
                <w:rFonts w:hint="eastAsia" w:ascii="宋体" w:hAnsi="宋体" w:cs="宋体"/>
                <w:kern w:val="0"/>
                <w:sz w:val="24"/>
              </w:rPr>
              <w:t>/</w:t>
            </w:r>
            <w:r>
              <w:rPr>
                <w:rFonts w:hint="eastAsia" w:ascii="宋体" w:hAnsi="宋体" w:cs="宋体"/>
                <w:b/>
                <w:kern w:val="0"/>
                <w:sz w:val="24"/>
                <w:u w:val="thick"/>
              </w:rPr>
              <w:t>投标报价</w:t>
            </w:r>
            <w:r>
              <w:rPr>
                <w:rFonts w:hint="eastAsia" w:ascii="宋体" w:hAnsi="宋体" w:cs="宋体"/>
                <w:kern w:val="0"/>
                <w:sz w:val="24"/>
              </w:rPr>
              <w:t>）×15%×100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76" w:type="pct"/>
            <w:vMerge w:val="restart"/>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r>
              <w:rPr>
                <w:rFonts w:hint="eastAsia" w:ascii="宋体" w:hAnsi="宋体" w:cs="宋体"/>
                <w:kern w:val="0"/>
                <w:sz w:val="24"/>
              </w:rPr>
              <w:t>商务资信部分（4.5分）</w:t>
            </w:r>
          </w:p>
        </w:tc>
        <w:tc>
          <w:tcPr>
            <w:tcW w:w="628" w:type="pct"/>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r>
              <w:rPr>
                <w:rFonts w:hint="eastAsia" w:ascii="宋体" w:hAnsi="宋体" w:cs="宋体"/>
                <w:kern w:val="0"/>
                <w:sz w:val="24"/>
              </w:rPr>
              <w:t>企业认证</w:t>
            </w:r>
          </w:p>
        </w:tc>
        <w:tc>
          <w:tcPr>
            <w:tcW w:w="399" w:type="pct"/>
            <w:tcBorders>
              <w:top w:val="single" w:color="auto" w:sz="4" w:space="0"/>
              <w:left w:val="single" w:color="auto" w:sz="4" w:space="0"/>
              <w:right w:val="single" w:color="auto" w:sz="4" w:space="0"/>
            </w:tcBorders>
            <w:vAlign w:val="center"/>
          </w:tcPr>
          <w:p>
            <w:pPr>
              <w:autoSpaceDE w:val="0"/>
              <w:autoSpaceDN w:val="0"/>
              <w:snapToGrid w:val="0"/>
              <w:jc w:val="center"/>
              <w:rPr>
                <w:rFonts w:ascii="宋体" w:hAnsi="宋体" w:cs="宋体"/>
                <w:kern w:val="0"/>
                <w:sz w:val="24"/>
              </w:rPr>
            </w:pPr>
            <w:r>
              <w:rPr>
                <w:rFonts w:hint="eastAsia" w:ascii="宋体" w:hAnsi="宋体" w:cs="宋体"/>
                <w:kern w:val="0"/>
                <w:sz w:val="24"/>
              </w:rPr>
              <w:t>0-3分</w:t>
            </w:r>
          </w:p>
        </w:tc>
        <w:tc>
          <w:tcPr>
            <w:tcW w:w="3395" w:type="pct"/>
            <w:tcBorders>
              <w:top w:val="single" w:color="auto" w:sz="4" w:space="0"/>
              <w:left w:val="single" w:color="auto" w:sz="4" w:space="0"/>
              <w:right w:val="single" w:color="auto" w:sz="4" w:space="0"/>
            </w:tcBorders>
            <w:vAlign w:val="center"/>
          </w:tcPr>
          <w:p>
            <w:pPr>
              <w:autoSpaceDE w:val="0"/>
              <w:autoSpaceDN w:val="0"/>
              <w:snapToGrid w:val="0"/>
              <w:jc w:val="left"/>
              <w:rPr>
                <w:rFonts w:ascii="宋体" w:hAnsi="宋体" w:cs="宋体"/>
                <w:sz w:val="24"/>
              </w:rPr>
            </w:pPr>
            <w:r>
              <w:rPr>
                <w:rFonts w:hint="eastAsia" w:ascii="宋体" w:hAnsi="宋体" w:cs="宋体"/>
                <w:sz w:val="24"/>
                <w:lang w:val="zh-CN"/>
              </w:rPr>
              <w:t xml:space="preserve">投标人通过质量管理体系认证、环境管理体系认证、职业健康安全管理体系认证，每个得1分，最高得3分，没有的不得分。(须附有效证明材料，复印件加盖公章，否则不得分)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576"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628" w:type="pct"/>
            <w:tcBorders>
              <w:left w:val="single" w:color="auto" w:sz="4" w:space="0"/>
              <w:right w:val="single" w:color="auto" w:sz="4" w:space="0"/>
            </w:tcBorders>
            <w:vAlign w:val="center"/>
          </w:tcPr>
          <w:p>
            <w:pPr>
              <w:autoSpaceDE w:val="0"/>
              <w:autoSpaceDN w:val="0"/>
              <w:snapToGrid w:val="0"/>
              <w:jc w:val="center"/>
              <w:rPr>
                <w:rFonts w:ascii="宋体" w:hAnsi="宋体" w:cs="宋体"/>
                <w:kern w:val="0"/>
                <w:sz w:val="24"/>
              </w:rPr>
            </w:pPr>
            <w:r>
              <w:rPr>
                <w:rFonts w:hint="eastAsia" w:ascii="宋体" w:hAnsi="宋体" w:cs="宋体"/>
                <w:kern w:val="0"/>
                <w:sz w:val="24"/>
              </w:rPr>
              <w:t>工作业绩</w:t>
            </w:r>
          </w:p>
        </w:tc>
        <w:tc>
          <w:tcPr>
            <w:tcW w:w="399" w:type="pct"/>
            <w:tcBorders>
              <w:top w:val="single" w:color="auto" w:sz="4" w:space="0"/>
              <w:left w:val="single" w:color="auto" w:sz="4" w:space="0"/>
              <w:right w:val="single" w:color="auto" w:sz="4" w:space="0"/>
            </w:tcBorders>
            <w:vAlign w:val="center"/>
          </w:tcPr>
          <w:p>
            <w:pPr>
              <w:autoSpaceDE w:val="0"/>
              <w:autoSpaceDN w:val="0"/>
              <w:snapToGrid w:val="0"/>
              <w:jc w:val="center"/>
              <w:rPr>
                <w:rFonts w:ascii="宋体" w:hAnsi="宋体" w:cs="宋体"/>
                <w:kern w:val="0"/>
                <w:sz w:val="24"/>
              </w:rPr>
            </w:pPr>
            <w:r>
              <w:rPr>
                <w:rFonts w:hint="eastAsia" w:ascii="宋体" w:hAnsi="宋体" w:cs="宋体"/>
                <w:kern w:val="0"/>
                <w:sz w:val="24"/>
              </w:rPr>
              <w:t>0-1.5分</w:t>
            </w:r>
          </w:p>
        </w:tc>
        <w:tc>
          <w:tcPr>
            <w:tcW w:w="339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rPr>
                <w:rFonts w:ascii="宋体" w:hAnsi="宋体" w:cs="宋体"/>
                <w:sz w:val="24"/>
                <w:lang w:val="zh-CN"/>
              </w:rPr>
            </w:pPr>
            <w:r>
              <w:rPr>
                <w:rFonts w:hint="eastAsia" w:ascii="宋体" w:hAnsi="宋体" w:cs="宋体"/>
                <w:sz w:val="24"/>
                <w:lang w:val="zh-CN"/>
              </w:rPr>
              <w:t>提供</w:t>
            </w:r>
            <w:r>
              <w:rPr>
                <w:rFonts w:hint="eastAsia" w:ascii="宋体" w:hAnsi="宋体" w:cs="宋体"/>
                <w:sz w:val="24"/>
              </w:rPr>
              <w:t>2019年1月1日（以合同签订时间为准）起的河道养护</w:t>
            </w:r>
            <w:r>
              <w:rPr>
                <w:rFonts w:hint="eastAsia" w:ascii="宋体" w:hAnsi="宋体" w:cs="宋体"/>
                <w:sz w:val="24"/>
                <w:lang w:val="zh-CN"/>
              </w:rPr>
              <w:t>项目的业绩证明，提供一个业绩得</w:t>
            </w:r>
            <w:r>
              <w:rPr>
                <w:rFonts w:hint="eastAsia" w:ascii="宋体" w:hAnsi="宋体" w:cs="宋体"/>
                <w:sz w:val="24"/>
              </w:rPr>
              <w:t>0.5</w:t>
            </w:r>
            <w:r>
              <w:rPr>
                <w:rFonts w:hint="eastAsia" w:ascii="宋体" w:hAnsi="宋体" w:cs="宋体"/>
                <w:sz w:val="24"/>
                <w:lang w:val="zh-CN"/>
              </w:rPr>
              <w:t>分，本项最高得</w:t>
            </w:r>
            <w:r>
              <w:rPr>
                <w:rFonts w:hint="eastAsia" w:ascii="宋体" w:hAnsi="宋体" w:cs="宋体"/>
                <w:sz w:val="24"/>
              </w:rPr>
              <w:t>1.5</w:t>
            </w:r>
            <w:r>
              <w:rPr>
                <w:rFonts w:hint="eastAsia" w:ascii="宋体" w:hAnsi="宋体" w:cs="宋体"/>
                <w:sz w:val="24"/>
                <w:lang w:val="zh-CN"/>
              </w:rPr>
              <w:t>分。（需提供中标通知书和养护合同复印件,缺一不可）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pct"/>
            <w:vMerge w:val="restart"/>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r>
              <w:rPr>
                <w:rFonts w:hint="eastAsia" w:ascii="宋体" w:hAnsi="宋体" w:cs="宋体"/>
                <w:kern w:val="0"/>
                <w:sz w:val="24"/>
              </w:rPr>
              <w:t>技术部分（80.5分）</w:t>
            </w:r>
          </w:p>
          <w:p>
            <w:pPr>
              <w:autoSpaceDE w:val="0"/>
              <w:autoSpaceDN w:val="0"/>
              <w:snapToGrid w:val="0"/>
              <w:jc w:val="left"/>
              <w:rPr>
                <w:rFonts w:ascii="宋体" w:hAnsi="宋体" w:cs="宋体"/>
                <w:kern w:val="0"/>
                <w:sz w:val="24"/>
              </w:rPr>
            </w:pPr>
          </w:p>
        </w:tc>
        <w:tc>
          <w:tcPr>
            <w:tcW w:w="628" w:type="pct"/>
            <w:vMerge w:val="restart"/>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r>
              <w:rPr>
                <w:rFonts w:hint="eastAsia" w:ascii="宋体" w:hAnsi="宋体" w:cs="宋体"/>
                <w:kern w:val="0"/>
                <w:sz w:val="24"/>
              </w:rPr>
              <w:t>养护方案（32分）</w:t>
            </w:r>
          </w:p>
        </w:tc>
        <w:tc>
          <w:tcPr>
            <w:tcW w:w="39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宋体" w:hAnsi="宋体" w:cs="宋体"/>
                <w:kern w:val="0"/>
                <w:sz w:val="24"/>
              </w:rPr>
            </w:pPr>
            <w:r>
              <w:rPr>
                <w:rFonts w:hint="eastAsia" w:ascii="宋体" w:hAnsi="宋体" w:cs="宋体"/>
                <w:kern w:val="0"/>
                <w:sz w:val="24"/>
              </w:rPr>
              <w:t>0-10分</w:t>
            </w:r>
          </w:p>
        </w:tc>
        <w:tc>
          <w:tcPr>
            <w:tcW w:w="339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rPr>
                <w:rFonts w:ascii="宋体" w:hAnsi="宋体" w:cs="宋体"/>
                <w:sz w:val="24"/>
              </w:rPr>
            </w:pPr>
            <w:r>
              <w:rPr>
                <w:rFonts w:hint="eastAsia" w:ascii="宋体" w:hAnsi="宋体" w:cs="宋体"/>
                <w:kern w:val="0"/>
                <w:sz w:val="24"/>
              </w:rPr>
              <w:t>河道养护作业总体技术方案及思路（含河道主体及生态设施），根据方案思路编制进行综合打分。（0-10分）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628"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39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宋体" w:hAnsi="宋体" w:cs="宋体"/>
                <w:kern w:val="0"/>
                <w:sz w:val="24"/>
              </w:rPr>
            </w:pPr>
            <w:r>
              <w:rPr>
                <w:rFonts w:hint="eastAsia" w:ascii="宋体" w:hAnsi="宋体" w:cs="宋体"/>
                <w:kern w:val="0"/>
                <w:sz w:val="24"/>
              </w:rPr>
              <w:t>0-3分</w:t>
            </w:r>
          </w:p>
        </w:tc>
        <w:tc>
          <w:tcPr>
            <w:tcW w:w="339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rPr>
                <w:rFonts w:ascii="宋体" w:hAnsi="宋体" w:cs="宋体"/>
                <w:sz w:val="24"/>
              </w:rPr>
            </w:pPr>
            <w:r>
              <w:rPr>
                <w:rFonts w:hint="eastAsia" w:ascii="宋体" w:hAnsi="宋体" w:cs="宋体"/>
                <w:kern w:val="0"/>
                <w:sz w:val="24"/>
              </w:rPr>
              <w:t>河道养护区域现状调查及问题分析；从现状调查内容全面合理性、问题分析全面合理性及针对性等方面进行综合打分。（0-3分）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628"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39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宋体" w:hAnsi="宋体" w:cs="宋体"/>
                <w:kern w:val="0"/>
                <w:sz w:val="24"/>
              </w:rPr>
            </w:pPr>
            <w:r>
              <w:rPr>
                <w:rFonts w:hint="eastAsia" w:ascii="宋体" w:hAnsi="宋体" w:cs="宋体"/>
                <w:kern w:val="0"/>
                <w:sz w:val="24"/>
              </w:rPr>
              <w:t>0-4分</w:t>
            </w:r>
          </w:p>
        </w:tc>
        <w:tc>
          <w:tcPr>
            <w:tcW w:w="339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rPr>
                <w:rFonts w:ascii="宋体" w:hAnsi="宋体" w:cs="宋体"/>
                <w:sz w:val="24"/>
              </w:rPr>
            </w:pPr>
            <w:r>
              <w:rPr>
                <w:rFonts w:hint="eastAsia" w:ascii="宋体" w:hAnsi="宋体" w:cs="宋体"/>
                <w:kern w:val="0"/>
                <w:sz w:val="24"/>
              </w:rPr>
              <w:t>河道排水（污）口调查及认知情况，长效管养中对排出口的相关处置应对措施，认知等进行综合打分。（0-4分）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628"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39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宋体" w:hAnsi="宋体" w:cs="宋体"/>
                <w:kern w:val="0"/>
                <w:sz w:val="24"/>
              </w:rPr>
            </w:pPr>
            <w:r>
              <w:rPr>
                <w:rFonts w:hint="eastAsia" w:ascii="宋体" w:hAnsi="宋体" w:cs="宋体"/>
                <w:kern w:val="0"/>
                <w:sz w:val="24"/>
              </w:rPr>
              <w:t>0-1分</w:t>
            </w:r>
          </w:p>
        </w:tc>
        <w:tc>
          <w:tcPr>
            <w:tcW w:w="339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rPr>
                <w:rFonts w:ascii="宋体" w:hAnsi="宋体" w:cs="宋体"/>
                <w:sz w:val="24"/>
              </w:rPr>
            </w:pPr>
            <w:r>
              <w:rPr>
                <w:rFonts w:hint="eastAsia" w:ascii="宋体" w:hAnsi="宋体" w:cs="宋体"/>
                <w:kern w:val="0"/>
                <w:sz w:val="24"/>
              </w:rPr>
              <w:t>是否能够通过创新管理、智能化管理等方式进行作业人员及作业效率等管理，提供一项实例证明得1分，最高得1分。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628"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39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宋体" w:hAnsi="宋体" w:cs="宋体"/>
                <w:kern w:val="0"/>
                <w:sz w:val="24"/>
              </w:rPr>
            </w:pPr>
            <w:r>
              <w:rPr>
                <w:rFonts w:hint="eastAsia" w:ascii="宋体" w:hAnsi="宋体" w:cs="宋体"/>
                <w:kern w:val="0"/>
                <w:sz w:val="24"/>
              </w:rPr>
              <w:t>0-2分</w:t>
            </w:r>
          </w:p>
        </w:tc>
        <w:tc>
          <w:tcPr>
            <w:tcW w:w="339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rPr>
                <w:rFonts w:ascii="宋体" w:hAnsi="宋体" w:cs="宋体"/>
                <w:kern w:val="0"/>
                <w:sz w:val="24"/>
              </w:rPr>
            </w:pPr>
            <w:r>
              <w:rPr>
                <w:rFonts w:hint="eastAsia" w:ascii="宋体" w:hAnsi="宋体" w:cs="宋体"/>
                <w:kern w:val="0"/>
                <w:sz w:val="24"/>
              </w:rPr>
              <w:t>河道巡查及动态情况上报方案：根据巡查内容、巡查要求、情况上报反馈处置等方面进行综合打分。（0-2分）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628"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39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宋体" w:hAnsi="宋体" w:cs="宋体"/>
                <w:kern w:val="0"/>
                <w:sz w:val="24"/>
              </w:rPr>
            </w:pPr>
            <w:r>
              <w:rPr>
                <w:rFonts w:hint="eastAsia" w:ascii="宋体" w:hAnsi="宋体" w:cs="宋体"/>
                <w:kern w:val="0"/>
                <w:sz w:val="24"/>
              </w:rPr>
              <w:t>0-3分</w:t>
            </w:r>
          </w:p>
        </w:tc>
        <w:tc>
          <w:tcPr>
            <w:tcW w:w="339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rPr>
                <w:rFonts w:ascii="宋体" w:hAnsi="宋体" w:cs="宋体"/>
                <w:kern w:val="0"/>
                <w:sz w:val="24"/>
              </w:rPr>
            </w:pPr>
            <w:r>
              <w:rPr>
                <w:rFonts w:hint="eastAsia" w:ascii="宋体" w:hAnsi="宋体" w:cs="宋体"/>
                <w:kern w:val="0"/>
                <w:sz w:val="24"/>
              </w:rPr>
              <w:t>河道排污口动态监管方案，根据排出口巡查机制、排出口问题发现处置机制、排出口问题追踪管理机制等方面进行综合打分。（0-3分）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628"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39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宋体" w:hAnsi="宋体" w:cs="宋体"/>
                <w:kern w:val="0"/>
                <w:sz w:val="24"/>
              </w:rPr>
            </w:pPr>
            <w:r>
              <w:rPr>
                <w:rFonts w:hint="eastAsia" w:ascii="宋体" w:hAnsi="宋体" w:cs="宋体"/>
                <w:kern w:val="0"/>
                <w:sz w:val="24"/>
              </w:rPr>
              <w:t>0-2分</w:t>
            </w:r>
          </w:p>
        </w:tc>
        <w:tc>
          <w:tcPr>
            <w:tcW w:w="339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rPr>
                <w:rFonts w:ascii="宋体" w:hAnsi="宋体" w:cs="宋体"/>
                <w:kern w:val="0"/>
                <w:sz w:val="24"/>
              </w:rPr>
            </w:pPr>
            <w:r>
              <w:rPr>
                <w:rFonts w:hint="eastAsia" w:ascii="宋体" w:hAnsi="宋体" w:cs="宋体"/>
                <w:kern w:val="0"/>
                <w:sz w:val="24"/>
              </w:rPr>
              <w:t>人员安全保障措施及方案（0-2分）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6"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628"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39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宋体" w:hAnsi="宋体" w:cs="宋体"/>
                <w:kern w:val="0"/>
                <w:sz w:val="24"/>
              </w:rPr>
            </w:pPr>
            <w:r>
              <w:rPr>
                <w:rFonts w:hint="eastAsia" w:ascii="宋体" w:hAnsi="宋体" w:cs="宋体"/>
                <w:kern w:val="0"/>
                <w:sz w:val="24"/>
              </w:rPr>
              <w:t>0-2分</w:t>
            </w:r>
          </w:p>
        </w:tc>
        <w:tc>
          <w:tcPr>
            <w:tcW w:w="339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rPr>
                <w:rFonts w:ascii="宋体" w:hAnsi="宋体" w:cs="宋体"/>
                <w:kern w:val="0"/>
                <w:sz w:val="24"/>
              </w:rPr>
            </w:pPr>
            <w:r>
              <w:rPr>
                <w:rFonts w:hint="eastAsia" w:ascii="宋体" w:hAnsi="宋体" w:cs="宋体"/>
                <w:kern w:val="0"/>
                <w:sz w:val="24"/>
              </w:rPr>
              <w:t>养护资料的收集和管理方案（0-2分）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76"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628"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39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宋体" w:hAnsi="宋体" w:cs="宋体"/>
                <w:kern w:val="0"/>
                <w:sz w:val="24"/>
              </w:rPr>
            </w:pPr>
            <w:r>
              <w:rPr>
                <w:rFonts w:hint="eastAsia" w:ascii="宋体" w:hAnsi="宋体" w:cs="宋体"/>
                <w:kern w:val="0"/>
                <w:sz w:val="24"/>
              </w:rPr>
              <w:t>0-5分</w:t>
            </w:r>
          </w:p>
        </w:tc>
        <w:tc>
          <w:tcPr>
            <w:tcW w:w="339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rPr>
                <w:rFonts w:ascii="宋体" w:hAnsi="宋体" w:cs="宋体"/>
                <w:kern w:val="0"/>
                <w:sz w:val="24"/>
              </w:rPr>
            </w:pPr>
            <w:r>
              <w:rPr>
                <w:rFonts w:hint="eastAsia" w:ascii="宋体" w:hAnsi="宋体" w:cs="宋体"/>
                <w:sz w:val="24"/>
                <w:lang w:val="zh-CN"/>
              </w:rPr>
              <w:t>投标人提供针对本项目的项目管理制度，包括①河道巡查制度方面、②安全管理制度方面、③岗位责任考核制度方面、④</w:t>
            </w:r>
            <w:r>
              <w:rPr>
                <w:rFonts w:hint="eastAsia" w:ascii="宋体" w:hAnsi="宋体" w:cs="宋体"/>
                <w:kern w:val="0"/>
                <w:sz w:val="24"/>
              </w:rPr>
              <w:t>养护质量管理制度</w:t>
            </w:r>
            <w:r>
              <w:rPr>
                <w:rFonts w:hint="eastAsia" w:ascii="宋体" w:hAnsi="宋体" w:cs="宋体"/>
                <w:sz w:val="24"/>
                <w:lang w:val="zh-CN"/>
              </w:rPr>
              <w:t>方面，⑤台账管理制度方面</w:t>
            </w:r>
            <w:r>
              <w:rPr>
                <w:rFonts w:hint="eastAsia" w:ascii="宋体" w:hAnsi="宋体" w:cs="宋体"/>
                <w:kern w:val="0"/>
                <w:sz w:val="24"/>
              </w:rPr>
              <w:t>等方面进行综合打分。（0-5分）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628" w:type="pct"/>
            <w:vMerge w:val="restart"/>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r>
              <w:rPr>
                <w:rFonts w:hint="eastAsia" w:ascii="宋体" w:hAnsi="宋体" w:cs="宋体"/>
                <w:kern w:val="0"/>
                <w:sz w:val="24"/>
              </w:rPr>
              <w:t>应急预案（14分）</w:t>
            </w:r>
          </w:p>
        </w:tc>
        <w:tc>
          <w:tcPr>
            <w:tcW w:w="399" w:type="pct"/>
            <w:tcBorders>
              <w:top w:val="single" w:color="auto" w:sz="4" w:space="0"/>
              <w:left w:val="single" w:color="auto" w:sz="4" w:space="0"/>
              <w:right w:val="single" w:color="auto" w:sz="4" w:space="0"/>
            </w:tcBorders>
            <w:vAlign w:val="center"/>
          </w:tcPr>
          <w:p>
            <w:pPr>
              <w:autoSpaceDE w:val="0"/>
              <w:autoSpaceDN w:val="0"/>
              <w:snapToGrid w:val="0"/>
              <w:jc w:val="center"/>
              <w:rPr>
                <w:rFonts w:ascii="宋体" w:hAnsi="宋体" w:cs="宋体"/>
                <w:kern w:val="0"/>
                <w:sz w:val="24"/>
              </w:rPr>
            </w:pPr>
            <w:r>
              <w:rPr>
                <w:rFonts w:hint="eastAsia" w:ascii="宋体" w:hAnsi="宋体" w:cs="宋体"/>
                <w:kern w:val="0"/>
                <w:sz w:val="24"/>
              </w:rPr>
              <w:t>0-2分</w:t>
            </w:r>
          </w:p>
        </w:tc>
        <w:tc>
          <w:tcPr>
            <w:tcW w:w="339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rPr>
                <w:rFonts w:ascii="宋体" w:hAnsi="宋体" w:cs="宋体"/>
                <w:kern w:val="0"/>
                <w:sz w:val="24"/>
              </w:rPr>
            </w:pPr>
            <w:r>
              <w:rPr>
                <w:rFonts w:hint="eastAsia" w:ascii="宋体" w:hAnsi="宋体" w:cs="宋体"/>
                <w:kern w:val="0"/>
                <w:sz w:val="24"/>
              </w:rPr>
              <w:t>河面保洁应急预案，根据各项突发事件及极端天气的应急内容等方面进行综合打分。（0-2分）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628"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399" w:type="pct"/>
            <w:tcBorders>
              <w:top w:val="single" w:color="auto" w:sz="4" w:space="0"/>
              <w:left w:val="single" w:color="auto" w:sz="4" w:space="0"/>
              <w:right w:val="single" w:color="auto" w:sz="4" w:space="0"/>
            </w:tcBorders>
            <w:vAlign w:val="center"/>
          </w:tcPr>
          <w:p>
            <w:pPr>
              <w:autoSpaceDE w:val="0"/>
              <w:autoSpaceDN w:val="0"/>
              <w:snapToGrid w:val="0"/>
              <w:jc w:val="center"/>
              <w:rPr>
                <w:rFonts w:ascii="宋体" w:hAnsi="宋体" w:cs="宋体"/>
                <w:kern w:val="0"/>
                <w:sz w:val="24"/>
              </w:rPr>
            </w:pPr>
            <w:r>
              <w:rPr>
                <w:rFonts w:hint="eastAsia" w:ascii="宋体" w:hAnsi="宋体" w:cs="宋体"/>
                <w:kern w:val="0"/>
                <w:sz w:val="24"/>
              </w:rPr>
              <w:t>0-3分</w:t>
            </w:r>
          </w:p>
        </w:tc>
        <w:tc>
          <w:tcPr>
            <w:tcW w:w="339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rPr>
                <w:rFonts w:ascii="宋体" w:hAnsi="宋体" w:cs="宋体"/>
                <w:kern w:val="0"/>
                <w:sz w:val="24"/>
              </w:rPr>
            </w:pPr>
            <w:r>
              <w:rPr>
                <w:rFonts w:hint="eastAsia" w:ascii="宋体" w:hAnsi="宋体" w:cs="宋体"/>
                <w:kern w:val="0"/>
                <w:sz w:val="24"/>
              </w:rPr>
              <w:t>水体[质]突变应急预案，根据水质突变原因分析、突变处理技术、有效应急措施等方面进行综合打分。（0-3分）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628"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399" w:type="pct"/>
            <w:tcBorders>
              <w:top w:val="single" w:color="auto" w:sz="4" w:space="0"/>
              <w:left w:val="single" w:color="auto" w:sz="4" w:space="0"/>
              <w:right w:val="single" w:color="auto" w:sz="4" w:space="0"/>
            </w:tcBorders>
            <w:vAlign w:val="center"/>
          </w:tcPr>
          <w:p>
            <w:pPr>
              <w:autoSpaceDE w:val="0"/>
              <w:autoSpaceDN w:val="0"/>
              <w:snapToGrid w:val="0"/>
              <w:jc w:val="center"/>
              <w:rPr>
                <w:rFonts w:ascii="宋体" w:hAnsi="宋体" w:cs="宋体"/>
                <w:kern w:val="0"/>
                <w:sz w:val="24"/>
              </w:rPr>
            </w:pPr>
            <w:r>
              <w:rPr>
                <w:rFonts w:hint="eastAsia" w:ascii="宋体" w:hAnsi="宋体" w:cs="宋体"/>
                <w:kern w:val="0"/>
                <w:sz w:val="24"/>
              </w:rPr>
              <w:t>0-2分</w:t>
            </w:r>
          </w:p>
        </w:tc>
        <w:tc>
          <w:tcPr>
            <w:tcW w:w="339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rPr>
                <w:rFonts w:ascii="宋体" w:hAnsi="宋体" w:cs="宋体"/>
                <w:kern w:val="0"/>
                <w:sz w:val="24"/>
              </w:rPr>
            </w:pPr>
            <w:r>
              <w:rPr>
                <w:rFonts w:hint="eastAsia" w:ascii="宋体" w:hAnsi="宋体" w:cs="宋体"/>
                <w:kern w:val="0"/>
                <w:sz w:val="24"/>
              </w:rPr>
              <w:t>河道保洁安全作业应急预案。（0-2分）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628"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399" w:type="pct"/>
            <w:tcBorders>
              <w:top w:val="single" w:color="auto" w:sz="4" w:space="0"/>
              <w:left w:val="single" w:color="auto" w:sz="4" w:space="0"/>
              <w:right w:val="single" w:color="auto" w:sz="4" w:space="0"/>
            </w:tcBorders>
            <w:vAlign w:val="center"/>
          </w:tcPr>
          <w:p>
            <w:pPr>
              <w:autoSpaceDE w:val="0"/>
              <w:autoSpaceDN w:val="0"/>
              <w:snapToGrid w:val="0"/>
              <w:jc w:val="center"/>
              <w:rPr>
                <w:rFonts w:ascii="宋体" w:hAnsi="宋体" w:cs="宋体"/>
                <w:kern w:val="0"/>
                <w:sz w:val="24"/>
              </w:rPr>
            </w:pPr>
            <w:r>
              <w:rPr>
                <w:rFonts w:hint="eastAsia" w:ascii="宋体" w:hAnsi="宋体" w:cs="宋体"/>
                <w:kern w:val="0"/>
                <w:sz w:val="24"/>
              </w:rPr>
              <w:t>0-3分</w:t>
            </w:r>
          </w:p>
        </w:tc>
        <w:tc>
          <w:tcPr>
            <w:tcW w:w="339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rPr>
                <w:rFonts w:ascii="宋体" w:hAnsi="宋体" w:cs="宋体"/>
                <w:kern w:val="0"/>
                <w:sz w:val="24"/>
              </w:rPr>
            </w:pPr>
            <w:r>
              <w:rPr>
                <w:rFonts w:hint="eastAsia" w:ascii="宋体" w:hAnsi="宋体" w:cs="宋体"/>
                <w:kern w:val="0"/>
                <w:sz w:val="24"/>
              </w:rPr>
              <w:t>重大活动及节假日保障预案；根据保障目标、组织安排；有效应对措施等方面进行综合打分。（0-3分）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628"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399" w:type="pct"/>
            <w:tcBorders>
              <w:top w:val="single" w:color="auto" w:sz="4" w:space="0"/>
              <w:left w:val="single" w:color="auto" w:sz="4" w:space="0"/>
              <w:right w:val="single" w:color="auto" w:sz="4" w:space="0"/>
            </w:tcBorders>
            <w:vAlign w:val="center"/>
          </w:tcPr>
          <w:p>
            <w:pPr>
              <w:autoSpaceDE w:val="0"/>
              <w:autoSpaceDN w:val="0"/>
              <w:snapToGrid w:val="0"/>
              <w:jc w:val="center"/>
              <w:rPr>
                <w:rFonts w:ascii="宋体" w:hAnsi="宋体" w:cs="宋体"/>
                <w:kern w:val="0"/>
                <w:sz w:val="24"/>
              </w:rPr>
            </w:pPr>
            <w:r>
              <w:rPr>
                <w:rFonts w:hint="eastAsia" w:ascii="宋体" w:hAnsi="宋体" w:cs="宋体"/>
                <w:kern w:val="0"/>
                <w:sz w:val="24"/>
              </w:rPr>
              <w:t>0-3分</w:t>
            </w:r>
          </w:p>
        </w:tc>
        <w:tc>
          <w:tcPr>
            <w:tcW w:w="339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rPr>
                <w:rFonts w:ascii="宋体" w:hAnsi="宋体" w:cs="宋体"/>
                <w:kern w:val="0"/>
                <w:sz w:val="24"/>
              </w:rPr>
            </w:pPr>
            <w:r>
              <w:rPr>
                <w:rFonts w:hint="eastAsia" w:ascii="宋体" w:hAnsi="宋体" w:cs="宋体"/>
                <w:kern w:val="0"/>
                <w:sz w:val="24"/>
              </w:rPr>
              <w:t>防汛抗台应急预案，根据工作目标、组织机构、明确有效应急措施等方面进行综合打分。（0-3分）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628"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399" w:type="pct"/>
            <w:tcBorders>
              <w:top w:val="single" w:color="auto" w:sz="4" w:space="0"/>
              <w:left w:val="single" w:color="auto" w:sz="4" w:space="0"/>
              <w:right w:val="single" w:color="auto" w:sz="4" w:space="0"/>
            </w:tcBorders>
            <w:vAlign w:val="center"/>
          </w:tcPr>
          <w:p>
            <w:pPr>
              <w:pStyle w:val="6"/>
              <w:spacing w:line="240" w:lineRule="auto"/>
              <w:ind w:firstLine="0"/>
              <w:jc w:val="center"/>
              <w:rPr>
                <w:rFonts w:hAnsi="宋体" w:cs="宋体"/>
                <w:color w:val="auto"/>
                <w:kern w:val="0"/>
                <w:sz w:val="24"/>
                <w:szCs w:val="24"/>
              </w:rPr>
            </w:pPr>
            <w:r>
              <w:rPr>
                <w:rFonts w:hint="eastAsia" w:hAnsi="宋体" w:cs="宋体"/>
                <w:color w:val="auto"/>
                <w:kern w:val="0"/>
                <w:sz w:val="24"/>
                <w:szCs w:val="24"/>
              </w:rPr>
              <w:t>0-1分</w:t>
            </w:r>
          </w:p>
        </w:tc>
        <w:tc>
          <w:tcPr>
            <w:tcW w:w="339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rPr>
                <w:rFonts w:ascii="宋体" w:hAnsi="宋体" w:cs="宋体"/>
                <w:kern w:val="0"/>
                <w:sz w:val="24"/>
              </w:rPr>
            </w:pPr>
            <w:r>
              <w:rPr>
                <w:rFonts w:hint="eastAsia" w:ascii="宋体" w:hAnsi="宋体" w:cs="宋体"/>
                <w:kern w:val="0"/>
                <w:sz w:val="24"/>
              </w:rPr>
              <w:t>保洁养护质量承诺情况，执行采购人工作范围内下达指令性任务的承诺，同意执行采购人扣分扣款制度的承诺。提供得1分，不提供不得分。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628" w:type="pct"/>
            <w:vMerge w:val="restart"/>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r>
              <w:rPr>
                <w:rFonts w:hint="eastAsia" w:ascii="宋体" w:hAnsi="宋体" w:cs="宋体"/>
                <w:kern w:val="0"/>
                <w:sz w:val="24"/>
              </w:rPr>
              <w:t>人员安排（17分）</w:t>
            </w:r>
          </w:p>
        </w:tc>
        <w:tc>
          <w:tcPr>
            <w:tcW w:w="399" w:type="pct"/>
            <w:tcBorders>
              <w:top w:val="single" w:color="auto" w:sz="4" w:space="0"/>
              <w:left w:val="single" w:color="auto" w:sz="4" w:space="0"/>
              <w:right w:val="single" w:color="auto" w:sz="4" w:space="0"/>
            </w:tcBorders>
            <w:vAlign w:val="center"/>
          </w:tcPr>
          <w:p>
            <w:pPr>
              <w:pStyle w:val="6"/>
              <w:spacing w:line="240" w:lineRule="auto"/>
              <w:ind w:firstLine="0"/>
              <w:jc w:val="center"/>
              <w:rPr>
                <w:rFonts w:hAnsi="宋体" w:cs="宋体"/>
                <w:color w:val="auto"/>
                <w:kern w:val="0"/>
                <w:sz w:val="24"/>
                <w:szCs w:val="24"/>
              </w:rPr>
            </w:pPr>
            <w:r>
              <w:rPr>
                <w:rFonts w:hint="eastAsia" w:hAnsi="宋体" w:cs="宋体"/>
                <w:color w:val="auto"/>
                <w:kern w:val="0"/>
                <w:sz w:val="24"/>
                <w:szCs w:val="24"/>
              </w:rPr>
              <w:t>0-2分</w:t>
            </w:r>
          </w:p>
        </w:tc>
        <w:tc>
          <w:tcPr>
            <w:tcW w:w="339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rPr>
                <w:rFonts w:ascii="宋体" w:hAnsi="宋体" w:cs="宋体"/>
                <w:kern w:val="0"/>
                <w:sz w:val="24"/>
              </w:rPr>
            </w:pPr>
            <w:r>
              <w:rPr>
                <w:rFonts w:hint="eastAsia" w:ascii="宋体" w:hAnsi="宋体" w:cs="宋体"/>
                <w:kern w:val="0"/>
                <w:sz w:val="24"/>
              </w:rPr>
              <w:t>现场负责人有专业技术职称证书，具有高级市政工程师，得2分。具有中级市政工程师的，得1分。没有不得分。本项最高得2分。</w:t>
            </w:r>
            <w:r>
              <w:rPr>
                <w:rFonts w:hint="eastAsia" w:ascii="宋体" w:hAnsi="宋体" w:cs="宋体"/>
                <w:sz w:val="24"/>
              </w:rPr>
              <w:t>（证明材料：由人事厅或人力资源和社会保障厅颁发的职称证书复印件、劳动合同复印件、企业任职证明文件及近3个月的社保缴纳证明复印件。）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628"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399" w:type="pct"/>
            <w:tcBorders>
              <w:top w:val="single" w:color="auto" w:sz="4" w:space="0"/>
              <w:left w:val="single" w:color="auto" w:sz="4" w:space="0"/>
              <w:right w:val="single" w:color="auto" w:sz="4" w:space="0"/>
            </w:tcBorders>
            <w:vAlign w:val="center"/>
          </w:tcPr>
          <w:p>
            <w:pPr>
              <w:pStyle w:val="6"/>
              <w:spacing w:line="240" w:lineRule="auto"/>
              <w:ind w:firstLine="0"/>
              <w:jc w:val="center"/>
              <w:rPr>
                <w:rFonts w:hAnsi="宋体" w:cs="宋体"/>
                <w:color w:val="auto"/>
                <w:kern w:val="0"/>
                <w:sz w:val="24"/>
                <w:szCs w:val="24"/>
              </w:rPr>
            </w:pPr>
            <w:r>
              <w:rPr>
                <w:rFonts w:hint="eastAsia" w:hAnsi="宋体" w:cs="宋体"/>
                <w:color w:val="auto"/>
                <w:kern w:val="0"/>
                <w:sz w:val="24"/>
                <w:szCs w:val="24"/>
              </w:rPr>
              <w:t>0-3分</w:t>
            </w:r>
          </w:p>
        </w:tc>
        <w:tc>
          <w:tcPr>
            <w:tcW w:w="3395" w:type="pct"/>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rPr>
                <w:rFonts w:hAnsi="宋体" w:cs="宋体"/>
                <w:color w:val="auto"/>
                <w:kern w:val="0"/>
                <w:sz w:val="24"/>
                <w:szCs w:val="24"/>
              </w:rPr>
            </w:pPr>
            <w:r>
              <w:rPr>
                <w:rFonts w:hint="eastAsia" w:hAnsi="宋体" w:cs="宋体"/>
                <w:color w:val="auto"/>
                <w:kern w:val="0"/>
                <w:sz w:val="24"/>
                <w:szCs w:val="24"/>
              </w:rPr>
              <w:t>提供投入本项目的管理、巡查人员、养护作业人员的配备情况，满足要求的得1分，人员配备比较充足的得2分，人员配备充足完善的得3分，本项最高得3分。（巡查养护人员配备须按照杭州市地方标准DB3301/T0272-2018《城市河道养护管理规范》5.2人员配备及管理中要求配备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628"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399" w:type="pct"/>
            <w:tcBorders>
              <w:top w:val="single" w:color="auto" w:sz="4" w:space="0"/>
              <w:left w:val="single" w:color="auto" w:sz="4" w:space="0"/>
              <w:right w:val="single" w:color="auto" w:sz="4" w:space="0"/>
            </w:tcBorders>
            <w:vAlign w:val="center"/>
          </w:tcPr>
          <w:p>
            <w:pPr>
              <w:pStyle w:val="6"/>
              <w:spacing w:line="240" w:lineRule="auto"/>
              <w:ind w:firstLine="0"/>
              <w:jc w:val="center"/>
              <w:rPr>
                <w:rFonts w:hAnsi="宋体" w:cs="宋体"/>
                <w:color w:val="auto"/>
                <w:kern w:val="0"/>
                <w:sz w:val="24"/>
                <w:szCs w:val="24"/>
              </w:rPr>
            </w:pPr>
            <w:r>
              <w:rPr>
                <w:rFonts w:hint="eastAsia" w:hAnsi="宋体" w:cs="宋体"/>
                <w:color w:val="auto"/>
                <w:kern w:val="0"/>
                <w:sz w:val="24"/>
                <w:szCs w:val="24"/>
              </w:rPr>
              <w:t>0-8分</w:t>
            </w:r>
          </w:p>
        </w:tc>
        <w:tc>
          <w:tcPr>
            <w:tcW w:w="3395" w:type="pct"/>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rPr>
                <w:rFonts w:hAnsi="宋体" w:cs="宋体"/>
                <w:color w:val="auto"/>
                <w:kern w:val="0"/>
                <w:sz w:val="24"/>
                <w:szCs w:val="24"/>
              </w:rPr>
            </w:pPr>
            <w:r>
              <w:rPr>
                <w:rFonts w:hint="eastAsia" w:hAnsi="宋体" w:cs="宋体"/>
                <w:color w:val="auto"/>
                <w:kern w:val="0"/>
                <w:sz w:val="24"/>
                <w:szCs w:val="24"/>
              </w:rPr>
              <w:t>养护人员安排情况（河道主体、生态设施养护人员分段投入情况、作业时间、方法、线路等）及人员投入（每条河道的一线长效养护管理人员均需分河道明确人数）：①养护人员安排情况及人员投入</w:t>
            </w:r>
            <w:r>
              <w:rPr>
                <w:rFonts w:hint="eastAsia" w:hAnsi="宋体" w:cs="宋体"/>
                <w:color w:val="auto"/>
                <w:sz w:val="24"/>
                <w:szCs w:val="24"/>
                <w:lang w:val="zh-CN"/>
              </w:rPr>
              <w:t>②</w:t>
            </w:r>
            <w:r>
              <w:rPr>
                <w:rFonts w:hint="eastAsia" w:hAnsi="宋体" w:cs="宋体"/>
                <w:color w:val="auto"/>
                <w:kern w:val="0"/>
                <w:sz w:val="24"/>
                <w:szCs w:val="24"/>
              </w:rPr>
              <w:t>养护作业时间安排</w:t>
            </w:r>
            <w:r>
              <w:rPr>
                <w:rFonts w:hint="eastAsia" w:hAnsi="宋体" w:cs="宋体"/>
                <w:color w:val="auto"/>
                <w:sz w:val="24"/>
                <w:szCs w:val="24"/>
                <w:lang w:val="zh-CN"/>
              </w:rPr>
              <w:t>③</w:t>
            </w:r>
            <w:r>
              <w:rPr>
                <w:rFonts w:hint="eastAsia" w:hAnsi="宋体" w:cs="宋体"/>
                <w:color w:val="auto"/>
                <w:kern w:val="0"/>
                <w:sz w:val="24"/>
                <w:szCs w:val="24"/>
              </w:rPr>
              <w:t>养护线路安排</w:t>
            </w:r>
            <w:r>
              <w:rPr>
                <w:rFonts w:hint="eastAsia" w:hAnsi="宋体" w:cs="宋体"/>
                <w:color w:val="auto"/>
                <w:sz w:val="24"/>
                <w:szCs w:val="24"/>
                <w:lang w:val="zh-CN"/>
              </w:rPr>
              <w:t>④养护</w:t>
            </w:r>
            <w:r>
              <w:rPr>
                <w:rFonts w:hint="eastAsia" w:hAnsi="宋体" w:cs="宋体"/>
                <w:color w:val="auto"/>
                <w:kern w:val="0"/>
                <w:sz w:val="24"/>
                <w:szCs w:val="24"/>
              </w:rPr>
              <w:t>方法；每一项最高得2分，本项最高得8分。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628"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399" w:type="pct"/>
            <w:tcBorders>
              <w:top w:val="single" w:color="auto" w:sz="4" w:space="0"/>
              <w:left w:val="single" w:color="auto" w:sz="4" w:space="0"/>
              <w:right w:val="single" w:color="auto" w:sz="4" w:space="0"/>
            </w:tcBorders>
            <w:vAlign w:val="center"/>
          </w:tcPr>
          <w:p>
            <w:pPr>
              <w:pStyle w:val="6"/>
              <w:spacing w:line="240" w:lineRule="auto"/>
              <w:ind w:firstLine="0"/>
              <w:jc w:val="center"/>
              <w:rPr>
                <w:rFonts w:hAnsi="宋体" w:cs="宋体"/>
                <w:color w:val="auto"/>
                <w:kern w:val="0"/>
                <w:sz w:val="24"/>
                <w:szCs w:val="24"/>
              </w:rPr>
            </w:pPr>
            <w:r>
              <w:rPr>
                <w:rFonts w:hint="eastAsia" w:hAnsi="宋体" w:cs="宋体"/>
                <w:color w:val="auto"/>
                <w:kern w:val="0"/>
                <w:sz w:val="24"/>
                <w:szCs w:val="24"/>
              </w:rPr>
              <w:t>0-2分</w:t>
            </w:r>
          </w:p>
        </w:tc>
        <w:tc>
          <w:tcPr>
            <w:tcW w:w="3395" w:type="pct"/>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rPr>
                <w:rFonts w:hAnsi="宋体" w:cs="宋体"/>
                <w:color w:val="auto"/>
                <w:kern w:val="0"/>
                <w:sz w:val="24"/>
                <w:szCs w:val="24"/>
              </w:rPr>
            </w:pPr>
            <w:r>
              <w:rPr>
                <w:rFonts w:hint="eastAsia" w:hAnsi="宋体" w:cs="宋体"/>
                <w:color w:val="auto"/>
                <w:kern w:val="0"/>
                <w:sz w:val="24"/>
                <w:szCs w:val="24"/>
              </w:rPr>
              <w:t>投标人拥有注册安全工程师的，得1分（需提供建设部门颁发的安全生产考核证书）。现场配备专职安全员的（需提供建设部门颁发的安全生产考核证书），得1分。不提供的，该项不得分。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628"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399" w:type="pct"/>
            <w:tcBorders>
              <w:top w:val="single" w:color="auto" w:sz="4" w:space="0"/>
              <w:left w:val="single" w:color="auto" w:sz="4" w:space="0"/>
              <w:right w:val="single" w:color="auto" w:sz="4" w:space="0"/>
            </w:tcBorders>
            <w:vAlign w:val="center"/>
          </w:tcPr>
          <w:p>
            <w:pPr>
              <w:pStyle w:val="6"/>
              <w:spacing w:line="240" w:lineRule="auto"/>
              <w:ind w:firstLine="0"/>
              <w:jc w:val="center"/>
              <w:rPr>
                <w:rFonts w:hAnsi="宋体" w:cs="宋体"/>
                <w:color w:val="auto"/>
                <w:kern w:val="0"/>
                <w:sz w:val="24"/>
                <w:szCs w:val="24"/>
              </w:rPr>
            </w:pPr>
            <w:r>
              <w:rPr>
                <w:rFonts w:hint="eastAsia" w:hAnsi="宋体" w:cs="宋体"/>
                <w:color w:val="auto"/>
                <w:kern w:val="0"/>
                <w:sz w:val="24"/>
                <w:szCs w:val="24"/>
              </w:rPr>
              <w:t>0-2分</w:t>
            </w:r>
          </w:p>
        </w:tc>
        <w:tc>
          <w:tcPr>
            <w:tcW w:w="3395" w:type="pct"/>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rPr>
                <w:rFonts w:hAnsi="宋体" w:cs="宋体"/>
                <w:color w:val="auto"/>
                <w:kern w:val="0"/>
                <w:sz w:val="24"/>
                <w:szCs w:val="24"/>
              </w:rPr>
            </w:pPr>
            <w:r>
              <w:rPr>
                <w:rFonts w:hint="eastAsia" w:hAnsi="宋体" w:cs="仿宋_GB2312"/>
                <w:color w:val="auto"/>
                <w:sz w:val="24"/>
              </w:rPr>
              <w:t>定期开展安全生产培训，提供培训记录的，得2分，未定期开展培训无记录的，该项不得分。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628" w:type="pct"/>
            <w:tcBorders>
              <w:left w:val="single" w:color="auto" w:sz="4" w:space="0"/>
              <w:right w:val="single" w:color="auto" w:sz="4" w:space="0"/>
            </w:tcBorders>
            <w:vAlign w:val="center"/>
          </w:tcPr>
          <w:p>
            <w:pPr>
              <w:pStyle w:val="6"/>
              <w:spacing w:before="100" w:beforeAutospacing="1" w:after="100" w:afterAutospacing="1" w:line="240" w:lineRule="auto"/>
              <w:ind w:firstLine="0"/>
              <w:jc w:val="center"/>
              <w:rPr>
                <w:rFonts w:hAnsi="宋体" w:cs="宋体"/>
                <w:color w:val="auto"/>
                <w:kern w:val="0"/>
                <w:sz w:val="24"/>
                <w:szCs w:val="24"/>
              </w:rPr>
            </w:pPr>
            <w:r>
              <w:rPr>
                <w:rFonts w:hint="eastAsia" w:hAnsi="宋体" w:cs="宋体"/>
                <w:color w:val="auto"/>
                <w:kern w:val="0"/>
                <w:sz w:val="24"/>
                <w:szCs w:val="24"/>
              </w:rPr>
              <w:t>社保缴纳情况（2分）</w:t>
            </w:r>
          </w:p>
        </w:tc>
        <w:tc>
          <w:tcPr>
            <w:tcW w:w="399" w:type="pct"/>
            <w:tcBorders>
              <w:top w:val="single" w:color="auto" w:sz="4" w:space="0"/>
              <w:left w:val="single" w:color="auto" w:sz="4" w:space="0"/>
              <w:right w:val="single" w:color="auto" w:sz="4" w:space="0"/>
            </w:tcBorders>
            <w:vAlign w:val="center"/>
          </w:tcPr>
          <w:p>
            <w:pPr>
              <w:pStyle w:val="6"/>
              <w:spacing w:line="240" w:lineRule="auto"/>
              <w:ind w:firstLine="0"/>
              <w:rPr>
                <w:rFonts w:hAnsi="宋体" w:cs="宋体"/>
                <w:color w:val="auto"/>
                <w:kern w:val="0"/>
                <w:sz w:val="24"/>
                <w:szCs w:val="24"/>
              </w:rPr>
            </w:pPr>
            <w:r>
              <w:rPr>
                <w:rFonts w:hint="eastAsia" w:hAnsi="宋体" w:cs="宋体"/>
                <w:color w:val="auto"/>
                <w:kern w:val="0"/>
                <w:sz w:val="24"/>
                <w:szCs w:val="24"/>
              </w:rPr>
              <w:t>0-2分</w:t>
            </w:r>
          </w:p>
        </w:tc>
        <w:tc>
          <w:tcPr>
            <w:tcW w:w="3395" w:type="pct"/>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rPr>
                <w:rFonts w:hAnsi="宋体" w:cs="宋体"/>
                <w:color w:val="auto"/>
                <w:kern w:val="0"/>
                <w:sz w:val="24"/>
                <w:szCs w:val="24"/>
              </w:rPr>
            </w:pPr>
            <w:r>
              <w:rPr>
                <w:rFonts w:hint="eastAsia" w:hAnsi="宋体" w:cs="宋体"/>
                <w:color w:val="auto"/>
                <w:kern w:val="0"/>
                <w:sz w:val="24"/>
                <w:szCs w:val="24"/>
              </w:rPr>
              <w:t>项目部管理人员、专职安全员必须在投标人单位缴纳社保，提供社保证明的得1分。现场巡查、养护作业人员必须购买人身意外保险，提供相关证明的得1分，不提供不得分。本项最高得2分。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628" w:type="pct"/>
            <w:vMerge w:val="restart"/>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r>
              <w:rPr>
                <w:rFonts w:hint="eastAsia" w:ascii="宋体" w:hAnsi="宋体" w:cs="宋体"/>
                <w:kern w:val="0"/>
                <w:sz w:val="24"/>
              </w:rPr>
              <w:t>设备配备（14分）</w:t>
            </w:r>
          </w:p>
        </w:tc>
        <w:tc>
          <w:tcPr>
            <w:tcW w:w="399" w:type="pct"/>
            <w:tcBorders>
              <w:top w:val="single" w:color="auto" w:sz="4" w:space="0"/>
              <w:left w:val="single" w:color="auto" w:sz="4" w:space="0"/>
              <w:right w:val="single" w:color="auto" w:sz="4" w:space="0"/>
            </w:tcBorders>
            <w:vAlign w:val="center"/>
          </w:tcPr>
          <w:p>
            <w:pPr>
              <w:pStyle w:val="6"/>
              <w:spacing w:line="240" w:lineRule="auto"/>
              <w:ind w:firstLine="0"/>
              <w:jc w:val="center"/>
              <w:rPr>
                <w:rFonts w:hAnsi="宋体" w:cs="宋体"/>
                <w:color w:val="auto"/>
                <w:kern w:val="0"/>
                <w:sz w:val="24"/>
                <w:szCs w:val="24"/>
              </w:rPr>
            </w:pPr>
            <w:r>
              <w:rPr>
                <w:rFonts w:hint="eastAsia" w:hAnsi="宋体" w:cs="宋体"/>
                <w:color w:val="auto"/>
                <w:kern w:val="0"/>
                <w:sz w:val="24"/>
                <w:szCs w:val="24"/>
              </w:rPr>
              <w:t>0-2分</w:t>
            </w:r>
          </w:p>
        </w:tc>
        <w:tc>
          <w:tcPr>
            <w:tcW w:w="339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rPr>
                <w:rFonts w:ascii="宋体" w:hAnsi="宋体" w:cs="宋体"/>
                <w:kern w:val="0"/>
                <w:sz w:val="24"/>
              </w:rPr>
            </w:pPr>
            <w:r>
              <w:rPr>
                <w:rFonts w:hint="eastAsia" w:ascii="宋体" w:hAnsi="宋体" w:cs="宋体"/>
                <w:kern w:val="0"/>
                <w:sz w:val="24"/>
              </w:rPr>
              <w:t>本项目配备无人保洁船的，得2分，本项最高得2分。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628"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399" w:type="pct"/>
            <w:tcBorders>
              <w:top w:val="single" w:color="auto" w:sz="4" w:space="0"/>
              <w:left w:val="single" w:color="auto" w:sz="4" w:space="0"/>
              <w:right w:val="single" w:color="auto" w:sz="4" w:space="0"/>
            </w:tcBorders>
            <w:vAlign w:val="center"/>
          </w:tcPr>
          <w:p>
            <w:pPr>
              <w:pStyle w:val="6"/>
              <w:spacing w:line="240" w:lineRule="auto"/>
              <w:ind w:firstLine="0"/>
              <w:jc w:val="center"/>
              <w:rPr>
                <w:rFonts w:hAnsi="宋体" w:cs="宋体"/>
                <w:color w:val="auto"/>
                <w:kern w:val="0"/>
                <w:sz w:val="24"/>
                <w:szCs w:val="24"/>
              </w:rPr>
            </w:pPr>
            <w:r>
              <w:rPr>
                <w:rFonts w:hint="eastAsia" w:hAnsi="宋体" w:cs="宋体"/>
                <w:color w:val="auto"/>
                <w:kern w:val="0"/>
                <w:sz w:val="24"/>
                <w:szCs w:val="24"/>
              </w:rPr>
              <w:t>0-1分</w:t>
            </w:r>
          </w:p>
        </w:tc>
        <w:tc>
          <w:tcPr>
            <w:tcW w:w="339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rPr>
                <w:rFonts w:ascii="宋体" w:hAnsi="宋体" w:cs="宋体"/>
                <w:kern w:val="0"/>
                <w:sz w:val="24"/>
              </w:rPr>
            </w:pPr>
            <w:r>
              <w:rPr>
                <w:rFonts w:hint="eastAsia" w:ascii="宋体" w:hAnsi="宋体" w:cs="宋体"/>
                <w:kern w:val="0"/>
                <w:sz w:val="24"/>
              </w:rPr>
              <w:t>本项目须配备河道专用巡查车1辆</w:t>
            </w:r>
            <w:r>
              <w:rPr>
                <w:rFonts w:hint="eastAsia" w:ascii="宋体" w:hAnsi="宋体" w:cs="宋体"/>
                <w:sz w:val="24"/>
              </w:rPr>
              <w:t>（须提供以下两种材料中任意一种：1.提供投标人购置发票、车辆行驶证；2.政府划拨的须提供资产划拨单、原采购单位的购置发票、车辆行驶证。证明材料不提供或提供不全的不得分)</w:t>
            </w:r>
            <w:r>
              <w:rPr>
                <w:rFonts w:hint="eastAsia" w:ascii="宋体" w:hAnsi="宋体" w:cs="宋体"/>
                <w:kern w:val="0"/>
                <w:sz w:val="24"/>
              </w:rPr>
              <w:t>，有得1分，无不得分。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628"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399" w:type="pct"/>
            <w:tcBorders>
              <w:top w:val="single" w:color="auto" w:sz="4" w:space="0"/>
              <w:left w:val="single" w:color="auto" w:sz="4" w:space="0"/>
              <w:right w:val="single" w:color="auto" w:sz="4" w:space="0"/>
            </w:tcBorders>
            <w:vAlign w:val="center"/>
          </w:tcPr>
          <w:p>
            <w:pPr>
              <w:pStyle w:val="6"/>
              <w:spacing w:line="240" w:lineRule="auto"/>
              <w:ind w:firstLine="0"/>
              <w:jc w:val="center"/>
              <w:rPr>
                <w:rFonts w:hAnsi="宋体" w:cs="宋体"/>
                <w:color w:val="auto"/>
                <w:kern w:val="0"/>
                <w:sz w:val="24"/>
                <w:szCs w:val="24"/>
              </w:rPr>
            </w:pPr>
            <w:r>
              <w:rPr>
                <w:rFonts w:hint="eastAsia" w:hAnsi="宋体" w:cs="宋体"/>
                <w:color w:val="auto"/>
                <w:kern w:val="0"/>
                <w:sz w:val="24"/>
                <w:szCs w:val="24"/>
              </w:rPr>
              <w:t>0-1分</w:t>
            </w:r>
          </w:p>
        </w:tc>
        <w:tc>
          <w:tcPr>
            <w:tcW w:w="339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rPr>
                <w:rFonts w:ascii="宋体" w:hAnsi="宋体" w:cs="宋体"/>
                <w:kern w:val="0"/>
                <w:sz w:val="24"/>
              </w:rPr>
            </w:pPr>
            <w:r>
              <w:rPr>
                <w:rFonts w:hint="eastAsia" w:ascii="宋体" w:hAnsi="宋体" w:cs="宋体"/>
                <w:kern w:val="0"/>
                <w:sz w:val="24"/>
              </w:rPr>
              <w:t>新型高效河面保洁设备的投入[机动船不计]，有一项得1分，最高得1分。</w:t>
            </w:r>
            <w:r>
              <w:rPr>
                <w:rFonts w:hint="eastAsia" w:ascii="宋体" w:hAnsi="宋体" w:cs="宋体"/>
                <w:sz w:val="24"/>
              </w:rPr>
              <w:t>（须提供以下两种材料中任意一种：1.提供投标人购置发票、设备外观照片；2.政府划拨的须提供资产划拨单、原采购单位的购置发票、设备外观照片。证明材料不提供或提供不全的不得分)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628"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399" w:type="pct"/>
            <w:tcBorders>
              <w:top w:val="single" w:color="auto" w:sz="4" w:space="0"/>
              <w:left w:val="single" w:color="auto" w:sz="4" w:space="0"/>
              <w:right w:val="single" w:color="auto" w:sz="4" w:space="0"/>
            </w:tcBorders>
            <w:vAlign w:val="center"/>
          </w:tcPr>
          <w:p>
            <w:pPr>
              <w:pStyle w:val="6"/>
              <w:spacing w:line="240" w:lineRule="auto"/>
              <w:ind w:firstLine="0"/>
              <w:jc w:val="center"/>
              <w:rPr>
                <w:rFonts w:hAnsi="宋体" w:cs="宋体"/>
                <w:color w:val="auto"/>
                <w:kern w:val="0"/>
                <w:sz w:val="24"/>
                <w:szCs w:val="24"/>
              </w:rPr>
            </w:pPr>
            <w:r>
              <w:rPr>
                <w:rFonts w:hint="eastAsia" w:hAnsi="宋体" w:cs="宋体"/>
                <w:color w:val="auto"/>
                <w:kern w:val="0"/>
                <w:sz w:val="24"/>
                <w:szCs w:val="24"/>
              </w:rPr>
              <w:t>0-4分</w:t>
            </w:r>
          </w:p>
        </w:tc>
        <w:tc>
          <w:tcPr>
            <w:tcW w:w="339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rPr>
                <w:rFonts w:ascii="宋体" w:hAnsi="宋体" w:cs="宋体"/>
                <w:kern w:val="0"/>
                <w:sz w:val="24"/>
              </w:rPr>
            </w:pPr>
            <w:r>
              <w:rPr>
                <w:rFonts w:hint="eastAsia" w:ascii="宋体" w:hAnsi="宋体"/>
                <w:sz w:val="24"/>
              </w:rPr>
              <w:t>排放口应急处置</w:t>
            </w:r>
            <w:r>
              <w:rPr>
                <w:rFonts w:hint="eastAsia" w:ascii="宋体" w:hAnsi="宋体"/>
                <w:sz w:val="24"/>
                <w:lang w:val="zh-CN"/>
              </w:rPr>
              <w:t>设备</w:t>
            </w:r>
            <w:r>
              <w:rPr>
                <w:rFonts w:hint="eastAsia" w:ascii="宋体" w:hAnsi="宋体"/>
                <w:sz w:val="24"/>
              </w:rPr>
              <w:t>投入</w:t>
            </w:r>
            <w:r>
              <w:rPr>
                <w:rFonts w:hint="eastAsia" w:ascii="宋体" w:hAnsi="宋体"/>
                <w:sz w:val="24"/>
                <w:lang w:val="zh-CN"/>
              </w:rPr>
              <w:t>：</w:t>
            </w:r>
            <w:r>
              <w:rPr>
                <w:rFonts w:hint="eastAsia" w:ascii="宋体" w:hAnsi="宋体"/>
                <w:sz w:val="24"/>
              </w:rPr>
              <w:t>本项目投入大功率排水应急抢险泵车的（不小于1500m</w:t>
            </w:r>
            <w:r>
              <w:rPr>
                <w:rFonts w:hint="eastAsia" w:ascii="宋体" w:hAnsi="宋体"/>
                <w:sz w:val="24"/>
                <w:vertAlign w:val="superscript"/>
              </w:rPr>
              <w:t>3</w:t>
            </w:r>
            <w:r>
              <w:rPr>
                <w:rFonts w:hint="eastAsia" w:ascii="宋体" w:hAnsi="宋体"/>
                <w:sz w:val="24"/>
              </w:rPr>
              <w:t>/s），得3分，无不得分。配备水泵等其他排水设施配备的，得1分，无不得分。</w:t>
            </w:r>
            <w:r>
              <w:rPr>
                <w:rFonts w:hint="eastAsia" w:ascii="宋体" w:hAnsi="宋体" w:cs="宋体"/>
                <w:sz w:val="24"/>
              </w:rPr>
              <w:t>（须提供以下两种材料中任意一种：1.提供投标人购置发票、设备外观照片；2.政府划拨的须提供资产划拨单、原采购单位的购置发票、设备外观照片。证明材料不提供或提供不全的不得分)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628"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399" w:type="pct"/>
            <w:tcBorders>
              <w:top w:val="single" w:color="auto" w:sz="4" w:space="0"/>
              <w:left w:val="single" w:color="auto" w:sz="4" w:space="0"/>
              <w:right w:val="single" w:color="auto" w:sz="4" w:space="0"/>
            </w:tcBorders>
            <w:vAlign w:val="center"/>
          </w:tcPr>
          <w:p>
            <w:pPr>
              <w:pStyle w:val="6"/>
              <w:spacing w:line="240" w:lineRule="auto"/>
              <w:ind w:firstLine="0"/>
              <w:jc w:val="center"/>
              <w:rPr>
                <w:rFonts w:hAnsi="宋体" w:cs="宋体"/>
                <w:color w:val="auto"/>
                <w:kern w:val="0"/>
                <w:sz w:val="24"/>
                <w:szCs w:val="24"/>
              </w:rPr>
            </w:pPr>
            <w:r>
              <w:rPr>
                <w:rFonts w:hint="eastAsia" w:hAnsi="宋体" w:cs="宋体"/>
                <w:color w:val="auto"/>
                <w:kern w:val="0"/>
                <w:sz w:val="24"/>
                <w:szCs w:val="24"/>
              </w:rPr>
              <w:t>0-1分</w:t>
            </w:r>
          </w:p>
        </w:tc>
        <w:tc>
          <w:tcPr>
            <w:tcW w:w="339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rPr>
                <w:rFonts w:ascii="宋体" w:hAnsi="宋体" w:cs="宋体"/>
                <w:kern w:val="0"/>
                <w:sz w:val="24"/>
              </w:rPr>
            </w:pPr>
            <w:r>
              <w:rPr>
                <w:rFonts w:hint="eastAsia" w:ascii="宋体" w:hAnsi="宋体" w:cs="宋体"/>
                <w:kern w:val="0"/>
                <w:sz w:val="24"/>
              </w:rPr>
              <w:t>承诺中标后自行采购吸油棉、拦污索等水质应急物资的，</w:t>
            </w:r>
            <w:r>
              <w:rPr>
                <w:rFonts w:hint="eastAsia" w:ascii="宋体" w:hAnsi="宋体" w:cs="仿宋_GB2312"/>
                <w:sz w:val="24"/>
              </w:rPr>
              <w:t>得1分。</w:t>
            </w:r>
            <w:r>
              <w:rPr>
                <w:rFonts w:hint="eastAsia" w:ascii="宋体" w:hAnsi="宋体" w:cs="宋体"/>
                <w:kern w:val="0"/>
                <w:sz w:val="24"/>
              </w:rPr>
              <w:t>（提供承诺函，不提供不得分，如中标后未能在承诺时效内提供的视作提供不实资料骗取中标，取消中标资格并上报主管部门）</w:t>
            </w:r>
            <w:r>
              <w:rPr>
                <w:rFonts w:hint="eastAsia" w:ascii="宋体"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628"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399" w:type="pct"/>
            <w:tcBorders>
              <w:top w:val="single" w:color="auto" w:sz="4" w:space="0"/>
              <w:left w:val="single" w:color="auto" w:sz="4" w:space="0"/>
              <w:right w:val="single" w:color="auto" w:sz="4" w:space="0"/>
            </w:tcBorders>
            <w:vAlign w:val="center"/>
          </w:tcPr>
          <w:p>
            <w:pPr>
              <w:pStyle w:val="6"/>
              <w:spacing w:line="240" w:lineRule="auto"/>
              <w:ind w:firstLine="0"/>
              <w:jc w:val="center"/>
              <w:rPr>
                <w:rFonts w:hAnsi="宋体" w:cs="宋体"/>
                <w:color w:val="auto"/>
                <w:kern w:val="0"/>
                <w:sz w:val="24"/>
                <w:szCs w:val="24"/>
              </w:rPr>
            </w:pPr>
            <w:r>
              <w:rPr>
                <w:rFonts w:hint="eastAsia" w:hAnsi="宋体" w:cs="宋体"/>
                <w:color w:val="auto"/>
                <w:kern w:val="0"/>
                <w:sz w:val="24"/>
                <w:szCs w:val="24"/>
              </w:rPr>
              <w:t>0-1分</w:t>
            </w:r>
          </w:p>
        </w:tc>
        <w:tc>
          <w:tcPr>
            <w:tcW w:w="339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rPr>
                <w:rFonts w:ascii="宋体" w:hAnsi="宋体" w:cs="宋体"/>
                <w:kern w:val="0"/>
                <w:sz w:val="24"/>
              </w:rPr>
            </w:pPr>
            <w:r>
              <w:rPr>
                <w:rFonts w:hint="eastAsia" w:ascii="宋体" w:hAnsi="宋体"/>
                <w:sz w:val="24"/>
              </w:rPr>
              <w:t>管道封堵气囊拥有数量不少于3只，</w:t>
            </w:r>
            <w:r>
              <w:rPr>
                <w:rFonts w:hint="eastAsia" w:ascii="宋体" w:hAnsi="宋体" w:cs="仿宋_GB2312"/>
                <w:sz w:val="24"/>
              </w:rPr>
              <w:t>得1分，不满足不得分。</w:t>
            </w:r>
            <w:r>
              <w:rPr>
                <w:rFonts w:hint="eastAsia" w:ascii="宋体" w:hAnsi="宋体" w:cs="宋体"/>
                <w:sz w:val="24"/>
              </w:rPr>
              <w:t>（须提供以下两种材料中任意一种：1.提供投标人购置发票、设备外观照片；2.政府划拨的须提供资产划拨单、原采购单位的购置发票、设备外观照片。证明材料不提供或提供不全的不得分)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628"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399" w:type="pct"/>
            <w:tcBorders>
              <w:top w:val="single" w:color="auto" w:sz="4" w:space="0"/>
              <w:left w:val="single" w:color="auto" w:sz="4" w:space="0"/>
              <w:right w:val="single" w:color="auto" w:sz="4" w:space="0"/>
            </w:tcBorders>
            <w:vAlign w:val="center"/>
          </w:tcPr>
          <w:p>
            <w:pPr>
              <w:pStyle w:val="6"/>
              <w:spacing w:line="240" w:lineRule="auto"/>
              <w:ind w:firstLine="0"/>
              <w:jc w:val="center"/>
              <w:rPr>
                <w:rFonts w:hAnsi="宋体" w:cs="宋体"/>
                <w:color w:val="auto"/>
                <w:kern w:val="0"/>
                <w:sz w:val="24"/>
                <w:szCs w:val="24"/>
              </w:rPr>
            </w:pPr>
            <w:r>
              <w:rPr>
                <w:rFonts w:hint="eastAsia" w:hAnsi="宋体" w:cs="宋体"/>
                <w:color w:val="auto"/>
                <w:kern w:val="0"/>
                <w:sz w:val="24"/>
                <w:szCs w:val="24"/>
              </w:rPr>
              <w:t>0-4分</w:t>
            </w:r>
          </w:p>
        </w:tc>
        <w:tc>
          <w:tcPr>
            <w:tcW w:w="3395" w:type="pct"/>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jc w:val="left"/>
              <w:rPr>
                <w:rFonts w:hAnsi="宋体" w:cs="宋体"/>
                <w:color w:val="auto"/>
                <w:kern w:val="0"/>
                <w:sz w:val="24"/>
                <w:szCs w:val="24"/>
              </w:rPr>
            </w:pPr>
            <w:r>
              <w:rPr>
                <w:rFonts w:hint="eastAsia" w:hAnsi="宋体" w:cs="宋体"/>
                <w:color w:val="auto"/>
                <w:kern w:val="0"/>
                <w:sz w:val="24"/>
              </w:rPr>
              <w:t>承诺在中标后一周内落实以下规模的养护基地的：具有养护基地500㎡并距离项目服务范围不超过20KM，的得4分；（提供承诺函，不提供不得分，如中标后未能在承诺时效内提供的视作提供不实资料骗取中标，取消中标资格并上报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576" w:type="pct"/>
            <w:vMerge w:val="continue"/>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p>
        </w:tc>
        <w:tc>
          <w:tcPr>
            <w:tcW w:w="628" w:type="pct"/>
            <w:tcBorders>
              <w:left w:val="single" w:color="auto" w:sz="4" w:space="0"/>
              <w:right w:val="single" w:color="auto" w:sz="4" w:space="0"/>
            </w:tcBorders>
            <w:vAlign w:val="center"/>
          </w:tcPr>
          <w:p>
            <w:pPr>
              <w:autoSpaceDE w:val="0"/>
              <w:autoSpaceDN w:val="0"/>
              <w:snapToGrid w:val="0"/>
              <w:jc w:val="left"/>
              <w:rPr>
                <w:rFonts w:ascii="宋体" w:hAnsi="宋体" w:cs="宋体"/>
                <w:kern w:val="0"/>
                <w:sz w:val="24"/>
              </w:rPr>
            </w:pPr>
            <w:r>
              <w:rPr>
                <w:rFonts w:hint="eastAsia" w:ascii="宋体" w:hAnsi="宋体" w:cs="宋体"/>
                <w:kern w:val="0"/>
                <w:sz w:val="24"/>
              </w:rPr>
              <w:t>优惠承诺（1.5分）</w:t>
            </w:r>
          </w:p>
        </w:tc>
        <w:tc>
          <w:tcPr>
            <w:tcW w:w="399" w:type="pct"/>
            <w:tcBorders>
              <w:top w:val="single" w:color="auto" w:sz="4" w:space="0"/>
              <w:left w:val="single" w:color="auto" w:sz="4" w:space="0"/>
              <w:right w:val="single" w:color="auto" w:sz="4" w:space="0"/>
            </w:tcBorders>
            <w:vAlign w:val="center"/>
          </w:tcPr>
          <w:p>
            <w:pPr>
              <w:autoSpaceDE w:val="0"/>
              <w:autoSpaceDN w:val="0"/>
              <w:snapToGrid w:val="0"/>
              <w:jc w:val="center"/>
              <w:rPr>
                <w:rFonts w:ascii="宋体" w:hAnsi="宋体" w:cs="宋体"/>
                <w:kern w:val="0"/>
                <w:sz w:val="24"/>
              </w:rPr>
            </w:pPr>
            <w:r>
              <w:rPr>
                <w:rFonts w:hint="eastAsia" w:ascii="宋体" w:hAnsi="宋体" w:cs="宋体"/>
                <w:kern w:val="0"/>
                <w:sz w:val="24"/>
              </w:rPr>
              <w:t>0-1.5分</w:t>
            </w:r>
          </w:p>
        </w:tc>
        <w:tc>
          <w:tcPr>
            <w:tcW w:w="339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rPr>
                <w:rFonts w:ascii="宋体" w:hAnsi="宋体" w:cs="宋体"/>
                <w:kern w:val="0"/>
                <w:sz w:val="24"/>
              </w:rPr>
            </w:pPr>
            <w:r>
              <w:rPr>
                <w:rFonts w:hint="eastAsia" w:ascii="宋体" w:hAnsi="宋体" w:cs="宋体"/>
                <w:kern w:val="0"/>
                <w:sz w:val="24"/>
                <w:lang w:val="zh-CN"/>
              </w:rPr>
              <w:t>投标人提出的优惠条件和承诺情况及其可实现程度等。</w:t>
            </w:r>
          </w:p>
        </w:tc>
      </w:tr>
    </w:tbl>
    <w:p>
      <w:pPr>
        <w:snapToGrid w:val="0"/>
        <w:spacing w:line="360" w:lineRule="auto"/>
        <w:rPr>
          <w:rFonts w:ascii="宋体" w:hAnsi="宋体" w:cs="宋体"/>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bCs/>
          <w:sz w:val="24"/>
        </w:rPr>
        <w:t>1、</w:t>
      </w:r>
      <w:r>
        <w:rPr>
          <w:rFonts w:hint="eastAsia" w:ascii="宋体" w:hAnsi="宋体" w:cs="宋体"/>
          <w:sz w:val="24"/>
        </w:rPr>
        <w:t>投标人编制投标文件（商务技术文件部分）时，建议按此目录（序号和内容）提供评标标准相应的商务技术资料。</w:t>
      </w:r>
    </w:p>
    <w:p>
      <w:pPr>
        <w:snapToGrid w:val="0"/>
        <w:spacing w:line="360" w:lineRule="auto"/>
        <w:ind w:firstLine="960" w:firstLineChars="400"/>
        <w:rPr>
          <w:rFonts w:ascii="宋体" w:hAnsi="宋体" w:cs="宋体"/>
          <w:sz w:val="24"/>
        </w:rPr>
      </w:pPr>
      <w:r>
        <w:rPr>
          <w:rFonts w:hint="eastAsia" w:ascii="宋体" w:hAnsi="宋体" w:cs="宋体"/>
          <w:sz w:val="24"/>
        </w:rPr>
        <w:t>2、以联合体投标的以上评分要求涉及到的证明材料任意一家联合体成员具备即可。</w:t>
      </w:r>
    </w:p>
    <w:p>
      <w:pPr>
        <w:adjustRightInd/>
        <w:spacing w:line="360" w:lineRule="auto"/>
        <w:rPr>
          <w:rFonts w:ascii="宋体" w:hAnsi="宋体" w:cs="宋体"/>
          <w:b/>
          <w:sz w:val="32"/>
        </w:rPr>
      </w:pPr>
      <w:r>
        <w:rPr>
          <w:rFonts w:hint="eastAsia" w:ascii="宋体" w:hAnsi="宋体" w:cs="宋体"/>
          <w:b/>
          <w:sz w:val="32"/>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adjustRightInd/>
        <w:spacing w:line="360" w:lineRule="auto"/>
        <w:rPr>
          <w:rFonts w:ascii="宋体" w:hAnsi="宋体" w:cs="宋体"/>
          <w:b/>
          <w:sz w:val="32"/>
        </w:rPr>
      </w:pPr>
      <w:r>
        <w:rPr>
          <w:rFonts w:hint="eastAsia" w:ascii="宋体" w:hAnsi="宋体" w:cs="宋体"/>
          <w:b/>
          <w:sz w:val="32"/>
        </w:rPr>
        <w:t>四、评标中的其他事项</w:t>
      </w:r>
    </w:p>
    <w:p>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
        <w:snapToGrid w:val="0"/>
        <w:spacing w:line="360" w:lineRule="auto"/>
        <w:rPr>
          <w:rFonts w:cs="宋体"/>
        </w:rPr>
      </w:pPr>
      <w:r>
        <w:rPr>
          <w:rFonts w:hint="eastAsia" w:cs="宋体"/>
        </w:rPr>
        <w:t>5.1符合专业条件的供应商或者对招标文件作实质响应的供应商不足3家的；</w:t>
      </w:r>
    </w:p>
    <w:p>
      <w:pPr>
        <w:pStyle w:val="2"/>
        <w:snapToGrid w:val="0"/>
        <w:spacing w:line="360" w:lineRule="auto"/>
        <w:rPr>
          <w:rFonts w:cs="宋体"/>
        </w:rPr>
      </w:pPr>
      <w:r>
        <w:rPr>
          <w:rFonts w:hint="eastAsia" w:cs="宋体"/>
        </w:rPr>
        <w:t>5.2出现影响采购公正的违法、违规行为的；</w:t>
      </w:r>
    </w:p>
    <w:p>
      <w:pPr>
        <w:pStyle w:val="2"/>
        <w:snapToGrid w:val="0"/>
        <w:spacing w:line="360" w:lineRule="auto"/>
        <w:rPr>
          <w:rFonts w:cs="宋体"/>
        </w:rPr>
      </w:pPr>
      <w:r>
        <w:rPr>
          <w:rFonts w:hint="eastAsia" w:cs="宋体"/>
        </w:rPr>
        <w:t>5.3投标人的报价均超过了采购预算，采购人不能支付的；</w:t>
      </w:r>
    </w:p>
    <w:p>
      <w:pPr>
        <w:pStyle w:val="2"/>
        <w:snapToGrid w:val="0"/>
        <w:spacing w:line="360" w:lineRule="auto"/>
        <w:rPr>
          <w:rFonts w:cs="宋体"/>
        </w:rPr>
      </w:pPr>
      <w:r>
        <w:rPr>
          <w:rFonts w:hint="eastAsia" w:cs="宋体"/>
        </w:rPr>
        <w:t>5.4因重大变故，采购任务取消的。</w:t>
      </w:r>
    </w:p>
    <w:p>
      <w:pPr>
        <w:pStyle w:val="2"/>
        <w:snapToGrid w:val="0"/>
        <w:spacing w:line="360" w:lineRule="auto"/>
        <w:rPr>
          <w:rFonts w:cs="宋体"/>
        </w:rPr>
      </w:pPr>
      <w:r>
        <w:rPr>
          <w:rFonts w:hint="eastAsia" w:cs="宋体"/>
        </w:rPr>
        <w:t>废标后，采购机构应当将废标理由通知所有投标人。</w:t>
      </w:r>
    </w:p>
    <w:p>
      <w:pPr>
        <w:pStyle w:val="2"/>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590" w:firstLineChars="245"/>
        <w:rPr>
          <w:rFonts w:cs="宋体"/>
        </w:rPr>
      </w:pPr>
      <w:r>
        <w:rPr>
          <w:rFonts w:hint="eastAsia" w:cs="宋体"/>
          <w:b/>
          <w:kern w:val="0"/>
        </w:rPr>
        <w:t>7.重新开展采购。</w:t>
      </w:r>
      <w:r>
        <w:rPr>
          <w:rFonts w:hint="eastAsia" w:cs="宋体"/>
        </w:rPr>
        <w:t>有政府采购法第七十一条、第七十二条规定的违法行为之一，影响或者可能影响中标、成交结果的，依照下列规定处理：</w:t>
      </w:r>
    </w:p>
    <w:p>
      <w:pPr>
        <w:pStyle w:val="2"/>
        <w:snapToGrid w:val="0"/>
        <w:spacing w:line="360" w:lineRule="auto"/>
        <w:ind w:firstLine="600" w:firstLineChars="250"/>
        <w:rPr>
          <w:rFonts w:cs="宋体"/>
        </w:rPr>
      </w:pPr>
      <w:r>
        <w:rPr>
          <w:rFonts w:hint="eastAsia" w:cs="宋体"/>
        </w:rPr>
        <w:t>7.1未确定中标或者中标人的，终止本次政府采购活动，重新开展政府采购活动。</w:t>
      </w:r>
    </w:p>
    <w:p>
      <w:pPr>
        <w:pStyle w:val="2"/>
        <w:snapToGrid w:val="0"/>
        <w:spacing w:line="360" w:lineRule="auto"/>
        <w:ind w:firstLine="600" w:firstLineChars="250"/>
        <w:rPr>
          <w:rFonts w:cs="宋体"/>
        </w:rPr>
      </w:pPr>
      <w:r>
        <w:rPr>
          <w:rFonts w:hint="eastAsia" w:cs="宋体"/>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cs="宋体"/>
        </w:rPr>
      </w:pPr>
      <w:r>
        <w:rPr>
          <w:rFonts w:hint="eastAsia" w:cs="宋体"/>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cs="宋体"/>
        </w:rPr>
      </w:pPr>
      <w:r>
        <w:rPr>
          <w:rFonts w:hint="eastAsia" w:cs="宋体"/>
        </w:rPr>
        <w:t>7.4政府采购合同已经履行，给采购人、供应商造成损失的，由责任人承担赔偿责任。</w:t>
      </w:r>
    </w:p>
    <w:p>
      <w:pPr>
        <w:pStyle w:val="2"/>
        <w:snapToGrid w:val="0"/>
        <w:spacing w:line="360" w:lineRule="auto"/>
        <w:rPr>
          <w:rFonts w:cs="宋体"/>
        </w:rPr>
      </w:pPr>
      <w:r>
        <w:rPr>
          <w:rFonts w:hint="eastAsia" w:cs="宋体"/>
        </w:rPr>
        <w:t>7.5政府采购当事人有其他违反政府采购法</w:t>
      </w:r>
      <w:r>
        <w:rPr>
          <w:rFonts w:hint="eastAsia" w:cs="宋体"/>
          <w:kern w:val="0"/>
        </w:rPr>
        <w:t>或者政府采购法实施条例等法律法规规定</w:t>
      </w:r>
      <w:r>
        <w:rPr>
          <w:rFonts w:hint="eastAsia" w:cs="宋体"/>
        </w:rPr>
        <w:t>的行为，经改正后仍然影响或者可能影响中标、成交结果或者依法被认定为中标、成交无效的，依照7.1-7.4规定处理。</w:t>
      </w:r>
    </w:p>
    <w:bookmarkEnd w:id="25"/>
    <w:p>
      <w:pPr>
        <w:spacing w:line="360" w:lineRule="auto"/>
        <w:ind w:left="720" w:leftChars="343" w:firstLine="1084" w:firstLineChars="300"/>
        <w:outlineLvl w:val="0"/>
        <w:rPr>
          <w:rFonts w:ascii="宋体" w:hAnsi="宋体" w:cs="宋体"/>
          <w:b/>
          <w:sz w:val="36"/>
          <w:szCs w:val="36"/>
        </w:rPr>
      </w:pPr>
      <w:bookmarkStart w:id="684" w:name="第五部分"/>
      <w:bookmarkStart w:id="685" w:name="_Toc86217003"/>
    </w:p>
    <w:p>
      <w:pPr>
        <w:spacing w:line="360" w:lineRule="auto"/>
        <w:ind w:left="720" w:leftChars="343" w:firstLine="1084" w:firstLineChars="300"/>
        <w:outlineLvl w:val="0"/>
        <w:rPr>
          <w:rFonts w:ascii="宋体" w:hAnsi="宋体" w:cs="宋体"/>
          <w:b/>
          <w:sz w:val="36"/>
          <w:szCs w:val="36"/>
        </w:rPr>
      </w:pPr>
    </w:p>
    <w:p>
      <w:pPr>
        <w:pStyle w:val="6"/>
        <w:rPr>
          <w:color w:val="auto"/>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spacing w:line="360" w:lineRule="auto"/>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360" w:lineRule="auto"/>
        <w:jc w:val="center"/>
        <w:rPr>
          <w:rFonts w:ascii="宋体" w:hAnsi="宋体" w:cs="宋体"/>
          <w:b/>
          <w:sz w:val="28"/>
          <w:szCs w:val="28"/>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36"/>
          <w:szCs w:val="36"/>
        </w:rPr>
      </w:pPr>
      <w:r>
        <w:rPr>
          <w:rFonts w:hint="eastAsia" w:ascii="宋体" w:hAnsi="宋体" w:cs="宋体"/>
          <w:b/>
          <w:sz w:val="36"/>
          <w:szCs w:val="36"/>
        </w:rPr>
        <w:t>政府采购合同</w:t>
      </w:r>
    </w:p>
    <w:p>
      <w:pPr>
        <w:pStyle w:val="700"/>
        <w:ind w:left="0" w:leftChars="0" w:firstLine="0" w:firstLineChars="0"/>
        <w:rPr>
          <w:rFonts w:ascii="宋体" w:hAnsi="宋体" w:cs="宋体"/>
          <w:szCs w:val="24"/>
        </w:rPr>
      </w:pPr>
    </w:p>
    <w:p>
      <w:pPr>
        <w:pStyle w:val="700"/>
        <w:jc w:val="center"/>
        <w:rPr>
          <w:rFonts w:ascii="宋体" w:hAnsi="宋体" w:cs="宋体"/>
          <w:szCs w:val="24"/>
        </w:rPr>
      </w:pPr>
    </w:p>
    <w:p>
      <w:pPr>
        <w:pStyle w:val="700"/>
        <w:ind w:firstLine="2843" w:firstLineChars="1180"/>
        <w:rPr>
          <w:rFonts w:ascii="宋体" w:hAnsi="宋体" w:cs="宋体"/>
          <w:b/>
          <w:szCs w:val="24"/>
        </w:rPr>
      </w:pPr>
      <w:r>
        <w:rPr>
          <w:rFonts w:hint="eastAsia" w:ascii="宋体" w:hAnsi="宋体" w:cs="宋体"/>
          <w:b/>
          <w:szCs w:val="24"/>
        </w:rPr>
        <w:t>第一部分 合同书</w:t>
      </w:r>
    </w:p>
    <w:p>
      <w:pPr>
        <w:pStyle w:val="700"/>
        <w:rPr>
          <w:rFonts w:ascii="宋体" w:hAnsi="宋体" w:cs="宋体"/>
          <w:szCs w:val="24"/>
        </w:rPr>
      </w:pPr>
    </w:p>
    <w:p>
      <w:pPr>
        <w:pStyle w:val="700"/>
        <w:rPr>
          <w:rFonts w:ascii="宋体" w:hAnsi="宋体" w:cs="宋体"/>
          <w:szCs w:val="24"/>
        </w:rPr>
      </w:pPr>
    </w:p>
    <w:p>
      <w:pPr>
        <w:spacing w:before="120" w:line="360" w:lineRule="auto"/>
        <w:rPr>
          <w:rFonts w:ascii="宋体" w:hAnsi="宋体" w:cs="宋体"/>
          <w:sz w:val="24"/>
        </w:rPr>
      </w:pPr>
    </w:p>
    <w:p>
      <w:pPr>
        <w:spacing w:before="120" w:line="360" w:lineRule="auto"/>
        <w:ind w:left="220" w:firstLine="720" w:firstLineChars="300"/>
        <w:rPr>
          <w:rFonts w:ascii="宋体" w:hAnsi="宋体" w:cs="宋体"/>
          <w:sz w:val="24"/>
        </w:rPr>
      </w:pPr>
      <w:r>
        <w:rPr>
          <w:rFonts w:hint="eastAsia" w:ascii="宋体" w:hAnsi="宋体" w:cs="宋体"/>
          <w:sz w:val="24"/>
        </w:rPr>
        <w:t>项目名称：</w:t>
      </w:r>
      <w:r>
        <w:rPr>
          <w:rFonts w:hint="eastAsia" w:ascii="宋体" w:hAnsi="宋体" w:cs="宋体"/>
          <w:sz w:val="24"/>
          <w:u w:val="single"/>
        </w:rPr>
        <w:t>龙山河等4条河道设施长效管养招标项目</w:t>
      </w:r>
    </w:p>
    <w:p>
      <w:pPr>
        <w:pStyle w:val="597"/>
        <w:spacing w:before="120"/>
        <w:rPr>
          <w:rFonts w:ascii="宋体" w:hAnsi="宋体" w:eastAsia="宋体" w:cs="宋体"/>
          <w:szCs w:val="24"/>
        </w:rPr>
      </w:pPr>
    </w:p>
    <w:p>
      <w:pPr>
        <w:spacing w:line="360" w:lineRule="auto"/>
        <w:rPr>
          <w:rFonts w:ascii="宋体" w:hAnsi="宋体" w:cs="宋体"/>
          <w:sz w:val="24"/>
        </w:rPr>
      </w:pPr>
    </w:p>
    <w:p>
      <w:pPr>
        <w:spacing w:before="120" w:line="360" w:lineRule="auto"/>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杭州市上城区综合行政执法局       </w:t>
      </w:r>
    </w:p>
    <w:p>
      <w:pPr>
        <w:spacing w:before="120" w:line="360" w:lineRule="auto"/>
        <w:rPr>
          <w:rFonts w:ascii="宋体" w:hAnsi="宋体" w:cs="宋体"/>
          <w:sz w:val="24"/>
        </w:rPr>
      </w:pPr>
    </w:p>
    <w:p>
      <w:pPr>
        <w:spacing w:before="120" w:line="360" w:lineRule="auto"/>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360" w:lineRule="auto"/>
        <w:rPr>
          <w:rFonts w:ascii="宋体" w:hAnsi="宋体" w:cs="宋体"/>
          <w:sz w:val="24"/>
        </w:rPr>
      </w:pPr>
    </w:p>
    <w:p>
      <w:pPr>
        <w:spacing w:before="120" w:line="360" w:lineRule="auto"/>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360" w:lineRule="auto"/>
        <w:rPr>
          <w:rFonts w:ascii="宋体" w:hAnsi="宋体" w:cs="宋体"/>
          <w:sz w:val="24"/>
        </w:rPr>
      </w:pPr>
    </w:p>
    <w:p>
      <w:pPr>
        <w:spacing w:before="120" w:line="360" w:lineRule="auto"/>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spacing w:line="360" w:lineRule="auto"/>
        <w:jc w:val="left"/>
        <w:rPr>
          <w:rFonts w:ascii="宋体" w:hAnsi="宋体" w:cs="宋体"/>
          <w:kern w:val="0"/>
          <w:sz w:val="24"/>
        </w:rPr>
        <w:sectPr>
          <w:pgSz w:w="11907" w:h="16840"/>
          <w:pgMar w:top="1474" w:right="1814" w:bottom="1474" w:left="1814" w:header="851" w:footer="851" w:gutter="0"/>
          <w:cols w:space="720" w:num="1"/>
        </w:sectPr>
      </w:pPr>
    </w:p>
    <w:p>
      <w:pPr>
        <w:spacing w:line="360" w:lineRule="auto"/>
        <w:ind w:firstLine="570"/>
        <w:rPr>
          <w:rFonts w:ascii="宋体" w:hAnsi="宋体" w:cs="宋体"/>
          <w:sz w:val="24"/>
          <w:szCs w:val="20"/>
        </w:rPr>
      </w:pPr>
      <w:r>
        <w:rPr>
          <w:rFonts w:hint="eastAsia" w:ascii="宋体" w:hAnsi="宋体" w:cs="宋体"/>
          <w:sz w:val="24"/>
          <w:szCs w:val="20"/>
        </w:rPr>
        <w:t>根据《中华人民共和国政府采购法》、《中华人民共和国民法典》等法律法规和相关文件（编号：</w:t>
      </w:r>
      <w:r>
        <w:rPr>
          <w:rFonts w:hint="eastAsia" w:ascii="宋体" w:hAnsi="宋体" w:cs="宋体"/>
          <w:sz w:val="24"/>
          <w:u w:val="single"/>
        </w:rPr>
        <w:t xml:space="preserve">      </w:t>
      </w:r>
      <w:r>
        <w:rPr>
          <w:rFonts w:hint="eastAsia" w:ascii="宋体" w:hAnsi="宋体" w:cs="宋体"/>
          <w:sz w:val="24"/>
          <w:szCs w:val="20"/>
        </w:rPr>
        <w:t>）要求，遵循平等、自愿、公平、诚实信用的原则，经甲乙双方平等协商，达成如下条款：</w:t>
      </w:r>
    </w:p>
    <w:p>
      <w:pPr>
        <w:spacing w:line="360" w:lineRule="auto"/>
        <w:ind w:firstLine="482" w:firstLineChars="200"/>
        <w:rPr>
          <w:rFonts w:ascii="宋体" w:hAnsi="宋体" w:cs="宋体"/>
          <w:sz w:val="24"/>
          <w:szCs w:val="20"/>
        </w:rPr>
      </w:pPr>
      <w:r>
        <w:rPr>
          <w:rFonts w:hint="eastAsia" w:ascii="宋体" w:hAnsi="宋体" w:cs="宋体"/>
          <w:b/>
          <w:bCs/>
          <w:sz w:val="24"/>
        </w:rPr>
        <w:t>一、服务内容、要求</w:t>
      </w:r>
    </w:p>
    <w:p>
      <w:pPr>
        <w:spacing w:line="360" w:lineRule="auto"/>
        <w:ind w:firstLine="480" w:firstLineChars="200"/>
        <w:rPr>
          <w:rFonts w:ascii="宋体" w:hAnsi="宋体" w:cs="宋体"/>
          <w:sz w:val="24"/>
          <w:szCs w:val="20"/>
        </w:rPr>
      </w:pPr>
      <w:r>
        <w:rPr>
          <w:rFonts w:hint="eastAsia" w:ascii="宋体" w:hAnsi="宋体" w:cs="宋体"/>
          <w:sz w:val="24"/>
          <w:szCs w:val="20"/>
        </w:rPr>
        <w:t>甲方同意由乙方承担</w:t>
      </w:r>
      <w:r>
        <w:rPr>
          <w:rFonts w:hint="eastAsia" w:ascii="宋体" w:hAnsi="宋体" w:cs="宋体"/>
          <w:sz w:val="24"/>
          <w:szCs w:val="20"/>
          <w:u w:val="single"/>
        </w:rPr>
        <w:t xml:space="preserve">              </w:t>
      </w:r>
      <w:r>
        <w:rPr>
          <w:rFonts w:hint="eastAsia" w:ascii="宋体" w:hAnsi="宋体" w:cs="宋体"/>
          <w:sz w:val="24"/>
          <w:szCs w:val="20"/>
        </w:rPr>
        <w:t>项目，相关设施量具体见《招标文件》。</w:t>
      </w:r>
    </w:p>
    <w:p>
      <w:pPr>
        <w:spacing w:line="360" w:lineRule="auto"/>
        <w:ind w:firstLine="480" w:firstLineChars="200"/>
        <w:rPr>
          <w:rFonts w:ascii="宋体" w:hAnsi="宋体" w:cs="宋体"/>
          <w:sz w:val="24"/>
          <w:szCs w:val="20"/>
        </w:rPr>
      </w:pPr>
      <w:r>
        <w:rPr>
          <w:rFonts w:hint="eastAsia" w:ascii="宋体" w:hAnsi="宋体" w:cs="宋体"/>
          <w:sz w:val="24"/>
          <w:szCs w:val="20"/>
        </w:rPr>
        <w:t>具体养护内容涉及</w:t>
      </w:r>
      <w:r>
        <w:rPr>
          <w:rFonts w:hint="eastAsia" w:ascii="宋体" w:hAnsi="宋体" w:cs="宋体"/>
          <w:bCs/>
          <w:sz w:val="24"/>
        </w:rPr>
        <w:t>：</w:t>
      </w:r>
    </w:p>
    <w:p>
      <w:pPr>
        <w:snapToGrid w:val="0"/>
        <w:spacing w:line="360" w:lineRule="auto"/>
        <w:ind w:firstLine="480" w:firstLineChars="200"/>
        <w:rPr>
          <w:rFonts w:ascii="宋体" w:hAnsi="宋体" w:cs="宋体"/>
          <w:bCs/>
          <w:sz w:val="24"/>
        </w:rPr>
      </w:pPr>
      <w:r>
        <w:rPr>
          <w:rFonts w:hint="eastAsia" w:ascii="宋体" w:hAnsi="宋体" w:cs="宋体"/>
          <w:bCs/>
          <w:sz w:val="24"/>
        </w:rPr>
        <w:t>(1)河面保洁、河岸保洁、河岸巡查、驳坎保洁维护（含局部破损的小修小补）、标警示牌保洁维护（包括河道信息牌、告示牌等，最终以甲方确认的为准）、栏杆保洁维护（含小修小补）、垃圾外运处置、生态浮岛滨岸挺水植物养护、浮水植物养护、沉水植物养护、曝气增氧机维护（含小修小补）、人工水草维护（含小修小补）等，具体详见附件中河道养护技术标准和服务要求。</w:t>
      </w:r>
    </w:p>
    <w:p>
      <w:pPr>
        <w:snapToGrid w:val="0"/>
        <w:spacing w:line="360" w:lineRule="auto"/>
        <w:ind w:firstLine="480" w:firstLineChars="200"/>
        <w:rPr>
          <w:rFonts w:ascii="宋体" w:hAnsi="宋体" w:cs="宋体"/>
          <w:sz w:val="24"/>
        </w:rPr>
      </w:pPr>
      <w:r>
        <w:rPr>
          <w:rFonts w:hint="eastAsia" w:ascii="宋体" w:hAnsi="宋体" w:cs="宋体"/>
          <w:bCs/>
          <w:sz w:val="24"/>
        </w:rPr>
        <w:t>(2)本养护项目中，养护单位应采取一切措施，避免河道水质出现劣</w:t>
      </w:r>
      <w:r>
        <w:rPr>
          <w:rFonts w:hint="eastAsia" w:ascii="宋体" w:hAnsi="宋体" w:cs="宋体"/>
          <w:sz w:val="24"/>
        </w:rPr>
        <w:t>Ⅴ类（以省、市月度监测通报为准），</w:t>
      </w:r>
      <w:r>
        <w:rPr>
          <w:rFonts w:hint="eastAsia" w:ascii="宋体" w:hAnsi="宋体" w:cs="宋体"/>
          <w:bCs/>
          <w:sz w:val="24"/>
        </w:rPr>
        <w:t>避免被治水办三色预警考核通报，确保省、</w:t>
      </w:r>
      <w:r>
        <w:rPr>
          <w:rFonts w:hint="eastAsia" w:ascii="宋体" w:hAnsi="宋体" w:cs="宋体"/>
          <w:sz w:val="24"/>
        </w:rPr>
        <w:t>市控水质监测断面达标。</w:t>
      </w:r>
    </w:p>
    <w:p>
      <w:pPr>
        <w:snapToGrid w:val="0"/>
        <w:spacing w:line="360" w:lineRule="auto"/>
        <w:ind w:firstLine="480"/>
        <w:rPr>
          <w:rFonts w:ascii="宋体" w:hAnsi="宋体" w:cs="宋体"/>
          <w:bCs/>
          <w:sz w:val="24"/>
        </w:rPr>
      </w:pPr>
      <w:r>
        <w:rPr>
          <w:rFonts w:hint="eastAsia" w:ascii="宋体" w:hAnsi="宋体" w:cs="宋体"/>
          <w:sz w:val="24"/>
        </w:rPr>
        <w:t>▲</w:t>
      </w:r>
      <w:r>
        <w:rPr>
          <w:rFonts w:hint="eastAsia" w:ascii="宋体" w:hAnsi="宋体" w:cs="宋体"/>
          <w:bCs/>
          <w:sz w:val="24"/>
        </w:rPr>
        <w:t>(3)投标人在养护过程中承诺在中标养护的河道河岸每500米设置救生设施一套，救生设施包括救生圈及救生杆（不小于3米的伸缩杆），救生设施所有权归投标人所有，在河道养护期间需保证救生设施的正常使用，合同终止后可收回。</w:t>
      </w:r>
    </w:p>
    <w:p>
      <w:pPr>
        <w:snapToGrid w:val="0"/>
        <w:spacing w:line="360" w:lineRule="auto"/>
        <w:rPr>
          <w:rFonts w:ascii="宋体" w:hAnsi="宋体" w:cs="宋体"/>
          <w:bCs/>
          <w:sz w:val="24"/>
        </w:rPr>
      </w:pPr>
      <w:r>
        <w:rPr>
          <w:rFonts w:hint="eastAsia" w:ascii="宋体" w:hAnsi="宋体" w:cs="宋体"/>
          <w:bCs/>
          <w:sz w:val="24"/>
        </w:rPr>
        <w:t xml:space="preserve">    (4)河道排污口的检查、上报、记录；</w:t>
      </w:r>
    </w:p>
    <w:p>
      <w:pPr>
        <w:snapToGrid w:val="0"/>
        <w:spacing w:line="360" w:lineRule="auto"/>
        <w:ind w:firstLine="480" w:firstLineChars="200"/>
        <w:rPr>
          <w:rFonts w:ascii="宋体" w:hAnsi="宋体" w:cs="宋体"/>
          <w:bCs/>
          <w:sz w:val="24"/>
        </w:rPr>
      </w:pPr>
      <w:r>
        <w:rPr>
          <w:rFonts w:hint="eastAsia" w:ascii="宋体" w:hAnsi="宋体" w:cs="宋体"/>
          <w:bCs/>
          <w:sz w:val="24"/>
        </w:rPr>
        <w:t>(5)重要活动及重大节日、突发应急事件保障。</w:t>
      </w:r>
    </w:p>
    <w:p>
      <w:pPr>
        <w:snapToGrid w:val="0"/>
        <w:spacing w:line="360" w:lineRule="auto"/>
        <w:ind w:firstLine="480" w:firstLineChars="200"/>
        <w:rPr>
          <w:rFonts w:ascii="宋体" w:hAnsi="宋体" w:cs="宋体"/>
          <w:bCs/>
          <w:sz w:val="24"/>
        </w:rPr>
      </w:pPr>
      <w:r>
        <w:rPr>
          <w:rFonts w:hint="eastAsia" w:ascii="宋体" w:hAnsi="宋体" w:cs="宋体"/>
          <w:bCs/>
          <w:sz w:val="24"/>
        </w:rPr>
        <w:t>(6)涉河违法行为、水质（体）突变、设施隐患等情况检查上报及相应的应急处置。</w:t>
      </w:r>
    </w:p>
    <w:p>
      <w:pPr>
        <w:snapToGrid w:val="0"/>
        <w:spacing w:line="360" w:lineRule="auto"/>
        <w:ind w:firstLine="480"/>
        <w:rPr>
          <w:rFonts w:ascii="宋体" w:hAnsi="宋体" w:cs="宋体"/>
          <w:bCs/>
          <w:sz w:val="24"/>
        </w:rPr>
      </w:pPr>
      <w:r>
        <w:rPr>
          <w:rFonts w:hint="eastAsia" w:ascii="宋体" w:hAnsi="宋体" w:cs="宋体"/>
          <w:bCs/>
          <w:sz w:val="24"/>
        </w:rPr>
        <w:t>(7)河道蚊蝇的消杀工作。</w:t>
      </w:r>
    </w:p>
    <w:p>
      <w:pPr>
        <w:snapToGrid w:val="0"/>
        <w:spacing w:line="360" w:lineRule="auto"/>
        <w:ind w:firstLine="480"/>
        <w:rPr>
          <w:rFonts w:ascii="宋体" w:hAnsi="宋体" w:cs="宋体"/>
          <w:bCs/>
          <w:sz w:val="24"/>
        </w:rPr>
      </w:pPr>
      <w:r>
        <w:rPr>
          <w:rFonts w:hint="eastAsia" w:ascii="宋体" w:hAnsi="宋体" w:cs="宋体"/>
          <w:bCs/>
          <w:sz w:val="24"/>
        </w:rPr>
        <w:t>(8)对下河玩耍、捕鱼、游泳人员进行劝阻。</w:t>
      </w:r>
    </w:p>
    <w:p>
      <w:pPr>
        <w:snapToGrid w:val="0"/>
        <w:spacing w:line="360" w:lineRule="auto"/>
        <w:ind w:firstLine="480"/>
        <w:rPr>
          <w:rFonts w:ascii="宋体" w:hAnsi="宋体" w:cs="宋体"/>
          <w:sz w:val="24"/>
        </w:rPr>
      </w:pPr>
      <w:r>
        <w:rPr>
          <w:rFonts w:hint="eastAsia" w:ascii="宋体" w:hAnsi="宋体" w:cs="宋体"/>
          <w:bCs/>
          <w:sz w:val="24"/>
        </w:rPr>
        <w:t>(9)做好各类河道养护工作台账。</w:t>
      </w:r>
    </w:p>
    <w:p>
      <w:pPr>
        <w:spacing w:line="360" w:lineRule="auto"/>
        <w:ind w:firstLine="480" w:firstLineChars="200"/>
        <w:rPr>
          <w:rFonts w:ascii="宋体" w:hAnsi="宋体" w:cs="宋体"/>
          <w:sz w:val="24"/>
          <w:szCs w:val="20"/>
        </w:rPr>
      </w:pPr>
      <w:r>
        <w:rPr>
          <w:rFonts w:hint="eastAsia" w:ascii="宋体" w:hAnsi="宋体" w:cs="宋体"/>
          <w:sz w:val="24"/>
          <w:szCs w:val="20"/>
        </w:rPr>
        <w:t>具体设施量以最新设施量统计表为准，有关作业规范要求见《招标文件》。</w:t>
      </w:r>
    </w:p>
    <w:p>
      <w:pPr>
        <w:spacing w:line="360" w:lineRule="auto"/>
        <w:ind w:firstLine="482" w:firstLineChars="200"/>
        <w:rPr>
          <w:rFonts w:ascii="宋体" w:hAnsi="宋体" w:cs="宋体"/>
          <w:sz w:val="24"/>
          <w:szCs w:val="20"/>
        </w:rPr>
      </w:pPr>
      <w:r>
        <w:rPr>
          <w:rFonts w:hint="eastAsia" w:ascii="宋体" w:hAnsi="宋体" w:cs="宋体"/>
          <w:b/>
          <w:bCs/>
          <w:sz w:val="24"/>
          <w:szCs w:val="20"/>
        </w:rPr>
        <w:t>二、合同有效期限</w:t>
      </w:r>
    </w:p>
    <w:p>
      <w:pPr>
        <w:spacing w:line="360" w:lineRule="auto"/>
        <w:ind w:firstLine="480" w:firstLineChars="200"/>
        <w:rPr>
          <w:rFonts w:ascii="宋体" w:hAnsi="宋体" w:cs="宋体"/>
          <w:sz w:val="24"/>
          <w:szCs w:val="20"/>
        </w:rPr>
      </w:pPr>
      <w:r>
        <w:rPr>
          <w:rFonts w:hint="eastAsia" w:ascii="宋体" w:hAnsi="宋体" w:cs="宋体"/>
          <w:sz w:val="24"/>
          <w:szCs w:val="20"/>
          <w:u w:val="single"/>
        </w:rPr>
        <w:t xml:space="preserve">20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日至</w:t>
      </w:r>
      <w:r>
        <w:rPr>
          <w:rFonts w:hint="eastAsia" w:ascii="宋体" w:hAnsi="宋体" w:cs="宋体"/>
          <w:sz w:val="24"/>
          <w:szCs w:val="20"/>
          <w:u w:val="single"/>
        </w:rPr>
        <w:t xml:space="preserve">20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日止，共</w:t>
      </w:r>
      <w:r>
        <w:rPr>
          <w:rFonts w:hint="eastAsia" w:ascii="宋体" w:hAnsi="宋体" w:cs="宋体"/>
          <w:sz w:val="24"/>
          <w:szCs w:val="20"/>
          <w:u w:val="single"/>
        </w:rPr>
        <w:t>36</w:t>
      </w:r>
      <w:r>
        <w:rPr>
          <w:rFonts w:hint="eastAsia" w:ascii="宋体" w:hAnsi="宋体" w:cs="宋体"/>
          <w:sz w:val="24"/>
          <w:szCs w:val="20"/>
        </w:rPr>
        <w:t>个月。（因</w:t>
      </w:r>
      <w:r>
        <w:rPr>
          <w:rFonts w:hint="eastAsia" w:ascii="宋体" w:hAnsi="宋体" w:cs="宋体"/>
          <w:sz w:val="24"/>
        </w:rPr>
        <w:t>部分河道设施因故不能养护或中途中止养护，具体养护设施量及养护时间以甲方通知为准，养护经费根据投标报价和实际发生养护时间据实结算，乙方已完全了解并接受甲方的安排</w:t>
      </w:r>
      <w:r>
        <w:rPr>
          <w:rFonts w:hint="eastAsia" w:ascii="宋体" w:hAnsi="宋体" w:cs="宋体"/>
          <w:sz w:val="24"/>
          <w:szCs w:val="20"/>
        </w:rPr>
        <w:t>）。</w:t>
      </w:r>
    </w:p>
    <w:p>
      <w:pPr>
        <w:spacing w:line="360" w:lineRule="auto"/>
        <w:ind w:firstLine="482" w:firstLineChars="200"/>
        <w:rPr>
          <w:rFonts w:ascii="宋体" w:hAnsi="宋体" w:cs="宋体"/>
          <w:b/>
          <w:bCs/>
          <w:sz w:val="24"/>
        </w:rPr>
      </w:pPr>
      <w:r>
        <w:rPr>
          <w:rFonts w:hint="eastAsia" w:ascii="宋体" w:hAnsi="宋体" w:cs="宋体"/>
          <w:b/>
          <w:bCs/>
          <w:sz w:val="24"/>
          <w:szCs w:val="20"/>
        </w:rPr>
        <w:t>三、</w:t>
      </w:r>
      <w:r>
        <w:rPr>
          <w:rFonts w:hint="eastAsia" w:ascii="宋体" w:hAnsi="宋体" w:cs="宋体"/>
          <w:b/>
          <w:bCs/>
          <w:sz w:val="24"/>
        </w:rPr>
        <w:t>合同价款及支付方式</w:t>
      </w:r>
    </w:p>
    <w:p>
      <w:pPr>
        <w:spacing w:line="360" w:lineRule="auto"/>
        <w:ind w:firstLine="480" w:firstLineChars="200"/>
        <w:rPr>
          <w:rFonts w:ascii="宋体" w:hAnsi="宋体" w:cs="宋体"/>
          <w:sz w:val="24"/>
        </w:rPr>
      </w:pPr>
      <w:r>
        <w:rPr>
          <w:rFonts w:hint="eastAsia" w:ascii="宋体" w:hAnsi="宋体" w:cs="宋体"/>
          <w:sz w:val="24"/>
        </w:rPr>
        <w:t>1、长效养护服务合同总价金额：人民币</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；单年长效养护服务金额人民币</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ascii="宋体" w:hAnsi="宋体" w:cs="宋体"/>
          <w:sz w:val="24"/>
          <w:szCs w:val="20"/>
        </w:rPr>
      </w:pPr>
      <w:r>
        <w:rPr>
          <w:rFonts w:hint="eastAsia" w:ascii="宋体" w:hAnsi="宋体" w:cs="宋体"/>
          <w:sz w:val="24"/>
        </w:rPr>
        <w:t>合同总价金额包括但不限于：完成本标项所有长效管理养护服务所需的车辆、船只、器械、材料、人工、运杂、服装、高温、管理房水电、治水设备养护费、水质突变应急费、养护水电费、应急抢险相关费用及保障应急费用、人身意外伤害保险（保额不少于20万/人）、税费（包含本合同执行中相关的一切税费,由乙方承担）、采购文件明确的其它需乙方承担的费用及其它潜在满足甲方监管要求可能涉及的一切费用。同时，上述报价还应包括突击整治任务、蚊蝇消杀、重大政治活动等突发性事件的河道养护工作所产生的各项费用</w:t>
      </w:r>
      <w:r>
        <w:rPr>
          <w:rFonts w:hint="eastAsia" w:ascii="宋体" w:hAnsi="宋体" w:cs="宋体"/>
          <w:sz w:val="24"/>
          <w:szCs w:val="20"/>
          <w:lang w:val="zh-CN"/>
        </w:rPr>
        <w:t>。</w:t>
      </w:r>
    </w:p>
    <w:p>
      <w:pPr>
        <w:spacing w:line="360" w:lineRule="auto"/>
        <w:ind w:firstLine="480" w:firstLineChars="200"/>
        <w:rPr>
          <w:rFonts w:ascii="宋体" w:hAnsi="宋体" w:cs="宋体"/>
          <w:sz w:val="24"/>
          <w:szCs w:val="20"/>
        </w:rPr>
      </w:pPr>
      <w:r>
        <w:rPr>
          <w:rFonts w:hint="eastAsia" w:ascii="宋体" w:hAnsi="宋体" w:cs="宋体"/>
          <w:sz w:val="24"/>
          <w:szCs w:val="20"/>
        </w:rPr>
        <w:t>2、河道建设红线内所有河道主体、生态设施均属养护责任范围（产权不属甲方的除外）。如提供设施量表有偏小而乙方未提出异议，不得以不在招标范围而拒绝养护；养护过程中，设施量调整不超过招标文件中设施量的2%时（以经费计），合同金额不予调整；若设施量有重大调整，则由甲乙双方以补充合同的形式另行确定。</w:t>
      </w:r>
    </w:p>
    <w:p>
      <w:pPr>
        <w:spacing w:line="360" w:lineRule="auto"/>
        <w:ind w:firstLine="480" w:firstLineChars="200"/>
        <w:rPr>
          <w:rFonts w:ascii="宋体" w:hAnsi="宋体" w:cs="宋体"/>
          <w:sz w:val="24"/>
          <w:szCs w:val="20"/>
        </w:rPr>
      </w:pPr>
      <w:r>
        <w:rPr>
          <w:rFonts w:hint="eastAsia" w:ascii="宋体" w:hAnsi="宋体" w:cs="宋体"/>
          <w:sz w:val="24"/>
          <w:szCs w:val="20"/>
        </w:rPr>
        <w:t>3、本项目进场前，中标人应根据履约验收情况缴纳履约保证金，即人民币</w:t>
      </w:r>
      <w:r>
        <w:rPr>
          <w:rFonts w:hint="eastAsia" w:ascii="宋体" w:hAnsi="宋体" w:cs="宋体"/>
          <w:sz w:val="24"/>
          <w:szCs w:val="20"/>
          <w:u w:val="single"/>
        </w:rPr>
        <w:t xml:space="preserve">   </w:t>
      </w:r>
      <w:r>
        <w:rPr>
          <w:rFonts w:hint="eastAsia" w:ascii="宋体" w:hAnsi="宋体" w:cs="宋体"/>
          <w:sz w:val="24"/>
          <w:szCs w:val="20"/>
        </w:rPr>
        <w:t xml:space="preserve"> 元（大写）</w:t>
      </w:r>
      <w:r>
        <w:rPr>
          <w:rFonts w:hint="eastAsia" w:ascii="宋体" w:hAnsi="宋体" w:cs="宋体"/>
          <w:sz w:val="24"/>
          <w:szCs w:val="20"/>
          <w:u w:val="single"/>
        </w:rPr>
        <w:t xml:space="preserve">   </w:t>
      </w:r>
      <w:r>
        <w:rPr>
          <w:rFonts w:hint="eastAsia" w:ascii="宋体" w:hAnsi="宋体" w:cs="宋体"/>
          <w:sz w:val="24"/>
          <w:szCs w:val="20"/>
        </w:rPr>
        <w:t>。</w:t>
      </w:r>
    </w:p>
    <w:p>
      <w:pPr>
        <w:snapToGrid w:val="0"/>
        <w:spacing w:line="360" w:lineRule="auto"/>
        <w:ind w:firstLine="480" w:firstLineChars="200"/>
        <w:rPr>
          <w:rFonts w:ascii="宋体" w:hAnsi="宋体" w:cs="宋体"/>
          <w:sz w:val="24"/>
          <w:szCs w:val="20"/>
        </w:rPr>
      </w:pPr>
      <w:r>
        <w:rPr>
          <w:rFonts w:hint="eastAsia" w:ascii="宋体" w:hAnsi="宋体" w:cs="宋体"/>
          <w:sz w:val="24"/>
          <w:szCs w:val="20"/>
        </w:rPr>
        <w:t>4、付款方式：</w:t>
      </w:r>
      <w:r>
        <w:rPr>
          <w:rFonts w:hint="eastAsia" w:ascii="宋体" w:hAnsi="宋体" w:cs="宋体"/>
          <w:bCs/>
          <w:sz w:val="24"/>
        </w:rPr>
        <w:t>项目支付方式为签订合同后7个工作日内支付第一年度中标价40%的预付款，剩余第一年度60%的养护款在第二年度上半年根据考核结果运用，扣除相关费用后结清余款；后续两年参照执行。</w:t>
      </w:r>
    </w:p>
    <w:p>
      <w:pPr>
        <w:snapToGrid w:val="0"/>
        <w:spacing w:line="360" w:lineRule="auto"/>
        <w:ind w:firstLine="480" w:firstLineChars="200"/>
        <w:jc w:val="left"/>
        <w:rPr>
          <w:rFonts w:ascii="宋体" w:hAnsi="宋体" w:cs="宋体"/>
          <w:sz w:val="24"/>
          <w:szCs w:val="20"/>
        </w:rPr>
      </w:pPr>
      <w:r>
        <w:rPr>
          <w:rFonts w:hint="eastAsia" w:ascii="宋体" w:hAnsi="宋体" w:cs="宋体"/>
          <w:sz w:val="24"/>
          <w:szCs w:val="20"/>
        </w:rPr>
        <w:t>5、甲方支付每笔费用前，乙方应先向甲方开具相应金额的发票，否则甲方有权顺延付款期限。</w:t>
      </w:r>
    </w:p>
    <w:p>
      <w:pPr>
        <w:snapToGrid w:val="0"/>
        <w:spacing w:line="360" w:lineRule="auto"/>
        <w:ind w:firstLine="480" w:firstLineChars="200"/>
        <w:jc w:val="left"/>
        <w:rPr>
          <w:rFonts w:ascii="宋体" w:hAnsi="宋体" w:cs="宋体"/>
          <w:sz w:val="24"/>
          <w:szCs w:val="20"/>
        </w:rPr>
      </w:pPr>
      <w:r>
        <w:rPr>
          <w:rFonts w:hint="eastAsia" w:ascii="宋体" w:hAnsi="宋体" w:cs="宋体"/>
          <w:sz w:val="24"/>
          <w:szCs w:val="20"/>
        </w:rPr>
        <w:t>6、考核付款中如出现超付现象，下一次付款应予以扣减。</w:t>
      </w:r>
    </w:p>
    <w:p>
      <w:pPr>
        <w:snapToGrid w:val="0"/>
        <w:spacing w:line="360" w:lineRule="auto"/>
        <w:ind w:firstLine="480" w:firstLineChars="200"/>
        <w:jc w:val="left"/>
        <w:rPr>
          <w:rFonts w:ascii="宋体" w:hAnsi="宋体" w:cs="宋体"/>
          <w:sz w:val="24"/>
          <w:szCs w:val="20"/>
        </w:rPr>
      </w:pPr>
      <w:r>
        <w:rPr>
          <w:rFonts w:hint="eastAsia" w:ascii="宋体" w:hAnsi="宋体" w:cs="宋体"/>
          <w:sz w:val="24"/>
          <w:szCs w:val="20"/>
        </w:rPr>
        <w:t>7、考核付款中如出现前后冲突的，则从有利于甲方的方向解释。</w:t>
      </w:r>
    </w:p>
    <w:p>
      <w:pPr>
        <w:snapToGrid w:val="0"/>
        <w:spacing w:line="360" w:lineRule="auto"/>
        <w:ind w:firstLine="480" w:firstLineChars="200"/>
        <w:jc w:val="left"/>
        <w:rPr>
          <w:rFonts w:ascii="宋体" w:hAnsi="宋体" w:cs="宋体"/>
          <w:sz w:val="24"/>
          <w:szCs w:val="20"/>
        </w:rPr>
      </w:pPr>
      <w:r>
        <w:rPr>
          <w:rFonts w:hint="eastAsia" w:ascii="宋体" w:hAnsi="宋体" w:cs="宋体"/>
          <w:sz w:val="24"/>
        </w:rPr>
        <w:t>8、</w:t>
      </w:r>
      <w:r>
        <w:rPr>
          <w:rFonts w:hint="eastAsia" w:ascii="宋体" w:hAnsi="宋体" w:cs="宋体"/>
          <w:sz w:val="24"/>
          <w:szCs w:val="20"/>
        </w:rPr>
        <w:t>乙方应在甲方付款前，开具同等付款金额的税务正式发票给甲方。</w:t>
      </w:r>
    </w:p>
    <w:p>
      <w:pPr>
        <w:spacing w:line="360" w:lineRule="auto"/>
        <w:ind w:firstLine="482" w:firstLineChars="200"/>
        <w:rPr>
          <w:rFonts w:ascii="宋体" w:hAnsi="宋体" w:cs="宋体"/>
          <w:b/>
          <w:bCs/>
          <w:sz w:val="24"/>
        </w:rPr>
      </w:pPr>
      <w:r>
        <w:rPr>
          <w:rFonts w:hint="eastAsia" w:ascii="宋体" w:hAnsi="宋体" w:cs="宋体"/>
          <w:b/>
          <w:bCs/>
          <w:sz w:val="24"/>
        </w:rPr>
        <w:t>四、合同权利条款</w:t>
      </w:r>
    </w:p>
    <w:p>
      <w:pPr>
        <w:spacing w:line="360" w:lineRule="auto"/>
        <w:ind w:firstLine="480" w:firstLineChars="200"/>
        <w:rPr>
          <w:rFonts w:ascii="宋体" w:hAnsi="宋体" w:cs="宋体"/>
          <w:sz w:val="24"/>
        </w:rPr>
      </w:pPr>
      <w:r>
        <w:rPr>
          <w:rFonts w:hint="eastAsia" w:ascii="宋体" w:hAnsi="宋体" w:cs="宋体"/>
          <w:sz w:val="24"/>
        </w:rPr>
        <w:t>甲方的权利：</w:t>
      </w:r>
    </w:p>
    <w:p>
      <w:pPr>
        <w:spacing w:line="360" w:lineRule="auto"/>
        <w:ind w:firstLine="480" w:firstLineChars="200"/>
        <w:rPr>
          <w:rFonts w:ascii="宋体" w:hAnsi="宋体" w:cs="宋体"/>
          <w:sz w:val="24"/>
        </w:rPr>
      </w:pPr>
      <w:r>
        <w:rPr>
          <w:rFonts w:hint="eastAsia" w:ascii="宋体" w:hAnsi="宋体" w:cs="宋体"/>
          <w:sz w:val="24"/>
        </w:rPr>
        <w:t>1.根据考核情况提出考核依据并支付相应的养护经费。</w:t>
      </w:r>
    </w:p>
    <w:p>
      <w:pPr>
        <w:spacing w:line="360" w:lineRule="auto"/>
        <w:ind w:firstLine="480" w:firstLineChars="200"/>
        <w:rPr>
          <w:rFonts w:ascii="宋体" w:hAnsi="宋体" w:cs="宋体"/>
          <w:sz w:val="24"/>
        </w:rPr>
      </w:pPr>
      <w:r>
        <w:rPr>
          <w:rFonts w:hint="eastAsia" w:ascii="宋体" w:hAnsi="宋体" w:cs="宋体"/>
          <w:sz w:val="24"/>
        </w:rPr>
        <w:t>2.对合同范围内的城市河道及其附属设施养护运行情况进行监督管理。</w:t>
      </w:r>
    </w:p>
    <w:p>
      <w:pPr>
        <w:spacing w:line="360" w:lineRule="auto"/>
        <w:ind w:firstLine="480" w:firstLineChars="200"/>
        <w:rPr>
          <w:rFonts w:ascii="宋体" w:hAnsi="宋体" w:cs="宋体"/>
          <w:sz w:val="24"/>
        </w:rPr>
      </w:pPr>
      <w:r>
        <w:rPr>
          <w:rFonts w:hint="eastAsia" w:ascii="宋体" w:hAnsi="宋体" w:cs="宋体"/>
          <w:sz w:val="24"/>
        </w:rPr>
        <w:t>3.审定年度和月度养护运行计划，审核乙方上报的养护工作量报表，检查养护运行计划执行情况。</w:t>
      </w:r>
    </w:p>
    <w:p>
      <w:pPr>
        <w:spacing w:line="360" w:lineRule="auto"/>
        <w:ind w:firstLine="480" w:firstLineChars="200"/>
        <w:rPr>
          <w:rFonts w:ascii="宋体" w:hAnsi="宋体" w:cs="宋体"/>
          <w:sz w:val="24"/>
        </w:rPr>
      </w:pPr>
      <w:r>
        <w:rPr>
          <w:rFonts w:hint="eastAsia" w:ascii="宋体" w:hAnsi="宋体" w:cs="宋体"/>
          <w:sz w:val="24"/>
        </w:rPr>
        <w:t>4.对乙方日常养护运行的质量、安全运行、巡查工作及资料台账进行定期或不定期检查，并对养护运行情况进行考核。</w:t>
      </w:r>
    </w:p>
    <w:p>
      <w:pPr>
        <w:spacing w:line="360" w:lineRule="auto"/>
        <w:ind w:firstLine="480" w:firstLineChars="200"/>
        <w:rPr>
          <w:rFonts w:ascii="宋体" w:hAnsi="宋体" w:cs="宋体"/>
          <w:sz w:val="24"/>
        </w:rPr>
      </w:pPr>
      <w:r>
        <w:rPr>
          <w:rFonts w:hint="eastAsia" w:ascii="宋体" w:hAnsi="宋体" w:cs="宋体"/>
          <w:sz w:val="24"/>
        </w:rPr>
        <w:t>5.按照市委、市政府或上级部门指示，在防汛、抗台、抗雪防冻和重大活动保障等特殊情况及重大事件发生时，可要求乙方采取应急措施，对城市河道进行特殊养护。</w:t>
      </w:r>
    </w:p>
    <w:p>
      <w:pPr>
        <w:spacing w:line="360" w:lineRule="auto"/>
        <w:ind w:firstLine="480" w:firstLineChars="200"/>
        <w:rPr>
          <w:rFonts w:ascii="宋体" w:hAnsi="宋体" w:cs="宋体"/>
          <w:sz w:val="24"/>
        </w:rPr>
      </w:pPr>
      <w:r>
        <w:rPr>
          <w:rFonts w:hint="eastAsia" w:ascii="宋体" w:hAnsi="宋体" w:cs="宋体"/>
          <w:sz w:val="24"/>
        </w:rPr>
        <w:t>6.对乙方承包养护范围内的城市河道养护运行状况和设施完好状况进行跟踪检查，发现乙方未按约定要求进行维护时，可要求乙方第一时间整改，并按合同约定进行处理。</w:t>
      </w:r>
    </w:p>
    <w:p>
      <w:pPr>
        <w:spacing w:line="360" w:lineRule="auto"/>
        <w:ind w:firstLine="480" w:firstLineChars="200"/>
        <w:rPr>
          <w:rFonts w:ascii="宋体" w:hAnsi="宋体" w:cs="宋体"/>
          <w:sz w:val="24"/>
        </w:rPr>
      </w:pPr>
      <w:r>
        <w:rPr>
          <w:rFonts w:hint="eastAsia" w:ascii="宋体" w:hAnsi="宋体" w:cs="宋体"/>
          <w:sz w:val="24"/>
        </w:rPr>
        <w:t>乙方的权利：</w:t>
      </w:r>
    </w:p>
    <w:p>
      <w:pPr>
        <w:spacing w:line="360" w:lineRule="auto"/>
        <w:ind w:firstLine="480" w:firstLineChars="200"/>
        <w:rPr>
          <w:rFonts w:ascii="宋体" w:hAnsi="宋体" w:cs="宋体"/>
          <w:sz w:val="24"/>
        </w:rPr>
      </w:pPr>
      <w:r>
        <w:rPr>
          <w:rFonts w:hint="eastAsia" w:ascii="宋体" w:hAnsi="宋体" w:cs="宋体"/>
          <w:sz w:val="24"/>
        </w:rPr>
        <w:t>1.按照合同确定的养护运行范围，根据考核情况取得相应确定的养护运行经费。</w:t>
      </w:r>
    </w:p>
    <w:p>
      <w:pPr>
        <w:spacing w:line="360" w:lineRule="auto"/>
        <w:ind w:firstLine="480" w:firstLineChars="200"/>
        <w:rPr>
          <w:rFonts w:ascii="宋体" w:hAnsi="宋体" w:cs="宋体"/>
          <w:sz w:val="24"/>
        </w:rPr>
      </w:pPr>
      <w:r>
        <w:rPr>
          <w:rFonts w:hint="eastAsia" w:ascii="宋体" w:hAnsi="宋体" w:cs="宋体"/>
          <w:sz w:val="24"/>
        </w:rPr>
        <w:t>2.编制年度、月度养护运行计划和配水工作方案，经甲方审定后安排日常养护工作。</w:t>
      </w:r>
    </w:p>
    <w:p>
      <w:pPr>
        <w:spacing w:line="360" w:lineRule="auto"/>
        <w:ind w:firstLine="480" w:firstLineChars="200"/>
        <w:rPr>
          <w:rFonts w:ascii="宋体" w:hAnsi="宋体" w:cs="宋体"/>
          <w:sz w:val="24"/>
        </w:rPr>
      </w:pPr>
      <w:r>
        <w:rPr>
          <w:rFonts w:hint="eastAsia" w:ascii="宋体" w:hAnsi="宋体" w:cs="宋体"/>
          <w:sz w:val="24"/>
        </w:rPr>
        <w:t>3.按甲方要求进行临时维护的项目以及新增城市河道设施项目，乙方有权按补充合同获得相应的养护运行费用。</w:t>
      </w:r>
    </w:p>
    <w:p>
      <w:pPr>
        <w:spacing w:line="360" w:lineRule="auto"/>
        <w:ind w:firstLine="480" w:firstLineChars="200"/>
        <w:rPr>
          <w:rFonts w:ascii="宋体" w:hAnsi="宋体" w:cs="宋体"/>
          <w:sz w:val="24"/>
        </w:rPr>
      </w:pPr>
      <w:r>
        <w:rPr>
          <w:rFonts w:hint="eastAsia" w:ascii="宋体" w:hAnsi="宋体" w:cs="宋体"/>
          <w:sz w:val="24"/>
        </w:rPr>
        <w:t>4.甲方无正当理由拖欠养护运行费用二个月以上（含），乙方有权中止合同；中止合同至少须提前三个月书面提出。</w:t>
      </w:r>
    </w:p>
    <w:p>
      <w:pPr>
        <w:spacing w:line="360" w:lineRule="auto"/>
        <w:ind w:firstLine="482" w:firstLineChars="200"/>
        <w:rPr>
          <w:rFonts w:ascii="宋体" w:hAnsi="宋体" w:cs="宋体"/>
          <w:b/>
          <w:bCs/>
          <w:sz w:val="24"/>
        </w:rPr>
      </w:pPr>
      <w:r>
        <w:rPr>
          <w:rFonts w:hint="eastAsia" w:ascii="宋体" w:hAnsi="宋体" w:cs="宋体"/>
          <w:b/>
          <w:bCs/>
          <w:sz w:val="24"/>
        </w:rPr>
        <w:t>五、合同责任条款</w:t>
      </w:r>
    </w:p>
    <w:p>
      <w:pPr>
        <w:spacing w:line="360" w:lineRule="auto"/>
        <w:ind w:firstLine="480" w:firstLineChars="200"/>
        <w:rPr>
          <w:rFonts w:ascii="宋体" w:hAnsi="宋体" w:cs="宋体"/>
          <w:sz w:val="24"/>
        </w:rPr>
      </w:pPr>
      <w:r>
        <w:rPr>
          <w:rFonts w:hint="eastAsia" w:ascii="宋体" w:hAnsi="宋体" w:cs="宋体"/>
          <w:sz w:val="24"/>
        </w:rPr>
        <w:t>甲方的责任：</w:t>
      </w:r>
    </w:p>
    <w:p>
      <w:pPr>
        <w:spacing w:line="360" w:lineRule="auto"/>
        <w:ind w:firstLine="480" w:firstLineChars="200"/>
        <w:rPr>
          <w:rFonts w:ascii="宋体" w:hAnsi="宋体" w:cs="宋体"/>
          <w:sz w:val="24"/>
        </w:rPr>
      </w:pPr>
      <w:r>
        <w:rPr>
          <w:rFonts w:hint="eastAsia" w:ascii="宋体" w:hAnsi="宋体" w:cs="宋体"/>
          <w:sz w:val="24"/>
        </w:rPr>
        <w:t>1.提供河道长效养护标准、作业规范及考核办法。</w:t>
      </w:r>
    </w:p>
    <w:p>
      <w:pPr>
        <w:spacing w:line="360" w:lineRule="auto"/>
        <w:ind w:firstLine="480" w:firstLineChars="200"/>
        <w:rPr>
          <w:rFonts w:ascii="宋体" w:hAnsi="宋体" w:cs="宋体"/>
          <w:sz w:val="24"/>
        </w:rPr>
      </w:pPr>
      <w:r>
        <w:rPr>
          <w:rFonts w:hint="eastAsia" w:ascii="宋体" w:hAnsi="宋体" w:cs="宋体"/>
          <w:sz w:val="24"/>
        </w:rPr>
        <w:t>2.按约定拨付养护经费。</w:t>
      </w:r>
    </w:p>
    <w:p>
      <w:pPr>
        <w:spacing w:line="360" w:lineRule="auto"/>
        <w:ind w:firstLine="480" w:firstLineChars="200"/>
        <w:rPr>
          <w:rFonts w:ascii="宋体" w:hAnsi="宋体" w:cs="宋体"/>
          <w:sz w:val="24"/>
        </w:rPr>
      </w:pPr>
      <w:r>
        <w:rPr>
          <w:rFonts w:hint="eastAsia" w:ascii="宋体" w:hAnsi="宋体" w:cs="宋体"/>
          <w:sz w:val="24"/>
        </w:rPr>
        <w:t>3.如遇防汛防台、抗雪防冻、突发事件以及重大活动保障等工作，协调乙方在作业过程中同其他部门的关系。</w:t>
      </w:r>
    </w:p>
    <w:p>
      <w:pPr>
        <w:spacing w:line="360" w:lineRule="auto"/>
        <w:ind w:firstLine="480" w:firstLineChars="200"/>
        <w:rPr>
          <w:rFonts w:ascii="宋体" w:hAnsi="宋体" w:cs="宋体"/>
          <w:sz w:val="24"/>
        </w:rPr>
      </w:pPr>
      <w:r>
        <w:rPr>
          <w:rFonts w:hint="eastAsia" w:ascii="宋体" w:hAnsi="宋体" w:cs="宋体"/>
          <w:sz w:val="24"/>
        </w:rPr>
        <w:t>乙方的责任：</w:t>
      </w:r>
    </w:p>
    <w:p>
      <w:pPr>
        <w:spacing w:line="360" w:lineRule="auto"/>
        <w:ind w:firstLine="480" w:firstLineChars="200"/>
        <w:rPr>
          <w:rFonts w:ascii="宋体" w:hAnsi="宋体" w:cs="宋体"/>
          <w:sz w:val="24"/>
        </w:rPr>
      </w:pPr>
      <w:r>
        <w:rPr>
          <w:rFonts w:hint="eastAsia" w:ascii="宋体" w:hAnsi="宋体" w:cs="宋体"/>
          <w:sz w:val="24"/>
        </w:rPr>
        <w:t>1.必须严格按合同条款、本次招投标要求、河道管养质量标准及相关规定，精心组织养护，确保河道管养质量，承担设施、人员安全和公共安全责任。乙方未能严格遵照上述要求、标准和规定，造成人身损害或财产损失的，由乙方单独负责；由此导致甲方承担赔偿责任的，甲方有权向乙方追偿。</w:t>
      </w:r>
    </w:p>
    <w:p>
      <w:pPr>
        <w:spacing w:line="360" w:lineRule="auto"/>
        <w:ind w:firstLine="480" w:firstLineChars="200"/>
        <w:rPr>
          <w:rFonts w:ascii="宋体" w:hAnsi="宋体" w:cs="宋体"/>
          <w:sz w:val="24"/>
        </w:rPr>
      </w:pPr>
      <w:r>
        <w:rPr>
          <w:rFonts w:hint="eastAsia" w:ascii="宋体" w:hAnsi="宋体" w:cs="宋体"/>
          <w:sz w:val="24"/>
        </w:rPr>
        <w:t>2.严格履行投标书中优惠承诺、投标书及招标过程中的有关承诺。</w:t>
      </w:r>
    </w:p>
    <w:p>
      <w:pPr>
        <w:spacing w:line="360" w:lineRule="auto"/>
        <w:ind w:firstLine="480" w:firstLineChars="200"/>
        <w:rPr>
          <w:rFonts w:ascii="宋体" w:hAnsi="宋体" w:cs="宋体"/>
          <w:sz w:val="24"/>
        </w:rPr>
      </w:pPr>
      <w:r>
        <w:rPr>
          <w:rFonts w:hint="eastAsia" w:ascii="宋体" w:hAnsi="宋体" w:cs="宋体"/>
          <w:sz w:val="24"/>
        </w:rPr>
        <w:t>3.养护作业人员及数量的投入、机械设备的投入必须与投标时作出的承诺一致。</w:t>
      </w:r>
    </w:p>
    <w:p>
      <w:pPr>
        <w:spacing w:line="360" w:lineRule="auto"/>
        <w:ind w:firstLine="480" w:firstLineChars="200"/>
        <w:rPr>
          <w:rFonts w:ascii="宋体" w:hAnsi="宋体" w:cs="宋体"/>
          <w:sz w:val="24"/>
        </w:rPr>
      </w:pPr>
      <w:r>
        <w:rPr>
          <w:rFonts w:hint="eastAsia" w:ascii="宋体" w:hAnsi="宋体" w:cs="宋体"/>
          <w:sz w:val="24"/>
        </w:rPr>
        <w:t>4.遇到防汛防台、防雪抗冻、重大活动保障、突发事件或自然灾害，必须服从甲方指挥与安排，并第一时间将有关情况上报至甲方。</w:t>
      </w:r>
    </w:p>
    <w:p>
      <w:pPr>
        <w:spacing w:line="360" w:lineRule="auto"/>
        <w:ind w:firstLine="480" w:firstLineChars="200"/>
        <w:rPr>
          <w:rFonts w:ascii="宋体" w:hAnsi="宋体" w:cs="宋体"/>
          <w:sz w:val="24"/>
        </w:rPr>
      </w:pPr>
      <w:r>
        <w:rPr>
          <w:rFonts w:hint="eastAsia" w:ascii="宋体" w:hAnsi="宋体" w:cs="宋体"/>
          <w:sz w:val="24"/>
        </w:rPr>
        <w:t>5、遇灾害性天气，听从甲方统一指挥，第一时间组织人员应对突发性情况，并完成甲方交办的突击性任务。</w:t>
      </w:r>
    </w:p>
    <w:p>
      <w:pPr>
        <w:spacing w:line="360" w:lineRule="auto"/>
        <w:ind w:firstLine="480" w:firstLineChars="200"/>
        <w:rPr>
          <w:rFonts w:ascii="宋体" w:hAnsi="宋体" w:cs="宋体"/>
          <w:sz w:val="24"/>
        </w:rPr>
      </w:pPr>
      <w:r>
        <w:rPr>
          <w:rFonts w:hint="eastAsia" w:ascii="宋体" w:hAnsi="宋体" w:cs="宋体"/>
          <w:sz w:val="24"/>
        </w:rPr>
        <w:t>6.协助甲方调查、解决市民来信来访及投诉（含数字城管），并根据甲方要求第一时间处理。</w:t>
      </w:r>
    </w:p>
    <w:p>
      <w:pPr>
        <w:spacing w:line="360" w:lineRule="auto"/>
        <w:ind w:firstLine="480" w:firstLineChars="200"/>
        <w:rPr>
          <w:rFonts w:ascii="宋体" w:hAnsi="宋体" w:cs="宋体"/>
          <w:sz w:val="24"/>
        </w:rPr>
      </w:pPr>
      <w:r>
        <w:rPr>
          <w:rFonts w:hint="eastAsia" w:ascii="宋体" w:hAnsi="宋体" w:cs="宋体"/>
          <w:sz w:val="24"/>
        </w:rPr>
        <w:t>7.发现河道设施损坏或缺损，第一时间与相关部门联系。</w:t>
      </w:r>
    </w:p>
    <w:p>
      <w:pPr>
        <w:spacing w:line="360" w:lineRule="auto"/>
        <w:ind w:firstLine="480" w:firstLineChars="200"/>
        <w:rPr>
          <w:rFonts w:ascii="宋体" w:hAnsi="宋体" w:cs="宋体"/>
          <w:sz w:val="24"/>
        </w:rPr>
      </w:pPr>
      <w:r>
        <w:rPr>
          <w:rFonts w:hint="eastAsia" w:ascii="宋体" w:hAnsi="宋体" w:cs="宋体"/>
          <w:sz w:val="24"/>
        </w:rPr>
        <w:t>8.合同期满并经甲方考核合格后，乙方应提交完整的养护台帐，并按甲方要求做好与下一家养护企业的衔接。</w:t>
      </w:r>
    </w:p>
    <w:p>
      <w:pPr>
        <w:spacing w:line="360" w:lineRule="auto"/>
        <w:ind w:firstLine="480" w:firstLineChars="200"/>
        <w:rPr>
          <w:rFonts w:ascii="宋体" w:hAnsi="宋体" w:cs="宋体"/>
          <w:sz w:val="24"/>
        </w:rPr>
      </w:pPr>
      <w:r>
        <w:rPr>
          <w:rFonts w:hint="eastAsia" w:ascii="宋体" w:hAnsi="宋体" w:cs="宋体"/>
          <w:sz w:val="24"/>
        </w:rPr>
        <w:t>9、制定灾害性天气应急预案，建立应急救灾队伍，将应急预案和人员名单上报至甲方备案。</w:t>
      </w:r>
    </w:p>
    <w:p>
      <w:pPr>
        <w:spacing w:line="360" w:lineRule="auto"/>
        <w:ind w:firstLine="480" w:firstLineChars="200"/>
        <w:rPr>
          <w:rFonts w:ascii="宋体" w:hAnsi="宋体" w:cs="宋体"/>
          <w:sz w:val="24"/>
        </w:rPr>
      </w:pPr>
      <w:r>
        <w:rPr>
          <w:rFonts w:hint="eastAsia" w:ascii="宋体" w:hAnsi="宋体" w:cs="宋体"/>
          <w:sz w:val="24"/>
        </w:rPr>
        <w:t>10、建立应急备货制，备货内容：防汛防台、抗雪防冻等物资及设备。</w:t>
      </w:r>
    </w:p>
    <w:p>
      <w:pPr>
        <w:spacing w:line="360" w:lineRule="auto"/>
        <w:ind w:firstLine="480" w:firstLineChars="200"/>
        <w:rPr>
          <w:rFonts w:ascii="宋体" w:hAnsi="宋体" w:cs="宋体"/>
          <w:sz w:val="24"/>
        </w:rPr>
      </w:pPr>
      <w:r>
        <w:rPr>
          <w:rFonts w:hint="eastAsia" w:ascii="宋体" w:hAnsi="宋体" w:cs="宋体"/>
          <w:sz w:val="24"/>
        </w:rPr>
        <w:t>11、乙方必须加强安全管理工作，定期进行安全培训。发生各类事故后乙方应第一时间向甲方报告，并自行负责处理，承担由此导致的一切责任。如事故因乙方责任导致发生的，除乙方自行承担相关经济责任外，甲方保留对乙方的经济追偿权。</w:t>
      </w:r>
    </w:p>
    <w:p>
      <w:pPr>
        <w:spacing w:line="360" w:lineRule="auto"/>
        <w:ind w:firstLine="480" w:firstLineChars="200"/>
        <w:rPr>
          <w:rFonts w:ascii="宋体" w:hAnsi="宋体" w:cs="宋体"/>
          <w:sz w:val="24"/>
          <w:szCs w:val="20"/>
        </w:rPr>
      </w:pPr>
      <w:r>
        <w:rPr>
          <w:rFonts w:hint="eastAsia" w:ascii="宋体" w:hAnsi="宋体" w:cs="宋体"/>
          <w:sz w:val="24"/>
        </w:rPr>
        <w:t>12、对</w:t>
      </w:r>
      <w:r>
        <w:rPr>
          <w:rFonts w:hint="eastAsia" w:ascii="宋体" w:hAnsi="宋体" w:cs="宋体"/>
          <w:sz w:val="24"/>
          <w:szCs w:val="20"/>
        </w:rPr>
        <w:t>排出口进行监管，</w:t>
      </w:r>
      <w:r>
        <w:rPr>
          <w:rFonts w:hint="eastAsia" w:ascii="宋体" w:hAnsi="宋体" w:cs="宋体"/>
          <w:sz w:val="24"/>
        </w:rPr>
        <w:t>根据杭州市城市河道沿线排出口管理有关要求建立河道排出口档案（包括按要求的标识线等内容），并按要求进行排出口巡查工作。</w:t>
      </w:r>
      <w:r>
        <w:rPr>
          <w:rFonts w:hint="eastAsia" w:ascii="宋体" w:hAnsi="宋体" w:cs="宋体"/>
          <w:sz w:val="24"/>
          <w:szCs w:val="20"/>
        </w:rPr>
        <w:t>尤其是新增排出口、违规泥浆水排放等，</w:t>
      </w:r>
      <w:r>
        <w:rPr>
          <w:rFonts w:hint="eastAsia" w:ascii="宋体" w:hAnsi="宋体" w:cs="宋体"/>
          <w:sz w:val="24"/>
        </w:rPr>
        <w:t>第一时间</w:t>
      </w:r>
      <w:r>
        <w:rPr>
          <w:rFonts w:hint="eastAsia" w:ascii="宋体" w:hAnsi="宋体" w:cs="宋体"/>
          <w:sz w:val="24"/>
          <w:szCs w:val="20"/>
        </w:rPr>
        <w:t>报告甲方。</w:t>
      </w:r>
    </w:p>
    <w:p>
      <w:pPr>
        <w:spacing w:line="360" w:lineRule="auto"/>
        <w:ind w:firstLine="480" w:firstLineChars="200"/>
        <w:rPr>
          <w:rFonts w:ascii="宋体" w:hAnsi="宋体" w:cs="宋体"/>
          <w:sz w:val="24"/>
          <w:szCs w:val="20"/>
        </w:rPr>
      </w:pPr>
      <w:r>
        <w:rPr>
          <w:rFonts w:hint="eastAsia" w:ascii="宋体" w:hAnsi="宋体" w:cs="宋体"/>
          <w:sz w:val="24"/>
          <w:szCs w:val="20"/>
        </w:rPr>
        <w:t>13、对水质进行监管，尤其是水质突变等，</w:t>
      </w:r>
      <w:r>
        <w:rPr>
          <w:rFonts w:hint="eastAsia" w:ascii="宋体" w:hAnsi="宋体" w:cs="宋体"/>
          <w:sz w:val="24"/>
        </w:rPr>
        <w:t>第一时间</w:t>
      </w:r>
      <w:r>
        <w:rPr>
          <w:rFonts w:hint="eastAsia" w:ascii="宋体" w:hAnsi="宋体" w:cs="宋体"/>
          <w:sz w:val="24"/>
          <w:szCs w:val="20"/>
        </w:rPr>
        <w:t>报告甲方。</w:t>
      </w:r>
    </w:p>
    <w:p>
      <w:pPr>
        <w:spacing w:line="360" w:lineRule="auto"/>
        <w:ind w:firstLine="480" w:firstLineChars="200"/>
        <w:rPr>
          <w:rFonts w:ascii="宋体" w:hAnsi="宋体" w:cs="宋体"/>
          <w:sz w:val="24"/>
          <w:szCs w:val="20"/>
        </w:rPr>
      </w:pPr>
      <w:r>
        <w:rPr>
          <w:rFonts w:hint="eastAsia" w:ascii="宋体" w:hAnsi="宋体" w:cs="宋体"/>
          <w:sz w:val="24"/>
          <w:szCs w:val="20"/>
        </w:rPr>
        <w:t>14、按市、区河道保洁养护要求，做好河道垃圾分类处置工作。</w:t>
      </w:r>
    </w:p>
    <w:p>
      <w:pPr>
        <w:spacing w:line="360" w:lineRule="auto"/>
        <w:ind w:firstLine="480" w:firstLineChars="200"/>
        <w:rPr>
          <w:rFonts w:ascii="宋体" w:hAnsi="宋体" w:cs="宋体"/>
          <w:sz w:val="24"/>
          <w:szCs w:val="20"/>
        </w:rPr>
      </w:pPr>
      <w:r>
        <w:rPr>
          <w:rFonts w:hint="eastAsia" w:ascii="宋体" w:hAnsi="宋体" w:cs="宋体"/>
          <w:sz w:val="24"/>
          <w:szCs w:val="20"/>
        </w:rPr>
        <w:t>15、甲方现场管理制度如有调整的，乙方应无条件服从。</w:t>
      </w:r>
    </w:p>
    <w:p>
      <w:pPr>
        <w:spacing w:line="360" w:lineRule="auto"/>
        <w:ind w:firstLine="482" w:firstLineChars="200"/>
        <w:rPr>
          <w:rFonts w:ascii="宋体" w:hAnsi="宋体" w:cs="宋体"/>
          <w:b/>
          <w:bCs/>
          <w:sz w:val="24"/>
          <w:szCs w:val="20"/>
        </w:rPr>
      </w:pPr>
      <w:r>
        <w:rPr>
          <w:rFonts w:hint="eastAsia" w:ascii="宋体" w:hAnsi="宋体" w:cs="宋体"/>
          <w:b/>
          <w:bCs/>
          <w:sz w:val="24"/>
          <w:szCs w:val="20"/>
        </w:rPr>
        <w:t>六、河道长效养护技术要求</w:t>
      </w:r>
    </w:p>
    <w:p>
      <w:pPr>
        <w:spacing w:line="360" w:lineRule="auto"/>
        <w:ind w:firstLine="480" w:firstLineChars="200"/>
        <w:rPr>
          <w:rFonts w:ascii="宋体" w:hAnsi="宋体" w:cs="宋体"/>
          <w:kern w:val="0"/>
          <w:sz w:val="24"/>
        </w:rPr>
      </w:pPr>
      <w:r>
        <w:rPr>
          <w:rFonts w:hint="eastAsia" w:ascii="宋体" w:hAnsi="宋体" w:cs="宋体"/>
          <w:kern w:val="0"/>
          <w:sz w:val="24"/>
        </w:rPr>
        <w:t>河道主体养护质量达到</w:t>
      </w:r>
      <w:r>
        <w:rPr>
          <w:rFonts w:hint="eastAsia" w:ascii="宋体" w:hAnsi="宋体" w:cs="宋体"/>
          <w:bCs/>
          <w:sz w:val="24"/>
        </w:rPr>
        <w:t>《城市河道养护管理规范》（DB 3301/T 0272—2018）技术要求，养护人员满足</w:t>
      </w:r>
      <w:r>
        <w:rPr>
          <w:rFonts w:hint="eastAsia" w:ascii="宋体" w:hAnsi="宋体" w:cs="宋体"/>
          <w:kern w:val="0"/>
          <w:sz w:val="24"/>
        </w:rPr>
        <w:t>《杭州市城市河道养护人员行为规范和服务标准》。如在养护期内，上级领导部门制定了新的养护标准和要求，养护单位应参照执行新的版本。</w:t>
      </w:r>
    </w:p>
    <w:p>
      <w:pPr>
        <w:snapToGrid w:val="0"/>
        <w:spacing w:line="360" w:lineRule="auto"/>
        <w:ind w:firstLine="482" w:firstLineChars="200"/>
        <w:jc w:val="left"/>
        <w:rPr>
          <w:rFonts w:ascii="宋体" w:hAnsi="宋体" w:cs="宋体"/>
          <w:b/>
          <w:bCs/>
          <w:kern w:val="0"/>
          <w:sz w:val="24"/>
        </w:rPr>
      </w:pPr>
      <w:r>
        <w:rPr>
          <w:rFonts w:hint="eastAsia" w:ascii="宋体" w:hAnsi="宋体" w:cs="宋体"/>
          <w:b/>
          <w:bCs/>
          <w:sz w:val="24"/>
        </w:rPr>
        <w:t>七、考核标准</w:t>
      </w:r>
    </w:p>
    <w:p>
      <w:pPr>
        <w:snapToGrid w:val="0"/>
        <w:spacing w:line="360" w:lineRule="auto"/>
        <w:ind w:firstLine="480" w:firstLineChars="200"/>
        <w:jc w:val="left"/>
        <w:rPr>
          <w:rFonts w:ascii="宋体" w:hAnsi="宋体" w:cs="宋体"/>
          <w:sz w:val="24"/>
        </w:rPr>
      </w:pPr>
      <w:r>
        <w:rPr>
          <w:rFonts w:hint="eastAsia" w:ascii="宋体" w:hAnsi="宋体" w:cs="宋体"/>
          <w:sz w:val="24"/>
        </w:rPr>
        <w:t>甲方对乙方工作进行考核，管理考核由甲方按《2022年度杭州市城市水设施河道管理评分细则》及《上城区河道综合养护管理考核实施办法》执行。如遇市、区两级管理考核办法调整修改的，相关考核自考核办法修改后公布之日起实行。考核结果告知乙方，具体要求参照如下执行：</w:t>
      </w:r>
    </w:p>
    <w:p>
      <w:pPr>
        <w:snapToGrid w:val="0"/>
        <w:spacing w:line="360" w:lineRule="auto"/>
        <w:jc w:val="left"/>
        <w:rPr>
          <w:rFonts w:ascii="宋体" w:hAnsi="宋体" w:cs="宋体"/>
          <w:kern w:val="0"/>
          <w:sz w:val="24"/>
        </w:rPr>
      </w:pPr>
      <w:r>
        <w:rPr>
          <w:rFonts w:hint="eastAsia" w:ascii="宋体" w:hAnsi="宋体" w:cs="宋体"/>
          <w:kern w:val="0"/>
          <w:sz w:val="24"/>
        </w:rPr>
        <w:t xml:space="preserve">    1、城市河道长效养护管理扣分折合成经费从养护款中扣除。</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sz w:val="24"/>
        </w:rPr>
        <w:t>全国检查每查处1件有责问题扣5000元；全省检查每查处1件有责问题扣3000元；市级检查每查处1件有责问题扣1000元；被新闻媒体曝光经核查属实的，每次扣3000元；防汛防台、抗雪防冻、突发事件应急处理及重大活动保障处置不力的，每1件扣5000元;接到群众来电、来信、来访投诉并经查实的，每次扣500元；垃圾、漂浮物及修剪树枝没有日产日清的每发现1次扣500元；现场养护人员未按投标承诺到位的，每1人次扣500元；河道水体突变、违法违章事件（瞬时类除外）未在第一时间发现上报的，每件扣5000元。</w:t>
      </w:r>
    </w:p>
    <w:p>
      <w:pPr>
        <w:snapToGrid w:val="0"/>
        <w:spacing w:line="360" w:lineRule="auto"/>
        <w:ind w:firstLine="480" w:firstLineChars="200"/>
        <w:jc w:val="left"/>
        <w:rPr>
          <w:rFonts w:ascii="宋体" w:hAnsi="宋体" w:cs="宋体"/>
          <w:bCs/>
          <w:sz w:val="24"/>
        </w:rPr>
      </w:pPr>
      <w:r>
        <w:rPr>
          <w:rFonts w:hint="eastAsia" w:ascii="宋体" w:hAnsi="宋体" w:cs="宋体"/>
          <w:kern w:val="0"/>
          <w:sz w:val="24"/>
        </w:rPr>
        <w:t>3、</w:t>
      </w:r>
      <w:r>
        <w:rPr>
          <w:rFonts w:hint="eastAsia" w:ascii="宋体" w:hAnsi="宋体" w:cs="宋体"/>
          <w:bCs/>
          <w:sz w:val="24"/>
        </w:rPr>
        <w:t>日常监管得分按照细则进行长效管养经费单项扣款市扣分每分扣400元，区扣分200元，该项在考核办法中如有调整的，同步进行调整。</w:t>
      </w:r>
    </w:p>
    <w:p>
      <w:pPr>
        <w:snapToGrid w:val="0"/>
        <w:spacing w:line="360" w:lineRule="auto"/>
        <w:ind w:firstLine="480" w:firstLineChars="200"/>
        <w:rPr>
          <w:rFonts w:ascii="宋体" w:hAnsi="宋体" w:cs="宋体"/>
          <w:bCs/>
          <w:sz w:val="24"/>
        </w:rPr>
      </w:pPr>
      <w:r>
        <w:rPr>
          <w:rFonts w:hint="eastAsia" w:ascii="宋体" w:hAnsi="宋体" w:cs="宋体"/>
          <w:bCs/>
          <w:sz w:val="24"/>
        </w:rPr>
        <w:t>4、养护河道水质出现劣</w:t>
      </w:r>
      <w:r>
        <w:rPr>
          <w:rFonts w:hint="eastAsia" w:ascii="宋体" w:hAnsi="宋体" w:cs="宋体"/>
          <w:sz w:val="24"/>
        </w:rPr>
        <w:t>Ⅴ类（以省、市月度监测通报为准）的，每有1个处（断面），扣1000元；</w:t>
      </w:r>
      <w:r>
        <w:rPr>
          <w:rFonts w:hint="eastAsia" w:ascii="宋体" w:hAnsi="宋体" w:cs="宋体"/>
          <w:bCs/>
          <w:sz w:val="24"/>
        </w:rPr>
        <w:t>被治水办三色预警考核通报的，每有1</w:t>
      </w:r>
      <w:r>
        <w:rPr>
          <w:rFonts w:hint="eastAsia" w:ascii="宋体" w:hAnsi="宋体" w:cs="宋体"/>
          <w:sz w:val="24"/>
        </w:rPr>
        <w:t>处（断面）</w:t>
      </w:r>
      <w:r>
        <w:rPr>
          <w:rFonts w:hint="eastAsia" w:ascii="宋体" w:hAnsi="宋体" w:cs="宋体"/>
          <w:bCs/>
          <w:sz w:val="24"/>
        </w:rPr>
        <w:t>扣5000元；省、</w:t>
      </w:r>
      <w:r>
        <w:rPr>
          <w:rFonts w:hint="eastAsia" w:ascii="宋体" w:hAnsi="宋体" w:cs="宋体"/>
          <w:sz w:val="24"/>
        </w:rPr>
        <w:t>市控水质监测断面，每有1处（断面）</w:t>
      </w:r>
      <w:r>
        <w:rPr>
          <w:rFonts w:hint="eastAsia" w:ascii="宋体" w:hAnsi="宋体" w:cs="宋体"/>
          <w:bCs/>
          <w:sz w:val="24"/>
        </w:rPr>
        <w:t>扣5000元。</w:t>
      </w:r>
    </w:p>
    <w:p>
      <w:pPr>
        <w:pStyle w:val="6"/>
        <w:spacing w:line="360" w:lineRule="auto"/>
        <w:ind w:firstLine="480" w:firstLineChars="200"/>
        <w:rPr>
          <w:rFonts w:hAnsi="宋体" w:cs="宋体"/>
          <w:b/>
          <w:bCs/>
          <w:color w:val="auto"/>
          <w:sz w:val="24"/>
        </w:rPr>
      </w:pPr>
      <w:r>
        <w:rPr>
          <w:rFonts w:hint="eastAsia" w:hAnsi="宋体" w:cs="宋体"/>
          <w:bCs/>
          <w:color w:val="auto"/>
          <w:sz w:val="24"/>
        </w:rPr>
        <w:t>5、相关扣分扣款以管理部门出具的相关文件为准。</w:t>
      </w:r>
    </w:p>
    <w:p>
      <w:pPr>
        <w:spacing w:line="360" w:lineRule="auto"/>
        <w:ind w:firstLine="482" w:firstLineChars="200"/>
        <w:rPr>
          <w:rFonts w:ascii="宋体" w:hAnsi="宋体" w:cs="宋体"/>
          <w:b/>
          <w:bCs/>
          <w:sz w:val="24"/>
          <w:szCs w:val="20"/>
        </w:rPr>
      </w:pPr>
      <w:r>
        <w:rPr>
          <w:rFonts w:hint="eastAsia" w:ascii="宋体" w:hAnsi="宋体" w:cs="宋体"/>
          <w:b/>
          <w:bCs/>
          <w:sz w:val="24"/>
          <w:szCs w:val="20"/>
        </w:rPr>
        <w:t>八、警告退出办法</w:t>
      </w:r>
    </w:p>
    <w:p>
      <w:pPr>
        <w:spacing w:line="360" w:lineRule="auto"/>
        <w:rPr>
          <w:rFonts w:ascii="宋体" w:hAnsi="宋体" w:cs="宋体"/>
          <w:sz w:val="24"/>
          <w:szCs w:val="20"/>
        </w:rPr>
      </w:pPr>
      <w:r>
        <w:rPr>
          <w:rFonts w:hint="eastAsia" w:ascii="宋体" w:hAnsi="宋体" w:cs="宋体"/>
          <w:sz w:val="24"/>
          <w:szCs w:val="20"/>
        </w:rPr>
        <w:t xml:space="preserve">    </w:t>
      </w:r>
      <w:r>
        <w:rPr>
          <w:rFonts w:hint="eastAsia" w:ascii="宋体" w:hAnsi="宋体" w:cs="宋体"/>
          <w:b/>
          <w:bCs/>
          <w:sz w:val="24"/>
          <w:szCs w:val="20"/>
        </w:rPr>
        <w:t>1、警告。</w:t>
      </w:r>
      <w:r>
        <w:rPr>
          <w:rFonts w:hint="eastAsia" w:ascii="宋体" w:hAnsi="宋体" w:cs="宋体"/>
          <w:sz w:val="24"/>
          <w:szCs w:val="20"/>
        </w:rPr>
        <w:t>在河道长效养护作业合同期间，有下列情景之一的给予一次警告；给甲方造成损失的，甲方有权要求乙方按实际损失赔偿：</w:t>
      </w:r>
    </w:p>
    <w:p>
      <w:pPr>
        <w:adjustRightInd/>
        <w:spacing w:line="360" w:lineRule="auto"/>
        <w:ind w:firstLine="480" w:firstLineChars="200"/>
        <w:rPr>
          <w:rFonts w:ascii="宋体" w:hAnsi="宋体" w:cs="宋体"/>
          <w:sz w:val="24"/>
          <w:szCs w:val="20"/>
        </w:rPr>
      </w:pPr>
      <w:r>
        <w:rPr>
          <w:rFonts w:hint="eastAsia" w:ascii="宋体" w:hAnsi="宋体" w:cs="宋体"/>
          <w:sz w:val="24"/>
          <w:szCs w:val="20"/>
        </w:rPr>
        <w:t>（1）被省、市级主要领导批示、批评的；</w:t>
      </w:r>
    </w:p>
    <w:p>
      <w:pPr>
        <w:adjustRightInd/>
        <w:spacing w:line="360" w:lineRule="auto"/>
        <w:ind w:firstLine="480" w:firstLineChars="200"/>
        <w:rPr>
          <w:rFonts w:ascii="宋体" w:hAnsi="宋体" w:cs="宋体"/>
          <w:sz w:val="24"/>
          <w:szCs w:val="20"/>
        </w:rPr>
      </w:pPr>
      <w:r>
        <w:rPr>
          <w:rFonts w:hint="eastAsia" w:ascii="宋体" w:hAnsi="宋体" w:cs="宋体"/>
          <w:sz w:val="24"/>
          <w:szCs w:val="20"/>
        </w:rPr>
        <w:t>（2）被国家、省、市主流媒体曝光经核查属实的；</w:t>
      </w:r>
    </w:p>
    <w:p>
      <w:pPr>
        <w:adjustRightInd/>
        <w:spacing w:line="360" w:lineRule="auto"/>
        <w:ind w:firstLine="480" w:firstLineChars="200"/>
        <w:rPr>
          <w:rFonts w:ascii="宋体" w:hAnsi="宋体" w:cs="宋体"/>
          <w:sz w:val="24"/>
          <w:szCs w:val="20"/>
        </w:rPr>
      </w:pPr>
      <w:r>
        <w:rPr>
          <w:rFonts w:hint="eastAsia" w:ascii="宋体" w:hAnsi="宋体" w:cs="宋体"/>
          <w:sz w:val="24"/>
          <w:szCs w:val="20"/>
        </w:rPr>
        <w:t>（3）月度合同标段数字城管、市查抄告问题及时整改率未达到100%的；</w:t>
      </w:r>
    </w:p>
    <w:p>
      <w:pPr>
        <w:adjustRightInd/>
        <w:spacing w:line="360" w:lineRule="auto"/>
        <w:ind w:firstLine="480" w:firstLineChars="200"/>
        <w:rPr>
          <w:rFonts w:ascii="宋体" w:hAnsi="宋体" w:cs="宋体"/>
          <w:sz w:val="24"/>
          <w:szCs w:val="20"/>
        </w:rPr>
      </w:pPr>
      <w:r>
        <w:rPr>
          <w:rFonts w:hint="eastAsia" w:ascii="宋体" w:hAnsi="宋体" w:cs="宋体"/>
          <w:sz w:val="24"/>
          <w:szCs w:val="20"/>
        </w:rPr>
        <w:t>（4）防汛防台、抗雪防冻、突发事件应急处理及重大活动保障处置不力的；</w:t>
      </w:r>
    </w:p>
    <w:p>
      <w:pPr>
        <w:adjustRightInd/>
        <w:spacing w:line="360" w:lineRule="auto"/>
        <w:ind w:firstLine="480" w:firstLineChars="200"/>
        <w:rPr>
          <w:rFonts w:ascii="宋体" w:hAnsi="宋体" w:cs="宋体"/>
          <w:sz w:val="24"/>
          <w:szCs w:val="20"/>
        </w:rPr>
      </w:pPr>
      <w:r>
        <w:rPr>
          <w:rFonts w:hint="eastAsia" w:ascii="宋体" w:hAnsi="宋体" w:cs="宋体"/>
          <w:sz w:val="24"/>
          <w:szCs w:val="20"/>
        </w:rPr>
        <w:t>（5）管理混乱，发生管养人员集体上访的；</w:t>
      </w:r>
    </w:p>
    <w:p>
      <w:pPr>
        <w:adjustRightInd/>
        <w:spacing w:line="360" w:lineRule="auto"/>
        <w:ind w:firstLine="480" w:firstLineChars="200"/>
        <w:rPr>
          <w:rFonts w:ascii="宋体" w:hAnsi="宋体" w:cs="宋体"/>
          <w:sz w:val="24"/>
          <w:szCs w:val="20"/>
        </w:rPr>
      </w:pPr>
      <w:r>
        <w:rPr>
          <w:rFonts w:hint="eastAsia" w:ascii="宋体" w:hAnsi="宋体" w:cs="宋体"/>
          <w:sz w:val="24"/>
          <w:szCs w:val="20"/>
        </w:rPr>
        <w:t>（6）违反国家有关规定，发生一般事故的。</w:t>
      </w:r>
    </w:p>
    <w:p>
      <w:pPr>
        <w:snapToGrid w:val="0"/>
        <w:spacing w:line="360" w:lineRule="auto"/>
        <w:ind w:firstLine="482" w:firstLineChars="200"/>
        <w:jc w:val="left"/>
        <w:rPr>
          <w:rFonts w:ascii="宋体" w:hAnsi="宋体" w:cs="宋体"/>
          <w:sz w:val="24"/>
          <w:szCs w:val="20"/>
        </w:rPr>
      </w:pPr>
      <w:r>
        <w:rPr>
          <w:rFonts w:hint="eastAsia" w:ascii="宋体" w:hAnsi="宋体" w:cs="宋体"/>
          <w:b/>
          <w:bCs/>
          <w:sz w:val="24"/>
          <w:szCs w:val="20"/>
        </w:rPr>
        <w:t>2、退出。</w:t>
      </w:r>
      <w:r>
        <w:rPr>
          <w:rFonts w:hint="eastAsia" w:ascii="宋体" w:hAnsi="宋体" w:cs="宋体"/>
          <w:kern w:val="0"/>
          <w:sz w:val="24"/>
        </w:rPr>
        <w:t>在河道长效养护作业合同期间，如出现以下任一</w:t>
      </w:r>
      <w:r>
        <w:rPr>
          <w:rFonts w:hint="eastAsia" w:ascii="宋体" w:hAnsi="宋体" w:cs="宋体"/>
          <w:sz w:val="24"/>
        </w:rPr>
        <w:t>种情况的，</w:t>
      </w:r>
      <w:r>
        <w:rPr>
          <w:rFonts w:hint="eastAsia" w:ascii="宋体" w:hAnsi="宋体" w:cs="宋体"/>
          <w:kern w:val="0"/>
          <w:sz w:val="24"/>
        </w:rPr>
        <w:t>甲方有权提前终止养护合同</w:t>
      </w:r>
      <w:r>
        <w:rPr>
          <w:rFonts w:hint="eastAsia" w:ascii="宋体" w:hAnsi="宋体" w:cs="宋体"/>
          <w:sz w:val="24"/>
        </w:rPr>
        <w:t>，履约保证金不予退还；</w:t>
      </w:r>
      <w:r>
        <w:rPr>
          <w:rFonts w:hint="eastAsia" w:ascii="宋体" w:hAnsi="宋体" w:cs="宋体"/>
          <w:sz w:val="24"/>
          <w:szCs w:val="20"/>
        </w:rPr>
        <w:t>给甲方造成损失的，甲方还有权要求乙方按实际损失赔偿</w:t>
      </w:r>
      <w:r>
        <w:rPr>
          <w:rFonts w:hint="eastAsia" w:ascii="宋体" w:hAnsi="宋体" w:cs="宋体"/>
          <w:kern w:val="0"/>
          <w:sz w:val="24"/>
        </w:rPr>
        <w:t>并保留进一步追究的权利</w:t>
      </w:r>
      <w:r>
        <w:rPr>
          <w:rFonts w:hint="eastAsia" w:ascii="宋体" w:hAnsi="宋体" w:cs="宋体"/>
          <w:sz w:val="24"/>
          <w:szCs w:val="20"/>
        </w:rPr>
        <w:t>：</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（1）被省、市级主要领导同一河道批示、批评2次以上（含2次）；</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（2）被国家、省、市主流媒体曝光经核查属实的，3次以上（含4次）；</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（3）不履行招标承诺，并无法完成养护工作；</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（4）</w:t>
      </w:r>
      <w:r>
        <w:rPr>
          <w:rFonts w:hint="eastAsia" w:ascii="宋体" w:hAnsi="宋体" w:cs="宋体"/>
          <w:sz w:val="24"/>
        </w:rPr>
        <w:t>月度检查连续2次低于90分或一年内累计4次低于90分。</w:t>
      </w:r>
    </w:p>
    <w:p>
      <w:pPr>
        <w:snapToGrid w:val="0"/>
        <w:spacing w:line="360" w:lineRule="auto"/>
        <w:ind w:firstLine="480" w:firstLineChars="200"/>
        <w:jc w:val="left"/>
        <w:rPr>
          <w:rFonts w:ascii="宋体" w:hAnsi="宋体" w:cs="宋体"/>
          <w:sz w:val="24"/>
        </w:rPr>
      </w:pPr>
      <w:r>
        <w:rPr>
          <w:rFonts w:hint="eastAsia" w:ascii="宋体" w:hAnsi="宋体" w:cs="宋体"/>
          <w:kern w:val="0"/>
          <w:sz w:val="24"/>
        </w:rPr>
        <w:t>（5）</w:t>
      </w:r>
      <w:r>
        <w:rPr>
          <w:rFonts w:hint="eastAsia" w:ascii="宋体" w:hAnsi="宋体" w:cs="宋体"/>
          <w:sz w:val="24"/>
        </w:rPr>
        <w:t>同一合同标段在合同期一年内累计被警告3次的。</w:t>
      </w:r>
    </w:p>
    <w:p>
      <w:pPr>
        <w:snapToGrid w:val="0"/>
        <w:spacing w:line="360" w:lineRule="auto"/>
        <w:ind w:firstLine="480" w:firstLineChars="200"/>
        <w:jc w:val="left"/>
        <w:rPr>
          <w:rFonts w:ascii="宋体" w:hAnsi="宋体" w:cs="宋体"/>
          <w:sz w:val="24"/>
        </w:rPr>
      </w:pPr>
      <w:r>
        <w:rPr>
          <w:rFonts w:hint="eastAsia" w:ascii="宋体" w:hAnsi="宋体" w:cs="宋体"/>
          <w:sz w:val="24"/>
        </w:rPr>
        <w:t>（6）上级有关部门发出整改通知书且不整改或整改不力的，合同期一年内累计达到二次的，予以解除合同，履约保证金不予归还。</w:t>
      </w:r>
    </w:p>
    <w:p>
      <w:pPr>
        <w:spacing w:line="360" w:lineRule="auto"/>
        <w:ind w:firstLine="480" w:firstLineChars="200"/>
        <w:rPr>
          <w:rFonts w:ascii="宋体" w:hAnsi="宋体" w:cs="宋体"/>
          <w:b/>
          <w:szCs w:val="21"/>
        </w:rPr>
      </w:pPr>
      <w:r>
        <w:rPr>
          <w:rFonts w:hint="eastAsia" w:ascii="宋体" w:hAnsi="宋体" w:cs="宋体"/>
          <w:kern w:val="0"/>
          <w:sz w:val="24"/>
        </w:rPr>
        <w:t>（7）违反国家有关规定，发生较大事故以上的（含较大事故）。</w:t>
      </w:r>
    </w:p>
    <w:p>
      <w:pPr>
        <w:snapToGrid w:val="0"/>
        <w:spacing w:line="360" w:lineRule="auto"/>
        <w:ind w:firstLine="480" w:firstLineChars="200"/>
        <w:jc w:val="left"/>
        <w:rPr>
          <w:rFonts w:ascii="宋体" w:hAnsi="宋体" w:cs="宋体"/>
        </w:rPr>
      </w:pPr>
      <w:r>
        <w:rPr>
          <w:rFonts w:hint="eastAsia" w:ascii="宋体" w:hAnsi="宋体" w:cs="宋体"/>
          <w:kern w:val="0"/>
          <w:sz w:val="24"/>
        </w:rPr>
        <w:t>（8）在本项目实施过程中，不得发生拖欠农民工工资问题，如有且引发社会不稳定情况的，立即予以终止合同。</w:t>
      </w:r>
    </w:p>
    <w:p>
      <w:pPr>
        <w:spacing w:line="360" w:lineRule="auto"/>
        <w:ind w:firstLine="482" w:firstLineChars="200"/>
        <w:rPr>
          <w:rFonts w:ascii="宋体" w:hAnsi="宋体" w:cs="宋体"/>
          <w:b/>
          <w:bCs/>
          <w:sz w:val="24"/>
          <w:szCs w:val="20"/>
        </w:rPr>
      </w:pPr>
      <w:r>
        <w:rPr>
          <w:rFonts w:hint="eastAsia" w:ascii="宋体" w:hAnsi="宋体" w:cs="宋体"/>
          <w:b/>
          <w:bCs/>
          <w:sz w:val="24"/>
          <w:szCs w:val="20"/>
        </w:rPr>
        <w:t>九、违约责任</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任何一方均不得无故单方解除本合同。一方擅自解除本合同，或者不履行本合同项下己方的主要义务，即构成根本违约，应按照合同总价的20%向守约方支付违约金。若违约金不足以弥补守约方损失的，违约方还应当补足违约金和损失之间的差额。</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2、违约方还应承担守约方为追究违约方违约责任而支出的合理费用（包括但不限于诉讼费、公证费、鉴定费、差旅费、律师费等）。</w:t>
      </w:r>
    </w:p>
    <w:p>
      <w:pPr>
        <w:snapToGrid w:val="0"/>
        <w:spacing w:line="360" w:lineRule="auto"/>
        <w:ind w:firstLine="480" w:firstLineChars="200"/>
        <w:jc w:val="left"/>
        <w:rPr>
          <w:rFonts w:ascii="宋体" w:hAnsi="宋体" w:cs="宋体"/>
          <w:sz w:val="24"/>
          <w:szCs w:val="20"/>
        </w:rPr>
      </w:pPr>
      <w:r>
        <w:rPr>
          <w:rFonts w:hint="eastAsia" w:ascii="宋体" w:hAnsi="宋体" w:cs="宋体"/>
          <w:kern w:val="0"/>
          <w:sz w:val="24"/>
        </w:rPr>
        <w:t>3、本合同如遇不可抗拒的原因无法继续履行时，即自然终止，双方自行承担各自损失。乙方擅自终止合同的，除履约保证金不予归还外，且产生的养护费用甲方不予支付。</w:t>
      </w:r>
    </w:p>
    <w:p>
      <w:pPr>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十、争议的解决</w:t>
      </w:r>
    </w:p>
    <w:p>
      <w:pPr>
        <w:spacing w:line="360" w:lineRule="auto"/>
        <w:ind w:firstLine="480" w:firstLineChars="200"/>
        <w:rPr>
          <w:rFonts w:ascii="宋体" w:hAnsi="宋体" w:cs="宋体"/>
          <w:sz w:val="24"/>
          <w:szCs w:val="20"/>
        </w:rPr>
      </w:pPr>
      <w:r>
        <w:rPr>
          <w:rFonts w:hint="eastAsia" w:ascii="宋体" w:hAnsi="宋体" w:cs="宋体"/>
          <w:kern w:val="0"/>
          <w:sz w:val="24"/>
        </w:rPr>
        <w:t>本合同如发生纠纷，甲、乙双方应当及时协商解决，如协商不成，任何一方可向杭州市上城区人民法院提起诉讼。</w:t>
      </w:r>
    </w:p>
    <w:p>
      <w:pPr>
        <w:spacing w:line="360" w:lineRule="auto"/>
        <w:ind w:firstLine="482" w:firstLineChars="200"/>
        <w:rPr>
          <w:rFonts w:ascii="宋体" w:hAnsi="宋体" w:cs="宋体"/>
          <w:b/>
          <w:bCs/>
          <w:sz w:val="24"/>
          <w:szCs w:val="20"/>
        </w:rPr>
      </w:pPr>
      <w:r>
        <w:rPr>
          <w:rFonts w:hint="eastAsia" w:ascii="宋体" w:hAnsi="宋体" w:cs="宋体"/>
          <w:b/>
          <w:bCs/>
          <w:sz w:val="24"/>
          <w:szCs w:val="20"/>
        </w:rPr>
        <w:t>十一、其他</w:t>
      </w:r>
    </w:p>
    <w:p>
      <w:pPr>
        <w:spacing w:line="360" w:lineRule="auto"/>
        <w:ind w:firstLine="480" w:firstLineChars="200"/>
        <w:rPr>
          <w:rFonts w:ascii="宋体" w:hAnsi="宋体" w:cs="宋体"/>
          <w:sz w:val="24"/>
          <w:szCs w:val="20"/>
        </w:rPr>
      </w:pPr>
      <w:r>
        <w:rPr>
          <w:rFonts w:hint="eastAsia" w:ascii="宋体" w:hAnsi="宋体" w:cs="宋体"/>
          <w:sz w:val="24"/>
          <w:szCs w:val="20"/>
        </w:rPr>
        <w:t>1、养护人员工资不得低于杭州市劳动保障部门规定的最低工资标准，必须落实职工劳保福利待遇，为职工缴纳社会保险费（养老保险、医疗保险、失业保险、工伤保险和生育保险）与住房公积金，保障职工休息休假权利，加班必须足额支付加班费。经确认乙方未达到上述要求的，甲方有权立即终止合同。因乙方与聘用、雇佣人员所引发的劳资纠纷，由此产生的经济责任，由乙方自行承担。因乙方原因给甲方造成损失的，甲方有权追偿。</w:t>
      </w:r>
    </w:p>
    <w:p>
      <w:pPr>
        <w:spacing w:line="360" w:lineRule="auto"/>
        <w:ind w:firstLine="480" w:firstLineChars="200"/>
        <w:rPr>
          <w:rFonts w:ascii="宋体" w:hAnsi="宋体" w:cs="宋体"/>
          <w:sz w:val="24"/>
          <w:szCs w:val="20"/>
        </w:rPr>
      </w:pPr>
      <w:r>
        <w:rPr>
          <w:rFonts w:hint="eastAsia" w:ascii="宋体" w:hAnsi="宋体" w:cs="宋体"/>
          <w:sz w:val="24"/>
          <w:szCs w:val="20"/>
        </w:rPr>
        <w:t>2、乙方在河道长效养护服务过程中达不到甲方的要求和标准，甲方有权按规定（包括但不限于合同条款及考核实施细则）进行经济处罚，直至终止合同。</w:t>
      </w:r>
    </w:p>
    <w:p>
      <w:pPr>
        <w:spacing w:line="360" w:lineRule="auto"/>
        <w:ind w:firstLine="480" w:firstLineChars="200"/>
        <w:rPr>
          <w:rFonts w:ascii="宋体" w:hAnsi="宋体" w:cs="宋体"/>
          <w:sz w:val="24"/>
          <w:szCs w:val="20"/>
        </w:rPr>
      </w:pPr>
      <w:r>
        <w:rPr>
          <w:rFonts w:hint="eastAsia" w:ascii="宋体" w:hAnsi="宋体" w:cs="宋体"/>
          <w:sz w:val="24"/>
          <w:szCs w:val="20"/>
        </w:rPr>
        <w:t>3、乙方必须加强安全管理工作，定期进行安全培训。发生各类事故后乙方应及时向甲方报告，并自行负责处理。如事故因乙方责任导致发生的，甲方将视情况对乙方做出经济处罚，情节严重的可直接终止合同。</w:t>
      </w:r>
    </w:p>
    <w:p>
      <w:pPr>
        <w:spacing w:line="360" w:lineRule="auto"/>
        <w:ind w:firstLine="480" w:firstLineChars="200"/>
        <w:rPr>
          <w:rFonts w:ascii="宋体" w:hAnsi="宋体" w:cs="宋体"/>
          <w:sz w:val="24"/>
          <w:szCs w:val="20"/>
        </w:rPr>
      </w:pPr>
      <w:r>
        <w:rPr>
          <w:rFonts w:hint="eastAsia" w:ascii="宋体" w:hAnsi="宋体" w:cs="宋体"/>
          <w:sz w:val="24"/>
          <w:szCs w:val="20"/>
        </w:rPr>
        <w:t>4、本合同以乙方向甲方按合同总价金额的1 %缴纳履约保证金作为合同生效的必要条件。履约验收合格后在5个工作日内退还。</w:t>
      </w:r>
    </w:p>
    <w:p>
      <w:pPr>
        <w:spacing w:line="360" w:lineRule="auto"/>
        <w:ind w:firstLine="480" w:firstLineChars="200"/>
        <w:rPr>
          <w:rFonts w:ascii="宋体" w:hAnsi="宋体" w:cs="宋体"/>
          <w:sz w:val="24"/>
          <w:szCs w:val="20"/>
        </w:rPr>
      </w:pPr>
      <w:r>
        <w:rPr>
          <w:rFonts w:hint="eastAsia" w:ascii="宋体" w:hAnsi="宋体" w:cs="宋体"/>
          <w:sz w:val="24"/>
          <w:szCs w:val="20"/>
        </w:rPr>
        <w:t>5、合同履行期内甲乙双方均不得随意变更（</w:t>
      </w:r>
      <w:r>
        <w:rPr>
          <w:rFonts w:hint="eastAsia" w:ascii="宋体" w:hAnsi="宋体" w:cs="宋体"/>
          <w:sz w:val="24"/>
        </w:rPr>
        <w:t>如因市级河道主管部门对河道的养护有调整要求的，按市级河道主管部门的相关意见进行调整，投标单位应无条件服从）</w:t>
      </w:r>
      <w:r>
        <w:rPr>
          <w:rFonts w:hint="eastAsia" w:ascii="宋体" w:hAnsi="宋体" w:cs="宋体"/>
          <w:sz w:val="24"/>
          <w:szCs w:val="20"/>
        </w:rPr>
        <w:t>或解除合同。合同若有未尽事宜，需经双方共同协商，作出补充规定，补充规定与本合同有同等法律效力。</w:t>
      </w:r>
    </w:p>
    <w:p>
      <w:pPr>
        <w:spacing w:line="360" w:lineRule="auto"/>
        <w:ind w:firstLine="480" w:firstLineChars="200"/>
        <w:rPr>
          <w:rFonts w:ascii="宋体" w:hAnsi="宋体" w:cs="宋体"/>
          <w:sz w:val="24"/>
          <w:szCs w:val="20"/>
        </w:rPr>
      </w:pPr>
      <w:r>
        <w:rPr>
          <w:rFonts w:hint="eastAsia" w:ascii="宋体" w:hAnsi="宋体" w:cs="宋体"/>
          <w:sz w:val="24"/>
          <w:szCs w:val="20"/>
        </w:rPr>
        <w:t>6、所有招标文件（招标编号：</w:t>
      </w:r>
      <w:r>
        <w:rPr>
          <w:rFonts w:hint="eastAsia" w:ascii="宋体" w:hAnsi="宋体" w:cs="宋体"/>
          <w:sz w:val="24"/>
          <w:szCs w:val="20"/>
          <w:u w:val="single"/>
        </w:rPr>
        <w:t xml:space="preserve">      </w:t>
      </w:r>
      <w:r>
        <w:rPr>
          <w:rFonts w:hint="eastAsia" w:ascii="宋体" w:hAnsi="宋体" w:cs="宋体"/>
          <w:sz w:val="24"/>
          <w:szCs w:val="20"/>
        </w:rPr>
        <w:t>）、投标文件及评标过程中形成的文字资料、询标纪要均作为本合同的组成部分，具有同等效力。</w:t>
      </w:r>
    </w:p>
    <w:p>
      <w:pPr>
        <w:snapToGrid w:val="0"/>
        <w:spacing w:line="360" w:lineRule="auto"/>
        <w:ind w:firstLine="480" w:firstLineChars="200"/>
        <w:rPr>
          <w:rFonts w:ascii="宋体" w:hAnsi="宋体" w:cs="宋体"/>
          <w:sz w:val="24"/>
          <w:szCs w:val="20"/>
        </w:rPr>
      </w:pPr>
      <w:r>
        <w:rPr>
          <w:rFonts w:hint="eastAsia" w:ascii="宋体" w:hAnsi="宋体" w:cs="宋体"/>
          <w:sz w:val="24"/>
          <w:szCs w:val="20"/>
        </w:rPr>
        <w:t>7</w:t>
      </w:r>
      <w:r>
        <w:rPr>
          <w:rFonts w:hint="eastAsia" w:ascii="宋体" w:hAnsi="宋体" w:cs="宋体"/>
          <w:bCs/>
          <w:sz w:val="24"/>
        </w:rPr>
        <w:t>、如在本项目养护期间因考核不符合要求终止合同的单位，从终止合同之日起三年内，不得再次参加杭州市上城区综合行政执法局组织的河道长效管理养护项目招标。</w:t>
      </w:r>
    </w:p>
    <w:p>
      <w:pPr>
        <w:snapToGrid w:val="0"/>
        <w:spacing w:line="360" w:lineRule="auto"/>
        <w:ind w:firstLine="480" w:firstLineChars="200"/>
        <w:rPr>
          <w:rFonts w:ascii="宋体" w:hAnsi="宋体" w:cs="宋体"/>
          <w:sz w:val="24"/>
          <w:szCs w:val="20"/>
        </w:rPr>
      </w:pPr>
      <w:r>
        <w:rPr>
          <w:rFonts w:hint="eastAsia" w:ascii="宋体" w:hAnsi="宋体" w:cs="宋体"/>
          <w:bCs/>
          <w:sz w:val="24"/>
        </w:rPr>
        <w:t>8、对养护不到位产生较大负面影响的单位由综合监管中心通报批评；在通报一次后仍未整改的，企业将被列入区养护市场“诚信黑名单”。同时终止养护合同并报市河道管理部门，建议对该单位实施市场禁入。</w:t>
      </w:r>
    </w:p>
    <w:p>
      <w:pPr>
        <w:spacing w:line="360" w:lineRule="auto"/>
        <w:ind w:firstLine="480" w:firstLineChars="200"/>
        <w:rPr>
          <w:rFonts w:ascii="宋体" w:hAnsi="宋体" w:cs="宋体"/>
          <w:sz w:val="24"/>
          <w:szCs w:val="20"/>
        </w:rPr>
      </w:pPr>
      <w:r>
        <w:rPr>
          <w:rFonts w:hint="eastAsia" w:ascii="宋体" w:hAnsi="宋体" w:cs="宋体"/>
          <w:sz w:val="24"/>
          <w:szCs w:val="20"/>
        </w:rPr>
        <w:t>9、本合同一式陆份，</w:t>
      </w:r>
      <w:r>
        <w:rPr>
          <w:rFonts w:hint="eastAsia" w:ascii="宋体" w:hAnsi="宋体" w:cs="宋体"/>
          <w:sz w:val="24"/>
        </w:rPr>
        <w:t>甲乙双方各执叁份</w:t>
      </w:r>
      <w:r>
        <w:rPr>
          <w:rFonts w:hint="eastAsia" w:ascii="宋体" w:hAnsi="宋体" w:cs="宋体"/>
          <w:sz w:val="24"/>
          <w:szCs w:val="20"/>
        </w:rPr>
        <w:t>。本合同经甲乙双方签字盖章，并由乙方向甲方缴纳履约保证金后生效。</w:t>
      </w:r>
    </w:p>
    <w:p>
      <w:pPr>
        <w:pStyle w:val="6"/>
        <w:spacing w:line="360" w:lineRule="auto"/>
        <w:rPr>
          <w:rFonts w:hAnsi="宋体" w:cs="宋体"/>
          <w:color w:val="auto"/>
          <w:sz w:val="24"/>
        </w:rPr>
      </w:pPr>
      <w:r>
        <w:rPr>
          <w:rFonts w:hint="eastAsia" w:hAnsi="宋体" w:cs="宋体"/>
          <w:color w:val="auto"/>
          <w:sz w:val="24"/>
        </w:rPr>
        <w:t>（以下为签字页，无正文）</w:t>
      </w:r>
    </w:p>
    <w:p>
      <w:pPr>
        <w:pStyle w:val="6"/>
        <w:spacing w:line="360" w:lineRule="auto"/>
        <w:rPr>
          <w:rFonts w:hAnsi="宋体" w:cs="宋体"/>
          <w:color w:val="auto"/>
          <w:sz w:val="24"/>
        </w:rPr>
      </w:pPr>
      <w:r>
        <w:rPr>
          <w:rFonts w:hint="eastAsia" w:hAnsi="宋体" w:cs="宋体"/>
          <w:color w:val="auto"/>
          <w:sz w:val="24"/>
        </w:rPr>
        <w:t>甲方：（盖章）                      乙方：（盖章）</w:t>
      </w:r>
    </w:p>
    <w:p>
      <w:pPr>
        <w:pStyle w:val="6"/>
        <w:spacing w:line="360" w:lineRule="auto"/>
        <w:rPr>
          <w:rFonts w:hAnsi="宋体" w:cs="宋体"/>
          <w:color w:val="auto"/>
          <w:sz w:val="24"/>
        </w:rPr>
      </w:pPr>
      <w:r>
        <w:rPr>
          <w:rFonts w:hint="eastAsia" w:hAnsi="宋体" w:cs="宋体"/>
          <w:color w:val="auto"/>
          <w:sz w:val="24"/>
        </w:rPr>
        <w:t>法定代表人：                        法定代表人：</w:t>
      </w:r>
    </w:p>
    <w:p>
      <w:pPr>
        <w:pStyle w:val="6"/>
        <w:spacing w:line="360" w:lineRule="auto"/>
        <w:rPr>
          <w:rFonts w:hAnsi="宋体" w:cs="宋体"/>
          <w:color w:val="auto"/>
          <w:sz w:val="24"/>
        </w:rPr>
      </w:pPr>
      <w:r>
        <w:rPr>
          <w:rFonts w:hint="eastAsia" w:hAnsi="宋体" w:cs="宋体"/>
          <w:color w:val="auto"/>
          <w:sz w:val="24"/>
        </w:rPr>
        <w:t>或受委托人（签字）：                或受委托人（签字）：</w:t>
      </w:r>
    </w:p>
    <w:p>
      <w:pPr>
        <w:pStyle w:val="6"/>
        <w:spacing w:line="360" w:lineRule="auto"/>
        <w:rPr>
          <w:rFonts w:hAnsi="宋体" w:cs="宋体"/>
          <w:color w:val="auto"/>
          <w:sz w:val="24"/>
        </w:rPr>
      </w:pPr>
      <w:r>
        <w:rPr>
          <w:rFonts w:hint="eastAsia" w:hAnsi="宋体" w:cs="宋体"/>
          <w:color w:val="auto"/>
          <w:sz w:val="24"/>
        </w:rPr>
        <w:t>联系人（签字）：                    联系人（签字）：</w:t>
      </w:r>
    </w:p>
    <w:p>
      <w:pPr>
        <w:pStyle w:val="6"/>
        <w:spacing w:line="360" w:lineRule="auto"/>
        <w:rPr>
          <w:rFonts w:hAnsi="宋体" w:cs="宋体"/>
          <w:color w:val="auto"/>
          <w:sz w:val="24"/>
        </w:rPr>
      </w:pPr>
      <w:r>
        <w:rPr>
          <w:rFonts w:hint="eastAsia" w:hAnsi="宋体" w:cs="宋体"/>
          <w:color w:val="auto"/>
          <w:sz w:val="24"/>
        </w:rPr>
        <w:t>地址：                              地址：</w:t>
      </w:r>
    </w:p>
    <w:p>
      <w:pPr>
        <w:pStyle w:val="6"/>
        <w:spacing w:line="360" w:lineRule="auto"/>
        <w:rPr>
          <w:rFonts w:hAnsi="宋体" w:cs="宋体"/>
          <w:color w:val="auto"/>
          <w:sz w:val="24"/>
        </w:rPr>
      </w:pPr>
      <w:r>
        <w:rPr>
          <w:rFonts w:hint="eastAsia" w:hAnsi="宋体" w:cs="宋体"/>
          <w:color w:val="auto"/>
          <w:sz w:val="24"/>
        </w:rPr>
        <w:t>邮编：                              邮编：</w:t>
      </w:r>
    </w:p>
    <w:p>
      <w:pPr>
        <w:pStyle w:val="6"/>
        <w:spacing w:line="360" w:lineRule="auto"/>
        <w:rPr>
          <w:rFonts w:hAnsi="宋体" w:cs="宋体"/>
          <w:color w:val="auto"/>
          <w:sz w:val="24"/>
        </w:rPr>
      </w:pPr>
      <w:r>
        <w:rPr>
          <w:rFonts w:hint="eastAsia" w:hAnsi="宋体" w:cs="宋体"/>
          <w:color w:val="auto"/>
          <w:sz w:val="24"/>
        </w:rPr>
        <w:t>电话：                              电话：</w:t>
      </w:r>
    </w:p>
    <w:p>
      <w:pPr>
        <w:pStyle w:val="6"/>
        <w:spacing w:line="360" w:lineRule="auto"/>
        <w:rPr>
          <w:rFonts w:hAnsi="宋体" w:cs="宋体"/>
          <w:color w:val="auto"/>
          <w:sz w:val="24"/>
        </w:rPr>
      </w:pPr>
      <w:r>
        <w:rPr>
          <w:rFonts w:hint="eastAsia" w:hAnsi="宋体" w:cs="宋体"/>
          <w:color w:val="auto"/>
          <w:sz w:val="24"/>
        </w:rPr>
        <w:t>传真：                              传真：</w:t>
      </w:r>
    </w:p>
    <w:p>
      <w:pPr>
        <w:pStyle w:val="6"/>
        <w:spacing w:line="360" w:lineRule="auto"/>
        <w:rPr>
          <w:rFonts w:hAnsi="宋体" w:cs="宋体"/>
          <w:color w:val="auto"/>
          <w:sz w:val="24"/>
        </w:rPr>
      </w:pPr>
      <w:r>
        <w:rPr>
          <w:rFonts w:hint="eastAsia" w:hAnsi="宋体" w:cs="宋体"/>
          <w:color w:val="auto"/>
          <w:sz w:val="24"/>
        </w:rPr>
        <w:t>开户银行：                          开户银行：</w:t>
      </w:r>
    </w:p>
    <w:p>
      <w:pPr>
        <w:pStyle w:val="6"/>
        <w:spacing w:line="360" w:lineRule="auto"/>
        <w:rPr>
          <w:rFonts w:hAnsi="宋体" w:cs="宋体"/>
          <w:color w:val="auto"/>
          <w:sz w:val="24"/>
        </w:rPr>
      </w:pPr>
      <w:r>
        <w:rPr>
          <w:rFonts w:hint="eastAsia" w:hAnsi="宋体" w:cs="宋体"/>
          <w:color w:val="auto"/>
          <w:sz w:val="24"/>
        </w:rPr>
        <w:t>帐号：                              帐号：</w:t>
      </w:r>
    </w:p>
    <w:p>
      <w:pPr>
        <w:spacing w:line="360" w:lineRule="auto"/>
        <w:ind w:firstLine="480" w:firstLineChars="200"/>
        <w:jc w:val="left"/>
        <w:rPr>
          <w:rFonts w:ascii="宋体" w:hAnsi="宋体" w:cs="宋体"/>
          <w:sz w:val="24"/>
          <w:szCs w:val="20"/>
        </w:rPr>
      </w:pPr>
      <w:r>
        <w:rPr>
          <w:rFonts w:hint="eastAsia" w:ascii="宋体" w:hAnsi="宋体" w:cs="宋体"/>
          <w:sz w:val="24"/>
        </w:rPr>
        <w:t xml:space="preserve">          </w:t>
      </w:r>
    </w:p>
    <w:p>
      <w:pPr>
        <w:spacing w:line="360" w:lineRule="auto"/>
        <w:jc w:val="left"/>
        <w:rPr>
          <w:rFonts w:ascii="宋体" w:hAnsi="宋体" w:cs="宋体"/>
          <w:sz w:val="24"/>
          <w:szCs w:val="20"/>
        </w:rPr>
      </w:pPr>
      <w:r>
        <w:rPr>
          <w:rFonts w:hint="eastAsia" w:ascii="宋体" w:hAnsi="宋体" w:cs="宋体"/>
          <w:sz w:val="24"/>
          <w:szCs w:val="20"/>
        </w:rPr>
        <w:t xml:space="preserve">                                        签约时间： </w:t>
      </w: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 xml:space="preserve">日     </w:t>
      </w:r>
    </w:p>
    <w:p>
      <w:pPr>
        <w:snapToGrid w:val="0"/>
        <w:spacing w:line="360" w:lineRule="auto"/>
        <w:jc w:val="center"/>
        <w:outlineLvl w:val="0"/>
        <w:rPr>
          <w:rFonts w:ascii="宋体" w:hAnsi="宋体" w:cs="宋体"/>
          <w:sz w:val="24"/>
          <w:szCs w:val="20"/>
          <w:u w:val="single"/>
        </w:rPr>
      </w:pPr>
      <w:r>
        <w:rPr>
          <w:rFonts w:hint="eastAsia" w:ascii="宋体" w:hAnsi="宋体" w:cs="宋体"/>
          <w:sz w:val="24"/>
          <w:szCs w:val="20"/>
        </w:rPr>
        <w:t xml:space="preserve">                              签约地点：</w:t>
      </w:r>
      <w:r>
        <w:rPr>
          <w:rFonts w:hint="eastAsia" w:ascii="宋体" w:hAnsi="宋体" w:cs="宋体"/>
          <w:sz w:val="24"/>
          <w:szCs w:val="20"/>
          <w:u w:val="single"/>
        </w:rPr>
        <w:t xml:space="preserve"> 杭州市上城区综合行政执法局 </w:t>
      </w:r>
    </w:p>
    <w:p>
      <w:pPr>
        <w:spacing w:line="360" w:lineRule="auto"/>
        <w:ind w:left="720" w:firstLine="723" w:firstLineChars="200"/>
        <w:outlineLvl w:val="0"/>
        <w:rPr>
          <w:rFonts w:ascii="宋体" w:hAnsi="宋体" w:cs="宋体"/>
          <w:b/>
          <w:sz w:val="36"/>
          <w:szCs w:val="20"/>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684"/>
      <w:r>
        <w:rPr>
          <w:rFonts w:hint="eastAsia" w:ascii="宋体" w:hAnsi="宋体" w:cs="宋体"/>
          <w:b/>
          <w:sz w:val="36"/>
          <w:szCs w:val="20"/>
        </w:rPr>
        <w:t xml:space="preserve"> </w:t>
      </w:r>
      <w:bookmarkEnd w:id="685"/>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z w:val="24"/>
        </w:rPr>
        <w:t>（2）落实政府采购政策需满足的资格要求………………………………（页码）</w:t>
      </w:r>
    </w:p>
    <w:p>
      <w:pPr>
        <w:snapToGrid w:val="0"/>
        <w:spacing w:line="360" w:lineRule="auto"/>
        <w:rPr>
          <w:rFonts w:ascii="宋体" w:hAnsi="宋体" w:cs="宋体"/>
          <w:sz w:val="24"/>
        </w:rPr>
      </w:pPr>
      <w:r>
        <w:rPr>
          <w:rFonts w:hint="eastAsia" w:ascii="宋体" w:hAnsi="宋体" w:cs="宋体"/>
          <w:sz w:val="24"/>
        </w:rPr>
        <w:t>（3）本项目的特定资格要求………………………………………………（页码）</w:t>
      </w: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杭州市上城区综合行政执法局、浙江科佳工程咨询有限公司 ：</w:t>
      </w:r>
    </w:p>
    <w:p>
      <w:pPr>
        <w:snapToGrid w:val="0"/>
        <w:spacing w:line="360" w:lineRule="auto"/>
        <w:ind w:firstLine="480" w:firstLineChars="200"/>
        <w:rPr>
          <w:rFonts w:ascii="宋体" w:hAnsi="宋体" w:cs="宋体"/>
          <w:sz w:val="24"/>
        </w:rPr>
      </w:pPr>
      <w:r>
        <w:rPr>
          <w:rFonts w:hint="eastAsia" w:ascii="宋体" w:hAnsi="宋体" w:cs="宋体"/>
          <w:sz w:val="24"/>
        </w:rPr>
        <w:t>我方参与龙山河等4条河道设施长效管养招标项目【招标编号：上城政采分-2022-01317】政府采购活动，郑重承诺：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pacing w:line="360" w:lineRule="auto"/>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widowControl/>
        <w:numPr>
          <w:ilvl w:val="0"/>
          <w:numId w:val="26"/>
        </w:numPr>
        <w:spacing w:line="360" w:lineRule="auto"/>
        <w:ind w:left="150"/>
        <w:jc w:val="left"/>
        <w:rPr>
          <w:rFonts w:ascii="宋体" w:hAnsi="宋体" w:cs="宋体"/>
          <w:sz w:val="24"/>
        </w:rPr>
      </w:pPr>
      <w:r>
        <w:rPr>
          <w:rFonts w:hint="eastAsia" w:ascii="宋体" w:hAnsi="宋体" w:cs="宋体"/>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宋体" w:hAnsi="宋体" w:cs="宋体"/>
          <w:b/>
          <w:kern w:val="0"/>
          <w:sz w:val="32"/>
          <w:szCs w:val="32"/>
          <w:lang w:val="zh-CN"/>
        </w:rPr>
      </w:pPr>
      <w:r>
        <w:rPr>
          <w:rFonts w:hint="eastAsia" w:ascii="宋体" w:hAnsi="宋体" w:cs="宋体"/>
          <w:b/>
          <w:sz w:val="24"/>
        </w:rPr>
        <w:t xml:space="preserve">    </w:t>
      </w:r>
      <w:r>
        <w:rPr>
          <w:rFonts w:hint="eastAsia" w:ascii="宋体" w:hAnsi="宋体" w:cs="宋体"/>
          <w:b/>
          <w:kern w:val="0"/>
          <w:sz w:val="32"/>
          <w:szCs w:val="32"/>
          <w:lang w:val="zh-CN"/>
        </w:rPr>
        <w:t>联合协议</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w:t>
      </w: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firstLine="480" w:firstLineChars="200"/>
        <w:rPr>
          <w:rFonts w:ascii="宋体" w:hAnsi="宋体" w:cs="宋体"/>
          <w:sz w:val="24"/>
        </w:rPr>
      </w:pP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ind w:left="664" w:leftChars="316" w:firstLine="229" w:firstLineChars="95"/>
        <w:rPr>
          <w:rFonts w:ascii="宋体" w:hAnsi="宋体" w:eastAsia="宋体" w:cs="宋体"/>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widowControl/>
        <w:spacing w:line="360" w:lineRule="auto"/>
        <w:rPr>
          <w:rFonts w:ascii="宋体" w:hAnsi="宋体" w:cs="宋体"/>
          <w:sz w:val="24"/>
        </w:rPr>
      </w:pPr>
    </w:p>
    <w:p>
      <w:pPr>
        <w:pStyle w:val="79"/>
        <w:spacing w:line="360" w:lineRule="auto"/>
        <w:rPr>
          <w:rFonts w:ascii="宋体" w:hAnsi="宋体" w:cs="宋体"/>
        </w:rPr>
      </w:pPr>
    </w:p>
    <w:p>
      <w:pPr>
        <w:spacing w:line="360" w:lineRule="auto"/>
        <w:rPr>
          <w:rFonts w:ascii="宋体" w:hAnsi="宋体" w:cs="宋体"/>
          <w:b/>
          <w:kern w:val="0"/>
          <w:sz w:val="32"/>
          <w:szCs w:val="32"/>
        </w:rPr>
      </w:pPr>
      <w:r>
        <w:rPr>
          <w:rFonts w:hint="eastAsia" w:ascii="宋体" w:hAnsi="宋体" w:cs="宋体"/>
          <w:b/>
          <w:kern w:val="0"/>
          <w:sz w:val="32"/>
          <w:szCs w:val="32"/>
        </w:rPr>
        <w:br w:type="page"/>
      </w: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spacing w:line="360" w:lineRule="auto"/>
        <w:rPr>
          <w:rFonts w:ascii="宋体" w:hAnsi="宋体" w:cs="宋体"/>
        </w:rPr>
      </w:pPr>
    </w:p>
    <w:p>
      <w:pPr>
        <w:spacing w:line="360" w:lineRule="auto"/>
        <w:rPr>
          <w:rFonts w:ascii="宋体" w:hAnsi="宋体" w:cs="宋体"/>
          <w:b/>
          <w:snapToGrid w:val="0"/>
          <w:kern w:val="0"/>
          <w:sz w:val="28"/>
          <w:szCs w:val="28"/>
        </w:rPr>
      </w:pPr>
    </w:p>
    <w:p>
      <w:pPr>
        <w:spacing w:line="360" w:lineRule="auto"/>
        <w:rPr>
          <w:rFonts w:ascii="宋体" w:hAnsi="宋体" w:cs="宋体"/>
          <w:b/>
          <w:snapToGrid w:val="0"/>
          <w:kern w:val="0"/>
          <w:sz w:val="28"/>
          <w:szCs w:val="28"/>
        </w:rPr>
      </w:pPr>
    </w:p>
    <w:p>
      <w:pPr>
        <w:snapToGrid w:val="0"/>
        <w:spacing w:line="360" w:lineRule="auto"/>
        <w:ind w:firstLine="420" w:firstLineChars="200"/>
        <w:jc w:val="left"/>
        <w:rPr>
          <w:rFonts w:ascii="宋体" w:hAnsi="宋体" w:cs="宋体"/>
          <w:szCs w:val="21"/>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spacing w:line="360" w:lineRule="auto"/>
        <w:rPr>
          <w:rFonts w:ascii="宋体" w:hAnsi="宋体" w:cs="宋体"/>
          <w:b/>
          <w:kern w:val="0"/>
          <w:sz w:val="36"/>
          <w:szCs w:val="36"/>
        </w:rPr>
      </w:pPr>
      <w:r>
        <w:rPr>
          <w:rFonts w:hint="eastAsia"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（3）符合性审查资料</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（4）评标标准相应的商务技术资料</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（5）商务技术偏离表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（7）其他资信资料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）同类业绩表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）提供针对项目的完整技术解决方案</w:t>
      </w:r>
      <w:r>
        <w:rPr>
          <w:rFonts w:hint="eastAsia" w:ascii="宋体" w:hAnsi="宋体" w:cs="宋体"/>
        </w:rPr>
        <w:t>………………………………………………（页码）</w:t>
      </w:r>
    </w:p>
    <w:p>
      <w:pPr>
        <w:pStyle w:val="79"/>
        <w:spacing w:line="360" w:lineRule="auto"/>
        <w:rPr>
          <w:rFonts w:ascii="宋体" w:hAnsi="宋体" w:cs="宋体"/>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pacing w:line="360" w:lineRule="auto"/>
        <w:rPr>
          <w:rFonts w:ascii="宋体" w:hAnsi="宋体" w:cs="宋体"/>
        </w:rPr>
      </w:pPr>
    </w:p>
    <w:p>
      <w:pPr>
        <w:spacing w:line="360" w:lineRule="auto"/>
        <w:rPr>
          <w:rFonts w:ascii="宋体" w:hAnsi="宋体" w:cs="宋体"/>
          <w:b/>
          <w:kern w:val="0"/>
          <w:sz w:val="32"/>
          <w:szCs w:val="32"/>
        </w:rPr>
      </w:pPr>
      <w:r>
        <w:rPr>
          <w:rFonts w:hint="eastAsia"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杭州市上城区综合行政执法局、浙江科佳工程咨询有限公司：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我方参加你方组织的龙山河等4条河道设施长效管养招标项目【招标编号：上城政采分-2022-01317-】招标的有关活动，并对此项目进行投标。为此：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120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2.1.3本项目的特定资格要求（如果有）；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2.1.4非联合体的声明函。</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2.2.9</w:t>
      </w:r>
      <w:r>
        <w:rPr>
          <w:rFonts w:hint="eastAsia" w:ascii="宋体" w:hAnsi="宋体" w:cs="宋体"/>
          <w:sz w:val="24"/>
          <w:lang w:val="zh-CN"/>
        </w:rPr>
        <w:t>其他资信资料；</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2.2.10</w:t>
      </w:r>
      <w:r>
        <w:rPr>
          <w:rFonts w:hint="eastAsia" w:ascii="宋体" w:hAnsi="宋体" w:cs="宋体"/>
          <w:sz w:val="24"/>
          <w:lang w:val="zh-CN"/>
        </w:rPr>
        <w:t>同类业绩表；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2.2.11</w:t>
      </w:r>
      <w:r>
        <w:rPr>
          <w:rFonts w:hint="eastAsia" w:ascii="宋体" w:hAnsi="宋体" w:cs="宋体"/>
          <w:sz w:val="24"/>
          <w:lang w:val="zh-CN"/>
        </w:rPr>
        <w:t>提供针对项目的完整技术解决方案。</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2.3.2投标价格组成明细表；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lang w:val="zh-CN"/>
        </w:rPr>
      </w:pPr>
    </w:p>
    <w:p>
      <w:pPr>
        <w:snapToGrid w:val="0"/>
        <w:spacing w:line="360" w:lineRule="auto"/>
        <w:jc w:val="center"/>
        <w:rPr>
          <w:rFonts w:ascii="宋体" w:hAnsi="宋体" w:cs="宋体"/>
          <w:b/>
          <w:kern w:val="0"/>
          <w:sz w:val="32"/>
          <w:szCs w:val="32"/>
          <w:lang w:val="zh-CN"/>
        </w:rPr>
      </w:pPr>
    </w:p>
    <w:p>
      <w:pPr>
        <w:snapToGrid w:val="0"/>
        <w:spacing w:line="360" w:lineRule="auto"/>
        <w:rPr>
          <w:rFonts w:ascii="宋体" w:hAnsi="宋体" w:cs="宋体"/>
          <w:sz w:val="24"/>
        </w:rPr>
      </w:pPr>
    </w:p>
    <w:p>
      <w:pPr>
        <w:spacing w:line="360" w:lineRule="auto"/>
        <w:jc w:val="center"/>
        <w:rPr>
          <w:rFonts w:ascii="宋体" w:hAnsi="宋体" w:cs="宋体"/>
          <w:b/>
          <w:kern w:val="0"/>
          <w:sz w:val="32"/>
          <w:szCs w:val="32"/>
          <w:lang w:val="zh-CN"/>
        </w:rPr>
      </w:pPr>
    </w:p>
    <w:p>
      <w:pPr>
        <w:spacing w:line="360" w:lineRule="auto"/>
        <w:jc w:val="center"/>
        <w:rPr>
          <w:rFonts w:ascii="宋体" w:hAnsi="宋体" w:cs="宋体"/>
          <w:b/>
          <w:kern w:val="0"/>
          <w:sz w:val="32"/>
          <w:szCs w:val="32"/>
          <w:lang w:val="zh-CN"/>
        </w:rPr>
      </w:pPr>
    </w:p>
    <w:p>
      <w:pPr>
        <w:spacing w:line="360" w:lineRule="auto"/>
        <w:jc w:val="center"/>
        <w:rPr>
          <w:rFonts w:ascii="宋体" w:hAnsi="宋体" w:cs="宋体"/>
          <w:b/>
          <w:kern w:val="0"/>
          <w:sz w:val="32"/>
          <w:szCs w:val="32"/>
          <w:lang w:val="zh-CN"/>
        </w:rPr>
      </w:pPr>
    </w:p>
    <w:p>
      <w:pPr>
        <w:spacing w:line="360" w:lineRule="auto"/>
        <w:jc w:val="center"/>
        <w:rPr>
          <w:rFonts w:ascii="宋体" w:hAnsi="宋体" w:cs="宋体"/>
          <w:b/>
          <w:kern w:val="0"/>
          <w:sz w:val="32"/>
          <w:szCs w:val="32"/>
          <w:lang w:val="zh-CN"/>
        </w:rPr>
      </w:pPr>
    </w:p>
    <w:p>
      <w:pPr>
        <w:spacing w:line="360" w:lineRule="auto"/>
        <w:jc w:val="center"/>
        <w:rPr>
          <w:rFonts w:ascii="宋体" w:hAnsi="宋体" w:cs="宋体"/>
          <w:b/>
          <w:kern w:val="0"/>
          <w:sz w:val="32"/>
          <w:szCs w:val="32"/>
          <w:lang w:val="zh-CN"/>
        </w:rPr>
      </w:pPr>
    </w:p>
    <w:p>
      <w:pPr>
        <w:spacing w:line="360" w:lineRule="auto"/>
        <w:jc w:val="center"/>
        <w:rPr>
          <w:rFonts w:ascii="宋体" w:hAnsi="宋体" w:cs="宋体"/>
          <w:b/>
          <w:kern w:val="0"/>
          <w:sz w:val="32"/>
          <w:szCs w:val="32"/>
          <w:lang w:val="zh-CN"/>
        </w:rPr>
      </w:pPr>
    </w:p>
    <w:p>
      <w:pPr>
        <w:spacing w:line="360" w:lineRule="auto"/>
        <w:jc w:val="center"/>
        <w:rPr>
          <w:rFonts w:ascii="宋体" w:hAnsi="宋体" w:cs="宋体"/>
          <w:b/>
          <w:kern w:val="0"/>
          <w:sz w:val="32"/>
          <w:szCs w:val="32"/>
          <w:lang w:val="zh-CN"/>
        </w:rPr>
      </w:pPr>
    </w:p>
    <w:p>
      <w:pPr>
        <w:spacing w:line="360" w:lineRule="auto"/>
        <w:jc w:val="center"/>
        <w:rPr>
          <w:rFonts w:ascii="宋体" w:hAnsi="宋体" w:cs="宋体"/>
          <w:b/>
          <w:kern w:val="0"/>
          <w:sz w:val="32"/>
          <w:szCs w:val="32"/>
          <w:lang w:val="zh-CN"/>
        </w:rPr>
      </w:pPr>
    </w:p>
    <w:p>
      <w:pPr>
        <w:spacing w:line="360" w:lineRule="auto"/>
        <w:jc w:val="center"/>
        <w:rPr>
          <w:rFonts w:ascii="宋体" w:hAnsi="宋体" w:cs="宋体"/>
          <w:b/>
          <w:kern w:val="0"/>
          <w:sz w:val="32"/>
          <w:szCs w:val="32"/>
          <w:lang w:val="zh-CN"/>
        </w:rPr>
      </w:pPr>
    </w:p>
    <w:p>
      <w:pPr>
        <w:spacing w:line="360" w:lineRule="auto"/>
        <w:jc w:val="center"/>
        <w:rPr>
          <w:rFonts w:ascii="宋体" w:hAnsi="宋体" w:cs="宋体"/>
          <w:b/>
          <w:kern w:val="0"/>
          <w:sz w:val="32"/>
          <w:szCs w:val="32"/>
          <w:lang w:val="zh-CN"/>
        </w:rPr>
      </w:pPr>
    </w:p>
    <w:p>
      <w:pPr>
        <w:spacing w:line="360" w:lineRule="auto"/>
        <w:jc w:val="center"/>
        <w:rPr>
          <w:rFonts w:ascii="宋体" w:hAnsi="宋体" w:cs="宋体"/>
          <w:b/>
          <w:kern w:val="0"/>
          <w:sz w:val="32"/>
          <w:szCs w:val="32"/>
          <w:lang w:val="zh-CN"/>
        </w:rPr>
      </w:pPr>
    </w:p>
    <w:p>
      <w:pPr>
        <w:spacing w:line="360" w:lineRule="auto"/>
        <w:jc w:val="center"/>
        <w:rPr>
          <w:rFonts w:ascii="宋体" w:hAnsi="宋体" w:cs="宋体"/>
          <w:b/>
          <w:kern w:val="0"/>
          <w:sz w:val="32"/>
          <w:szCs w:val="32"/>
          <w:lang w:val="zh-CN"/>
        </w:rPr>
      </w:pPr>
    </w:p>
    <w:p>
      <w:pPr>
        <w:spacing w:line="360" w:lineRule="auto"/>
        <w:jc w:val="center"/>
        <w:rPr>
          <w:rFonts w:ascii="宋体" w:hAnsi="宋体" w:cs="宋体"/>
          <w:b/>
          <w:kern w:val="0"/>
          <w:sz w:val="32"/>
          <w:szCs w:val="32"/>
          <w:lang w:val="zh-CN"/>
        </w:rPr>
      </w:pPr>
    </w:p>
    <w:p>
      <w:pPr>
        <w:spacing w:line="360" w:lineRule="auto"/>
        <w:jc w:val="center"/>
        <w:rPr>
          <w:rFonts w:ascii="宋体" w:hAnsi="宋体" w:cs="宋体"/>
          <w:b/>
          <w:kern w:val="0"/>
          <w:sz w:val="32"/>
          <w:szCs w:val="32"/>
          <w:lang w:val="zh-CN"/>
        </w:rPr>
      </w:pPr>
    </w:p>
    <w:p>
      <w:pPr>
        <w:spacing w:line="360" w:lineRule="auto"/>
        <w:jc w:val="center"/>
        <w:rPr>
          <w:rFonts w:ascii="宋体" w:hAnsi="宋体" w:cs="宋体"/>
          <w:b/>
          <w:kern w:val="0"/>
          <w:sz w:val="32"/>
          <w:szCs w:val="32"/>
          <w:lang w:val="zh-CN"/>
        </w:rPr>
      </w:pPr>
    </w:p>
    <w:p>
      <w:pPr>
        <w:spacing w:line="360" w:lineRule="auto"/>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jc w:val="center"/>
        <w:rPr>
          <w:rFonts w:ascii="宋体" w:hAnsi="宋体" w:cs="宋体"/>
        </w:rPr>
      </w:pPr>
      <w:r>
        <w:rPr>
          <w:rFonts w:hint="eastAsia" w:ascii="宋体" w:hAnsi="宋体" w:cs="宋体"/>
          <w:b/>
          <w:kern w:val="0"/>
          <w:sz w:val="32"/>
          <w:szCs w:val="32"/>
          <w:lang w:val="zh-CN"/>
        </w:rPr>
        <w:t>授权委托书</w:t>
      </w:r>
    </w:p>
    <w:p>
      <w:pPr>
        <w:snapToGrid w:val="0"/>
        <w:spacing w:line="360" w:lineRule="auto"/>
        <w:rPr>
          <w:rFonts w:ascii="宋体" w:hAnsi="宋体" w:cs="宋体"/>
          <w:kern w:val="0"/>
          <w:sz w:val="24"/>
        </w:rPr>
      </w:pPr>
      <w:r>
        <w:rPr>
          <w:rFonts w:hint="eastAsia" w:ascii="宋体" w:hAnsi="宋体" w:cs="宋体"/>
          <w:sz w:val="24"/>
        </w:rPr>
        <w:t xml:space="preserve">杭州市上城区综合行政执法局、浙江科佳工程咨询有限公司 </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龙山河等4条河道设施长效管养招标项目【招标编号：上城政采分-2022-01317-】</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spacing w:line="360" w:lineRule="auto"/>
        <w:rPr>
          <w:rFonts w:ascii="宋体" w:hAnsi="宋体" w:cs="宋体"/>
          <w:b/>
          <w:kern w:val="0"/>
          <w:sz w:val="32"/>
          <w:szCs w:val="32"/>
          <w:lang w:val="zh-CN"/>
        </w:rPr>
      </w:pPr>
      <w:r>
        <w:rPr>
          <w:rFonts w:hint="eastAsia" w:ascii="宋体" w:hAnsi="宋体" w:cs="宋体"/>
          <w:b/>
          <w:kern w:val="0"/>
          <w:sz w:val="32"/>
          <w:szCs w:val="32"/>
          <w:lang w:val="zh-CN"/>
        </w:rPr>
        <w:br w:type="page"/>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7"/>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sz w:val="24"/>
              </w:rPr>
            </w:pPr>
            <w:r>
              <w:rPr>
                <w:rFonts w:hint="eastAsia" w:hAnsi="宋体" w:cs="宋体"/>
                <w:bCs/>
                <w:sz w:val="24"/>
              </w:rPr>
              <w:t>正面：                                 反面：</w:t>
            </w:r>
          </w:p>
          <w:p>
            <w:pPr>
              <w:pStyle w:val="14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r>
        <w:rPr>
          <w:rFonts w:hint="eastAsia" w:ascii="宋体" w:hAnsi="宋体" w:cs="宋体"/>
          <w:b/>
          <w:kern w:val="0"/>
          <w:sz w:val="32"/>
          <w:szCs w:val="32"/>
        </w:rPr>
        <w:t>三、符合性审查资料</w:t>
      </w:r>
    </w:p>
    <w:p>
      <w:pPr>
        <w:spacing w:line="360" w:lineRule="auto"/>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360" w:lineRule="auto"/>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360" w:lineRule="auto"/>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360" w:lineRule="auto"/>
              <w:jc w:val="center"/>
              <w:rPr>
                <w:rFonts w:ascii="宋体" w:hAnsi="宋体" w:cs="宋体"/>
                <w:b/>
                <w:sz w:val="24"/>
              </w:rPr>
            </w:pPr>
            <w:r>
              <w:rPr>
                <w:rFonts w:hint="eastAsia" w:ascii="宋体" w:hAnsi="宋体" w:cs="宋体"/>
                <w:b/>
                <w:sz w:val="24"/>
              </w:rPr>
              <w:t>投标文件中的</w:t>
            </w:r>
          </w:p>
          <w:p>
            <w:pPr>
              <w:snapToGrid w:val="0"/>
              <w:spacing w:line="360" w:lineRule="auto"/>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spacing w:line="360" w:lineRule="auto"/>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见投标文件</w:t>
            </w:r>
          </w:p>
          <w:p>
            <w:pPr>
              <w:spacing w:line="360" w:lineRule="auto"/>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pacing w:line="360" w:lineRule="auto"/>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tcPr>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见投标文件</w:t>
            </w:r>
          </w:p>
          <w:p>
            <w:pPr>
              <w:pStyle w:val="4"/>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spacing w:line="360" w:lineRule="auto"/>
              <w:rPr>
                <w:rFonts w:ascii="宋体" w:hAnsi="宋体" w:cs="宋体"/>
                <w:sz w:val="24"/>
              </w:rPr>
            </w:pPr>
            <w:r>
              <w:rPr>
                <w:rFonts w:hint="eastAsia" w:ascii="宋体" w:hAnsi="宋体" w:cs="宋体"/>
                <w:sz w:val="24"/>
              </w:rPr>
              <w:t>投标函</w:t>
            </w:r>
          </w:p>
        </w:tc>
        <w:tc>
          <w:tcPr>
            <w:tcW w:w="1418" w:type="dxa"/>
          </w:tcPr>
          <w:p>
            <w:pPr>
              <w:spacing w:line="360" w:lineRule="auto"/>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sz w:val="24"/>
              </w:rPr>
            </w:pPr>
            <w:r>
              <w:rPr>
                <w:rFonts w:hint="eastAsia" w:ascii="宋体" w:hAnsi="宋体" w:cs="宋体"/>
                <w:sz w:val="24"/>
              </w:rPr>
              <w:t>4</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spacing w:line="360" w:lineRule="auto"/>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spacing w:line="360" w:lineRule="auto"/>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r>
        <w:rPr>
          <w:rFonts w:hint="eastAsia" w:ascii="宋体" w:hAnsi="宋体" w:cs="宋体"/>
          <w:b/>
          <w:kern w:val="0"/>
          <w:sz w:val="32"/>
          <w:szCs w:val="32"/>
        </w:rPr>
        <w:t xml:space="preserve">            </w:t>
      </w: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rPr>
      </w:pPr>
      <w:r>
        <w:rPr>
          <w:rFonts w:hint="eastAsia" w:ascii="宋体" w:hAnsi="宋体" w:cs="宋体"/>
          <w:b/>
          <w:kern w:val="0"/>
          <w:sz w:val="32"/>
          <w:szCs w:val="32"/>
        </w:rPr>
        <w:t>四、评标标准相应的商务技术资料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r>
        <w:rPr>
          <w:rFonts w:hint="eastAsia" w:ascii="宋体" w:hAnsi="宋体" w:cs="宋体"/>
          <w:b/>
          <w:kern w:val="0"/>
          <w:sz w:val="32"/>
          <w:szCs w:val="32"/>
        </w:rPr>
        <w:t>五、商务技术偏离表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spacing w:line="360" w:lineRule="auto"/>
              <w:jc w:val="center"/>
              <w:rPr>
                <w:rFonts w:ascii="宋体" w:hAnsi="宋体" w:cs="宋体"/>
                <w:b/>
                <w:bCs/>
                <w:sz w:val="24"/>
              </w:rPr>
            </w:pPr>
            <w:r>
              <w:rPr>
                <w:rFonts w:hint="eastAsia" w:ascii="宋体" w:hAnsi="宋体" w:cs="宋体"/>
                <w:b/>
                <w:bCs/>
                <w:sz w:val="24"/>
              </w:rPr>
              <w:t>序号</w:t>
            </w:r>
          </w:p>
        </w:tc>
        <w:tc>
          <w:tcPr>
            <w:tcW w:w="3683" w:type="dxa"/>
          </w:tcPr>
          <w:p>
            <w:pPr>
              <w:spacing w:line="360" w:lineRule="auto"/>
              <w:jc w:val="center"/>
              <w:rPr>
                <w:rFonts w:ascii="宋体" w:hAnsi="宋体" w:cs="宋体"/>
                <w:b/>
                <w:bCs/>
                <w:sz w:val="24"/>
              </w:rPr>
            </w:pPr>
            <w:r>
              <w:rPr>
                <w:rFonts w:hint="eastAsia" w:ascii="宋体" w:hAnsi="宋体" w:cs="宋体"/>
                <w:b/>
                <w:bCs/>
                <w:sz w:val="24"/>
              </w:rPr>
              <w:t>招标文件章节及具体内容</w:t>
            </w:r>
          </w:p>
        </w:tc>
        <w:tc>
          <w:tcPr>
            <w:tcW w:w="3546" w:type="dxa"/>
          </w:tcPr>
          <w:p>
            <w:pPr>
              <w:spacing w:line="360" w:lineRule="auto"/>
              <w:jc w:val="center"/>
              <w:rPr>
                <w:rFonts w:ascii="宋体" w:hAnsi="宋体" w:cs="宋体"/>
                <w:b/>
                <w:bCs/>
                <w:sz w:val="24"/>
              </w:rPr>
            </w:pPr>
            <w:r>
              <w:rPr>
                <w:rFonts w:hint="eastAsia" w:ascii="宋体" w:hAnsi="宋体" w:cs="宋体"/>
                <w:b/>
                <w:bCs/>
                <w:sz w:val="24"/>
              </w:rPr>
              <w:t>投标文件章节及具体内容</w:t>
            </w:r>
          </w:p>
        </w:tc>
        <w:tc>
          <w:tcPr>
            <w:tcW w:w="1276" w:type="dxa"/>
          </w:tcPr>
          <w:p>
            <w:pPr>
              <w:spacing w:line="360" w:lineRule="auto"/>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spacing w:line="360" w:lineRule="auto"/>
              <w:jc w:val="center"/>
              <w:rPr>
                <w:rFonts w:ascii="宋体" w:hAnsi="宋体" w:cs="宋体"/>
                <w:kern w:val="0"/>
                <w:sz w:val="24"/>
              </w:rPr>
            </w:pPr>
            <w:r>
              <w:rPr>
                <w:rFonts w:hint="eastAsia" w:ascii="宋体" w:hAnsi="宋体" w:cs="宋体"/>
                <w:kern w:val="0"/>
                <w:sz w:val="24"/>
              </w:rPr>
              <w:t>1</w:t>
            </w:r>
          </w:p>
        </w:tc>
        <w:tc>
          <w:tcPr>
            <w:tcW w:w="3683" w:type="dxa"/>
          </w:tcPr>
          <w:p>
            <w:pPr>
              <w:spacing w:line="360" w:lineRule="auto"/>
              <w:jc w:val="center"/>
              <w:rPr>
                <w:rFonts w:ascii="宋体" w:hAnsi="宋体" w:cs="宋体"/>
                <w:b/>
                <w:kern w:val="0"/>
                <w:sz w:val="32"/>
                <w:szCs w:val="32"/>
              </w:rPr>
            </w:pPr>
          </w:p>
        </w:tc>
        <w:tc>
          <w:tcPr>
            <w:tcW w:w="3546" w:type="dxa"/>
          </w:tcPr>
          <w:p>
            <w:pPr>
              <w:spacing w:line="360" w:lineRule="auto"/>
              <w:jc w:val="center"/>
              <w:rPr>
                <w:rFonts w:ascii="宋体" w:hAnsi="宋体" w:cs="宋体"/>
                <w:b/>
                <w:kern w:val="0"/>
                <w:sz w:val="32"/>
                <w:szCs w:val="32"/>
              </w:rPr>
            </w:pPr>
          </w:p>
        </w:tc>
        <w:tc>
          <w:tcPr>
            <w:tcW w:w="1276" w:type="dxa"/>
          </w:tcPr>
          <w:p>
            <w:pPr>
              <w:spacing w:line="360" w:lineRule="auto"/>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spacing w:line="360" w:lineRule="auto"/>
              <w:jc w:val="center"/>
              <w:rPr>
                <w:rFonts w:ascii="宋体" w:hAnsi="宋体" w:cs="宋体"/>
                <w:kern w:val="0"/>
                <w:sz w:val="24"/>
              </w:rPr>
            </w:pPr>
            <w:r>
              <w:rPr>
                <w:rFonts w:hint="eastAsia" w:ascii="宋体" w:hAnsi="宋体" w:cs="宋体"/>
                <w:kern w:val="0"/>
                <w:sz w:val="24"/>
              </w:rPr>
              <w:t>2</w:t>
            </w:r>
          </w:p>
        </w:tc>
        <w:tc>
          <w:tcPr>
            <w:tcW w:w="3683" w:type="dxa"/>
          </w:tcPr>
          <w:p>
            <w:pPr>
              <w:spacing w:line="360" w:lineRule="auto"/>
              <w:jc w:val="center"/>
              <w:rPr>
                <w:rFonts w:ascii="宋体" w:hAnsi="宋体" w:cs="宋体"/>
                <w:b/>
                <w:kern w:val="0"/>
                <w:sz w:val="32"/>
                <w:szCs w:val="32"/>
              </w:rPr>
            </w:pPr>
          </w:p>
        </w:tc>
        <w:tc>
          <w:tcPr>
            <w:tcW w:w="3546" w:type="dxa"/>
          </w:tcPr>
          <w:p>
            <w:pPr>
              <w:spacing w:line="360" w:lineRule="auto"/>
              <w:jc w:val="center"/>
              <w:rPr>
                <w:rFonts w:ascii="宋体" w:hAnsi="宋体" w:cs="宋体"/>
                <w:b/>
                <w:kern w:val="0"/>
                <w:sz w:val="32"/>
                <w:szCs w:val="32"/>
              </w:rPr>
            </w:pPr>
          </w:p>
        </w:tc>
        <w:tc>
          <w:tcPr>
            <w:tcW w:w="1276" w:type="dxa"/>
          </w:tcPr>
          <w:p>
            <w:pPr>
              <w:spacing w:line="360" w:lineRule="auto"/>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spacing w:line="360" w:lineRule="auto"/>
              <w:jc w:val="center"/>
              <w:rPr>
                <w:rFonts w:ascii="宋体" w:hAnsi="宋体" w:cs="宋体"/>
                <w:kern w:val="0"/>
                <w:sz w:val="24"/>
              </w:rPr>
            </w:pPr>
            <w:r>
              <w:rPr>
                <w:rFonts w:hint="eastAsia" w:ascii="宋体" w:hAnsi="宋体" w:cs="宋体"/>
                <w:kern w:val="0"/>
                <w:sz w:val="24"/>
              </w:rPr>
              <w:t>……</w:t>
            </w:r>
          </w:p>
        </w:tc>
        <w:tc>
          <w:tcPr>
            <w:tcW w:w="3683" w:type="dxa"/>
          </w:tcPr>
          <w:p>
            <w:pPr>
              <w:spacing w:line="360" w:lineRule="auto"/>
              <w:jc w:val="center"/>
              <w:rPr>
                <w:rFonts w:ascii="宋体" w:hAnsi="宋体" w:cs="宋体"/>
                <w:b/>
                <w:kern w:val="0"/>
                <w:sz w:val="32"/>
                <w:szCs w:val="32"/>
              </w:rPr>
            </w:pPr>
          </w:p>
        </w:tc>
        <w:tc>
          <w:tcPr>
            <w:tcW w:w="3546" w:type="dxa"/>
          </w:tcPr>
          <w:p>
            <w:pPr>
              <w:spacing w:line="360" w:lineRule="auto"/>
              <w:jc w:val="center"/>
              <w:rPr>
                <w:rFonts w:ascii="宋体" w:hAnsi="宋体" w:cs="宋体"/>
                <w:b/>
                <w:kern w:val="0"/>
                <w:sz w:val="32"/>
                <w:szCs w:val="32"/>
              </w:rPr>
            </w:pPr>
          </w:p>
        </w:tc>
        <w:tc>
          <w:tcPr>
            <w:tcW w:w="1276" w:type="dxa"/>
          </w:tcPr>
          <w:p>
            <w:pPr>
              <w:spacing w:line="360" w:lineRule="auto"/>
              <w:jc w:val="center"/>
              <w:rPr>
                <w:rFonts w:ascii="宋体" w:hAnsi="宋体" w:cs="宋体"/>
                <w:b/>
                <w:kern w:val="0"/>
                <w:sz w:val="32"/>
                <w:szCs w:val="32"/>
              </w:rPr>
            </w:pPr>
          </w:p>
        </w:tc>
      </w:tr>
    </w:tbl>
    <w:p>
      <w:pPr>
        <w:spacing w:line="360" w:lineRule="auto"/>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ind w:firstLine="2891" w:firstLineChars="900"/>
        <w:rPr>
          <w:rFonts w:ascii="宋体" w:hAnsi="宋体" w:cs="宋体"/>
          <w:b/>
          <w:bCs/>
          <w:sz w:val="32"/>
          <w:szCs w:val="32"/>
        </w:rPr>
      </w:pPr>
    </w:p>
    <w:p>
      <w:pPr>
        <w:spacing w:line="360" w:lineRule="auto"/>
        <w:ind w:firstLine="2891" w:firstLineChars="900"/>
        <w:rPr>
          <w:rFonts w:ascii="宋体" w:hAnsi="宋体" w:cs="宋体"/>
          <w:b/>
          <w:bCs/>
          <w:sz w:val="32"/>
          <w:szCs w:val="32"/>
        </w:rPr>
      </w:pPr>
    </w:p>
    <w:p>
      <w:pPr>
        <w:spacing w:line="360" w:lineRule="auto"/>
        <w:ind w:firstLine="2891" w:firstLineChars="900"/>
        <w:rPr>
          <w:rFonts w:ascii="宋体" w:hAnsi="宋体" w:cs="宋体"/>
          <w:b/>
          <w:bCs/>
          <w:sz w:val="32"/>
          <w:szCs w:val="32"/>
        </w:rPr>
      </w:pPr>
    </w:p>
    <w:p>
      <w:pPr>
        <w:spacing w:line="360" w:lineRule="auto"/>
        <w:ind w:firstLine="2891" w:firstLineChars="900"/>
        <w:rPr>
          <w:rFonts w:ascii="宋体" w:hAnsi="宋体" w:cs="宋体"/>
          <w:b/>
          <w:bCs/>
          <w:sz w:val="32"/>
          <w:szCs w:val="32"/>
        </w:rPr>
      </w:pPr>
    </w:p>
    <w:p>
      <w:pPr>
        <w:spacing w:line="360" w:lineRule="auto"/>
        <w:ind w:firstLine="2891" w:firstLineChars="900"/>
        <w:rPr>
          <w:rFonts w:ascii="宋体" w:hAnsi="宋体" w:cs="宋体"/>
          <w:b/>
          <w:bCs/>
          <w:sz w:val="32"/>
          <w:szCs w:val="32"/>
        </w:rPr>
      </w:pPr>
    </w:p>
    <w:p>
      <w:pPr>
        <w:spacing w:line="360" w:lineRule="auto"/>
        <w:ind w:firstLine="1911" w:firstLineChars="595"/>
        <w:rPr>
          <w:rFonts w:ascii="宋体" w:hAnsi="宋体" w:cs="宋体"/>
          <w:b/>
          <w:kern w:val="0"/>
          <w:sz w:val="32"/>
          <w:szCs w:val="32"/>
        </w:rPr>
      </w:pPr>
      <w:r>
        <w:rPr>
          <w:rFonts w:hint="eastAsia" w:ascii="宋体" w:hAnsi="宋体" w:cs="宋体"/>
          <w:b/>
          <w:kern w:val="0"/>
          <w:sz w:val="32"/>
          <w:szCs w:val="32"/>
        </w:rPr>
        <w:t>六、</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 xml:space="preserve">杭州市上城区综合行政执法局、浙江科佳工程咨询有限公司 </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七、其他资信资料</w:t>
      </w:r>
    </w:p>
    <w:p>
      <w:pPr>
        <w:pStyle w:val="44"/>
        <w:spacing w:line="360" w:lineRule="auto"/>
        <w:rPr>
          <w:rFonts w:ascii="宋体" w:hAnsi="宋体" w:cs="宋体"/>
        </w:rPr>
      </w:pPr>
    </w:p>
    <w:tbl>
      <w:tblPr>
        <w:tblStyle w:val="62"/>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4"/>
        <w:gridCol w:w="1066"/>
        <w:gridCol w:w="113"/>
        <w:gridCol w:w="772"/>
        <w:gridCol w:w="2022"/>
        <w:gridCol w:w="681"/>
        <w:gridCol w:w="666"/>
        <w:gridCol w:w="686"/>
        <w:gridCol w:w="654"/>
        <w:gridCol w:w="649"/>
        <w:gridCol w:w="587"/>
        <w:gridCol w:w="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3" w:hRule="atLeast"/>
        </w:trPr>
        <w:tc>
          <w:tcPr>
            <w:tcW w:w="674" w:type="dxa"/>
            <w:vAlign w:val="center"/>
          </w:tcPr>
          <w:p>
            <w:pPr>
              <w:snapToGrid w:val="0"/>
              <w:spacing w:line="360" w:lineRule="auto"/>
              <w:jc w:val="center"/>
              <w:rPr>
                <w:rFonts w:ascii="宋体" w:hAnsi="宋体" w:cs="宋体"/>
                <w:sz w:val="24"/>
              </w:rPr>
            </w:pPr>
            <w:r>
              <w:rPr>
                <w:rFonts w:hint="eastAsia" w:ascii="宋体" w:hAnsi="宋体" w:cs="宋体"/>
                <w:sz w:val="24"/>
              </w:rPr>
              <w:t>单位名称</w:t>
            </w:r>
          </w:p>
        </w:tc>
        <w:tc>
          <w:tcPr>
            <w:tcW w:w="1066" w:type="dxa"/>
            <w:vAlign w:val="center"/>
          </w:tcPr>
          <w:p>
            <w:pPr>
              <w:snapToGrid w:val="0"/>
              <w:spacing w:line="360" w:lineRule="auto"/>
              <w:jc w:val="center"/>
              <w:rPr>
                <w:rFonts w:ascii="宋体" w:hAnsi="宋体" w:cs="宋体"/>
                <w:sz w:val="24"/>
              </w:rPr>
            </w:pPr>
          </w:p>
        </w:tc>
        <w:tc>
          <w:tcPr>
            <w:tcW w:w="885" w:type="dxa"/>
            <w:gridSpan w:val="2"/>
            <w:vAlign w:val="center"/>
          </w:tcPr>
          <w:p>
            <w:pPr>
              <w:snapToGrid w:val="0"/>
              <w:spacing w:line="360" w:lineRule="auto"/>
              <w:jc w:val="center"/>
              <w:rPr>
                <w:rFonts w:ascii="宋体" w:hAnsi="宋体" w:cs="宋体"/>
                <w:sz w:val="24"/>
              </w:rPr>
            </w:pPr>
            <w:r>
              <w:rPr>
                <w:rFonts w:hint="eastAsia" w:ascii="宋体" w:hAnsi="宋体" w:cs="宋体"/>
                <w:sz w:val="24"/>
              </w:rPr>
              <w:t>电话</w:t>
            </w:r>
          </w:p>
        </w:tc>
        <w:tc>
          <w:tcPr>
            <w:tcW w:w="2022" w:type="dxa"/>
            <w:vAlign w:val="center"/>
          </w:tcPr>
          <w:p>
            <w:pPr>
              <w:snapToGrid w:val="0"/>
              <w:spacing w:line="360" w:lineRule="auto"/>
              <w:jc w:val="center"/>
              <w:rPr>
                <w:rFonts w:ascii="宋体" w:hAnsi="宋体" w:cs="宋体"/>
                <w:sz w:val="24"/>
              </w:rPr>
            </w:pPr>
          </w:p>
        </w:tc>
        <w:tc>
          <w:tcPr>
            <w:tcW w:w="681" w:type="dxa"/>
            <w:vAlign w:val="center"/>
          </w:tcPr>
          <w:p>
            <w:pPr>
              <w:snapToGrid w:val="0"/>
              <w:spacing w:line="360" w:lineRule="auto"/>
              <w:jc w:val="center"/>
              <w:rPr>
                <w:rFonts w:ascii="宋体" w:hAnsi="宋体" w:cs="宋体"/>
                <w:sz w:val="24"/>
              </w:rPr>
            </w:pPr>
            <w:r>
              <w:rPr>
                <w:rFonts w:hint="eastAsia" w:ascii="宋体" w:hAnsi="宋体" w:cs="宋体"/>
                <w:sz w:val="24"/>
              </w:rPr>
              <w:t>主管部门</w:t>
            </w:r>
          </w:p>
        </w:tc>
        <w:tc>
          <w:tcPr>
            <w:tcW w:w="666" w:type="dxa"/>
            <w:vAlign w:val="center"/>
          </w:tcPr>
          <w:p>
            <w:pPr>
              <w:snapToGrid w:val="0"/>
              <w:spacing w:line="360" w:lineRule="auto"/>
              <w:jc w:val="center"/>
              <w:rPr>
                <w:rFonts w:ascii="宋体" w:hAnsi="宋体" w:cs="宋体"/>
                <w:sz w:val="24"/>
              </w:rPr>
            </w:pPr>
          </w:p>
        </w:tc>
        <w:tc>
          <w:tcPr>
            <w:tcW w:w="1340" w:type="dxa"/>
            <w:gridSpan w:val="2"/>
            <w:vAlign w:val="center"/>
          </w:tcPr>
          <w:p>
            <w:pPr>
              <w:snapToGrid w:val="0"/>
              <w:spacing w:line="360" w:lineRule="auto"/>
              <w:jc w:val="center"/>
              <w:rPr>
                <w:rFonts w:ascii="宋体" w:hAnsi="宋体" w:cs="宋体"/>
                <w:sz w:val="24"/>
              </w:rPr>
            </w:pPr>
            <w:r>
              <w:rPr>
                <w:rFonts w:hint="eastAsia" w:ascii="宋体" w:hAnsi="宋体" w:cs="宋体"/>
                <w:sz w:val="24"/>
              </w:rPr>
              <w:t>单位法人</w:t>
            </w:r>
          </w:p>
        </w:tc>
        <w:tc>
          <w:tcPr>
            <w:tcW w:w="649" w:type="dxa"/>
            <w:vAlign w:val="center"/>
          </w:tcPr>
          <w:p>
            <w:pPr>
              <w:snapToGrid w:val="0"/>
              <w:spacing w:line="360" w:lineRule="auto"/>
              <w:jc w:val="center"/>
              <w:rPr>
                <w:rFonts w:ascii="宋体" w:hAnsi="宋体" w:cs="宋体"/>
                <w:sz w:val="24"/>
              </w:rPr>
            </w:pPr>
          </w:p>
        </w:tc>
        <w:tc>
          <w:tcPr>
            <w:tcW w:w="587" w:type="dxa"/>
            <w:vAlign w:val="center"/>
          </w:tcPr>
          <w:p>
            <w:pPr>
              <w:snapToGrid w:val="0"/>
              <w:spacing w:line="360" w:lineRule="auto"/>
              <w:jc w:val="center"/>
              <w:rPr>
                <w:rFonts w:ascii="宋体" w:hAnsi="宋体" w:cs="宋体"/>
                <w:sz w:val="24"/>
              </w:rPr>
            </w:pPr>
            <w:r>
              <w:rPr>
                <w:rFonts w:hint="eastAsia" w:ascii="宋体" w:hAnsi="宋体" w:cs="宋体"/>
                <w:sz w:val="24"/>
              </w:rPr>
              <w:t>职务</w:t>
            </w:r>
          </w:p>
        </w:tc>
        <w:tc>
          <w:tcPr>
            <w:tcW w:w="565" w:type="dxa"/>
            <w:vAlign w:val="center"/>
          </w:tcPr>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3" w:hRule="atLeast"/>
        </w:trPr>
        <w:tc>
          <w:tcPr>
            <w:tcW w:w="674" w:type="dxa"/>
            <w:vAlign w:val="center"/>
          </w:tcPr>
          <w:p>
            <w:pPr>
              <w:snapToGrid w:val="0"/>
              <w:spacing w:line="360" w:lineRule="auto"/>
              <w:jc w:val="center"/>
              <w:rPr>
                <w:rFonts w:ascii="宋体" w:hAnsi="宋体" w:cs="宋体"/>
                <w:sz w:val="24"/>
              </w:rPr>
            </w:pPr>
            <w:r>
              <w:rPr>
                <w:rFonts w:hint="eastAsia" w:ascii="宋体" w:hAnsi="宋体" w:cs="宋体"/>
                <w:sz w:val="24"/>
              </w:rPr>
              <w:t>地 址</w:t>
            </w:r>
          </w:p>
        </w:tc>
        <w:tc>
          <w:tcPr>
            <w:tcW w:w="1066" w:type="dxa"/>
            <w:vAlign w:val="center"/>
          </w:tcPr>
          <w:p>
            <w:pPr>
              <w:snapToGrid w:val="0"/>
              <w:spacing w:line="360" w:lineRule="auto"/>
              <w:jc w:val="center"/>
              <w:rPr>
                <w:rFonts w:ascii="宋体" w:hAnsi="宋体" w:cs="宋体"/>
                <w:sz w:val="24"/>
              </w:rPr>
            </w:pPr>
          </w:p>
        </w:tc>
        <w:tc>
          <w:tcPr>
            <w:tcW w:w="885" w:type="dxa"/>
            <w:gridSpan w:val="2"/>
            <w:vAlign w:val="center"/>
          </w:tcPr>
          <w:p>
            <w:pPr>
              <w:snapToGrid w:val="0"/>
              <w:spacing w:line="360" w:lineRule="auto"/>
              <w:jc w:val="center"/>
              <w:rPr>
                <w:rFonts w:ascii="宋体" w:hAnsi="宋体" w:cs="宋体"/>
                <w:sz w:val="24"/>
              </w:rPr>
            </w:pPr>
            <w:r>
              <w:rPr>
                <w:rFonts w:hint="eastAsia" w:ascii="宋体" w:hAnsi="宋体" w:cs="宋体"/>
                <w:sz w:val="24"/>
              </w:rPr>
              <w:t>传真</w:t>
            </w:r>
          </w:p>
        </w:tc>
        <w:tc>
          <w:tcPr>
            <w:tcW w:w="2022" w:type="dxa"/>
            <w:vAlign w:val="center"/>
          </w:tcPr>
          <w:p>
            <w:pPr>
              <w:snapToGrid w:val="0"/>
              <w:spacing w:line="360" w:lineRule="auto"/>
              <w:jc w:val="center"/>
              <w:rPr>
                <w:rFonts w:ascii="宋体" w:hAnsi="宋体" w:cs="宋体"/>
                <w:sz w:val="24"/>
              </w:rPr>
            </w:pPr>
          </w:p>
        </w:tc>
        <w:tc>
          <w:tcPr>
            <w:tcW w:w="681" w:type="dxa"/>
            <w:vAlign w:val="center"/>
          </w:tcPr>
          <w:p>
            <w:pPr>
              <w:snapToGrid w:val="0"/>
              <w:spacing w:line="360" w:lineRule="auto"/>
              <w:jc w:val="center"/>
              <w:rPr>
                <w:rFonts w:ascii="宋体" w:hAnsi="宋体" w:cs="宋体"/>
                <w:sz w:val="24"/>
              </w:rPr>
            </w:pPr>
            <w:r>
              <w:rPr>
                <w:rFonts w:hint="eastAsia" w:ascii="宋体" w:hAnsi="宋体" w:cs="宋体"/>
                <w:sz w:val="24"/>
              </w:rPr>
              <w:t>单位性质</w:t>
            </w:r>
          </w:p>
        </w:tc>
        <w:tc>
          <w:tcPr>
            <w:tcW w:w="666" w:type="dxa"/>
            <w:vAlign w:val="center"/>
          </w:tcPr>
          <w:p>
            <w:pPr>
              <w:snapToGrid w:val="0"/>
              <w:spacing w:line="360" w:lineRule="auto"/>
              <w:jc w:val="center"/>
              <w:rPr>
                <w:rFonts w:ascii="宋体" w:hAnsi="宋体" w:cs="宋体"/>
                <w:sz w:val="24"/>
              </w:rPr>
            </w:pPr>
          </w:p>
        </w:tc>
        <w:tc>
          <w:tcPr>
            <w:tcW w:w="1340" w:type="dxa"/>
            <w:gridSpan w:val="2"/>
            <w:vAlign w:val="center"/>
          </w:tcPr>
          <w:p>
            <w:pPr>
              <w:snapToGrid w:val="0"/>
              <w:spacing w:line="360" w:lineRule="auto"/>
              <w:jc w:val="center"/>
              <w:rPr>
                <w:rFonts w:ascii="宋体" w:hAnsi="宋体" w:cs="宋体"/>
                <w:sz w:val="24"/>
              </w:rPr>
            </w:pPr>
            <w:r>
              <w:rPr>
                <w:rFonts w:hint="eastAsia" w:ascii="宋体" w:hAnsi="宋体" w:cs="宋体"/>
                <w:sz w:val="24"/>
              </w:rPr>
              <w:t>技术负责人</w:t>
            </w:r>
          </w:p>
        </w:tc>
        <w:tc>
          <w:tcPr>
            <w:tcW w:w="649" w:type="dxa"/>
            <w:vAlign w:val="center"/>
          </w:tcPr>
          <w:p>
            <w:pPr>
              <w:snapToGrid w:val="0"/>
              <w:spacing w:line="360" w:lineRule="auto"/>
              <w:jc w:val="center"/>
              <w:rPr>
                <w:rFonts w:ascii="宋体" w:hAnsi="宋体" w:cs="宋体"/>
                <w:sz w:val="24"/>
              </w:rPr>
            </w:pPr>
          </w:p>
        </w:tc>
        <w:tc>
          <w:tcPr>
            <w:tcW w:w="587" w:type="dxa"/>
            <w:vAlign w:val="center"/>
          </w:tcPr>
          <w:p>
            <w:pPr>
              <w:snapToGrid w:val="0"/>
              <w:spacing w:line="360" w:lineRule="auto"/>
              <w:jc w:val="center"/>
              <w:rPr>
                <w:rFonts w:ascii="宋体" w:hAnsi="宋体" w:cs="宋体"/>
                <w:sz w:val="24"/>
              </w:rPr>
            </w:pPr>
            <w:r>
              <w:rPr>
                <w:rFonts w:hint="eastAsia" w:ascii="宋体" w:hAnsi="宋体" w:cs="宋体"/>
                <w:sz w:val="24"/>
              </w:rPr>
              <w:t>职务</w:t>
            </w:r>
          </w:p>
        </w:tc>
        <w:tc>
          <w:tcPr>
            <w:tcW w:w="565" w:type="dxa"/>
            <w:vAlign w:val="center"/>
          </w:tcPr>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3" w:hRule="atLeast"/>
        </w:trPr>
        <w:tc>
          <w:tcPr>
            <w:tcW w:w="674" w:type="dxa"/>
            <w:vMerge w:val="restart"/>
            <w:vAlign w:val="center"/>
          </w:tcPr>
          <w:p>
            <w:pPr>
              <w:snapToGrid w:val="0"/>
              <w:spacing w:line="360" w:lineRule="auto"/>
              <w:jc w:val="center"/>
              <w:rPr>
                <w:rFonts w:ascii="宋体" w:hAnsi="宋体" w:cs="宋体"/>
                <w:sz w:val="24"/>
              </w:rPr>
            </w:pPr>
            <w:r>
              <w:rPr>
                <w:rFonts w:hint="eastAsia" w:ascii="宋体" w:hAnsi="宋体" w:cs="宋体"/>
                <w:sz w:val="24"/>
              </w:rPr>
              <w:t>单位概况</w:t>
            </w:r>
          </w:p>
        </w:tc>
        <w:tc>
          <w:tcPr>
            <w:tcW w:w="1179" w:type="dxa"/>
            <w:gridSpan w:val="2"/>
            <w:vAlign w:val="center"/>
          </w:tcPr>
          <w:p>
            <w:pPr>
              <w:snapToGrid w:val="0"/>
              <w:spacing w:line="360" w:lineRule="auto"/>
              <w:jc w:val="center"/>
              <w:rPr>
                <w:rFonts w:ascii="宋体" w:hAnsi="宋体" w:cs="宋体"/>
                <w:sz w:val="24"/>
              </w:rPr>
            </w:pPr>
            <w:r>
              <w:rPr>
                <w:rFonts w:hint="eastAsia" w:ascii="宋体" w:hAnsi="宋体" w:cs="宋体"/>
                <w:sz w:val="24"/>
              </w:rPr>
              <w:t>营业执照经营范围</w:t>
            </w:r>
          </w:p>
        </w:tc>
        <w:tc>
          <w:tcPr>
            <w:tcW w:w="2794" w:type="dxa"/>
            <w:gridSpan w:val="2"/>
            <w:vAlign w:val="center"/>
          </w:tcPr>
          <w:p>
            <w:pPr>
              <w:snapToGrid w:val="0"/>
              <w:spacing w:line="360" w:lineRule="auto"/>
              <w:jc w:val="left"/>
              <w:rPr>
                <w:rFonts w:ascii="宋体" w:hAnsi="宋体" w:cs="宋体"/>
                <w:sz w:val="24"/>
              </w:rPr>
            </w:pPr>
          </w:p>
        </w:tc>
        <w:tc>
          <w:tcPr>
            <w:tcW w:w="681" w:type="dxa"/>
            <w:vMerge w:val="restart"/>
            <w:vAlign w:val="center"/>
          </w:tcPr>
          <w:p>
            <w:pPr>
              <w:snapToGrid w:val="0"/>
              <w:spacing w:line="360" w:lineRule="auto"/>
              <w:jc w:val="center"/>
              <w:rPr>
                <w:rFonts w:ascii="宋体" w:hAnsi="宋体" w:cs="宋体"/>
                <w:sz w:val="24"/>
              </w:rPr>
            </w:pPr>
            <w:r>
              <w:rPr>
                <w:rFonts w:hint="eastAsia" w:ascii="宋体" w:hAnsi="宋体" w:cs="宋体"/>
                <w:sz w:val="24"/>
              </w:rPr>
              <w:t>上一年主要经济指标</w:t>
            </w:r>
          </w:p>
        </w:tc>
        <w:tc>
          <w:tcPr>
            <w:tcW w:w="1352" w:type="dxa"/>
            <w:gridSpan w:val="2"/>
            <w:tcBorders>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年营业收入</w:t>
            </w:r>
          </w:p>
        </w:tc>
        <w:tc>
          <w:tcPr>
            <w:tcW w:w="2455" w:type="dxa"/>
            <w:gridSpan w:val="4"/>
            <w:tcBorders>
              <w:left w:val="single" w:color="auto" w:sz="4" w:space="0"/>
            </w:tcBorders>
            <w:vAlign w:val="center"/>
          </w:tcPr>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3" w:hRule="atLeast"/>
        </w:trPr>
        <w:tc>
          <w:tcPr>
            <w:tcW w:w="674" w:type="dxa"/>
            <w:vMerge w:val="continue"/>
            <w:vAlign w:val="center"/>
          </w:tcPr>
          <w:p>
            <w:pPr>
              <w:snapToGrid w:val="0"/>
              <w:spacing w:line="360" w:lineRule="auto"/>
              <w:jc w:val="center"/>
              <w:rPr>
                <w:rFonts w:ascii="宋体" w:hAnsi="宋体" w:cs="宋体"/>
                <w:sz w:val="24"/>
              </w:rPr>
            </w:pPr>
          </w:p>
        </w:tc>
        <w:tc>
          <w:tcPr>
            <w:tcW w:w="1179" w:type="dxa"/>
            <w:gridSpan w:val="2"/>
            <w:vAlign w:val="center"/>
          </w:tcPr>
          <w:p>
            <w:pPr>
              <w:snapToGrid w:val="0"/>
              <w:spacing w:line="360" w:lineRule="auto"/>
              <w:jc w:val="center"/>
              <w:rPr>
                <w:rFonts w:ascii="宋体" w:hAnsi="宋体" w:cs="宋体"/>
                <w:sz w:val="24"/>
              </w:rPr>
            </w:pPr>
            <w:r>
              <w:rPr>
                <w:rFonts w:hint="eastAsia" w:ascii="宋体" w:hAnsi="宋体" w:cs="宋体"/>
                <w:sz w:val="24"/>
              </w:rPr>
              <w:t>统一社会信用代码</w:t>
            </w:r>
          </w:p>
        </w:tc>
        <w:tc>
          <w:tcPr>
            <w:tcW w:w="2794" w:type="dxa"/>
            <w:gridSpan w:val="2"/>
            <w:vAlign w:val="center"/>
          </w:tcPr>
          <w:p>
            <w:pPr>
              <w:snapToGrid w:val="0"/>
              <w:spacing w:line="360" w:lineRule="auto"/>
              <w:jc w:val="center"/>
              <w:rPr>
                <w:rFonts w:ascii="宋体" w:hAnsi="宋体" w:cs="宋体"/>
                <w:sz w:val="24"/>
              </w:rPr>
            </w:pPr>
          </w:p>
        </w:tc>
        <w:tc>
          <w:tcPr>
            <w:tcW w:w="681" w:type="dxa"/>
            <w:vMerge w:val="continue"/>
            <w:vAlign w:val="center"/>
          </w:tcPr>
          <w:p>
            <w:pPr>
              <w:snapToGrid w:val="0"/>
              <w:spacing w:line="360" w:lineRule="auto"/>
              <w:jc w:val="center"/>
              <w:rPr>
                <w:rFonts w:ascii="宋体" w:hAnsi="宋体" w:cs="宋体"/>
                <w:sz w:val="24"/>
              </w:rPr>
            </w:pPr>
          </w:p>
        </w:tc>
        <w:tc>
          <w:tcPr>
            <w:tcW w:w="1352" w:type="dxa"/>
            <w:gridSpan w:val="2"/>
            <w:tcBorders>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资产总额</w:t>
            </w:r>
          </w:p>
        </w:tc>
        <w:tc>
          <w:tcPr>
            <w:tcW w:w="2455" w:type="dxa"/>
            <w:gridSpan w:val="4"/>
            <w:tcBorders>
              <w:left w:val="single" w:color="auto" w:sz="4" w:space="0"/>
            </w:tcBorders>
            <w:vAlign w:val="center"/>
          </w:tcPr>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6" w:hRule="atLeast"/>
        </w:trPr>
        <w:tc>
          <w:tcPr>
            <w:tcW w:w="674" w:type="dxa"/>
            <w:vMerge w:val="continue"/>
            <w:vAlign w:val="center"/>
          </w:tcPr>
          <w:p>
            <w:pPr>
              <w:snapToGrid w:val="0"/>
              <w:spacing w:line="360" w:lineRule="auto"/>
              <w:jc w:val="center"/>
              <w:rPr>
                <w:rFonts w:ascii="宋体" w:hAnsi="宋体" w:cs="宋体"/>
                <w:sz w:val="24"/>
              </w:rPr>
            </w:pPr>
          </w:p>
        </w:tc>
        <w:tc>
          <w:tcPr>
            <w:tcW w:w="1179" w:type="dxa"/>
            <w:gridSpan w:val="2"/>
            <w:vAlign w:val="center"/>
          </w:tcPr>
          <w:p>
            <w:pPr>
              <w:snapToGrid w:val="0"/>
              <w:spacing w:line="360" w:lineRule="auto"/>
              <w:jc w:val="center"/>
              <w:rPr>
                <w:rFonts w:ascii="宋体" w:hAnsi="宋体" w:cs="宋体"/>
                <w:sz w:val="24"/>
              </w:rPr>
            </w:pPr>
            <w:r>
              <w:rPr>
                <w:rFonts w:hint="eastAsia" w:ascii="宋体" w:hAnsi="宋体" w:cs="宋体"/>
                <w:sz w:val="24"/>
              </w:rPr>
              <w:t>资质情况</w:t>
            </w:r>
          </w:p>
        </w:tc>
        <w:tc>
          <w:tcPr>
            <w:tcW w:w="2794" w:type="dxa"/>
            <w:gridSpan w:val="2"/>
            <w:vAlign w:val="center"/>
          </w:tcPr>
          <w:p>
            <w:pPr>
              <w:snapToGrid w:val="0"/>
              <w:spacing w:line="360" w:lineRule="auto"/>
              <w:jc w:val="center"/>
              <w:rPr>
                <w:rFonts w:ascii="宋体" w:hAnsi="宋体" w:cs="宋体"/>
                <w:sz w:val="24"/>
              </w:rPr>
            </w:pPr>
          </w:p>
        </w:tc>
        <w:tc>
          <w:tcPr>
            <w:tcW w:w="681" w:type="dxa"/>
            <w:vMerge w:val="continue"/>
            <w:vAlign w:val="center"/>
          </w:tcPr>
          <w:p>
            <w:pPr>
              <w:snapToGrid w:val="0"/>
              <w:spacing w:line="360" w:lineRule="auto"/>
              <w:jc w:val="center"/>
              <w:rPr>
                <w:rFonts w:ascii="宋体" w:hAnsi="宋体" w:cs="宋体"/>
                <w:sz w:val="24"/>
              </w:rPr>
            </w:pPr>
          </w:p>
        </w:tc>
        <w:tc>
          <w:tcPr>
            <w:tcW w:w="1352" w:type="dxa"/>
            <w:gridSpan w:val="2"/>
            <w:tcBorders>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455" w:type="dxa"/>
            <w:gridSpan w:val="4"/>
            <w:tcBorders>
              <w:left w:val="single" w:color="auto" w:sz="4" w:space="0"/>
              <w:bottom w:val="single" w:color="auto" w:sz="4" w:space="0"/>
            </w:tcBorders>
            <w:vAlign w:val="center"/>
          </w:tcPr>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6" w:hRule="atLeast"/>
        </w:trPr>
        <w:tc>
          <w:tcPr>
            <w:tcW w:w="674" w:type="dxa"/>
            <w:vMerge w:val="continue"/>
            <w:vAlign w:val="center"/>
          </w:tcPr>
          <w:p>
            <w:pPr>
              <w:snapToGrid w:val="0"/>
              <w:spacing w:line="360" w:lineRule="auto"/>
              <w:jc w:val="center"/>
              <w:rPr>
                <w:rFonts w:ascii="宋体" w:hAnsi="宋体" w:cs="宋体"/>
                <w:sz w:val="24"/>
              </w:rPr>
            </w:pPr>
          </w:p>
        </w:tc>
        <w:tc>
          <w:tcPr>
            <w:tcW w:w="1179" w:type="dxa"/>
            <w:gridSpan w:val="2"/>
            <w:vAlign w:val="center"/>
          </w:tcPr>
          <w:p>
            <w:pPr>
              <w:snapToGrid w:val="0"/>
              <w:spacing w:line="360" w:lineRule="auto"/>
              <w:jc w:val="center"/>
              <w:rPr>
                <w:rFonts w:ascii="宋体" w:hAnsi="宋体" w:cs="宋体"/>
                <w:sz w:val="24"/>
              </w:rPr>
            </w:pPr>
            <w:r>
              <w:rPr>
                <w:rFonts w:hint="eastAsia" w:ascii="宋体" w:hAnsi="宋体" w:cs="宋体"/>
                <w:sz w:val="24"/>
              </w:rPr>
              <w:t>信用情况</w:t>
            </w:r>
          </w:p>
        </w:tc>
        <w:tc>
          <w:tcPr>
            <w:tcW w:w="2794" w:type="dxa"/>
            <w:gridSpan w:val="2"/>
            <w:vAlign w:val="center"/>
          </w:tcPr>
          <w:p>
            <w:pPr>
              <w:snapToGrid w:val="0"/>
              <w:spacing w:line="360" w:lineRule="auto"/>
              <w:jc w:val="center"/>
              <w:rPr>
                <w:rFonts w:ascii="宋体" w:hAnsi="宋体" w:cs="宋体"/>
                <w:sz w:val="24"/>
              </w:rPr>
            </w:pPr>
          </w:p>
        </w:tc>
        <w:tc>
          <w:tcPr>
            <w:tcW w:w="681" w:type="dxa"/>
            <w:vMerge w:val="continue"/>
            <w:vAlign w:val="center"/>
          </w:tcPr>
          <w:p>
            <w:pPr>
              <w:snapToGrid w:val="0"/>
              <w:spacing w:line="360" w:lineRule="auto"/>
              <w:jc w:val="center"/>
              <w:rPr>
                <w:rFonts w:ascii="宋体" w:hAnsi="宋体" w:cs="宋体"/>
                <w:sz w:val="24"/>
              </w:rPr>
            </w:pPr>
          </w:p>
        </w:tc>
        <w:tc>
          <w:tcPr>
            <w:tcW w:w="1352" w:type="dxa"/>
            <w:gridSpan w:val="2"/>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455" w:type="dxa"/>
            <w:gridSpan w:val="4"/>
            <w:tcBorders>
              <w:top w:val="single" w:color="auto" w:sz="4" w:space="0"/>
              <w:left w:val="single" w:color="auto" w:sz="4" w:space="0"/>
              <w:bottom w:val="single" w:color="auto" w:sz="4" w:space="0"/>
            </w:tcBorders>
            <w:vAlign w:val="center"/>
          </w:tcPr>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6" w:hRule="atLeast"/>
        </w:trPr>
        <w:tc>
          <w:tcPr>
            <w:tcW w:w="674" w:type="dxa"/>
            <w:vMerge w:val="continue"/>
            <w:vAlign w:val="center"/>
          </w:tcPr>
          <w:p>
            <w:pPr>
              <w:snapToGrid w:val="0"/>
              <w:spacing w:line="360" w:lineRule="auto"/>
              <w:jc w:val="center"/>
              <w:rPr>
                <w:rFonts w:ascii="宋体" w:hAnsi="宋体" w:cs="宋体"/>
                <w:sz w:val="24"/>
              </w:rPr>
            </w:pPr>
          </w:p>
        </w:tc>
        <w:tc>
          <w:tcPr>
            <w:tcW w:w="1179" w:type="dxa"/>
            <w:gridSpan w:val="2"/>
            <w:tcBorders>
              <w:bottom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荣誉情况</w:t>
            </w:r>
          </w:p>
        </w:tc>
        <w:tc>
          <w:tcPr>
            <w:tcW w:w="2794" w:type="dxa"/>
            <w:gridSpan w:val="2"/>
            <w:tcBorders>
              <w:bottom w:val="single" w:color="auto" w:sz="4" w:space="0"/>
            </w:tcBorders>
            <w:vAlign w:val="center"/>
          </w:tcPr>
          <w:p>
            <w:pPr>
              <w:snapToGrid w:val="0"/>
              <w:spacing w:line="360" w:lineRule="auto"/>
              <w:jc w:val="center"/>
              <w:rPr>
                <w:rFonts w:ascii="宋体" w:hAnsi="宋体" w:cs="宋体"/>
                <w:sz w:val="24"/>
              </w:rPr>
            </w:pPr>
          </w:p>
        </w:tc>
        <w:tc>
          <w:tcPr>
            <w:tcW w:w="681" w:type="dxa"/>
            <w:vMerge w:val="continue"/>
            <w:vAlign w:val="center"/>
          </w:tcPr>
          <w:p>
            <w:pPr>
              <w:snapToGrid w:val="0"/>
              <w:spacing w:line="360" w:lineRule="auto"/>
              <w:jc w:val="center"/>
              <w:rPr>
                <w:rFonts w:ascii="宋体" w:hAnsi="宋体" w:cs="宋体"/>
                <w:sz w:val="24"/>
              </w:rPr>
            </w:pPr>
          </w:p>
        </w:tc>
        <w:tc>
          <w:tcPr>
            <w:tcW w:w="1352" w:type="dxa"/>
            <w:gridSpan w:val="2"/>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455" w:type="dxa"/>
            <w:gridSpan w:val="4"/>
            <w:tcBorders>
              <w:top w:val="single" w:color="auto" w:sz="4" w:space="0"/>
              <w:left w:val="single" w:color="auto" w:sz="4" w:space="0"/>
            </w:tcBorders>
            <w:vAlign w:val="center"/>
          </w:tcPr>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6" w:hRule="atLeast"/>
        </w:trPr>
        <w:tc>
          <w:tcPr>
            <w:tcW w:w="674" w:type="dxa"/>
            <w:vMerge w:val="continue"/>
            <w:vAlign w:val="center"/>
          </w:tcPr>
          <w:p>
            <w:pPr>
              <w:snapToGrid w:val="0"/>
              <w:spacing w:line="360" w:lineRule="auto"/>
              <w:jc w:val="center"/>
              <w:rPr>
                <w:rFonts w:ascii="宋体" w:hAnsi="宋体" w:cs="宋体"/>
                <w:sz w:val="24"/>
              </w:rPr>
            </w:pPr>
          </w:p>
        </w:tc>
        <w:tc>
          <w:tcPr>
            <w:tcW w:w="1179" w:type="dxa"/>
            <w:gridSpan w:val="2"/>
            <w:tcBorders>
              <w:bottom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体系认证</w:t>
            </w:r>
          </w:p>
        </w:tc>
        <w:tc>
          <w:tcPr>
            <w:tcW w:w="2794" w:type="dxa"/>
            <w:gridSpan w:val="2"/>
            <w:tcBorders>
              <w:bottom w:val="single" w:color="auto" w:sz="4" w:space="0"/>
            </w:tcBorders>
            <w:vAlign w:val="center"/>
          </w:tcPr>
          <w:p>
            <w:pPr>
              <w:snapToGrid w:val="0"/>
              <w:spacing w:line="360" w:lineRule="auto"/>
              <w:jc w:val="center"/>
              <w:rPr>
                <w:rFonts w:ascii="宋体" w:hAnsi="宋体" w:cs="宋体"/>
                <w:sz w:val="24"/>
              </w:rPr>
            </w:pPr>
          </w:p>
        </w:tc>
        <w:tc>
          <w:tcPr>
            <w:tcW w:w="681" w:type="dxa"/>
            <w:vMerge w:val="continue"/>
            <w:vAlign w:val="center"/>
          </w:tcPr>
          <w:p>
            <w:pPr>
              <w:snapToGrid w:val="0"/>
              <w:spacing w:line="360" w:lineRule="auto"/>
              <w:jc w:val="center"/>
              <w:rPr>
                <w:rFonts w:ascii="宋体" w:hAnsi="宋体" w:cs="宋体"/>
                <w:sz w:val="24"/>
              </w:rPr>
            </w:pPr>
          </w:p>
        </w:tc>
        <w:tc>
          <w:tcPr>
            <w:tcW w:w="1352" w:type="dxa"/>
            <w:gridSpan w:val="2"/>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455" w:type="dxa"/>
            <w:gridSpan w:val="4"/>
            <w:tcBorders>
              <w:top w:val="single" w:color="auto" w:sz="4" w:space="0"/>
              <w:left w:val="single" w:color="auto" w:sz="4" w:space="0"/>
            </w:tcBorders>
            <w:vAlign w:val="center"/>
          </w:tcPr>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6" w:hRule="atLeast"/>
        </w:trPr>
        <w:tc>
          <w:tcPr>
            <w:tcW w:w="674" w:type="dxa"/>
            <w:vMerge w:val="continue"/>
            <w:vAlign w:val="center"/>
          </w:tcPr>
          <w:p>
            <w:pPr>
              <w:snapToGrid w:val="0"/>
              <w:spacing w:line="360" w:lineRule="auto"/>
              <w:jc w:val="center"/>
              <w:rPr>
                <w:rFonts w:ascii="宋体" w:hAnsi="宋体" w:cs="宋体"/>
                <w:sz w:val="24"/>
              </w:rPr>
            </w:pPr>
          </w:p>
        </w:tc>
        <w:tc>
          <w:tcPr>
            <w:tcW w:w="1179" w:type="dxa"/>
            <w:gridSpan w:val="2"/>
            <w:tcBorders>
              <w:bottom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开户银行</w:t>
            </w:r>
          </w:p>
        </w:tc>
        <w:tc>
          <w:tcPr>
            <w:tcW w:w="2794" w:type="dxa"/>
            <w:gridSpan w:val="2"/>
            <w:tcBorders>
              <w:bottom w:val="single" w:color="auto" w:sz="4" w:space="0"/>
            </w:tcBorders>
            <w:vAlign w:val="center"/>
          </w:tcPr>
          <w:p>
            <w:pPr>
              <w:snapToGrid w:val="0"/>
              <w:spacing w:line="360" w:lineRule="auto"/>
              <w:jc w:val="center"/>
              <w:rPr>
                <w:rFonts w:ascii="宋体" w:hAnsi="宋体" w:cs="宋体"/>
                <w:sz w:val="24"/>
              </w:rPr>
            </w:pPr>
          </w:p>
        </w:tc>
        <w:tc>
          <w:tcPr>
            <w:tcW w:w="681" w:type="dxa"/>
            <w:vMerge w:val="continue"/>
            <w:vAlign w:val="center"/>
          </w:tcPr>
          <w:p>
            <w:pPr>
              <w:snapToGrid w:val="0"/>
              <w:spacing w:line="360" w:lineRule="auto"/>
              <w:jc w:val="center"/>
              <w:rPr>
                <w:rFonts w:ascii="宋体" w:hAnsi="宋体" w:cs="宋体"/>
                <w:sz w:val="24"/>
              </w:rPr>
            </w:pPr>
          </w:p>
        </w:tc>
        <w:tc>
          <w:tcPr>
            <w:tcW w:w="1352" w:type="dxa"/>
            <w:gridSpan w:val="2"/>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455" w:type="dxa"/>
            <w:gridSpan w:val="4"/>
            <w:tcBorders>
              <w:top w:val="single" w:color="auto" w:sz="4" w:space="0"/>
              <w:left w:val="single" w:color="auto" w:sz="4" w:space="0"/>
            </w:tcBorders>
            <w:vAlign w:val="center"/>
          </w:tcPr>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6" w:hRule="atLeast"/>
        </w:trPr>
        <w:tc>
          <w:tcPr>
            <w:tcW w:w="674" w:type="dxa"/>
            <w:vMerge w:val="continue"/>
            <w:vAlign w:val="center"/>
          </w:tcPr>
          <w:p>
            <w:pPr>
              <w:snapToGrid w:val="0"/>
              <w:spacing w:line="360" w:lineRule="auto"/>
              <w:jc w:val="center"/>
              <w:rPr>
                <w:rFonts w:ascii="宋体" w:hAnsi="宋体" w:cs="宋体"/>
                <w:sz w:val="24"/>
              </w:rPr>
            </w:pPr>
          </w:p>
        </w:tc>
        <w:tc>
          <w:tcPr>
            <w:tcW w:w="1179" w:type="dxa"/>
            <w:gridSpan w:val="2"/>
            <w:tcBorders>
              <w:bottom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账号</w:t>
            </w:r>
          </w:p>
        </w:tc>
        <w:tc>
          <w:tcPr>
            <w:tcW w:w="2794" w:type="dxa"/>
            <w:gridSpan w:val="2"/>
            <w:tcBorders>
              <w:bottom w:val="single" w:color="auto" w:sz="4" w:space="0"/>
            </w:tcBorders>
            <w:vAlign w:val="center"/>
          </w:tcPr>
          <w:p>
            <w:pPr>
              <w:snapToGrid w:val="0"/>
              <w:spacing w:line="360" w:lineRule="auto"/>
              <w:jc w:val="center"/>
              <w:rPr>
                <w:rFonts w:ascii="宋体" w:hAnsi="宋体" w:cs="宋体"/>
                <w:sz w:val="24"/>
              </w:rPr>
            </w:pPr>
          </w:p>
        </w:tc>
        <w:tc>
          <w:tcPr>
            <w:tcW w:w="681" w:type="dxa"/>
            <w:vMerge w:val="continue"/>
            <w:vAlign w:val="center"/>
          </w:tcPr>
          <w:p>
            <w:pPr>
              <w:snapToGrid w:val="0"/>
              <w:spacing w:line="360" w:lineRule="auto"/>
              <w:jc w:val="center"/>
              <w:rPr>
                <w:rFonts w:ascii="宋体" w:hAnsi="宋体" w:cs="宋体"/>
                <w:sz w:val="24"/>
              </w:rPr>
            </w:pPr>
          </w:p>
        </w:tc>
        <w:tc>
          <w:tcPr>
            <w:tcW w:w="1352" w:type="dxa"/>
            <w:gridSpan w:val="2"/>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455" w:type="dxa"/>
            <w:gridSpan w:val="4"/>
            <w:tcBorders>
              <w:top w:val="single" w:color="auto" w:sz="4" w:space="0"/>
              <w:left w:val="single" w:color="auto" w:sz="4" w:space="0"/>
            </w:tcBorders>
            <w:vAlign w:val="center"/>
          </w:tcPr>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3" w:hRule="atLeast"/>
        </w:trPr>
        <w:tc>
          <w:tcPr>
            <w:tcW w:w="674" w:type="dxa"/>
            <w:vMerge w:val="continue"/>
            <w:tcBorders>
              <w:bottom w:val="single" w:color="auto" w:sz="4" w:space="0"/>
            </w:tcBorders>
            <w:vAlign w:val="center"/>
          </w:tcPr>
          <w:p>
            <w:pPr>
              <w:snapToGrid w:val="0"/>
              <w:spacing w:line="360" w:lineRule="auto"/>
              <w:jc w:val="center"/>
              <w:rPr>
                <w:rFonts w:ascii="宋体" w:hAnsi="宋体" w:cs="宋体"/>
                <w:sz w:val="24"/>
              </w:rPr>
            </w:pPr>
          </w:p>
        </w:tc>
        <w:tc>
          <w:tcPr>
            <w:tcW w:w="1179" w:type="dxa"/>
            <w:gridSpan w:val="2"/>
            <w:tcBorders>
              <w:bottom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职工总数</w:t>
            </w:r>
          </w:p>
        </w:tc>
        <w:tc>
          <w:tcPr>
            <w:tcW w:w="2794" w:type="dxa"/>
            <w:gridSpan w:val="2"/>
            <w:tcBorders>
              <w:bottom w:val="single" w:color="auto" w:sz="4" w:space="0"/>
            </w:tcBorders>
            <w:vAlign w:val="center"/>
          </w:tcPr>
          <w:p>
            <w:pPr>
              <w:snapToGrid w:val="0"/>
              <w:spacing w:line="360" w:lineRule="auto"/>
              <w:jc w:val="left"/>
              <w:rPr>
                <w:rFonts w:ascii="宋体" w:hAnsi="宋体" w:cs="宋体"/>
                <w:sz w:val="24"/>
              </w:rPr>
            </w:pPr>
            <w:r>
              <w:rPr>
                <w:rFonts w:hint="eastAsia" w:ascii="宋体" w:hAnsi="宋体" w:cs="宋体"/>
                <w:sz w:val="24"/>
              </w:rPr>
              <w:t>共  人</w:t>
            </w:r>
          </w:p>
          <w:p>
            <w:pPr>
              <w:snapToGrid w:val="0"/>
              <w:spacing w:line="360" w:lineRule="auto"/>
              <w:jc w:val="left"/>
              <w:rPr>
                <w:rFonts w:ascii="宋体" w:hAnsi="宋体" w:cs="宋体"/>
                <w:sz w:val="24"/>
              </w:rPr>
            </w:pPr>
            <w:r>
              <w:rPr>
                <w:rFonts w:hint="eastAsia" w:ascii="宋体" w:hAnsi="宋体" w:cs="宋体"/>
                <w:sz w:val="24"/>
              </w:rPr>
              <w:t>其中：</w:t>
            </w:r>
          </w:p>
        </w:tc>
        <w:tc>
          <w:tcPr>
            <w:tcW w:w="681" w:type="dxa"/>
            <w:vMerge w:val="continue"/>
            <w:tcBorders>
              <w:bottom w:val="single" w:color="auto" w:sz="4" w:space="0"/>
            </w:tcBorders>
            <w:vAlign w:val="center"/>
          </w:tcPr>
          <w:p>
            <w:pPr>
              <w:snapToGrid w:val="0"/>
              <w:spacing w:line="360" w:lineRule="auto"/>
              <w:jc w:val="center"/>
              <w:rPr>
                <w:rFonts w:ascii="宋体" w:hAnsi="宋体" w:cs="宋体"/>
                <w:sz w:val="24"/>
              </w:rPr>
            </w:pPr>
          </w:p>
        </w:tc>
        <w:tc>
          <w:tcPr>
            <w:tcW w:w="1352" w:type="dxa"/>
            <w:gridSpan w:val="2"/>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455" w:type="dxa"/>
            <w:gridSpan w:val="4"/>
            <w:tcBorders>
              <w:top w:val="single" w:color="auto" w:sz="4" w:space="0"/>
              <w:left w:val="single" w:color="auto" w:sz="4" w:space="0"/>
            </w:tcBorders>
            <w:vAlign w:val="center"/>
          </w:tcPr>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atLeast"/>
        </w:trPr>
        <w:tc>
          <w:tcPr>
            <w:tcW w:w="674" w:type="dxa"/>
            <w:vAlign w:val="center"/>
          </w:tcPr>
          <w:p>
            <w:pPr>
              <w:snapToGrid w:val="0"/>
              <w:spacing w:line="360" w:lineRule="auto"/>
              <w:jc w:val="center"/>
              <w:rPr>
                <w:rFonts w:ascii="宋体" w:hAnsi="宋体" w:cs="宋体"/>
                <w:sz w:val="24"/>
              </w:rPr>
            </w:pPr>
            <w:r>
              <w:rPr>
                <w:rFonts w:hint="eastAsia" w:ascii="宋体" w:hAnsi="宋体" w:cs="宋体"/>
                <w:sz w:val="24"/>
              </w:rPr>
              <w:t>其他说明</w:t>
            </w:r>
          </w:p>
        </w:tc>
        <w:tc>
          <w:tcPr>
            <w:tcW w:w="8461" w:type="dxa"/>
            <w:gridSpan w:val="11"/>
            <w:vAlign w:val="center"/>
          </w:tcPr>
          <w:p>
            <w:pPr>
              <w:snapToGrid w:val="0"/>
              <w:spacing w:line="360" w:lineRule="auto"/>
              <w:jc w:val="center"/>
              <w:rPr>
                <w:rFonts w:ascii="宋体" w:hAnsi="宋体" w:cs="宋体"/>
                <w:sz w:val="24"/>
                <w:u w:val="single"/>
              </w:rPr>
            </w:pPr>
          </w:p>
        </w:tc>
      </w:tr>
    </w:tbl>
    <w:p>
      <w:pPr>
        <w:snapToGrid w:val="0"/>
        <w:spacing w:line="360" w:lineRule="auto"/>
        <w:ind w:firstLine="480" w:firstLineChars="200"/>
        <w:rPr>
          <w:rFonts w:ascii="宋体" w:hAnsi="宋体" w:cs="宋体"/>
          <w:sz w:val="24"/>
        </w:rPr>
      </w:pPr>
      <w:r>
        <w:rPr>
          <w:rFonts w:hint="eastAsia" w:ascii="宋体" w:hAnsi="宋体" w:cs="宋体"/>
          <w:sz w:val="24"/>
        </w:rPr>
        <w:t>【说明】：相关证明材料附后。</w:t>
      </w:r>
    </w:p>
    <w:p>
      <w:pPr>
        <w:spacing w:line="360" w:lineRule="auto"/>
        <w:rPr>
          <w:rFonts w:ascii="宋体" w:hAnsi="宋体" w:cs="宋体"/>
          <w:sz w:val="24"/>
        </w:rPr>
      </w:pPr>
      <w:r>
        <w:rPr>
          <w:rFonts w:hint="eastAsia" w:ascii="宋体" w:hAnsi="宋体" w:cs="宋体"/>
          <w:sz w:val="24"/>
        </w:rPr>
        <w:t xml:space="preserve">投标人名称(电子签名)：                              </w:t>
      </w:r>
    </w:p>
    <w:p>
      <w:pPr>
        <w:spacing w:line="360" w:lineRule="auto"/>
        <w:rPr>
          <w:rFonts w:ascii="宋体" w:hAnsi="宋体" w:cs="宋体"/>
          <w:b/>
          <w:kern w:val="0"/>
          <w:sz w:val="32"/>
          <w:szCs w:val="32"/>
        </w:rPr>
      </w:pPr>
      <w:r>
        <w:rPr>
          <w:rFonts w:hint="eastAsia" w:ascii="宋体" w:hAnsi="宋体" w:cs="宋体"/>
          <w:sz w:val="24"/>
        </w:rPr>
        <w:t>日期：  年  月  日</w:t>
      </w:r>
      <w:r>
        <w:rPr>
          <w:rFonts w:hint="eastAsia" w:ascii="宋体" w:hAnsi="宋体" w:cs="宋体"/>
          <w:b/>
          <w:kern w:val="0"/>
          <w:sz w:val="32"/>
          <w:szCs w:val="32"/>
        </w:rPr>
        <w:br w:type="page"/>
      </w: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八、同类业绩表</w:t>
      </w:r>
    </w:p>
    <w:p>
      <w:pPr>
        <w:snapToGrid w:val="0"/>
        <w:spacing w:line="360" w:lineRule="auto"/>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项目名称：龙山河等4条河道设施长效管养招标项目</w:t>
      </w:r>
    </w:p>
    <w:p>
      <w:pPr>
        <w:snapToGrid w:val="0"/>
        <w:spacing w:line="360" w:lineRule="auto"/>
        <w:rPr>
          <w:rFonts w:ascii="宋体" w:hAnsi="宋体" w:cs="宋体"/>
          <w:sz w:val="24"/>
        </w:rPr>
      </w:pPr>
      <w:r>
        <w:rPr>
          <w:rFonts w:hint="eastAsia" w:ascii="宋体" w:hAnsi="宋体" w:cs="宋体"/>
          <w:sz w:val="24"/>
        </w:rPr>
        <w:t>项目编号：上城政采分-2022-01317-</w:t>
      </w:r>
    </w:p>
    <w:p>
      <w:pPr>
        <w:pStyle w:val="638"/>
        <w:spacing w:line="360" w:lineRule="auto"/>
        <w:ind w:firstLine="0" w:firstLineChars="0"/>
        <w:rPr>
          <w:rFonts w:hAnsi="宋体" w:cs="宋体"/>
          <w:sz w:val="24"/>
          <w:szCs w:val="24"/>
        </w:rPr>
      </w:pPr>
      <w:r>
        <w:rPr>
          <w:rFonts w:hint="eastAsia" w:hAnsi="宋体" w:cs="宋体"/>
          <w:sz w:val="24"/>
          <w:szCs w:val="24"/>
        </w:rPr>
        <w:t>标项名称：龙山河等4条河道设施长效管养招标项目</w:t>
      </w:r>
    </w:p>
    <w:tbl>
      <w:tblPr>
        <w:tblStyle w:val="62"/>
        <w:tblW w:w="9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80"/>
        <w:gridCol w:w="1440"/>
        <w:gridCol w:w="1390"/>
        <w:gridCol w:w="1310"/>
        <w:gridCol w:w="1080"/>
        <w:gridCol w:w="900"/>
        <w:gridCol w:w="900"/>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snapToGrid w:val="0"/>
              <w:spacing w:line="360" w:lineRule="auto"/>
              <w:jc w:val="center"/>
              <w:rPr>
                <w:rFonts w:ascii="宋体" w:hAnsi="宋体" w:cs="宋体"/>
                <w:caps/>
                <w:sz w:val="24"/>
              </w:rPr>
            </w:pPr>
            <w:r>
              <w:rPr>
                <w:rFonts w:hint="eastAsia" w:ascii="宋体" w:hAnsi="宋体" w:cs="宋体"/>
                <w:caps/>
                <w:sz w:val="24"/>
              </w:rPr>
              <w:t>序号</w:t>
            </w:r>
          </w:p>
        </w:tc>
        <w:tc>
          <w:tcPr>
            <w:tcW w:w="1080" w:type="dxa"/>
            <w:vAlign w:val="center"/>
          </w:tcPr>
          <w:p>
            <w:pPr>
              <w:snapToGrid w:val="0"/>
              <w:spacing w:line="360" w:lineRule="auto"/>
              <w:jc w:val="center"/>
              <w:rPr>
                <w:rFonts w:ascii="宋体" w:hAnsi="宋体" w:cs="宋体"/>
                <w:caps/>
                <w:sz w:val="24"/>
              </w:rPr>
            </w:pPr>
            <w:r>
              <w:rPr>
                <w:rFonts w:hint="eastAsia" w:ascii="宋体" w:hAnsi="宋体" w:cs="宋体"/>
                <w:sz w:val="24"/>
              </w:rPr>
              <w:t>合同编号</w:t>
            </w:r>
          </w:p>
        </w:tc>
        <w:tc>
          <w:tcPr>
            <w:tcW w:w="1440" w:type="dxa"/>
            <w:vAlign w:val="center"/>
          </w:tcPr>
          <w:p>
            <w:pPr>
              <w:snapToGrid w:val="0"/>
              <w:spacing w:line="360" w:lineRule="auto"/>
              <w:jc w:val="center"/>
              <w:rPr>
                <w:rFonts w:ascii="宋体" w:hAnsi="宋体" w:cs="宋体"/>
                <w:caps/>
                <w:sz w:val="24"/>
              </w:rPr>
            </w:pPr>
            <w:r>
              <w:rPr>
                <w:rFonts w:hint="eastAsia" w:ascii="宋体" w:hAnsi="宋体" w:cs="宋体"/>
                <w:caps/>
                <w:sz w:val="24"/>
              </w:rPr>
              <w:t>用户名称</w:t>
            </w:r>
          </w:p>
        </w:tc>
        <w:tc>
          <w:tcPr>
            <w:tcW w:w="1390" w:type="dxa"/>
            <w:vAlign w:val="center"/>
          </w:tcPr>
          <w:p>
            <w:pPr>
              <w:snapToGrid w:val="0"/>
              <w:spacing w:line="360" w:lineRule="auto"/>
              <w:jc w:val="center"/>
              <w:rPr>
                <w:rFonts w:ascii="宋体" w:hAnsi="宋体" w:cs="宋体"/>
                <w:caps/>
                <w:sz w:val="24"/>
              </w:rPr>
            </w:pPr>
            <w:r>
              <w:rPr>
                <w:rFonts w:hint="eastAsia" w:ascii="宋体" w:hAnsi="宋体" w:cs="宋体"/>
                <w:caps/>
                <w:sz w:val="24"/>
              </w:rPr>
              <w:t>合同内容描述</w:t>
            </w:r>
          </w:p>
        </w:tc>
        <w:tc>
          <w:tcPr>
            <w:tcW w:w="1310" w:type="dxa"/>
            <w:vAlign w:val="center"/>
          </w:tcPr>
          <w:p>
            <w:pPr>
              <w:snapToGrid w:val="0"/>
              <w:spacing w:line="360" w:lineRule="auto"/>
              <w:jc w:val="center"/>
              <w:rPr>
                <w:rFonts w:ascii="宋体" w:hAnsi="宋体" w:cs="宋体"/>
                <w:caps/>
                <w:sz w:val="24"/>
              </w:rPr>
            </w:pPr>
            <w:r>
              <w:rPr>
                <w:rFonts w:hint="eastAsia" w:ascii="宋体" w:hAnsi="宋体" w:cs="宋体"/>
                <w:caps/>
                <w:sz w:val="24"/>
              </w:rPr>
              <w:t>合同金额</w:t>
            </w:r>
          </w:p>
        </w:tc>
        <w:tc>
          <w:tcPr>
            <w:tcW w:w="1080" w:type="dxa"/>
            <w:vAlign w:val="center"/>
          </w:tcPr>
          <w:p>
            <w:pPr>
              <w:snapToGrid w:val="0"/>
              <w:spacing w:line="360" w:lineRule="auto"/>
              <w:jc w:val="center"/>
              <w:rPr>
                <w:rFonts w:ascii="宋体" w:hAnsi="宋体" w:cs="宋体"/>
                <w:caps/>
                <w:sz w:val="24"/>
              </w:rPr>
            </w:pPr>
            <w:r>
              <w:rPr>
                <w:rFonts w:hint="eastAsia" w:ascii="宋体" w:hAnsi="宋体" w:cs="宋体"/>
                <w:sz w:val="24"/>
              </w:rPr>
              <w:t>签约及完成日期</w:t>
            </w:r>
          </w:p>
        </w:tc>
        <w:tc>
          <w:tcPr>
            <w:tcW w:w="900" w:type="dxa"/>
            <w:vAlign w:val="center"/>
          </w:tcPr>
          <w:p>
            <w:pPr>
              <w:snapToGrid w:val="0"/>
              <w:spacing w:line="360" w:lineRule="auto"/>
              <w:jc w:val="center"/>
              <w:rPr>
                <w:rFonts w:ascii="宋体" w:hAnsi="宋体" w:cs="宋体"/>
                <w:sz w:val="24"/>
              </w:rPr>
            </w:pPr>
            <w:r>
              <w:rPr>
                <w:rFonts w:hint="eastAsia" w:ascii="宋体" w:hAnsi="宋体" w:cs="宋体"/>
                <w:sz w:val="24"/>
              </w:rPr>
              <w:t>联系人</w:t>
            </w:r>
          </w:p>
        </w:tc>
        <w:tc>
          <w:tcPr>
            <w:tcW w:w="900" w:type="dxa"/>
            <w:vAlign w:val="center"/>
          </w:tcPr>
          <w:p>
            <w:pPr>
              <w:snapToGrid w:val="0"/>
              <w:spacing w:line="360" w:lineRule="auto"/>
              <w:jc w:val="center"/>
              <w:rPr>
                <w:rFonts w:ascii="宋体" w:hAnsi="宋体" w:cs="宋体"/>
                <w:sz w:val="24"/>
              </w:rPr>
            </w:pPr>
            <w:r>
              <w:rPr>
                <w:rFonts w:hint="eastAsia" w:ascii="宋体" w:hAnsi="宋体" w:cs="宋体"/>
                <w:sz w:val="24"/>
              </w:rPr>
              <w:t>联系电话</w:t>
            </w:r>
          </w:p>
        </w:tc>
        <w:tc>
          <w:tcPr>
            <w:tcW w:w="719" w:type="dxa"/>
            <w:vAlign w:val="center"/>
          </w:tcPr>
          <w:p>
            <w:pPr>
              <w:snapToGrid w:val="0"/>
              <w:spacing w:line="3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snapToGrid w:val="0"/>
              <w:spacing w:line="360" w:lineRule="auto"/>
              <w:jc w:val="center"/>
              <w:rPr>
                <w:rFonts w:ascii="宋体" w:hAnsi="宋体" w:cs="宋体"/>
                <w:spacing w:val="20"/>
                <w:sz w:val="24"/>
              </w:rPr>
            </w:pPr>
          </w:p>
        </w:tc>
        <w:tc>
          <w:tcPr>
            <w:tcW w:w="1080" w:type="dxa"/>
            <w:vAlign w:val="center"/>
          </w:tcPr>
          <w:p>
            <w:pPr>
              <w:snapToGrid w:val="0"/>
              <w:spacing w:line="360" w:lineRule="auto"/>
              <w:jc w:val="center"/>
              <w:rPr>
                <w:rFonts w:ascii="宋体" w:hAnsi="宋体" w:cs="宋体"/>
                <w:spacing w:val="20"/>
                <w:sz w:val="24"/>
              </w:rPr>
            </w:pPr>
          </w:p>
        </w:tc>
        <w:tc>
          <w:tcPr>
            <w:tcW w:w="1440" w:type="dxa"/>
            <w:vAlign w:val="center"/>
          </w:tcPr>
          <w:p>
            <w:pPr>
              <w:snapToGrid w:val="0"/>
              <w:spacing w:line="360" w:lineRule="auto"/>
              <w:jc w:val="center"/>
              <w:rPr>
                <w:rFonts w:ascii="宋体" w:hAnsi="宋体" w:cs="宋体"/>
                <w:spacing w:val="20"/>
                <w:sz w:val="24"/>
              </w:rPr>
            </w:pPr>
          </w:p>
        </w:tc>
        <w:tc>
          <w:tcPr>
            <w:tcW w:w="1390" w:type="dxa"/>
            <w:vAlign w:val="center"/>
          </w:tcPr>
          <w:p>
            <w:pPr>
              <w:snapToGrid w:val="0"/>
              <w:spacing w:line="360" w:lineRule="auto"/>
              <w:jc w:val="center"/>
              <w:rPr>
                <w:rFonts w:ascii="宋体" w:hAnsi="宋体" w:cs="宋体"/>
                <w:spacing w:val="20"/>
                <w:sz w:val="24"/>
              </w:rPr>
            </w:pPr>
          </w:p>
        </w:tc>
        <w:tc>
          <w:tcPr>
            <w:tcW w:w="1310" w:type="dxa"/>
            <w:vAlign w:val="center"/>
          </w:tcPr>
          <w:p>
            <w:pPr>
              <w:snapToGrid w:val="0"/>
              <w:spacing w:line="360" w:lineRule="auto"/>
              <w:jc w:val="center"/>
              <w:rPr>
                <w:rFonts w:ascii="宋体" w:hAnsi="宋体" w:cs="宋体"/>
                <w:spacing w:val="20"/>
                <w:sz w:val="24"/>
              </w:rPr>
            </w:pPr>
          </w:p>
        </w:tc>
        <w:tc>
          <w:tcPr>
            <w:tcW w:w="1080" w:type="dxa"/>
            <w:vAlign w:val="center"/>
          </w:tcPr>
          <w:p>
            <w:pPr>
              <w:snapToGrid w:val="0"/>
              <w:spacing w:line="360" w:lineRule="auto"/>
              <w:jc w:val="center"/>
              <w:rPr>
                <w:rFonts w:ascii="宋体" w:hAnsi="宋体" w:cs="宋体"/>
                <w:spacing w:val="20"/>
                <w:sz w:val="24"/>
              </w:rPr>
            </w:pPr>
          </w:p>
        </w:tc>
        <w:tc>
          <w:tcPr>
            <w:tcW w:w="900" w:type="dxa"/>
            <w:vAlign w:val="center"/>
          </w:tcPr>
          <w:p>
            <w:pPr>
              <w:snapToGrid w:val="0"/>
              <w:spacing w:line="360" w:lineRule="auto"/>
              <w:jc w:val="center"/>
              <w:rPr>
                <w:rFonts w:ascii="宋体" w:hAnsi="宋体" w:cs="宋体"/>
                <w:spacing w:val="20"/>
                <w:sz w:val="24"/>
              </w:rPr>
            </w:pPr>
          </w:p>
        </w:tc>
        <w:tc>
          <w:tcPr>
            <w:tcW w:w="900" w:type="dxa"/>
            <w:vAlign w:val="center"/>
          </w:tcPr>
          <w:p>
            <w:pPr>
              <w:snapToGrid w:val="0"/>
              <w:spacing w:line="360" w:lineRule="auto"/>
              <w:jc w:val="center"/>
              <w:rPr>
                <w:rFonts w:ascii="宋体" w:hAnsi="宋体" w:cs="宋体"/>
                <w:spacing w:val="20"/>
                <w:sz w:val="24"/>
              </w:rPr>
            </w:pPr>
          </w:p>
        </w:tc>
        <w:tc>
          <w:tcPr>
            <w:tcW w:w="719" w:type="dxa"/>
            <w:vAlign w:val="center"/>
          </w:tcPr>
          <w:p>
            <w:pPr>
              <w:snapToGrid w:val="0"/>
              <w:spacing w:line="360" w:lineRule="auto"/>
              <w:jc w:val="center"/>
              <w:rPr>
                <w:rFonts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snapToGrid w:val="0"/>
              <w:spacing w:line="360" w:lineRule="auto"/>
              <w:jc w:val="center"/>
              <w:rPr>
                <w:rFonts w:ascii="宋体" w:hAnsi="宋体" w:cs="宋体"/>
                <w:spacing w:val="20"/>
                <w:sz w:val="24"/>
              </w:rPr>
            </w:pPr>
          </w:p>
        </w:tc>
        <w:tc>
          <w:tcPr>
            <w:tcW w:w="1080" w:type="dxa"/>
            <w:vAlign w:val="center"/>
          </w:tcPr>
          <w:p>
            <w:pPr>
              <w:snapToGrid w:val="0"/>
              <w:spacing w:line="360" w:lineRule="auto"/>
              <w:jc w:val="center"/>
              <w:rPr>
                <w:rFonts w:ascii="宋体" w:hAnsi="宋体" w:cs="宋体"/>
                <w:spacing w:val="20"/>
                <w:sz w:val="24"/>
              </w:rPr>
            </w:pPr>
          </w:p>
        </w:tc>
        <w:tc>
          <w:tcPr>
            <w:tcW w:w="1440" w:type="dxa"/>
            <w:vAlign w:val="center"/>
          </w:tcPr>
          <w:p>
            <w:pPr>
              <w:snapToGrid w:val="0"/>
              <w:spacing w:line="360" w:lineRule="auto"/>
              <w:jc w:val="center"/>
              <w:rPr>
                <w:rFonts w:ascii="宋体" w:hAnsi="宋体" w:cs="宋体"/>
                <w:spacing w:val="20"/>
                <w:sz w:val="24"/>
              </w:rPr>
            </w:pPr>
          </w:p>
        </w:tc>
        <w:tc>
          <w:tcPr>
            <w:tcW w:w="1390" w:type="dxa"/>
            <w:vAlign w:val="center"/>
          </w:tcPr>
          <w:p>
            <w:pPr>
              <w:snapToGrid w:val="0"/>
              <w:spacing w:line="360" w:lineRule="auto"/>
              <w:jc w:val="center"/>
              <w:rPr>
                <w:rFonts w:ascii="宋体" w:hAnsi="宋体" w:cs="宋体"/>
                <w:spacing w:val="20"/>
                <w:sz w:val="24"/>
              </w:rPr>
            </w:pPr>
          </w:p>
        </w:tc>
        <w:tc>
          <w:tcPr>
            <w:tcW w:w="1310" w:type="dxa"/>
            <w:vAlign w:val="center"/>
          </w:tcPr>
          <w:p>
            <w:pPr>
              <w:snapToGrid w:val="0"/>
              <w:spacing w:line="360" w:lineRule="auto"/>
              <w:jc w:val="center"/>
              <w:rPr>
                <w:rFonts w:ascii="宋体" w:hAnsi="宋体" w:cs="宋体"/>
                <w:spacing w:val="20"/>
                <w:sz w:val="24"/>
              </w:rPr>
            </w:pPr>
          </w:p>
        </w:tc>
        <w:tc>
          <w:tcPr>
            <w:tcW w:w="1080" w:type="dxa"/>
            <w:vAlign w:val="center"/>
          </w:tcPr>
          <w:p>
            <w:pPr>
              <w:snapToGrid w:val="0"/>
              <w:spacing w:line="360" w:lineRule="auto"/>
              <w:jc w:val="center"/>
              <w:rPr>
                <w:rFonts w:ascii="宋体" w:hAnsi="宋体" w:cs="宋体"/>
                <w:spacing w:val="20"/>
                <w:sz w:val="24"/>
              </w:rPr>
            </w:pPr>
          </w:p>
        </w:tc>
        <w:tc>
          <w:tcPr>
            <w:tcW w:w="900" w:type="dxa"/>
            <w:vAlign w:val="center"/>
          </w:tcPr>
          <w:p>
            <w:pPr>
              <w:snapToGrid w:val="0"/>
              <w:spacing w:line="360" w:lineRule="auto"/>
              <w:jc w:val="center"/>
              <w:rPr>
                <w:rFonts w:ascii="宋体" w:hAnsi="宋体" w:cs="宋体"/>
                <w:spacing w:val="20"/>
                <w:sz w:val="24"/>
              </w:rPr>
            </w:pPr>
          </w:p>
        </w:tc>
        <w:tc>
          <w:tcPr>
            <w:tcW w:w="900" w:type="dxa"/>
            <w:vAlign w:val="center"/>
          </w:tcPr>
          <w:p>
            <w:pPr>
              <w:snapToGrid w:val="0"/>
              <w:spacing w:line="360" w:lineRule="auto"/>
              <w:jc w:val="center"/>
              <w:rPr>
                <w:rFonts w:ascii="宋体" w:hAnsi="宋体" w:cs="宋体"/>
                <w:spacing w:val="20"/>
                <w:sz w:val="24"/>
              </w:rPr>
            </w:pPr>
          </w:p>
        </w:tc>
        <w:tc>
          <w:tcPr>
            <w:tcW w:w="719" w:type="dxa"/>
            <w:vAlign w:val="center"/>
          </w:tcPr>
          <w:p>
            <w:pPr>
              <w:snapToGrid w:val="0"/>
              <w:spacing w:line="360" w:lineRule="auto"/>
              <w:jc w:val="center"/>
              <w:rPr>
                <w:rFonts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snapToGrid w:val="0"/>
              <w:spacing w:line="360" w:lineRule="auto"/>
              <w:jc w:val="center"/>
              <w:rPr>
                <w:rFonts w:ascii="宋体" w:hAnsi="宋体" w:cs="宋体"/>
                <w:spacing w:val="20"/>
                <w:sz w:val="24"/>
              </w:rPr>
            </w:pPr>
          </w:p>
        </w:tc>
        <w:tc>
          <w:tcPr>
            <w:tcW w:w="1080" w:type="dxa"/>
            <w:vAlign w:val="center"/>
          </w:tcPr>
          <w:p>
            <w:pPr>
              <w:snapToGrid w:val="0"/>
              <w:spacing w:line="360" w:lineRule="auto"/>
              <w:jc w:val="center"/>
              <w:rPr>
                <w:rFonts w:ascii="宋体" w:hAnsi="宋体" w:cs="宋体"/>
                <w:spacing w:val="20"/>
                <w:sz w:val="24"/>
              </w:rPr>
            </w:pPr>
          </w:p>
        </w:tc>
        <w:tc>
          <w:tcPr>
            <w:tcW w:w="1440" w:type="dxa"/>
            <w:vAlign w:val="center"/>
          </w:tcPr>
          <w:p>
            <w:pPr>
              <w:snapToGrid w:val="0"/>
              <w:spacing w:line="360" w:lineRule="auto"/>
              <w:jc w:val="center"/>
              <w:rPr>
                <w:rFonts w:ascii="宋体" w:hAnsi="宋体" w:cs="宋体"/>
                <w:spacing w:val="20"/>
                <w:sz w:val="24"/>
              </w:rPr>
            </w:pPr>
          </w:p>
        </w:tc>
        <w:tc>
          <w:tcPr>
            <w:tcW w:w="1390" w:type="dxa"/>
            <w:vAlign w:val="center"/>
          </w:tcPr>
          <w:p>
            <w:pPr>
              <w:snapToGrid w:val="0"/>
              <w:spacing w:line="360" w:lineRule="auto"/>
              <w:jc w:val="center"/>
              <w:rPr>
                <w:rFonts w:ascii="宋体" w:hAnsi="宋体" w:cs="宋体"/>
                <w:spacing w:val="20"/>
                <w:sz w:val="24"/>
              </w:rPr>
            </w:pPr>
          </w:p>
        </w:tc>
        <w:tc>
          <w:tcPr>
            <w:tcW w:w="1310" w:type="dxa"/>
            <w:vAlign w:val="center"/>
          </w:tcPr>
          <w:p>
            <w:pPr>
              <w:snapToGrid w:val="0"/>
              <w:spacing w:line="360" w:lineRule="auto"/>
              <w:jc w:val="center"/>
              <w:rPr>
                <w:rFonts w:ascii="宋体" w:hAnsi="宋体" w:cs="宋体"/>
                <w:spacing w:val="20"/>
                <w:sz w:val="24"/>
              </w:rPr>
            </w:pPr>
          </w:p>
        </w:tc>
        <w:tc>
          <w:tcPr>
            <w:tcW w:w="1080" w:type="dxa"/>
            <w:vAlign w:val="center"/>
          </w:tcPr>
          <w:p>
            <w:pPr>
              <w:snapToGrid w:val="0"/>
              <w:spacing w:line="360" w:lineRule="auto"/>
              <w:jc w:val="center"/>
              <w:rPr>
                <w:rFonts w:ascii="宋体" w:hAnsi="宋体" w:cs="宋体"/>
                <w:spacing w:val="20"/>
                <w:sz w:val="24"/>
              </w:rPr>
            </w:pPr>
          </w:p>
        </w:tc>
        <w:tc>
          <w:tcPr>
            <w:tcW w:w="900" w:type="dxa"/>
            <w:vAlign w:val="center"/>
          </w:tcPr>
          <w:p>
            <w:pPr>
              <w:snapToGrid w:val="0"/>
              <w:spacing w:line="360" w:lineRule="auto"/>
              <w:jc w:val="center"/>
              <w:rPr>
                <w:rFonts w:ascii="宋体" w:hAnsi="宋体" w:cs="宋体"/>
                <w:spacing w:val="20"/>
                <w:sz w:val="24"/>
              </w:rPr>
            </w:pPr>
          </w:p>
        </w:tc>
        <w:tc>
          <w:tcPr>
            <w:tcW w:w="900" w:type="dxa"/>
            <w:vAlign w:val="center"/>
          </w:tcPr>
          <w:p>
            <w:pPr>
              <w:snapToGrid w:val="0"/>
              <w:spacing w:line="360" w:lineRule="auto"/>
              <w:jc w:val="center"/>
              <w:rPr>
                <w:rFonts w:ascii="宋体" w:hAnsi="宋体" w:cs="宋体"/>
                <w:spacing w:val="20"/>
                <w:sz w:val="24"/>
              </w:rPr>
            </w:pPr>
          </w:p>
        </w:tc>
        <w:tc>
          <w:tcPr>
            <w:tcW w:w="719" w:type="dxa"/>
            <w:vAlign w:val="center"/>
          </w:tcPr>
          <w:p>
            <w:pPr>
              <w:snapToGrid w:val="0"/>
              <w:spacing w:line="360" w:lineRule="auto"/>
              <w:jc w:val="center"/>
              <w:rPr>
                <w:rFonts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snapToGrid w:val="0"/>
              <w:spacing w:line="360" w:lineRule="auto"/>
              <w:jc w:val="center"/>
              <w:rPr>
                <w:rFonts w:ascii="宋体" w:hAnsi="宋体" w:cs="宋体"/>
                <w:spacing w:val="20"/>
                <w:sz w:val="24"/>
              </w:rPr>
            </w:pPr>
          </w:p>
        </w:tc>
        <w:tc>
          <w:tcPr>
            <w:tcW w:w="1080" w:type="dxa"/>
            <w:vAlign w:val="center"/>
          </w:tcPr>
          <w:p>
            <w:pPr>
              <w:snapToGrid w:val="0"/>
              <w:spacing w:line="360" w:lineRule="auto"/>
              <w:jc w:val="center"/>
              <w:rPr>
                <w:rFonts w:ascii="宋体" w:hAnsi="宋体" w:cs="宋体"/>
                <w:spacing w:val="20"/>
                <w:sz w:val="24"/>
              </w:rPr>
            </w:pPr>
          </w:p>
        </w:tc>
        <w:tc>
          <w:tcPr>
            <w:tcW w:w="1440" w:type="dxa"/>
            <w:vAlign w:val="center"/>
          </w:tcPr>
          <w:p>
            <w:pPr>
              <w:snapToGrid w:val="0"/>
              <w:spacing w:line="360" w:lineRule="auto"/>
              <w:jc w:val="center"/>
              <w:rPr>
                <w:rFonts w:ascii="宋体" w:hAnsi="宋体" w:cs="宋体"/>
                <w:spacing w:val="20"/>
                <w:sz w:val="24"/>
              </w:rPr>
            </w:pPr>
          </w:p>
        </w:tc>
        <w:tc>
          <w:tcPr>
            <w:tcW w:w="1390" w:type="dxa"/>
            <w:vAlign w:val="center"/>
          </w:tcPr>
          <w:p>
            <w:pPr>
              <w:snapToGrid w:val="0"/>
              <w:spacing w:line="360" w:lineRule="auto"/>
              <w:jc w:val="center"/>
              <w:rPr>
                <w:rFonts w:ascii="宋体" w:hAnsi="宋体" w:cs="宋体"/>
                <w:spacing w:val="20"/>
                <w:sz w:val="24"/>
              </w:rPr>
            </w:pPr>
          </w:p>
        </w:tc>
        <w:tc>
          <w:tcPr>
            <w:tcW w:w="1310" w:type="dxa"/>
            <w:vAlign w:val="center"/>
          </w:tcPr>
          <w:p>
            <w:pPr>
              <w:snapToGrid w:val="0"/>
              <w:spacing w:line="360" w:lineRule="auto"/>
              <w:jc w:val="center"/>
              <w:rPr>
                <w:rFonts w:ascii="宋体" w:hAnsi="宋体" w:cs="宋体"/>
                <w:spacing w:val="20"/>
                <w:sz w:val="24"/>
              </w:rPr>
            </w:pPr>
          </w:p>
        </w:tc>
        <w:tc>
          <w:tcPr>
            <w:tcW w:w="1080" w:type="dxa"/>
            <w:vAlign w:val="center"/>
          </w:tcPr>
          <w:p>
            <w:pPr>
              <w:snapToGrid w:val="0"/>
              <w:spacing w:line="360" w:lineRule="auto"/>
              <w:jc w:val="center"/>
              <w:rPr>
                <w:rFonts w:ascii="宋体" w:hAnsi="宋体" w:cs="宋体"/>
                <w:spacing w:val="20"/>
                <w:sz w:val="24"/>
              </w:rPr>
            </w:pPr>
          </w:p>
        </w:tc>
        <w:tc>
          <w:tcPr>
            <w:tcW w:w="900" w:type="dxa"/>
            <w:vAlign w:val="center"/>
          </w:tcPr>
          <w:p>
            <w:pPr>
              <w:snapToGrid w:val="0"/>
              <w:spacing w:line="360" w:lineRule="auto"/>
              <w:jc w:val="center"/>
              <w:rPr>
                <w:rFonts w:ascii="宋体" w:hAnsi="宋体" w:cs="宋体"/>
                <w:spacing w:val="20"/>
                <w:sz w:val="24"/>
              </w:rPr>
            </w:pPr>
          </w:p>
        </w:tc>
        <w:tc>
          <w:tcPr>
            <w:tcW w:w="900" w:type="dxa"/>
            <w:vAlign w:val="center"/>
          </w:tcPr>
          <w:p>
            <w:pPr>
              <w:snapToGrid w:val="0"/>
              <w:spacing w:line="360" w:lineRule="auto"/>
              <w:jc w:val="center"/>
              <w:rPr>
                <w:rFonts w:ascii="宋体" w:hAnsi="宋体" w:cs="宋体"/>
                <w:spacing w:val="20"/>
                <w:sz w:val="24"/>
              </w:rPr>
            </w:pPr>
          </w:p>
        </w:tc>
        <w:tc>
          <w:tcPr>
            <w:tcW w:w="719" w:type="dxa"/>
            <w:vAlign w:val="center"/>
          </w:tcPr>
          <w:p>
            <w:pPr>
              <w:snapToGrid w:val="0"/>
              <w:spacing w:line="360" w:lineRule="auto"/>
              <w:jc w:val="center"/>
              <w:rPr>
                <w:rFonts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snapToGrid w:val="0"/>
              <w:spacing w:line="360" w:lineRule="auto"/>
              <w:jc w:val="center"/>
              <w:rPr>
                <w:rFonts w:ascii="宋体" w:hAnsi="宋体" w:cs="宋体"/>
                <w:spacing w:val="20"/>
                <w:sz w:val="24"/>
              </w:rPr>
            </w:pPr>
          </w:p>
        </w:tc>
        <w:tc>
          <w:tcPr>
            <w:tcW w:w="1080" w:type="dxa"/>
            <w:vAlign w:val="center"/>
          </w:tcPr>
          <w:p>
            <w:pPr>
              <w:snapToGrid w:val="0"/>
              <w:spacing w:line="360" w:lineRule="auto"/>
              <w:jc w:val="center"/>
              <w:rPr>
                <w:rFonts w:ascii="宋体" w:hAnsi="宋体" w:cs="宋体"/>
                <w:spacing w:val="20"/>
                <w:sz w:val="24"/>
              </w:rPr>
            </w:pPr>
          </w:p>
        </w:tc>
        <w:tc>
          <w:tcPr>
            <w:tcW w:w="1440" w:type="dxa"/>
            <w:vAlign w:val="center"/>
          </w:tcPr>
          <w:p>
            <w:pPr>
              <w:snapToGrid w:val="0"/>
              <w:spacing w:line="360" w:lineRule="auto"/>
              <w:jc w:val="center"/>
              <w:rPr>
                <w:rFonts w:ascii="宋体" w:hAnsi="宋体" w:cs="宋体"/>
                <w:spacing w:val="20"/>
                <w:sz w:val="24"/>
              </w:rPr>
            </w:pPr>
          </w:p>
        </w:tc>
        <w:tc>
          <w:tcPr>
            <w:tcW w:w="1390" w:type="dxa"/>
            <w:vAlign w:val="center"/>
          </w:tcPr>
          <w:p>
            <w:pPr>
              <w:snapToGrid w:val="0"/>
              <w:spacing w:line="360" w:lineRule="auto"/>
              <w:jc w:val="center"/>
              <w:rPr>
                <w:rFonts w:ascii="宋体" w:hAnsi="宋体" w:cs="宋体"/>
                <w:spacing w:val="20"/>
                <w:sz w:val="24"/>
              </w:rPr>
            </w:pPr>
          </w:p>
        </w:tc>
        <w:tc>
          <w:tcPr>
            <w:tcW w:w="1310" w:type="dxa"/>
            <w:vAlign w:val="center"/>
          </w:tcPr>
          <w:p>
            <w:pPr>
              <w:snapToGrid w:val="0"/>
              <w:spacing w:line="360" w:lineRule="auto"/>
              <w:jc w:val="center"/>
              <w:rPr>
                <w:rFonts w:ascii="宋体" w:hAnsi="宋体" w:cs="宋体"/>
                <w:spacing w:val="20"/>
                <w:sz w:val="24"/>
              </w:rPr>
            </w:pPr>
          </w:p>
        </w:tc>
        <w:tc>
          <w:tcPr>
            <w:tcW w:w="1080" w:type="dxa"/>
            <w:vAlign w:val="center"/>
          </w:tcPr>
          <w:p>
            <w:pPr>
              <w:snapToGrid w:val="0"/>
              <w:spacing w:line="360" w:lineRule="auto"/>
              <w:jc w:val="center"/>
              <w:rPr>
                <w:rFonts w:ascii="宋体" w:hAnsi="宋体" w:cs="宋体"/>
                <w:spacing w:val="20"/>
                <w:sz w:val="24"/>
              </w:rPr>
            </w:pPr>
          </w:p>
        </w:tc>
        <w:tc>
          <w:tcPr>
            <w:tcW w:w="900" w:type="dxa"/>
            <w:vAlign w:val="center"/>
          </w:tcPr>
          <w:p>
            <w:pPr>
              <w:snapToGrid w:val="0"/>
              <w:spacing w:line="360" w:lineRule="auto"/>
              <w:jc w:val="center"/>
              <w:rPr>
                <w:rFonts w:ascii="宋体" w:hAnsi="宋体" w:cs="宋体"/>
                <w:spacing w:val="20"/>
                <w:sz w:val="24"/>
              </w:rPr>
            </w:pPr>
          </w:p>
        </w:tc>
        <w:tc>
          <w:tcPr>
            <w:tcW w:w="900" w:type="dxa"/>
            <w:vAlign w:val="center"/>
          </w:tcPr>
          <w:p>
            <w:pPr>
              <w:snapToGrid w:val="0"/>
              <w:spacing w:line="360" w:lineRule="auto"/>
              <w:jc w:val="center"/>
              <w:rPr>
                <w:rFonts w:ascii="宋体" w:hAnsi="宋体" w:cs="宋体"/>
                <w:spacing w:val="20"/>
                <w:sz w:val="24"/>
              </w:rPr>
            </w:pPr>
          </w:p>
        </w:tc>
        <w:tc>
          <w:tcPr>
            <w:tcW w:w="719" w:type="dxa"/>
            <w:vAlign w:val="center"/>
          </w:tcPr>
          <w:p>
            <w:pPr>
              <w:snapToGrid w:val="0"/>
              <w:spacing w:line="360" w:lineRule="auto"/>
              <w:jc w:val="center"/>
              <w:rPr>
                <w:rFonts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snapToGrid w:val="0"/>
              <w:spacing w:line="360" w:lineRule="auto"/>
              <w:jc w:val="center"/>
              <w:rPr>
                <w:rFonts w:ascii="宋体" w:hAnsi="宋体" w:cs="宋体"/>
                <w:spacing w:val="20"/>
                <w:sz w:val="24"/>
              </w:rPr>
            </w:pPr>
          </w:p>
        </w:tc>
        <w:tc>
          <w:tcPr>
            <w:tcW w:w="1080" w:type="dxa"/>
            <w:vAlign w:val="center"/>
          </w:tcPr>
          <w:p>
            <w:pPr>
              <w:snapToGrid w:val="0"/>
              <w:spacing w:line="360" w:lineRule="auto"/>
              <w:jc w:val="center"/>
              <w:rPr>
                <w:rFonts w:ascii="宋体" w:hAnsi="宋体" w:cs="宋体"/>
                <w:spacing w:val="20"/>
                <w:sz w:val="24"/>
              </w:rPr>
            </w:pPr>
          </w:p>
        </w:tc>
        <w:tc>
          <w:tcPr>
            <w:tcW w:w="1440" w:type="dxa"/>
            <w:vAlign w:val="center"/>
          </w:tcPr>
          <w:p>
            <w:pPr>
              <w:snapToGrid w:val="0"/>
              <w:spacing w:line="360" w:lineRule="auto"/>
              <w:jc w:val="center"/>
              <w:rPr>
                <w:rFonts w:ascii="宋体" w:hAnsi="宋体" w:cs="宋体"/>
                <w:spacing w:val="20"/>
                <w:sz w:val="24"/>
              </w:rPr>
            </w:pPr>
          </w:p>
        </w:tc>
        <w:tc>
          <w:tcPr>
            <w:tcW w:w="1390" w:type="dxa"/>
            <w:vAlign w:val="center"/>
          </w:tcPr>
          <w:p>
            <w:pPr>
              <w:snapToGrid w:val="0"/>
              <w:spacing w:line="360" w:lineRule="auto"/>
              <w:jc w:val="center"/>
              <w:rPr>
                <w:rFonts w:ascii="宋体" w:hAnsi="宋体" w:cs="宋体"/>
                <w:spacing w:val="20"/>
                <w:sz w:val="24"/>
              </w:rPr>
            </w:pPr>
          </w:p>
        </w:tc>
        <w:tc>
          <w:tcPr>
            <w:tcW w:w="1310" w:type="dxa"/>
            <w:vAlign w:val="center"/>
          </w:tcPr>
          <w:p>
            <w:pPr>
              <w:snapToGrid w:val="0"/>
              <w:spacing w:line="360" w:lineRule="auto"/>
              <w:jc w:val="center"/>
              <w:rPr>
                <w:rFonts w:ascii="宋体" w:hAnsi="宋体" w:cs="宋体"/>
                <w:spacing w:val="20"/>
                <w:sz w:val="24"/>
              </w:rPr>
            </w:pPr>
          </w:p>
        </w:tc>
        <w:tc>
          <w:tcPr>
            <w:tcW w:w="1080" w:type="dxa"/>
            <w:vAlign w:val="center"/>
          </w:tcPr>
          <w:p>
            <w:pPr>
              <w:snapToGrid w:val="0"/>
              <w:spacing w:line="360" w:lineRule="auto"/>
              <w:jc w:val="center"/>
              <w:rPr>
                <w:rFonts w:ascii="宋体" w:hAnsi="宋体" w:cs="宋体"/>
                <w:spacing w:val="20"/>
                <w:sz w:val="24"/>
              </w:rPr>
            </w:pPr>
          </w:p>
        </w:tc>
        <w:tc>
          <w:tcPr>
            <w:tcW w:w="900" w:type="dxa"/>
            <w:vAlign w:val="center"/>
          </w:tcPr>
          <w:p>
            <w:pPr>
              <w:snapToGrid w:val="0"/>
              <w:spacing w:line="360" w:lineRule="auto"/>
              <w:jc w:val="center"/>
              <w:rPr>
                <w:rFonts w:ascii="宋体" w:hAnsi="宋体" w:cs="宋体"/>
                <w:spacing w:val="20"/>
                <w:sz w:val="24"/>
              </w:rPr>
            </w:pPr>
          </w:p>
        </w:tc>
        <w:tc>
          <w:tcPr>
            <w:tcW w:w="900" w:type="dxa"/>
            <w:vAlign w:val="center"/>
          </w:tcPr>
          <w:p>
            <w:pPr>
              <w:snapToGrid w:val="0"/>
              <w:spacing w:line="360" w:lineRule="auto"/>
              <w:jc w:val="center"/>
              <w:rPr>
                <w:rFonts w:ascii="宋体" w:hAnsi="宋体" w:cs="宋体"/>
                <w:spacing w:val="20"/>
                <w:sz w:val="24"/>
              </w:rPr>
            </w:pPr>
          </w:p>
        </w:tc>
        <w:tc>
          <w:tcPr>
            <w:tcW w:w="719" w:type="dxa"/>
            <w:vAlign w:val="center"/>
          </w:tcPr>
          <w:p>
            <w:pPr>
              <w:snapToGrid w:val="0"/>
              <w:spacing w:line="360" w:lineRule="auto"/>
              <w:jc w:val="center"/>
              <w:rPr>
                <w:rFonts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snapToGrid w:val="0"/>
              <w:spacing w:line="360" w:lineRule="auto"/>
              <w:jc w:val="center"/>
              <w:rPr>
                <w:rFonts w:ascii="宋体" w:hAnsi="宋体" w:cs="宋体"/>
                <w:spacing w:val="20"/>
                <w:sz w:val="24"/>
              </w:rPr>
            </w:pPr>
          </w:p>
        </w:tc>
        <w:tc>
          <w:tcPr>
            <w:tcW w:w="1080" w:type="dxa"/>
            <w:vAlign w:val="center"/>
          </w:tcPr>
          <w:p>
            <w:pPr>
              <w:snapToGrid w:val="0"/>
              <w:spacing w:line="360" w:lineRule="auto"/>
              <w:jc w:val="center"/>
              <w:rPr>
                <w:rFonts w:ascii="宋体" w:hAnsi="宋体" w:cs="宋体"/>
                <w:spacing w:val="20"/>
                <w:sz w:val="24"/>
              </w:rPr>
            </w:pPr>
          </w:p>
        </w:tc>
        <w:tc>
          <w:tcPr>
            <w:tcW w:w="1440" w:type="dxa"/>
            <w:vAlign w:val="center"/>
          </w:tcPr>
          <w:p>
            <w:pPr>
              <w:snapToGrid w:val="0"/>
              <w:spacing w:line="360" w:lineRule="auto"/>
              <w:jc w:val="center"/>
              <w:rPr>
                <w:rFonts w:ascii="宋体" w:hAnsi="宋体" w:cs="宋体"/>
                <w:spacing w:val="20"/>
                <w:sz w:val="24"/>
              </w:rPr>
            </w:pPr>
          </w:p>
        </w:tc>
        <w:tc>
          <w:tcPr>
            <w:tcW w:w="1390" w:type="dxa"/>
            <w:vAlign w:val="center"/>
          </w:tcPr>
          <w:p>
            <w:pPr>
              <w:snapToGrid w:val="0"/>
              <w:spacing w:line="360" w:lineRule="auto"/>
              <w:jc w:val="center"/>
              <w:rPr>
                <w:rFonts w:ascii="宋体" w:hAnsi="宋体" w:cs="宋体"/>
                <w:spacing w:val="20"/>
                <w:sz w:val="24"/>
              </w:rPr>
            </w:pPr>
          </w:p>
        </w:tc>
        <w:tc>
          <w:tcPr>
            <w:tcW w:w="1310" w:type="dxa"/>
            <w:vAlign w:val="center"/>
          </w:tcPr>
          <w:p>
            <w:pPr>
              <w:snapToGrid w:val="0"/>
              <w:spacing w:line="360" w:lineRule="auto"/>
              <w:jc w:val="center"/>
              <w:rPr>
                <w:rFonts w:ascii="宋体" w:hAnsi="宋体" w:cs="宋体"/>
                <w:spacing w:val="20"/>
                <w:sz w:val="24"/>
              </w:rPr>
            </w:pPr>
          </w:p>
        </w:tc>
        <w:tc>
          <w:tcPr>
            <w:tcW w:w="1080" w:type="dxa"/>
            <w:vAlign w:val="center"/>
          </w:tcPr>
          <w:p>
            <w:pPr>
              <w:snapToGrid w:val="0"/>
              <w:spacing w:line="360" w:lineRule="auto"/>
              <w:jc w:val="center"/>
              <w:rPr>
                <w:rFonts w:ascii="宋体" w:hAnsi="宋体" w:cs="宋体"/>
                <w:spacing w:val="20"/>
                <w:sz w:val="24"/>
              </w:rPr>
            </w:pPr>
          </w:p>
        </w:tc>
        <w:tc>
          <w:tcPr>
            <w:tcW w:w="900" w:type="dxa"/>
            <w:vAlign w:val="center"/>
          </w:tcPr>
          <w:p>
            <w:pPr>
              <w:snapToGrid w:val="0"/>
              <w:spacing w:line="360" w:lineRule="auto"/>
              <w:jc w:val="center"/>
              <w:rPr>
                <w:rFonts w:ascii="宋体" w:hAnsi="宋体" w:cs="宋体"/>
                <w:spacing w:val="20"/>
                <w:sz w:val="24"/>
              </w:rPr>
            </w:pPr>
          </w:p>
        </w:tc>
        <w:tc>
          <w:tcPr>
            <w:tcW w:w="900" w:type="dxa"/>
            <w:vAlign w:val="center"/>
          </w:tcPr>
          <w:p>
            <w:pPr>
              <w:snapToGrid w:val="0"/>
              <w:spacing w:line="360" w:lineRule="auto"/>
              <w:jc w:val="center"/>
              <w:rPr>
                <w:rFonts w:ascii="宋体" w:hAnsi="宋体" w:cs="宋体"/>
                <w:spacing w:val="20"/>
                <w:sz w:val="24"/>
              </w:rPr>
            </w:pPr>
          </w:p>
        </w:tc>
        <w:tc>
          <w:tcPr>
            <w:tcW w:w="719" w:type="dxa"/>
            <w:vAlign w:val="center"/>
          </w:tcPr>
          <w:p>
            <w:pPr>
              <w:snapToGrid w:val="0"/>
              <w:spacing w:line="360" w:lineRule="auto"/>
              <w:jc w:val="center"/>
              <w:rPr>
                <w:rFonts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snapToGrid w:val="0"/>
              <w:spacing w:line="360" w:lineRule="auto"/>
              <w:jc w:val="center"/>
              <w:rPr>
                <w:rFonts w:ascii="宋体" w:hAnsi="宋体" w:cs="宋体"/>
                <w:spacing w:val="20"/>
                <w:sz w:val="24"/>
              </w:rPr>
            </w:pPr>
          </w:p>
        </w:tc>
        <w:tc>
          <w:tcPr>
            <w:tcW w:w="1080" w:type="dxa"/>
            <w:vAlign w:val="center"/>
          </w:tcPr>
          <w:p>
            <w:pPr>
              <w:snapToGrid w:val="0"/>
              <w:spacing w:line="360" w:lineRule="auto"/>
              <w:jc w:val="center"/>
              <w:rPr>
                <w:rFonts w:ascii="宋体" w:hAnsi="宋体" w:cs="宋体"/>
                <w:spacing w:val="20"/>
                <w:sz w:val="24"/>
              </w:rPr>
            </w:pPr>
          </w:p>
        </w:tc>
        <w:tc>
          <w:tcPr>
            <w:tcW w:w="1440" w:type="dxa"/>
            <w:vAlign w:val="center"/>
          </w:tcPr>
          <w:p>
            <w:pPr>
              <w:snapToGrid w:val="0"/>
              <w:spacing w:line="360" w:lineRule="auto"/>
              <w:jc w:val="center"/>
              <w:rPr>
                <w:rFonts w:ascii="宋体" w:hAnsi="宋体" w:cs="宋体"/>
                <w:spacing w:val="20"/>
                <w:sz w:val="24"/>
              </w:rPr>
            </w:pPr>
          </w:p>
        </w:tc>
        <w:tc>
          <w:tcPr>
            <w:tcW w:w="1390" w:type="dxa"/>
            <w:vAlign w:val="center"/>
          </w:tcPr>
          <w:p>
            <w:pPr>
              <w:snapToGrid w:val="0"/>
              <w:spacing w:line="360" w:lineRule="auto"/>
              <w:jc w:val="center"/>
              <w:rPr>
                <w:rFonts w:ascii="宋体" w:hAnsi="宋体" w:cs="宋体"/>
                <w:spacing w:val="20"/>
                <w:sz w:val="24"/>
              </w:rPr>
            </w:pPr>
          </w:p>
        </w:tc>
        <w:tc>
          <w:tcPr>
            <w:tcW w:w="1310" w:type="dxa"/>
            <w:vAlign w:val="center"/>
          </w:tcPr>
          <w:p>
            <w:pPr>
              <w:snapToGrid w:val="0"/>
              <w:spacing w:line="360" w:lineRule="auto"/>
              <w:jc w:val="center"/>
              <w:rPr>
                <w:rFonts w:ascii="宋体" w:hAnsi="宋体" w:cs="宋体"/>
                <w:spacing w:val="20"/>
                <w:sz w:val="24"/>
              </w:rPr>
            </w:pPr>
          </w:p>
        </w:tc>
        <w:tc>
          <w:tcPr>
            <w:tcW w:w="1080" w:type="dxa"/>
            <w:vAlign w:val="center"/>
          </w:tcPr>
          <w:p>
            <w:pPr>
              <w:snapToGrid w:val="0"/>
              <w:spacing w:line="360" w:lineRule="auto"/>
              <w:jc w:val="center"/>
              <w:rPr>
                <w:rFonts w:ascii="宋体" w:hAnsi="宋体" w:cs="宋体"/>
                <w:spacing w:val="20"/>
                <w:sz w:val="24"/>
              </w:rPr>
            </w:pPr>
          </w:p>
        </w:tc>
        <w:tc>
          <w:tcPr>
            <w:tcW w:w="900" w:type="dxa"/>
            <w:vAlign w:val="center"/>
          </w:tcPr>
          <w:p>
            <w:pPr>
              <w:snapToGrid w:val="0"/>
              <w:spacing w:line="360" w:lineRule="auto"/>
              <w:jc w:val="center"/>
              <w:rPr>
                <w:rFonts w:ascii="宋体" w:hAnsi="宋体" w:cs="宋体"/>
                <w:spacing w:val="20"/>
                <w:sz w:val="24"/>
              </w:rPr>
            </w:pPr>
          </w:p>
        </w:tc>
        <w:tc>
          <w:tcPr>
            <w:tcW w:w="900" w:type="dxa"/>
            <w:vAlign w:val="center"/>
          </w:tcPr>
          <w:p>
            <w:pPr>
              <w:snapToGrid w:val="0"/>
              <w:spacing w:line="360" w:lineRule="auto"/>
              <w:jc w:val="center"/>
              <w:rPr>
                <w:rFonts w:ascii="宋体" w:hAnsi="宋体" w:cs="宋体"/>
                <w:spacing w:val="20"/>
                <w:sz w:val="24"/>
              </w:rPr>
            </w:pPr>
          </w:p>
        </w:tc>
        <w:tc>
          <w:tcPr>
            <w:tcW w:w="719" w:type="dxa"/>
            <w:vAlign w:val="center"/>
          </w:tcPr>
          <w:p>
            <w:pPr>
              <w:snapToGrid w:val="0"/>
              <w:spacing w:line="360" w:lineRule="auto"/>
              <w:jc w:val="center"/>
              <w:rPr>
                <w:rFonts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snapToGrid w:val="0"/>
              <w:spacing w:line="360" w:lineRule="auto"/>
              <w:jc w:val="center"/>
              <w:rPr>
                <w:rFonts w:ascii="宋体" w:hAnsi="宋体" w:cs="宋体"/>
                <w:spacing w:val="20"/>
                <w:sz w:val="24"/>
              </w:rPr>
            </w:pPr>
          </w:p>
        </w:tc>
        <w:tc>
          <w:tcPr>
            <w:tcW w:w="1080" w:type="dxa"/>
            <w:vAlign w:val="center"/>
          </w:tcPr>
          <w:p>
            <w:pPr>
              <w:snapToGrid w:val="0"/>
              <w:spacing w:line="360" w:lineRule="auto"/>
              <w:jc w:val="center"/>
              <w:rPr>
                <w:rFonts w:ascii="宋体" w:hAnsi="宋体" w:cs="宋体"/>
                <w:spacing w:val="20"/>
                <w:sz w:val="24"/>
              </w:rPr>
            </w:pPr>
          </w:p>
        </w:tc>
        <w:tc>
          <w:tcPr>
            <w:tcW w:w="1440" w:type="dxa"/>
            <w:vAlign w:val="center"/>
          </w:tcPr>
          <w:p>
            <w:pPr>
              <w:snapToGrid w:val="0"/>
              <w:spacing w:line="360" w:lineRule="auto"/>
              <w:jc w:val="center"/>
              <w:rPr>
                <w:rFonts w:ascii="宋体" w:hAnsi="宋体" w:cs="宋体"/>
                <w:spacing w:val="20"/>
                <w:sz w:val="24"/>
              </w:rPr>
            </w:pPr>
          </w:p>
        </w:tc>
        <w:tc>
          <w:tcPr>
            <w:tcW w:w="1390" w:type="dxa"/>
            <w:vAlign w:val="center"/>
          </w:tcPr>
          <w:p>
            <w:pPr>
              <w:snapToGrid w:val="0"/>
              <w:spacing w:line="360" w:lineRule="auto"/>
              <w:jc w:val="center"/>
              <w:rPr>
                <w:rFonts w:ascii="宋体" w:hAnsi="宋体" w:cs="宋体"/>
                <w:spacing w:val="20"/>
                <w:sz w:val="24"/>
              </w:rPr>
            </w:pPr>
          </w:p>
        </w:tc>
        <w:tc>
          <w:tcPr>
            <w:tcW w:w="1310" w:type="dxa"/>
            <w:vAlign w:val="center"/>
          </w:tcPr>
          <w:p>
            <w:pPr>
              <w:snapToGrid w:val="0"/>
              <w:spacing w:line="360" w:lineRule="auto"/>
              <w:jc w:val="center"/>
              <w:rPr>
                <w:rFonts w:ascii="宋体" w:hAnsi="宋体" w:cs="宋体"/>
                <w:spacing w:val="20"/>
                <w:sz w:val="24"/>
              </w:rPr>
            </w:pPr>
          </w:p>
        </w:tc>
        <w:tc>
          <w:tcPr>
            <w:tcW w:w="1080" w:type="dxa"/>
            <w:vAlign w:val="center"/>
          </w:tcPr>
          <w:p>
            <w:pPr>
              <w:snapToGrid w:val="0"/>
              <w:spacing w:line="360" w:lineRule="auto"/>
              <w:jc w:val="center"/>
              <w:rPr>
                <w:rFonts w:ascii="宋体" w:hAnsi="宋体" w:cs="宋体"/>
                <w:spacing w:val="20"/>
                <w:sz w:val="24"/>
              </w:rPr>
            </w:pPr>
          </w:p>
        </w:tc>
        <w:tc>
          <w:tcPr>
            <w:tcW w:w="900" w:type="dxa"/>
            <w:vAlign w:val="center"/>
          </w:tcPr>
          <w:p>
            <w:pPr>
              <w:snapToGrid w:val="0"/>
              <w:spacing w:line="360" w:lineRule="auto"/>
              <w:jc w:val="center"/>
              <w:rPr>
                <w:rFonts w:ascii="宋体" w:hAnsi="宋体" w:cs="宋体"/>
                <w:spacing w:val="20"/>
                <w:sz w:val="24"/>
              </w:rPr>
            </w:pPr>
          </w:p>
        </w:tc>
        <w:tc>
          <w:tcPr>
            <w:tcW w:w="900" w:type="dxa"/>
            <w:vAlign w:val="center"/>
          </w:tcPr>
          <w:p>
            <w:pPr>
              <w:snapToGrid w:val="0"/>
              <w:spacing w:line="360" w:lineRule="auto"/>
              <w:jc w:val="center"/>
              <w:rPr>
                <w:rFonts w:ascii="宋体" w:hAnsi="宋体" w:cs="宋体"/>
                <w:spacing w:val="20"/>
                <w:sz w:val="24"/>
              </w:rPr>
            </w:pPr>
          </w:p>
        </w:tc>
        <w:tc>
          <w:tcPr>
            <w:tcW w:w="719" w:type="dxa"/>
            <w:vAlign w:val="center"/>
          </w:tcPr>
          <w:p>
            <w:pPr>
              <w:snapToGrid w:val="0"/>
              <w:spacing w:line="360" w:lineRule="auto"/>
              <w:jc w:val="center"/>
              <w:rPr>
                <w:rFonts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8" w:type="dxa"/>
            <w:vAlign w:val="center"/>
          </w:tcPr>
          <w:p>
            <w:pPr>
              <w:snapToGrid w:val="0"/>
              <w:spacing w:line="360" w:lineRule="auto"/>
              <w:jc w:val="center"/>
              <w:rPr>
                <w:rFonts w:ascii="宋体" w:hAnsi="宋体" w:cs="宋体"/>
                <w:spacing w:val="20"/>
                <w:sz w:val="24"/>
              </w:rPr>
            </w:pPr>
          </w:p>
        </w:tc>
        <w:tc>
          <w:tcPr>
            <w:tcW w:w="1080" w:type="dxa"/>
            <w:vAlign w:val="center"/>
          </w:tcPr>
          <w:p>
            <w:pPr>
              <w:snapToGrid w:val="0"/>
              <w:spacing w:line="360" w:lineRule="auto"/>
              <w:jc w:val="center"/>
              <w:rPr>
                <w:rFonts w:ascii="宋体" w:hAnsi="宋体" w:cs="宋体"/>
                <w:spacing w:val="20"/>
                <w:sz w:val="24"/>
              </w:rPr>
            </w:pPr>
          </w:p>
        </w:tc>
        <w:tc>
          <w:tcPr>
            <w:tcW w:w="1440" w:type="dxa"/>
            <w:vAlign w:val="center"/>
          </w:tcPr>
          <w:p>
            <w:pPr>
              <w:snapToGrid w:val="0"/>
              <w:spacing w:line="360" w:lineRule="auto"/>
              <w:jc w:val="center"/>
              <w:rPr>
                <w:rFonts w:ascii="宋体" w:hAnsi="宋体" w:cs="宋体"/>
                <w:spacing w:val="20"/>
                <w:sz w:val="24"/>
              </w:rPr>
            </w:pPr>
          </w:p>
        </w:tc>
        <w:tc>
          <w:tcPr>
            <w:tcW w:w="1390" w:type="dxa"/>
            <w:vAlign w:val="center"/>
          </w:tcPr>
          <w:p>
            <w:pPr>
              <w:snapToGrid w:val="0"/>
              <w:spacing w:line="360" w:lineRule="auto"/>
              <w:jc w:val="center"/>
              <w:rPr>
                <w:rFonts w:ascii="宋体" w:hAnsi="宋体" w:cs="宋体"/>
                <w:spacing w:val="20"/>
                <w:sz w:val="24"/>
              </w:rPr>
            </w:pPr>
          </w:p>
        </w:tc>
        <w:tc>
          <w:tcPr>
            <w:tcW w:w="1310" w:type="dxa"/>
            <w:vAlign w:val="center"/>
          </w:tcPr>
          <w:p>
            <w:pPr>
              <w:snapToGrid w:val="0"/>
              <w:spacing w:line="360" w:lineRule="auto"/>
              <w:jc w:val="center"/>
              <w:rPr>
                <w:rFonts w:ascii="宋体" w:hAnsi="宋体" w:cs="宋体"/>
                <w:spacing w:val="20"/>
                <w:sz w:val="24"/>
              </w:rPr>
            </w:pPr>
          </w:p>
        </w:tc>
        <w:tc>
          <w:tcPr>
            <w:tcW w:w="1080" w:type="dxa"/>
            <w:vAlign w:val="center"/>
          </w:tcPr>
          <w:p>
            <w:pPr>
              <w:snapToGrid w:val="0"/>
              <w:spacing w:line="360" w:lineRule="auto"/>
              <w:jc w:val="center"/>
              <w:rPr>
                <w:rFonts w:ascii="宋体" w:hAnsi="宋体" w:cs="宋体"/>
                <w:spacing w:val="20"/>
                <w:sz w:val="24"/>
              </w:rPr>
            </w:pPr>
          </w:p>
        </w:tc>
        <w:tc>
          <w:tcPr>
            <w:tcW w:w="900" w:type="dxa"/>
            <w:vAlign w:val="center"/>
          </w:tcPr>
          <w:p>
            <w:pPr>
              <w:snapToGrid w:val="0"/>
              <w:spacing w:line="360" w:lineRule="auto"/>
              <w:jc w:val="center"/>
              <w:rPr>
                <w:rFonts w:ascii="宋体" w:hAnsi="宋体" w:cs="宋体"/>
                <w:spacing w:val="20"/>
                <w:sz w:val="24"/>
              </w:rPr>
            </w:pPr>
          </w:p>
        </w:tc>
        <w:tc>
          <w:tcPr>
            <w:tcW w:w="900" w:type="dxa"/>
            <w:vAlign w:val="center"/>
          </w:tcPr>
          <w:p>
            <w:pPr>
              <w:snapToGrid w:val="0"/>
              <w:spacing w:line="360" w:lineRule="auto"/>
              <w:jc w:val="center"/>
              <w:rPr>
                <w:rFonts w:ascii="宋体" w:hAnsi="宋体" w:cs="宋体"/>
                <w:spacing w:val="20"/>
                <w:sz w:val="24"/>
              </w:rPr>
            </w:pPr>
          </w:p>
        </w:tc>
        <w:tc>
          <w:tcPr>
            <w:tcW w:w="719" w:type="dxa"/>
            <w:vAlign w:val="center"/>
          </w:tcPr>
          <w:p>
            <w:pPr>
              <w:snapToGrid w:val="0"/>
              <w:spacing w:line="360" w:lineRule="auto"/>
              <w:jc w:val="center"/>
              <w:rPr>
                <w:rFonts w:ascii="宋体" w:hAnsi="宋体" w:cs="宋体"/>
                <w:spacing w:val="20"/>
                <w:sz w:val="24"/>
              </w:rPr>
            </w:pPr>
          </w:p>
        </w:tc>
      </w:tr>
    </w:tbl>
    <w:p>
      <w:pPr>
        <w:snapToGrid w:val="0"/>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投标人名称(电子签名)：</w:t>
      </w:r>
    </w:p>
    <w:p>
      <w:pPr>
        <w:spacing w:line="360" w:lineRule="auto"/>
        <w:rPr>
          <w:rFonts w:ascii="宋体" w:hAnsi="宋体" w:cs="宋体"/>
          <w:sz w:val="24"/>
        </w:rPr>
      </w:pPr>
      <w:r>
        <w:rPr>
          <w:rFonts w:hint="eastAsia" w:ascii="宋体" w:hAnsi="宋体" w:cs="宋体"/>
          <w:sz w:val="24"/>
        </w:rPr>
        <w:t>日期：  年  月  日</w:t>
      </w:r>
    </w:p>
    <w:p>
      <w:pPr>
        <w:pStyle w:val="5"/>
        <w:tabs>
          <w:tab w:val="left" w:pos="720"/>
          <w:tab w:val="clear" w:pos="900"/>
        </w:tabs>
        <w:spacing w:line="360" w:lineRule="auto"/>
        <w:ind w:firstLine="502"/>
        <w:rPr>
          <w:rFonts w:ascii="宋体" w:hAnsi="宋体" w:cs="宋体"/>
          <w:spacing w:val="20"/>
          <w:sz w:val="24"/>
          <w:szCs w:val="24"/>
        </w:rPr>
      </w:pPr>
    </w:p>
    <w:p>
      <w:pPr>
        <w:snapToGrid w:val="0"/>
        <w:spacing w:line="360" w:lineRule="auto"/>
        <w:rPr>
          <w:rFonts w:ascii="宋体" w:hAnsi="宋体" w:cs="宋体"/>
          <w:sz w:val="24"/>
        </w:rPr>
      </w:pPr>
      <w:r>
        <w:rPr>
          <w:rFonts w:hint="eastAsia" w:ascii="宋体" w:hAnsi="宋体" w:cs="宋体"/>
          <w:sz w:val="24"/>
        </w:rPr>
        <w:t>填表说明：</w:t>
      </w:r>
    </w:p>
    <w:p>
      <w:pPr>
        <w:snapToGrid w:val="0"/>
        <w:spacing w:line="360" w:lineRule="auto"/>
        <w:ind w:firstLine="480" w:firstLineChars="200"/>
        <w:rPr>
          <w:rFonts w:ascii="宋体" w:hAnsi="宋体" w:cs="宋体"/>
          <w:sz w:val="24"/>
        </w:rPr>
      </w:pPr>
      <w:r>
        <w:rPr>
          <w:rFonts w:hint="eastAsia" w:ascii="宋体" w:hAnsi="宋体" w:cs="宋体"/>
          <w:sz w:val="24"/>
        </w:rPr>
        <w:t>（1）此表不提供，可视为无业绩。</w:t>
      </w:r>
    </w:p>
    <w:p>
      <w:pPr>
        <w:snapToGrid w:val="0"/>
        <w:spacing w:line="360" w:lineRule="auto"/>
        <w:ind w:firstLine="480" w:firstLineChars="200"/>
        <w:rPr>
          <w:rFonts w:ascii="宋体" w:hAnsi="宋体" w:cs="宋体"/>
          <w:sz w:val="24"/>
        </w:rPr>
      </w:pPr>
      <w:r>
        <w:rPr>
          <w:rFonts w:hint="eastAsia" w:ascii="宋体" w:hAnsi="宋体" w:cs="宋体"/>
          <w:sz w:val="24"/>
        </w:rPr>
        <w:t>（2）此表仅提供了格式，表格不够可自行增加。</w:t>
      </w:r>
    </w:p>
    <w:p>
      <w:pPr>
        <w:snapToGrid w:val="0"/>
        <w:spacing w:line="360" w:lineRule="auto"/>
        <w:ind w:firstLine="480" w:firstLineChars="200"/>
        <w:rPr>
          <w:rFonts w:ascii="宋体" w:hAnsi="宋体" w:cs="宋体"/>
          <w:sz w:val="24"/>
        </w:rPr>
      </w:pPr>
      <w:r>
        <w:rPr>
          <w:rFonts w:hint="eastAsia" w:ascii="宋体" w:hAnsi="宋体" w:cs="宋体"/>
          <w:sz w:val="24"/>
        </w:rPr>
        <w:t>（3）表后附合同等相关证明材料。</w:t>
      </w:r>
    </w:p>
    <w:p>
      <w:pPr>
        <w:snapToGrid w:val="0"/>
        <w:spacing w:line="360" w:lineRule="auto"/>
        <w:ind w:firstLine="480" w:firstLineChars="200"/>
        <w:rPr>
          <w:rFonts w:ascii="宋体" w:hAnsi="宋体" w:cs="宋体"/>
          <w:sz w:val="24"/>
        </w:rPr>
      </w:pPr>
      <w:r>
        <w:rPr>
          <w:rFonts w:hint="eastAsia" w:ascii="宋体" w:hAnsi="宋体" w:cs="宋体"/>
          <w:sz w:val="24"/>
        </w:rPr>
        <w:t>（4）评标办法所要求资料请务必提供。</w:t>
      </w:r>
    </w:p>
    <w:p>
      <w:pPr>
        <w:spacing w:line="360" w:lineRule="auto"/>
        <w:rPr>
          <w:rFonts w:ascii="宋体" w:hAnsi="宋体" w:cs="宋体"/>
          <w:b/>
          <w:kern w:val="0"/>
          <w:sz w:val="32"/>
          <w:szCs w:val="32"/>
          <w:lang w:val="zh-CN"/>
        </w:rPr>
      </w:pPr>
      <w:r>
        <w:rPr>
          <w:rFonts w:hint="eastAsia" w:ascii="宋体" w:hAnsi="宋体" w:cs="宋体"/>
          <w:b/>
          <w:kern w:val="0"/>
          <w:sz w:val="32"/>
          <w:szCs w:val="32"/>
          <w:lang w:val="zh-CN"/>
        </w:rPr>
        <w:br w:type="page"/>
      </w: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九、提供针对项目的完整技术解决方案</w:t>
      </w:r>
    </w:p>
    <w:p>
      <w:pPr>
        <w:snapToGrid w:val="0"/>
        <w:spacing w:line="360" w:lineRule="auto"/>
        <w:jc w:val="center"/>
        <w:rPr>
          <w:rFonts w:ascii="宋体" w:hAnsi="宋体" w:cs="宋体"/>
          <w:b/>
          <w:bCs/>
          <w:sz w:val="24"/>
        </w:rPr>
      </w:pPr>
      <w:r>
        <w:rPr>
          <w:rFonts w:hint="eastAsia" w:ascii="宋体" w:hAnsi="宋体" w:cs="宋体"/>
          <w:b/>
          <w:bCs/>
          <w:sz w:val="24"/>
        </w:rPr>
        <w:t>提供针对本项目的完整技术解决方案</w:t>
      </w:r>
    </w:p>
    <w:p>
      <w:pPr>
        <w:keepNext/>
        <w:keepLines/>
        <w:tabs>
          <w:tab w:val="left" w:pos="720"/>
        </w:tabs>
        <w:spacing w:before="120" w:line="360" w:lineRule="auto"/>
        <w:ind w:firstLine="482" w:firstLineChars="200"/>
        <w:outlineLvl w:val="2"/>
        <w:rPr>
          <w:rFonts w:ascii="宋体" w:hAnsi="宋体" w:cs="宋体"/>
          <w:b/>
          <w:bCs/>
          <w:sz w:val="24"/>
        </w:rPr>
      </w:pPr>
      <w:r>
        <w:rPr>
          <w:rFonts w:hint="eastAsia" w:ascii="宋体" w:hAnsi="宋体" w:cs="宋体"/>
          <w:b/>
          <w:bCs/>
          <w:sz w:val="24"/>
        </w:rPr>
        <w:t>（一）项目需求分析</w:t>
      </w:r>
    </w:p>
    <w:p>
      <w:pPr>
        <w:snapToGrid w:val="0"/>
        <w:spacing w:line="360" w:lineRule="auto"/>
        <w:ind w:firstLine="480" w:firstLineChars="200"/>
        <w:rPr>
          <w:rFonts w:ascii="宋体" w:hAnsi="宋体" w:cs="宋体"/>
          <w:sz w:val="24"/>
        </w:rPr>
      </w:pPr>
      <w:r>
        <w:rPr>
          <w:rFonts w:hint="eastAsia" w:ascii="宋体" w:hAnsi="宋体" w:cs="宋体"/>
          <w:sz w:val="24"/>
        </w:rPr>
        <w:t>根据投标人的调查情况，结合招标文件内容，阐述项目的现状，以及项目实施的重点、难点。</w:t>
      </w:r>
    </w:p>
    <w:p>
      <w:pPr>
        <w:keepNext/>
        <w:keepLines/>
        <w:tabs>
          <w:tab w:val="left" w:pos="720"/>
        </w:tabs>
        <w:spacing w:before="120" w:line="360" w:lineRule="auto"/>
        <w:ind w:firstLine="482" w:firstLineChars="200"/>
        <w:outlineLvl w:val="2"/>
        <w:rPr>
          <w:rFonts w:ascii="宋体" w:hAnsi="宋体" w:cs="宋体"/>
          <w:b/>
          <w:bCs/>
          <w:sz w:val="24"/>
        </w:rPr>
      </w:pPr>
      <w:r>
        <w:rPr>
          <w:rFonts w:hint="eastAsia" w:ascii="宋体" w:hAnsi="宋体" w:cs="宋体"/>
          <w:b/>
          <w:bCs/>
          <w:sz w:val="24"/>
        </w:rPr>
        <w:t>（二）采购需求响应说明</w:t>
      </w:r>
    </w:p>
    <w:tbl>
      <w:tblPr>
        <w:tblStyle w:val="62"/>
        <w:tblW w:w="98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1"/>
        <w:gridCol w:w="2770"/>
        <w:gridCol w:w="2551"/>
        <w:gridCol w:w="1700"/>
        <w:gridCol w:w="2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62" w:type="dxa"/>
            <w:gridSpan w:val="3"/>
            <w:tcBorders>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采购文件要求</w:t>
            </w:r>
          </w:p>
        </w:tc>
        <w:tc>
          <w:tcPr>
            <w:tcW w:w="1700" w:type="dxa"/>
            <w:vMerge w:val="restart"/>
            <w:tcBorders>
              <w:lef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承诺内容</w:t>
            </w:r>
          </w:p>
        </w:tc>
        <w:tc>
          <w:tcPr>
            <w:tcW w:w="2132" w:type="dxa"/>
            <w:vMerge w:val="restart"/>
            <w:tcBorders>
              <w:lef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是否满足</w:t>
            </w:r>
          </w:p>
          <w:p>
            <w:pPr>
              <w:snapToGrid w:val="0"/>
              <w:spacing w:line="360" w:lineRule="auto"/>
              <w:jc w:val="center"/>
              <w:rPr>
                <w:rFonts w:ascii="宋体" w:hAnsi="宋体" w:cs="宋体"/>
                <w:sz w:val="24"/>
              </w:rPr>
            </w:pPr>
            <w:r>
              <w:rPr>
                <w:rFonts w:hint="eastAsia" w:ascii="宋体" w:hAnsi="宋体" w:cs="宋体"/>
                <w:sz w:val="24"/>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1" w:type="dxa"/>
            <w:tcBorders>
              <w:right w:val="single" w:color="auto" w:sz="4" w:space="0"/>
            </w:tcBorders>
            <w:vAlign w:val="center"/>
          </w:tcPr>
          <w:p>
            <w:pPr>
              <w:snapToGrid w:val="0"/>
              <w:spacing w:line="360" w:lineRule="auto"/>
              <w:jc w:val="center"/>
              <w:rPr>
                <w:rFonts w:ascii="宋体" w:hAnsi="宋体" w:cs="宋体"/>
                <w:kern w:val="40"/>
                <w:sz w:val="24"/>
              </w:rPr>
            </w:pPr>
            <w:r>
              <w:rPr>
                <w:rFonts w:hint="eastAsia" w:ascii="宋体" w:hAnsi="宋体" w:cs="宋体"/>
                <w:kern w:val="40"/>
                <w:sz w:val="24"/>
              </w:rPr>
              <w:t>序号</w:t>
            </w:r>
          </w:p>
        </w:tc>
        <w:tc>
          <w:tcPr>
            <w:tcW w:w="2770" w:type="dxa"/>
            <w:tcBorders>
              <w:left w:val="single" w:color="auto" w:sz="4" w:space="0"/>
              <w:right w:val="single" w:color="auto" w:sz="4" w:space="0"/>
            </w:tcBorders>
            <w:vAlign w:val="center"/>
          </w:tcPr>
          <w:p>
            <w:pPr>
              <w:snapToGrid w:val="0"/>
              <w:spacing w:line="360" w:lineRule="auto"/>
              <w:jc w:val="center"/>
              <w:rPr>
                <w:rFonts w:ascii="宋体" w:hAnsi="宋体" w:cs="宋体"/>
                <w:kern w:val="40"/>
                <w:sz w:val="24"/>
              </w:rPr>
            </w:pPr>
            <w:r>
              <w:rPr>
                <w:rFonts w:hint="eastAsia" w:ascii="宋体" w:hAnsi="宋体" w:cs="宋体"/>
                <w:kern w:val="40"/>
                <w:sz w:val="24"/>
              </w:rPr>
              <w:t>内容名称</w:t>
            </w:r>
          </w:p>
        </w:tc>
        <w:tc>
          <w:tcPr>
            <w:tcW w:w="2551" w:type="dxa"/>
            <w:tcBorders>
              <w:left w:val="single" w:color="auto" w:sz="4" w:space="0"/>
              <w:right w:val="single" w:color="auto" w:sz="4" w:space="0"/>
            </w:tcBorders>
            <w:vAlign w:val="center"/>
          </w:tcPr>
          <w:p>
            <w:pPr>
              <w:snapToGrid w:val="0"/>
              <w:spacing w:line="360" w:lineRule="auto"/>
              <w:jc w:val="center"/>
              <w:rPr>
                <w:rFonts w:ascii="宋体" w:hAnsi="宋体" w:cs="宋体"/>
                <w:kern w:val="40"/>
                <w:sz w:val="24"/>
              </w:rPr>
            </w:pPr>
            <w:r>
              <w:rPr>
                <w:rFonts w:hint="eastAsia" w:ascii="宋体" w:hAnsi="宋体" w:cs="宋体"/>
                <w:kern w:val="40"/>
                <w:sz w:val="24"/>
              </w:rPr>
              <w:t>具体要求</w:t>
            </w:r>
          </w:p>
        </w:tc>
        <w:tc>
          <w:tcPr>
            <w:tcW w:w="1700" w:type="dxa"/>
            <w:vMerge w:val="continue"/>
            <w:tcBorders>
              <w:left w:val="single" w:color="auto" w:sz="4" w:space="0"/>
            </w:tcBorders>
            <w:vAlign w:val="center"/>
          </w:tcPr>
          <w:p>
            <w:pPr>
              <w:snapToGrid w:val="0"/>
              <w:spacing w:line="360" w:lineRule="auto"/>
              <w:jc w:val="center"/>
              <w:rPr>
                <w:rFonts w:ascii="宋体" w:hAnsi="宋体" w:cs="宋体"/>
                <w:kern w:val="40"/>
                <w:sz w:val="24"/>
              </w:rPr>
            </w:pPr>
          </w:p>
        </w:tc>
        <w:tc>
          <w:tcPr>
            <w:tcW w:w="2132" w:type="dxa"/>
            <w:vMerge w:val="continue"/>
            <w:tcBorders>
              <w:left w:val="single" w:color="auto" w:sz="4" w:space="0"/>
            </w:tcBorders>
            <w:vAlign w:val="center"/>
          </w:tcPr>
          <w:p>
            <w:pPr>
              <w:snapToGrid w:val="0"/>
              <w:spacing w:line="360" w:lineRule="auto"/>
              <w:jc w:val="center"/>
              <w:rPr>
                <w:rFonts w:ascii="宋体" w:hAnsi="宋体" w:cs="宋体"/>
                <w:kern w:val="4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894" w:type="dxa"/>
            <w:gridSpan w:val="5"/>
            <w:vAlign w:val="center"/>
          </w:tcPr>
          <w:p>
            <w:pPr>
              <w:widowControl/>
              <w:spacing w:line="360" w:lineRule="auto"/>
              <w:jc w:val="center"/>
              <w:rPr>
                <w:rFonts w:ascii="宋体" w:hAnsi="宋体" w:cs="宋体"/>
                <w:kern w:val="40"/>
                <w:sz w:val="24"/>
              </w:rPr>
            </w:pPr>
            <w:r>
              <w:rPr>
                <w:rFonts w:hint="eastAsia" w:ascii="宋体" w:hAnsi="宋体" w:cs="宋体"/>
                <w:kern w:val="0"/>
                <w:sz w:val="24"/>
                <w:lang w:bidi="ar"/>
              </w:rPr>
              <w:t>“第三部分  采购需求”内容（要求点对点逐项列明）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1" w:type="dxa"/>
            <w:tcBorders>
              <w:right w:val="single" w:color="auto" w:sz="4" w:space="0"/>
            </w:tcBorders>
            <w:vAlign w:val="center"/>
          </w:tcPr>
          <w:p>
            <w:pPr>
              <w:snapToGrid w:val="0"/>
              <w:spacing w:line="360" w:lineRule="auto"/>
              <w:jc w:val="center"/>
              <w:rPr>
                <w:rFonts w:ascii="宋体" w:hAnsi="宋体" w:cs="宋体"/>
                <w:kern w:val="40"/>
                <w:sz w:val="24"/>
              </w:rPr>
            </w:pPr>
            <w:r>
              <w:rPr>
                <w:rFonts w:hint="eastAsia" w:ascii="宋体" w:hAnsi="宋体" w:cs="宋体"/>
                <w:sz w:val="24"/>
              </w:rPr>
              <w:t>1</w:t>
            </w:r>
          </w:p>
        </w:tc>
        <w:tc>
          <w:tcPr>
            <w:tcW w:w="2770" w:type="dxa"/>
            <w:tcBorders>
              <w:left w:val="single" w:color="auto" w:sz="4" w:space="0"/>
              <w:right w:val="single" w:color="auto" w:sz="4" w:space="0"/>
            </w:tcBorders>
            <w:vAlign w:val="center"/>
          </w:tcPr>
          <w:p>
            <w:pPr>
              <w:snapToGrid w:val="0"/>
              <w:spacing w:line="360" w:lineRule="auto"/>
              <w:jc w:val="left"/>
              <w:rPr>
                <w:rFonts w:ascii="宋体" w:hAnsi="宋体" w:cs="宋体"/>
                <w:kern w:val="40"/>
                <w:sz w:val="24"/>
              </w:rPr>
            </w:pPr>
          </w:p>
        </w:tc>
        <w:tc>
          <w:tcPr>
            <w:tcW w:w="2551" w:type="dxa"/>
            <w:tcBorders>
              <w:left w:val="single" w:color="auto" w:sz="4" w:space="0"/>
              <w:right w:val="single" w:color="auto" w:sz="4" w:space="0"/>
            </w:tcBorders>
            <w:vAlign w:val="center"/>
          </w:tcPr>
          <w:p>
            <w:pPr>
              <w:snapToGrid w:val="0"/>
              <w:spacing w:line="360" w:lineRule="auto"/>
              <w:jc w:val="center"/>
              <w:rPr>
                <w:rFonts w:ascii="宋体" w:hAnsi="宋体" w:cs="宋体"/>
                <w:kern w:val="40"/>
                <w:sz w:val="24"/>
              </w:rPr>
            </w:pPr>
          </w:p>
        </w:tc>
        <w:tc>
          <w:tcPr>
            <w:tcW w:w="1700" w:type="dxa"/>
            <w:tcBorders>
              <w:left w:val="single" w:color="auto" w:sz="4" w:space="0"/>
            </w:tcBorders>
            <w:vAlign w:val="center"/>
          </w:tcPr>
          <w:p>
            <w:pPr>
              <w:snapToGrid w:val="0"/>
              <w:spacing w:line="360" w:lineRule="auto"/>
              <w:jc w:val="center"/>
              <w:rPr>
                <w:rFonts w:ascii="宋体" w:hAnsi="宋体" w:cs="宋体"/>
                <w:kern w:val="40"/>
                <w:sz w:val="24"/>
              </w:rPr>
            </w:pPr>
          </w:p>
        </w:tc>
        <w:tc>
          <w:tcPr>
            <w:tcW w:w="2132" w:type="dxa"/>
            <w:tcBorders>
              <w:left w:val="single" w:color="auto" w:sz="4" w:space="0"/>
            </w:tcBorders>
            <w:vAlign w:val="center"/>
          </w:tcPr>
          <w:p>
            <w:pPr>
              <w:snapToGrid w:val="0"/>
              <w:spacing w:line="360" w:lineRule="auto"/>
              <w:jc w:val="center"/>
              <w:rPr>
                <w:rFonts w:ascii="宋体" w:hAnsi="宋体" w:cs="宋体"/>
                <w:kern w:val="4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1" w:type="dxa"/>
            <w:tcBorders>
              <w:right w:val="single" w:color="auto" w:sz="4" w:space="0"/>
            </w:tcBorders>
            <w:vAlign w:val="center"/>
          </w:tcPr>
          <w:p>
            <w:pPr>
              <w:snapToGrid w:val="0"/>
              <w:spacing w:line="360" w:lineRule="auto"/>
              <w:jc w:val="center"/>
              <w:rPr>
                <w:rFonts w:ascii="宋体" w:hAnsi="宋体" w:cs="宋体"/>
                <w:kern w:val="40"/>
                <w:sz w:val="24"/>
              </w:rPr>
            </w:pPr>
            <w:r>
              <w:rPr>
                <w:rFonts w:hint="eastAsia" w:ascii="宋体" w:hAnsi="宋体" w:cs="宋体"/>
                <w:sz w:val="24"/>
              </w:rPr>
              <w:t>2</w:t>
            </w:r>
          </w:p>
        </w:tc>
        <w:tc>
          <w:tcPr>
            <w:tcW w:w="2770" w:type="dxa"/>
            <w:tcBorders>
              <w:left w:val="single" w:color="auto" w:sz="4" w:space="0"/>
              <w:right w:val="single" w:color="auto" w:sz="4" w:space="0"/>
            </w:tcBorders>
            <w:vAlign w:val="center"/>
          </w:tcPr>
          <w:p>
            <w:pPr>
              <w:snapToGrid w:val="0"/>
              <w:spacing w:line="360" w:lineRule="auto"/>
              <w:jc w:val="left"/>
              <w:rPr>
                <w:rFonts w:ascii="宋体" w:hAnsi="宋体" w:cs="宋体"/>
                <w:kern w:val="40"/>
                <w:sz w:val="24"/>
              </w:rPr>
            </w:pPr>
          </w:p>
        </w:tc>
        <w:tc>
          <w:tcPr>
            <w:tcW w:w="2551" w:type="dxa"/>
            <w:tcBorders>
              <w:left w:val="single" w:color="auto" w:sz="4" w:space="0"/>
              <w:right w:val="single" w:color="auto" w:sz="4" w:space="0"/>
            </w:tcBorders>
            <w:vAlign w:val="center"/>
          </w:tcPr>
          <w:p>
            <w:pPr>
              <w:snapToGrid w:val="0"/>
              <w:spacing w:line="360" w:lineRule="auto"/>
              <w:jc w:val="center"/>
              <w:rPr>
                <w:rFonts w:ascii="宋体" w:hAnsi="宋体" w:cs="宋体"/>
                <w:kern w:val="40"/>
                <w:sz w:val="24"/>
              </w:rPr>
            </w:pPr>
          </w:p>
        </w:tc>
        <w:tc>
          <w:tcPr>
            <w:tcW w:w="1700" w:type="dxa"/>
            <w:tcBorders>
              <w:left w:val="single" w:color="auto" w:sz="4" w:space="0"/>
            </w:tcBorders>
            <w:vAlign w:val="center"/>
          </w:tcPr>
          <w:p>
            <w:pPr>
              <w:snapToGrid w:val="0"/>
              <w:spacing w:line="360" w:lineRule="auto"/>
              <w:jc w:val="center"/>
              <w:rPr>
                <w:rFonts w:ascii="宋体" w:hAnsi="宋体" w:cs="宋体"/>
                <w:kern w:val="40"/>
                <w:sz w:val="24"/>
              </w:rPr>
            </w:pPr>
          </w:p>
        </w:tc>
        <w:tc>
          <w:tcPr>
            <w:tcW w:w="2132" w:type="dxa"/>
            <w:tcBorders>
              <w:left w:val="single" w:color="auto" w:sz="4" w:space="0"/>
            </w:tcBorders>
            <w:vAlign w:val="center"/>
          </w:tcPr>
          <w:p>
            <w:pPr>
              <w:snapToGrid w:val="0"/>
              <w:spacing w:line="360" w:lineRule="auto"/>
              <w:jc w:val="center"/>
              <w:rPr>
                <w:rFonts w:ascii="宋体" w:hAnsi="宋体" w:cs="宋体"/>
                <w:kern w:val="4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741" w:type="dxa"/>
            <w:tcBorders>
              <w:right w:val="single" w:color="auto" w:sz="4" w:space="0"/>
            </w:tcBorders>
            <w:vAlign w:val="center"/>
          </w:tcPr>
          <w:p>
            <w:pPr>
              <w:snapToGrid w:val="0"/>
              <w:spacing w:line="360" w:lineRule="auto"/>
              <w:jc w:val="center"/>
              <w:rPr>
                <w:rFonts w:ascii="宋体" w:hAnsi="宋体" w:cs="宋体"/>
                <w:kern w:val="40"/>
                <w:sz w:val="24"/>
              </w:rPr>
            </w:pPr>
            <w:r>
              <w:rPr>
                <w:rFonts w:hint="eastAsia" w:ascii="宋体" w:hAnsi="宋体" w:cs="宋体"/>
                <w:sz w:val="24"/>
              </w:rPr>
              <w:t>....</w:t>
            </w:r>
          </w:p>
        </w:tc>
        <w:tc>
          <w:tcPr>
            <w:tcW w:w="2770" w:type="dxa"/>
            <w:tcBorders>
              <w:left w:val="single" w:color="auto" w:sz="4" w:space="0"/>
              <w:right w:val="single" w:color="auto" w:sz="4" w:space="0"/>
            </w:tcBorders>
            <w:vAlign w:val="center"/>
          </w:tcPr>
          <w:p>
            <w:pPr>
              <w:snapToGrid w:val="0"/>
              <w:spacing w:line="360" w:lineRule="auto"/>
              <w:jc w:val="center"/>
              <w:rPr>
                <w:rFonts w:ascii="宋体" w:hAnsi="宋体" w:cs="宋体"/>
                <w:kern w:val="40"/>
                <w:sz w:val="24"/>
              </w:rPr>
            </w:pPr>
            <w:r>
              <w:rPr>
                <w:rFonts w:hint="eastAsia" w:ascii="宋体" w:hAnsi="宋体" w:cs="宋体"/>
                <w:sz w:val="24"/>
              </w:rPr>
              <w:t>......</w:t>
            </w:r>
          </w:p>
        </w:tc>
        <w:tc>
          <w:tcPr>
            <w:tcW w:w="2551" w:type="dxa"/>
            <w:tcBorders>
              <w:left w:val="single" w:color="auto" w:sz="4" w:space="0"/>
              <w:right w:val="single" w:color="auto" w:sz="4" w:space="0"/>
            </w:tcBorders>
            <w:vAlign w:val="center"/>
          </w:tcPr>
          <w:p>
            <w:pPr>
              <w:snapToGrid w:val="0"/>
              <w:spacing w:line="360" w:lineRule="auto"/>
              <w:jc w:val="center"/>
              <w:rPr>
                <w:rFonts w:ascii="宋体" w:hAnsi="宋体" w:cs="宋体"/>
                <w:kern w:val="40"/>
                <w:sz w:val="24"/>
              </w:rPr>
            </w:pPr>
            <w:r>
              <w:rPr>
                <w:rFonts w:hint="eastAsia" w:ascii="宋体" w:hAnsi="宋体" w:cs="宋体"/>
                <w:sz w:val="24"/>
              </w:rPr>
              <w:t>......</w:t>
            </w:r>
          </w:p>
        </w:tc>
        <w:tc>
          <w:tcPr>
            <w:tcW w:w="1700" w:type="dxa"/>
            <w:tcBorders>
              <w:left w:val="single" w:color="auto" w:sz="4" w:space="0"/>
            </w:tcBorders>
            <w:vAlign w:val="center"/>
          </w:tcPr>
          <w:p>
            <w:pPr>
              <w:snapToGrid w:val="0"/>
              <w:spacing w:line="360" w:lineRule="auto"/>
              <w:jc w:val="center"/>
              <w:rPr>
                <w:rFonts w:ascii="宋体" w:hAnsi="宋体" w:cs="宋体"/>
                <w:kern w:val="40"/>
                <w:sz w:val="24"/>
              </w:rPr>
            </w:pPr>
          </w:p>
        </w:tc>
        <w:tc>
          <w:tcPr>
            <w:tcW w:w="2132" w:type="dxa"/>
            <w:tcBorders>
              <w:left w:val="single" w:color="auto" w:sz="4" w:space="0"/>
            </w:tcBorders>
            <w:vAlign w:val="center"/>
          </w:tcPr>
          <w:p>
            <w:pPr>
              <w:snapToGrid w:val="0"/>
              <w:spacing w:line="360" w:lineRule="auto"/>
              <w:jc w:val="center"/>
              <w:rPr>
                <w:rFonts w:ascii="宋体" w:hAnsi="宋体" w:cs="宋体"/>
                <w:kern w:val="4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894" w:type="dxa"/>
            <w:gridSpan w:val="5"/>
            <w:vAlign w:val="center"/>
          </w:tcPr>
          <w:p>
            <w:pPr>
              <w:widowControl/>
              <w:spacing w:line="360" w:lineRule="auto"/>
              <w:jc w:val="center"/>
              <w:rPr>
                <w:rFonts w:ascii="宋体" w:hAnsi="宋体" w:cs="宋体"/>
                <w:kern w:val="40"/>
                <w:sz w:val="24"/>
              </w:rPr>
            </w:pPr>
            <w:r>
              <w:rPr>
                <w:rFonts w:hint="eastAsia" w:ascii="宋体" w:hAnsi="宋体" w:cs="宋体"/>
                <w:kern w:val="0"/>
                <w:sz w:val="24"/>
                <w:lang w:bidi="ar"/>
              </w:rPr>
              <w:t>“第五部分 拟签订的合同文本”内容（直接注明不能符合内容即可，未注明视为全部满足）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1" w:type="dxa"/>
            <w:tcBorders>
              <w:right w:val="single" w:color="auto" w:sz="4" w:space="0"/>
            </w:tcBorders>
            <w:vAlign w:val="center"/>
          </w:tcPr>
          <w:p>
            <w:pPr>
              <w:widowControl/>
              <w:spacing w:line="360" w:lineRule="auto"/>
              <w:jc w:val="center"/>
              <w:rPr>
                <w:rFonts w:ascii="宋体" w:hAnsi="宋体" w:cs="宋体"/>
                <w:kern w:val="0"/>
                <w:sz w:val="24"/>
                <w:lang w:bidi="ar"/>
              </w:rPr>
            </w:pPr>
            <w:r>
              <w:rPr>
                <w:rFonts w:hint="eastAsia" w:ascii="宋体" w:hAnsi="宋体" w:cs="宋体"/>
                <w:kern w:val="0"/>
                <w:sz w:val="24"/>
                <w:lang w:bidi="ar"/>
              </w:rPr>
              <w:t>1</w:t>
            </w:r>
          </w:p>
        </w:tc>
        <w:tc>
          <w:tcPr>
            <w:tcW w:w="2770" w:type="dxa"/>
            <w:tcBorders>
              <w:left w:val="single" w:color="auto" w:sz="4" w:space="0"/>
              <w:right w:val="single" w:color="auto" w:sz="4" w:space="0"/>
            </w:tcBorders>
            <w:vAlign w:val="center"/>
          </w:tcPr>
          <w:p>
            <w:pPr>
              <w:widowControl/>
              <w:spacing w:line="360" w:lineRule="auto"/>
              <w:jc w:val="center"/>
              <w:rPr>
                <w:rFonts w:ascii="宋体" w:hAnsi="宋体" w:cs="宋体"/>
                <w:kern w:val="0"/>
                <w:sz w:val="24"/>
                <w:lang w:bidi="ar"/>
              </w:rPr>
            </w:pPr>
          </w:p>
        </w:tc>
        <w:tc>
          <w:tcPr>
            <w:tcW w:w="2551" w:type="dxa"/>
            <w:tcBorders>
              <w:left w:val="single" w:color="auto" w:sz="4" w:space="0"/>
              <w:right w:val="single" w:color="auto" w:sz="4" w:space="0"/>
            </w:tcBorders>
            <w:vAlign w:val="center"/>
          </w:tcPr>
          <w:p>
            <w:pPr>
              <w:widowControl/>
              <w:spacing w:line="360" w:lineRule="auto"/>
              <w:jc w:val="center"/>
              <w:rPr>
                <w:rFonts w:ascii="宋体" w:hAnsi="宋体" w:cs="宋体"/>
                <w:kern w:val="0"/>
                <w:sz w:val="24"/>
                <w:lang w:bidi="ar"/>
              </w:rPr>
            </w:pPr>
          </w:p>
        </w:tc>
        <w:tc>
          <w:tcPr>
            <w:tcW w:w="1700" w:type="dxa"/>
            <w:tcBorders>
              <w:left w:val="single" w:color="auto" w:sz="4" w:space="0"/>
              <w:right w:val="single" w:color="auto" w:sz="4" w:space="0"/>
            </w:tcBorders>
            <w:vAlign w:val="center"/>
          </w:tcPr>
          <w:p>
            <w:pPr>
              <w:widowControl/>
              <w:spacing w:line="360" w:lineRule="auto"/>
              <w:jc w:val="center"/>
              <w:rPr>
                <w:rFonts w:ascii="宋体" w:hAnsi="宋体" w:cs="宋体"/>
                <w:kern w:val="0"/>
                <w:sz w:val="24"/>
                <w:lang w:bidi="ar"/>
              </w:rPr>
            </w:pPr>
          </w:p>
        </w:tc>
        <w:tc>
          <w:tcPr>
            <w:tcW w:w="2132" w:type="dxa"/>
            <w:tcBorders>
              <w:left w:val="single" w:color="auto" w:sz="4" w:space="0"/>
            </w:tcBorders>
            <w:vAlign w:val="center"/>
          </w:tcPr>
          <w:p>
            <w:pPr>
              <w:widowControl/>
              <w:spacing w:line="360" w:lineRule="auto"/>
              <w:jc w:val="center"/>
              <w:rPr>
                <w:rFonts w:ascii="宋体" w:hAnsi="宋体" w:cs="宋体"/>
                <w:kern w:val="0"/>
                <w:sz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741" w:type="dxa"/>
            <w:tcBorders>
              <w:right w:val="single" w:color="auto" w:sz="4" w:space="0"/>
            </w:tcBorders>
            <w:vAlign w:val="center"/>
          </w:tcPr>
          <w:p>
            <w:pPr>
              <w:widowControl/>
              <w:spacing w:line="360" w:lineRule="auto"/>
              <w:jc w:val="center"/>
              <w:rPr>
                <w:rFonts w:ascii="宋体" w:hAnsi="宋体" w:cs="宋体"/>
                <w:kern w:val="0"/>
                <w:sz w:val="24"/>
                <w:lang w:bidi="ar"/>
              </w:rPr>
            </w:pPr>
            <w:r>
              <w:rPr>
                <w:rFonts w:hint="eastAsia" w:ascii="宋体" w:hAnsi="宋体" w:cs="宋体"/>
                <w:kern w:val="0"/>
                <w:sz w:val="24"/>
                <w:lang w:bidi="ar"/>
              </w:rPr>
              <w:t>2</w:t>
            </w:r>
          </w:p>
        </w:tc>
        <w:tc>
          <w:tcPr>
            <w:tcW w:w="2770" w:type="dxa"/>
            <w:tcBorders>
              <w:left w:val="single" w:color="auto" w:sz="4" w:space="0"/>
              <w:right w:val="single" w:color="auto" w:sz="4" w:space="0"/>
            </w:tcBorders>
            <w:vAlign w:val="center"/>
          </w:tcPr>
          <w:p>
            <w:pPr>
              <w:widowControl/>
              <w:spacing w:line="360" w:lineRule="auto"/>
              <w:jc w:val="center"/>
              <w:rPr>
                <w:rFonts w:ascii="宋体" w:hAnsi="宋体" w:cs="宋体"/>
                <w:kern w:val="0"/>
                <w:sz w:val="24"/>
                <w:lang w:bidi="ar"/>
              </w:rPr>
            </w:pPr>
          </w:p>
        </w:tc>
        <w:tc>
          <w:tcPr>
            <w:tcW w:w="2551" w:type="dxa"/>
            <w:tcBorders>
              <w:left w:val="single" w:color="auto" w:sz="4" w:space="0"/>
              <w:right w:val="single" w:color="auto" w:sz="4" w:space="0"/>
            </w:tcBorders>
            <w:vAlign w:val="center"/>
          </w:tcPr>
          <w:p>
            <w:pPr>
              <w:widowControl/>
              <w:spacing w:line="360" w:lineRule="auto"/>
              <w:jc w:val="center"/>
              <w:rPr>
                <w:rFonts w:ascii="宋体" w:hAnsi="宋体" w:cs="宋体"/>
                <w:kern w:val="0"/>
                <w:sz w:val="24"/>
                <w:lang w:bidi="ar"/>
              </w:rPr>
            </w:pPr>
          </w:p>
        </w:tc>
        <w:tc>
          <w:tcPr>
            <w:tcW w:w="1700" w:type="dxa"/>
            <w:tcBorders>
              <w:left w:val="single" w:color="auto" w:sz="4" w:space="0"/>
              <w:right w:val="single" w:color="auto" w:sz="4" w:space="0"/>
            </w:tcBorders>
            <w:vAlign w:val="center"/>
          </w:tcPr>
          <w:p>
            <w:pPr>
              <w:widowControl/>
              <w:spacing w:line="360" w:lineRule="auto"/>
              <w:jc w:val="center"/>
              <w:rPr>
                <w:rFonts w:ascii="宋体" w:hAnsi="宋体" w:cs="宋体"/>
                <w:kern w:val="0"/>
                <w:sz w:val="24"/>
                <w:lang w:bidi="ar"/>
              </w:rPr>
            </w:pPr>
          </w:p>
        </w:tc>
        <w:tc>
          <w:tcPr>
            <w:tcW w:w="2132" w:type="dxa"/>
            <w:tcBorders>
              <w:left w:val="single" w:color="auto" w:sz="4" w:space="0"/>
            </w:tcBorders>
            <w:vAlign w:val="center"/>
          </w:tcPr>
          <w:p>
            <w:pPr>
              <w:widowControl/>
              <w:spacing w:line="360" w:lineRule="auto"/>
              <w:jc w:val="center"/>
              <w:rPr>
                <w:rFonts w:ascii="宋体" w:hAnsi="宋体" w:cs="宋体"/>
                <w:kern w:val="0"/>
                <w:sz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1" w:type="dxa"/>
            <w:tcBorders>
              <w:right w:val="single" w:color="auto" w:sz="4" w:space="0"/>
            </w:tcBorders>
            <w:vAlign w:val="center"/>
          </w:tcPr>
          <w:p>
            <w:pPr>
              <w:widowControl/>
              <w:spacing w:line="360" w:lineRule="auto"/>
              <w:jc w:val="center"/>
              <w:rPr>
                <w:rFonts w:ascii="宋体" w:hAnsi="宋体" w:cs="宋体"/>
                <w:kern w:val="0"/>
                <w:sz w:val="24"/>
                <w:lang w:bidi="ar"/>
              </w:rPr>
            </w:pPr>
            <w:r>
              <w:rPr>
                <w:rFonts w:hint="eastAsia" w:ascii="宋体" w:hAnsi="宋体" w:cs="宋体"/>
                <w:sz w:val="24"/>
              </w:rPr>
              <w:t>....</w:t>
            </w:r>
          </w:p>
        </w:tc>
        <w:tc>
          <w:tcPr>
            <w:tcW w:w="2770" w:type="dxa"/>
            <w:tcBorders>
              <w:left w:val="single" w:color="auto" w:sz="4" w:space="0"/>
              <w:right w:val="single" w:color="auto" w:sz="4" w:space="0"/>
            </w:tcBorders>
            <w:vAlign w:val="center"/>
          </w:tcPr>
          <w:p>
            <w:pPr>
              <w:widowControl/>
              <w:spacing w:line="360" w:lineRule="auto"/>
              <w:jc w:val="center"/>
              <w:rPr>
                <w:rFonts w:ascii="宋体" w:hAnsi="宋体" w:cs="宋体"/>
                <w:kern w:val="0"/>
                <w:sz w:val="24"/>
                <w:lang w:bidi="ar"/>
              </w:rPr>
            </w:pPr>
            <w:r>
              <w:rPr>
                <w:rFonts w:hint="eastAsia" w:ascii="宋体" w:hAnsi="宋体" w:cs="宋体"/>
                <w:sz w:val="24"/>
              </w:rPr>
              <w:t>......</w:t>
            </w:r>
          </w:p>
        </w:tc>
        <w:tc>
          <w:tcPr>
            <w:tcW w:w="2551" w:type="dxa"/>
            <w:tcBorders>
              <w:left w:val="single" w:color="auto" w:sz="4" w:space="0"/>
              <w:right w:val="single" w:color="auto" w:sz="4" w:space="0"/>
            </w:tcBorders>
            <w:vAlign w:val="center"/>
          </w:tcPr>
          <w:p>
            <w:pPr>
              <w:widowControl/>
              <w:spacing w:line="360" w:lineRule="auto"/>
              <w:jc w:val="center"/>
              <w:rPr>
                <w:rFonts w:ascii="宋体" w:hAnsi="宋体" w:cs="宋体"/>
                <w:kern w:val="0"/>
                <w:sz w:val="24"/>
                <w:lang w:bidi="ar"/>
              </w:rPr>
            </w:pPr>
            <w:r>
              <w:rPr>
                <w:rFonts w:hint="eastAsia" w:ascii="宋体" w:hAnsi="宋体" w:cs="宋体"/>
                <w:sz w:val="24"/>
              </w:rPr>
              <w:t>......</w:t>
            </w:r>
          </w:p>
        </w:tc>
        <w:tc>
          <w:tcPr>
            <w:tcW w:w="1700" w:type="dxa"/>
            <w:tcBorders>
              <w:left w:val="single" w:color="auto" w:sz="4" w:space="0"/>
              <w:right w:val="single" w:color="auto" w:sz="4" w:space="0"/>
            </w:tcBorders>
            <w:vAlign w:val="center"/>
          </w:tcPr>
          <w:p>
            <w:pPr>
              <w:widowControl/>
              <w:spacing w:line="360" w:lineRule="auto"/>
              <w:jc w:val="center"/>
              <w:rPr>
                <w:rFonts w:ascii="宋体" w:hAnsi="宋体" w:cs="宋体"/>
                <w:kern w:val="0"/>
                <w:sz w:val="24"/>
                <w:lang w:bidi="ar"/>
              </w:rPr>
            </w:pPr>
          </w:p>
        </w:tc>
        <w:tc>
          <w:tcPr>
            <w:tcW w:w="2132" w:type="dxa"/>
            <w:tcBorders>
              <w:left w:val="single" w:color="auto" w:sz="4" w:space="0"/>
            </w:tcBorders>
            <w:vAlign w:val="center"/>
          </w:tcPr>
          <w:p>
            <w:pPr>
              <w:widowControl/>
              <w:spacing w:line="360" w:lineRule="auto"/>
              <w:jc w:val="center"/>
              <w:rPr>
                <w:rFonts w:ascii="宋体" w:hAnsi="宋体" w:cs="宋体"/>
                <w:kern w:val="0"/>
                <w:sz w:val="24"/>
                <w:lang w:bidi="ar"/>
              </w:rPr>
            </w:pPr>
          </w:p>
        </w:tc>
      </w:tr>
    </w:tbl>
    <w:p>
      <w:pPr>
        <w:snapToGrid w:val="0"/>
        <w:spacing w:line="360" w:lineRule="auto"/>
        <w:ind w:firstLine="480" w:firstLineChars="200"/>
        <w:rPr>
          <w:rFonts w:ascii="宋体" w:hAnsi="宋体" w:cs="宋体"/>
          <w:sz w:val="24"/>
        </w:rPr>
      </w:pPr>
    </w:p>
    <w:p>
      <w:pPr>
        <w:spacing w:line="360" w:lineRule="auto"/>
        <w:rPr>
          <w:rFonts w:ascii="宋体" w:hAnsi="宋体" w:cs="宋体"/>
          <w:sz w:val="24"/>
        </w:rPr>
      </w:pPr>
      <w:r>
        <w:rPr>
          <w:rFonts w:hint="eastAsia" w:ascii="宋体" w:hAnsi="宋体" w:cs="宋体"/>
          <w:sz w:val="24"/>
        </w:rPr>
        <w:t>投标人名称(电子签名)：</w:t>
      </w:r>
    </w:p>
    <w:p>
      <w:pPr>
        <w:spacing w:line="360" w:lineRule="auto"/>
        <w:rPr>
          <w:rFonts w:ascii="宋体" w:hAnsi="宋体" w:cs="宋体"/>
          <w:sz w:val="24"/>
        </w:rPr>
      </w:pPr>
      <w:r>
        <w:rPr>
          <w:rFonts w:hint="eastAsia" w:ascii="宋体" w:hAnsi="宋体" w:cs="宋体"/>
          <w:sz w:val="24"/>
        </w:rPr>
        <w:t>日期：  年  月  日</w:t>
      </w:r>
    </w:p>
    <w:p>
      <w:pPr>
        <w:snapToGrid w:val="0"/>
        <w:spacing w:line="360" w:lineRule="auto"/>
        <w:ind w:firstLine="480" w:firstLineChars="200"/>
        <w:rPr>
          <w:rFonts w:ascii="宋体" w:hAnsi="宋体" w:cs="宋体"/>
          <w:sz w:val="24"/>
        </w:rPr>
      </w:pPr>
      <w:r>
        <w:rPr>
          <w:rFonts w:hint="eastAsia" w:ascii="宋体" w:hAnsi="宋体" w:cs="宋体"/>
          <w:sz w:val="24"/>
        </w:rPr>
        <w:t>说明：</w:t>
      </w:r>
    </w:p>
    <w:p>
      <w:pPr>
        <w:snapToGrid w:val="0"/>
        <w:spacing w:line="360" w:lineRule="auto"/>
        <w:ind w:firstLine="480" w:firstLineChars="200"/>
        <w:rPr>
          <w:rFonts w:ascii="宋体" w:hAnsi="宋体" w:cs="宋体"/>
          <w:sz w:val="24"/>
        </w:rPr>
      </w:pPr>
      <w:r>
        <w:rPr>
          <w:rFonts w:hint="eastAsia" w:ascii="宋体" w:hAnsi="宋体" w:cs="宋体"/>
          <w:sz w:val="24"/>
        </w:rPr>
        <w:t>1）投标人应对招标文件要求进行逐条响应，并说明具体响应内容。</w:t>
      </w:r>
    </w:p>
    <w:p>
      <w:pPr>
        <w:snapToGrid w:val="0"/>
        <w:spacing w:line="360" w:lineRule="auto"/>
        <w:ind w:firstLine="480" w:firstLineChars="200"/>
        <w:rPr>
          <w:rFonts w:ascii="宋体" w:hAnsi="宋体" w:cs="宋体"/>
          <w:sz w:val="24"/>
        </w:rPr>
      </w:pPr>
      <w:r>
        <w:rPr>
          <w:rFonts w:hint="eastAsia" w:ascii="宋体" w:hAnsi="宋体" w:cs="宋体"/>
          <w:sz w:val="24"/>
        </w:rPr>
        <w:t>2）投标人不得提供与本项目采购无关的其他商品、服务。</w:t>
      </w:r>
    </w:p>
    <w:p>
      <w:pPr>
        <w:snapToGrid w:val="0"/>
        <w:spacing w:line="360" w:lineRule="auto"/>
        <w:ind w:firstLine="480" w:firstLineChars="200"/>
        <w:rPr>
          <w:rFonts w:ascii="宋体" w:hAnsi="宋体" w:cs="宋体"/>
          <w:sz w:val="24"/>
        </w:rPr>
      </w:pPr>
      <w:r>
        <w:rPr>
          <w:rFonts w:hint="eastAsia" w:ascii="宋体" w:hAnsi="宋体" w:cs="宋体"/>
          <w:sz w:val="24"/>
        </w:rPr>
        <w:t>3）不限于表格形式，可采用其他形式表述。</w:t>
      </w:r>
    </w:p>
    <w:p>
      <w:pPr>
        <w:widowControl/>
        <w:spacing w:line="360" w:lineRule="auto"/>
        <w:jc w:val="left"/>
        <w:rPr>
          <w:rFonts w:ascii="宋体" w:hAnsi="宋体" w:cs="宋体"/>
          <w:sz w:val="24"/>
        </w:rPr>
      </w:pPr>
      <w:r>
        <w:rPr>
          <w:rFonts w:hint="eastAsia" w:ascii="宋体" w:hAnsi="宋体" w:cs="宋体"/>
          <w:b/>
          <w:bCs/>
          <w:kern w:val="0"/>
          <w:sz w:val="24"/>
          <w:lang w:bidi="ar"/>
        </w:rPr>
        <w:t xml:space="preserve">（三）针对本项目的实施方案 </w:t>
      </w:r>
    </w:p>
    <w:p>
      <w:pPr>
        <w:snapToGrid w:val="0"/>
        <w:spacing w:line="360" w:lineRule="auto"/>
        <w:ind w:firstLine="480" w:firstLineChars="200"/>
        <w:rPr>
          <w:rFonts w:ascii="宋体" w:hAnsi="宋体" w:cs="宋体"/>
          <w:sz w:val="24"/>
        </w:rPr>
      </w:pPr>
      <w:r>
        <w:rPr>
          <w:rFonts w:hint="eastAsia" w:ascii="宋体" w:hAnsi="宋体" w:cs="宋体"/>
          <w:sz w:val="24"/>
        </w:rPr>
        <w:t xml:space="preserve">1.重点难点问题分析及应对措施  </w:t>
      </w:r>
    </w:p>
    <w:p>
      <w:pPr>
        <w:snapToGrid w:val="0"/>
        <w:spacing w:line="360" w:lineRule="auto"/>
        <w:ind w:firstLine="480" w:firstLineChars="200"/>
        <w:rPr>
          <w:rFonts w:ascii="宋体" w:hAnsi="宋体" w:cs="宋体"/>
          <w:sz w:val="24"/>
        </w:rPr>
      </w:pPr>
      <w:r>
        <w:rPr>
          <w:rFonts w:hint="eastAsia" w:ascii="宋体" w:hAnsi="宋体" w:cs="宋体"/>
          <w:sz w:val="24"/>
        </w:rPr>
        <w:t>2.针对本项目熟悉理解情况</w:t>
      </w:r>
    </w:p>
    <w:p>
      <w:pPr>
        <w:snapToGrid w:val="0"/>
        <w:spacing w:line="360" w:lineRule="auto"/>
        <w:ind w:firstLine="480" w:firstLineChars="200"/>
        <w:rPr>
          <w:rFonts w:ascii="宋体" w:hAnsi="宋体" w:cs="宋体"/>
          <w:sz w:val="24"/>
        </w:rPr>
      </w:pPr>
      <w:r>
        <w:rPr>
          <w:rFonts w:hint="eastAsia" w:ascii="宋体" w:hAnsi="宋体" w:cs="宋体"/>
          <w:sz w:val="24"/>
        </w:rPr>
        <w:t>3.项目掌握程度及技术方案情况</w:t>
      </w:r>
    </w:p>
    <w:p>
      <w:pPr>
        <w:snapToGrid w:val="0"/>
        <w:spacing w:line="360" w:lineRule="auto"/>
        <w:ind w:firstLine="480" w:firstLineChars="200"/>
        <w:rPr>
          <w:rFonts w:ascii="宋体" w:hAnsi="宋体" w:cs="宋体"/>
          <w:sz w:val="24"/>
        </w:rPr>
      </w:pPr>
      <w:r>
        <w:rPr>
          <w:rFonts w:hint="eastAsia" w:ascii="宋体" w:hAnsi="宋体" w:cs="宋体"/>
          <w:sz w:val="24"/>
        </w:rPr>
        <w:t>4.项目成果要求掌握情况</w:t>
      </w:r>
    </w:p>
    <w:p>
      <w:pPr>
        <w:snapToGrid w:val="0"/>
        <w:spacing w:line="360" w:lineRule="auto"/>
        <w:ind w:firstLine="480" w:firstLineChars="200"/>
        <w:rPr>
          <w:rFonts w:ascii="宋体" w:hAnsi="宋体" w:cs="宋体"/>
          <w:sz w:val="24"/>
        </w:rPr>
      </w:pPr>
      <w:r>
        <w:rPr>
          <w:rFonts w:hint="eastAsia" w:ascii="宋体" w:hAnsi="宋体" w:cs="宋体"/>
          <w:sz w:val="24"/>
        </w:rPr>
        <w:t xml:space="preserve">5.质量保证措施 </w:t>
      </w:r>
    </w:p>
    <w:p>
      <w:pPr>
        <w:snapToGrid w:val="0"/>
        <w:spacing w:line="360" w:lineRule="auto"/>
        <w:ind w:firstLine="480" w:firstLineChars="200"/>
        <w:rPr>
          <w:rFonts w:ascii="宋体" w:hAnsi="宋体" w:cs="宋体"/>
          <w:sz w:val="24"/>
        </w:rPr>
      </w:pPr>
      <w:r>
        <w:rPr>
          <w:rFonts w:hint="eastAsia" w:ascii="宋体" w:hAnsi="宋体" w:cs="宋体"/>
          <w:sz w:val="24"/>
        </w:rPr>
        <w:t xml:space="preserve">6.安全保证措施 </w:t>
      </w:r>
    </w:p>
    <w:p>
      <w:pPr>
        <w:snapToGrid w:val="0"/>
        <w:spacing w:line="360" w:lineRule="auto"/>
        <w:ind w:firstLine="480" w:firstLineChars="200"/>
        <w:rPr>
          <w:rFonts w:ascii="宋体" w:hAnsi="宋体" w:cs="宋体"/>
          <w:sz w:val="24"/>
        </w:rPr>
      </w:pPr>
      <w:r>
        <w:rPr>
          <w:rFonts w:hint="eastAsia" w:ascii="宋体" w:hAnsi="宋体" w:cs="宋体"/>
          <w:sz w:val="24"/>
        </w:rPr>
        <w:t xml:space="preserve">7.项目管理制度 </w:t>
      </w:r>
    </w:p>
    <w:p>
      <w:pPr>
        <w:snapToGrid w:val="0"/>
        <w:spacing w:line="360" w:lineRule="auto"/>
        <w:ind w:firstLine="480" w:firstLineChars="200"/>
        <w:rPr>
          <w:rFonts w:ascii="宋体" w:hAnsi="宋体" w:cs="宋体"/>
          <w:sz w:val="24"/>
        </w:rPr>
      </w:pPr>
      <w:r>
        <w:rPr>
          <w:rFonts w:hint="eastAsia" w:ascii="宋体" w:hAnsi="宋体" w:cs="宋体"/>
          <w:sz w:val="24"/>
        </w:rPr>
        <w:t xml:space="preserve">8.数据保密措施 </w:t>
      </w:r>
    </w:p>
    <w:p>
      <w:pPr>
        <w:snapToGrid w:val="0"/>
        <w:spacing w:line="360" w:lineRule="auto"/>
        <w:ind w:firstLine="480" w:firstLineChars="200"/>
        <w:rPr>
          <w:rFonts w:ascii="宋体" w:hAnsi="宋体" w:cs="宋体"/>
          <w:sz w:val="24"/>
        </w:rPr>
      </w:pPr>
      <w:r>
        <w:rPr>
          <w:rFonts w:hint="eastAsia" w:ascii="宋体" w:hAnsi="宋体" w:cs="宋体"/>
          <w:sz w:val="24"/>
        </w:rPr>
        <w:t xml:space="preserve">9.售后服务情况 </w:t>
      </w:r>
    </w:p>
    <w:p>
      <w:pPr>
        <w:snapToGrid w:val="0"/>
        <w:spacing w:line="360" w:lineRule="auto"/>
        <w:ind w:firstLine="480" w:firstLineChars="200"/>
        <w:rPr>
          <w:rFonts w:ascii="宋体" w:hAnsi="宋体" w:cs="宋体"/>
          <w:sz w:val="24"/>
        </w:rPr>
      </w:pPr>
      <w:r>
        <w:rPr>
          <w:rFonts w:hint="eastAsia" w:ascii="宋体" w:hAnsi="宋体" w:cs="宋体"/>
          <w:sz w:val="24"/>
        </w:rPr>
        <w:t xml:space="preserve">投标人自身经验拟定的验收方案齐备性、可操作性、科学性，应从有利于项目实施角度制订方案。 </w:t>
      </w:r>
    </w:p>
    <w:p>
      <w:pPr>
        <w:widowControl/>
        <w:spacing w:line="360" w:lineRule="auto"/>
        <w:ind w:firstLine="480" w:firstLineChars="200"/>
        <w:jc w:val="left"/>
        <w:rPr>
          <w:rFonts w:ascii="宋体" w:hAnsi="宋体" w:cs="宋体"/>
          <w:sz w:val="24"/>
        </w:rPr>
      </w:pPr>
      <w:r>
        <w:rPr>
          <w:rFonts w:hint="eastAsia" w:ascii="宋体" w:hAnsi="宋体" w:cs="宋体"/>
          <w:kern w:val="0"/>
          <w:sz w:val="24"/>
          <w:lang w:bidi="ar"/>
        </w:rPr>
        <w:t>10.其他需要说明的内容</w:t>
      </w:r>
    </w:p>
    <w:p>
      <w:pPr>
        <w:widowControl/>
        <w:spacing w:line="360" w:lineRule="auto"/>
        <w:jc w:val="left"/>
        <w:rPr>
          <w:rFonts w:ascii="宋体" w:hAnsi="宋体" w:cs="宋体"/>
          <w:b/>
          <w:bCs/>
          <w:sz w:val="24"/>
        </w:rPr>
      </w:pPr>
    </w:p>
    <w:p>
      <w:pPr>
        <w:widowControl/>
        <w:spacing w:line="360" w:lineRule="auto"/>
        <w:jc w:val="left"/>
        <w:rPr>
          <w:rFonts w:ascii="宋体" w:hAnsi="宋体" w:cs="宋体"/>
          <w:sz w:val="24"/>
        </w:rPr>
      </w:pPr>
      <w:r>
        <w:rPr>
          <w:rFonts w:hint="eastAsia" w:ascii="宋体" w:hAnsi="宋体" w:cs="宋体"/>
          <w:b/>
          <w:bCs/>
          <w:sz w:val="24"/>
        </w:rPr>
        <w:t>（四）</w:t>
      </w:r>
      <w:r>
        <w:rPr>
          <w:rFonts w:hint="eastAsia" w:ascii="宋体" w:hAnsi="宋体" w:cs="宋体"/>
          <w:b/>
          <w:bCs/>
          <w:kern w:val="0"/>
          <w:sz w:val="24"/>
          <w:lang w:bidi="ar"/>
        </w:rPr>
        <w:t>本项目拟投入的主要设施表</w:t>
      </w:r>
    </w:p>
    <w:tbl>
      <w:tblPr>
        <w:tblStyle w:val="63"/>
        <w:tblW w:w="9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814"/>
        <w:gridCol w:w="814"/>
        <w:gridCol w:w="814"/>
        <w:gridCol w:w="814"/>
        <w:gridCol w:w="814"/>
        <w:gridCol w:w="814"/>
        <w:gridCol w:w="1010"/>
        <w:gridCol w:w="814"/>
        <w:gridCol w:w="815"/>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14" w:type="dxa"/>
            <w:vAlign w:val="center"/>
          </w:tcPr>
          <w:p>
            <w:pPr>
              <w:snapToGrid w:val="0"/>
              <w:spacing w:line="360" w:lineRule="auto"/>
              <w:jc w:val="center"/>
              <w:rPr>
                <w:rFonts w:ascii="宋体" w:hAnsi="宋体" w:cs="宋体"/>
                <w:kern w:val="40"/>
                <w:sz w:val="24"/>
              </w:rPr>
            </w:pPr>
            <w:r>
              <w:rPr>
                <w:rFonts w:hint="eastAsia" w:ascii="宋体" w:hAnsi="宋体" w:cs="宋体"/>
                <w:kern w:val="40"/>
                <w:sz w:val="24"/>
              </w:rPr>
              <w:t>序号</w:t>
            </w:r>
          </w:p>
        </w:tc>
        <w:tc>
          <w:tcPr>
            <w:tcW w:w="814" w:type="dxa"/>
            <w:vAlign w:val="center"/>
          </w:tcPr>
          <w:p>
            <w:pPr>
              <w:snapToGrid w:val="0"/>
              <w:spacing w:line="360" w:lineRule="auto"/>
              <w:jc w:val="center"/>
              <w:rPr>
                <w:rFonts w:ascii="宋体" w:hAnsi="宋体" w:cs="宋体"/>
                <w:kern w:val="40"/>
                <w:sz w:val="24"/>
              </w:rPr>
            </w:pPr>
            <w:r>
              <w:rPr>
                <w:rFonts w:hint="eastAsia" w:ascii="宋体" w:hAnsi="宋体" w:cs="宋体"/>
                <w:kern w:val="40"/>
                <w:sz w:val="24"/>
              </w:rPr>
              <w:t>设备名称</w:t>
            </w:r>
          </w:p>
        </w:tc>
        <w:tc>
          <w:tcPr>
            <w:tcW w:w="814" w:type="dxa"/>
            <w:vAlign w:val="center"/>
          </w:tcPr>
          <w:p>
            <w:pPr>
              <w:snapToGrid w:val="0"/>
              <w:spacing w:line="360" w:lineRule="auto"/>
              <w:jc w:val="center"/>
              <w:rPr>
                <w:rFonts w:ascii="宋体" w:hAnsi="宋体" w:cs="宋体"/>
                <w:kern w:val="40"/>
                <w:sz w:val="24"/>
              </w:rPr>
            </w:pPr>
            <w:r>
              <w:rPr>
                <w:rFonts w:hint="eastAsia" w:ascii="宋体" w:hAnsi="宋体" w:cs="宋体"/>
                <w:kern w:val="40"/>
                <w:sz w:val="24"/>
              </w:rPr>
              <w:t>型号</w:t>
            </w:r>
          </w:p>
        </w:tc>
        <w:tc>
          <w:tcPr>
            <w:tcW w:w="814" w:type="dxa"/>
            <w:vAlign w:val="center"/>
          </w:tcPr>
          <w:p>
            <w:pPr>
              <w:snapToGrid w:val="0"/>
              <w:spacing w:line="360" w:lineRule="auto"/>
              <w:jc w:val="center"/>
              <w:rPr>
                <w:rFonts w:ascii="宋体" w:hAnsi="宋体" w:cs="宋体"/>
                <w:kern w:val="40"/>
                <w:sz w:val="24"/>
              </w:rPr>
            </w:pPr>
            <w:r>
              <w:rPr>
                <w:rFonts w:hint="eastAsia" w:ascii="宋体" w:hAnsi="宋体" w:cs="宋体"/>
                <w:kern w:val="40"/>
                <w:sz w:val="24"/>
              </w:rPr>
              <w:t>规格</w:t>
            </w:r>
          </w:p>
        </w:tc>
        <w:tc>
          <w:tcPr>
            <w:tcW w:w="814" w:type="dxa"/>
            <w:vAlign w:val="center"/>
          </w:tcPr>
          <w:p>
            <w:pPr>
              <w:snapToGrid w:val="0"/>
              <w:spacing w:line="360" w:lineRule="auto"/>
              <w:jc w:val="center"/>
              <w:rPr>
                <w:rFonts w:ascii="宋体" w:hAnsi="宋体" w:cs="宋体"/>
                <w:kern w:val="40"/>
                <w:sz w:val="24"/>
              </w:rPr>
            </w:pPr>
            <w:r>
              <w:rPr>
                <w:rFonts w:hint="eastAsia" w:ascii="宋体" w:hAnsi="宋体" w:cs="宋体"/>
                <w:kern w:val="40"/>
                <w:sz w:val="24"/>
              </w:rPr>
              <w:t>数量</w:t>
            </w:r>
          </w:p>
        </w:tc>
        <w:tc>
          <w:tcPr>
            <w:tcW w:w="814" w:type="dxa"/>
            <w:vAlign w:val="center"/>
          </w:tcPr>
          <w:p>
            <w:pPr>
              <w:snapToGrid w:val="0"/>
              <w:spacing w:line="360" w:lineRule="auto"/>
              <w:jc w:val="center"/>
              <w:rPr>
                <w:rFonts w:ascii="宋体" w:hAnsi="宋体" w:cs="宋体"/>
                <w:kern w:val="40"/>
                <w:sz w:val="24"/>
              </w:rPr>
            </w:pPr>
            <w:r>
              <w:rPr>
                <w:rFonts w:hint="eastAsia" w:ascii="宋体" w:hAnsi="宋体" w:cs="宋体"/>
                <w:kern w:val="40"/>
                <w:sz w:val="24"/>
              </w:rPr>
              <w:t>国别</w:t>
            </w:r>
          </w:p>
          <w:p>
            <w:pPr>
              <w:snapToGrid w:val="0"/>
              <w:spacing w:line="360" w:lineRule="auto"/>
              <w:jc w:val="center"/>
              <w:rPr>
                <w:rFonts w:ascii="宋体" w:hAnsi="宋体" w:cs="宋体"/>
                <w:kern w:val="40"/>
                <w:sz w:val="24"/>
              </w:rPr>
            </w:pPr>
            <w:r>
              <w:rPr>
                <w:rFonts w:hint="eastAsia" w:ascii="宋体" w:hAnsi="宋体" w:cs="宋体"/>
                <w:kern w:val="40"/>
                <w:sz w:val="24"/>
              </w:rPr>
              <w:t>产地</w:t>
            </w:r>
          </w:p>
        </w:tc>
        <w:tc>
          <w:tcPr>
            <w:tcW w:w="814" w:type="dxa"/>
            <w:vAlign w:val="center"/>
          </w:tcPr>
          <w:p>
            <w:pPr>
              <w:snapToGrid w:val="0"/>
              <w:spacing w:line="360" w:lineRule="auto"/>
              <w:jc w:val="center"/>
              <w:rPr>
                <w:rFonts w:ascii="宋体" w:hAnsi="宋体" w:cs="宋体"/>
                <w:kern w:val="40"/>
                <w:sz w:val="24"/>
              </w:rPr>
            </w:pPr>
            <w:r>
              <w:rPr>
                <w:rFonts w:hint="eastAsia" w:ascii="宋体" w:hAnsi="宋体" w:cs="宋体"/>
                <w:kern w:val="40"/>
                <w:sz w:val="24"/>
              </w:rPr>
              <w:t>制造</w:t>
            </w:r>
          </w:p>
          <w:p>
            <w:pPr>
              <w:snapToGrid w:val="0"/>
              <w:spacing w:line="360" w:lineRule="auto"/>
              <w:jc w:val="center"/>
              <w:rPr>
                <w:rFonts w:ascii="宋体" w:hAnsi="宋体" w:cs="宋体"/>
                <w:kern w:val="40"/>
                <w:sz w:val="24"/>
              </w:rPr>
            </w:pPr>
            <w:r>
              <w:rPr>
                <w:rFonts w:hint="eastAsia" w:ascii="宋体" w:hAnsi="宋体" w:cs="宋体"/>
                <w:kern w:val="40"/>
                <w:sz w:val="24"/>
              </w:rPr>
              <w:t>年份</w:t>
            </w:r>
          </w:p>
        </w:tc>
        <w:tc>
          <w:tcPr>
            <w:tcW w:w="1010" w:type="dxa"/>
            <w:vAlign w:val="center"/>
          </w:tcPr>
          <w:p>
            <w:pPr>
              <w:snapToGrid w:val="0"/>
              <w:spacing w:line="360" w:lineRule="auto"/>
              <w:jc w:val="center"/>
              <w:rPr>
                <w:rFonts w:ascii="宋体" w:hAnsi="宋体" w:cs="宋体"/>
                <w:kern w:val="40"/>
                <w:sz w:val="24"/>
              </w:rPr>
            </w:pPr>
            <w:r>
              <w:rPr>
                <w:rFonts w:hint="eastAsia" w:ascii="宋体" w:hAnsi="宋体" w:cs="宋体"/>
                <w:kern w:val="40"/>
                <w:sz w:val="24"/>
              </w:rPr>
              <w:t>额定功率（kW）</w:t>
            </w:r>
          </w:p>
        </w:tc>
        <w:tc>
          <w:tcPr>
            <w:tcW w:w="814" w:type="dxa"/>
            <w:vAlign w:val="center"/>
          </w:tcPr>
          <w:p>
            <w:pPr>
              <w:snapToGrid w:val="0"/>
              <w:spacing w:line="360" w:lineRule="auto"/>
              <w:jc w:val="center"/>
              <w:rPr>
                <w:rFonts w:ascii="宋体" w:hAnsi="宋体" w:cs="宋体"/>
                <w:kern w:val="40"/>
                <w:sz w:val="24"/>
              </w:rPr>
            </w:pPr>
            <w:r>
              <w:rPr>
                <w:rFonts w:hint="eastAsia" w:ascii="宋体" w:hAnsi="宋体" w:cs="宋体"/>
                <w:kern w:val="40"/>
                <w:sz w:val="24"/>
              </w:rPr>
              <w:t>生产</w:t>
            </w:r>
          </w:p>
          <w:p>
            <w:pPr>
              <w:snapToGrid w:val="0"/>
              <w:spacing w:line="360" w:lineRule="auto"/>
              <w:jc w:val="center"/>
              <w:rPr>
                <w:rFonts w:ascii="宋体" w:hAnsi="宋体" w:cs="宋体"/>
                <w:kern w:val="40"/>
                <w:sz w:val="24"/>
              </w:rPr>
            </w:pPr>
            <w:r>
              <w:rPr>
                <w:rFonts w:hint="eastAsia" w:ascii="宋体" w:hAnsi="宋体" w:cs="宋体"/>
                <w:kern w:val="40"/>
                <w:sz w:val="24"/>
              </w:rPr>
              <w:t>能力</w:t>
            </w:r>
          </w:p>
        </w:tc>
        <w:tc>
          <w:tcPr>
            <w:tcW w:w="815" w:type="dxa"/>
            <w:vAlign w:val="center"/>
          </w:tcPr>
          <w:p>
            <w:pPr>
              <w:snapToGrid w:val="0"/>
              <w:spacing w:line="360" w:lineRule="auto"/>
              <w:jc w:val="center"/>
              <w:rPr>
                <w:rFonts w:ascii="宋体" w:hAnsi="宋体" w:cs="宋体"/>
                <w:kern w:val="40"/>
                <w:sz w:val="24"/>
              </w:rPr>
            </w:pPr>
            <w:r>
              <w:rPr>
                <w:rFonts w:hint="eastAsia" w:ascii="宋体" w:hAnsi="宋体" w:cs="宋体"/>
                <w:kern w:val="40"/>
                <w:sz w:val="24"/>
              </w:rPr>
              <w:t>用途</w:t>
            </w:r>
          </w:p>
        </w:tc>
        <w:tc>
          <w:tcPr>
            <w:tcW w:w="815" w:type="dxa"/>
            <w:vAlign w:val="center"/>
          </w:tcPr>
          <w:p>
            <w:pPr>
              <w:snapToGrid w:val="0"/>
              <w:spacing w:line="360" w:lineRule="auto"/>
              <w:jc w:val="center"/>
              <w:rPr>
                <w:rFonts w:ascii="宋体" w:hAnsi="宋体" w:cs="宋体"/>
                <w:kern w:val="40"/>
                <w:sz w:val="24"/>
              </w:rPr>
            </w:pPr>
            <w:r>
              <w:rPr>
                <w:rFonts w:hint="eastAsia" w:ascii="宋体" w:hAnsi="宋体" w:cs="宋体"/>
                <w:kern w:val="4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4" w:type="dxa"/>
            <w:vAlign w:val="center"/>
          </w:tcPr>
          <w:p>
            <w:pPr>
              <w:keepNext/>
              <w:keepLines/>
              <w:tabs>
                <w:tab w:val="left" w:pos="720"/>
              </w:tabs>
              <w:spacing w:before="120" w:line="360" w:lineRule="auto"/>
              <w:jc w:val="center"/>
              <w:rPr>
                <w:rFonts w:ascii="宋体" w:hAnsi="宋体" w:cs="宋体"/>
                <w:b/>
                <w:bCs/>
                <w:sz w:val="24"/>
              </w:rPr>
            </w:pPr>
          </w:p>
        </w:tc>
        <w:tc>
          <w:tcPr>
            <w:tcW w:w="814" w:type="dxa"/>
            <w:vAlign w:val="center"/>
          </w:tcPr>
          <w:p>
            <w:pPr>
              <w:keepNext/>
              <w:keepLines/>
              <w:tabs>
                <w:tab w:val="left" w:pos="720"/>
              </w:tabs>
              <w:spacing w:before="120" w:line="360" w:lineRule="auto"/>
              <w:jc w:val="center"/>
              <w:rPr>
                <w:rFonts w:ascii="宋体" w:hAnsi="宋体" w:cs="宋体"/>
                <w:b/>
                <w:bCs/>
                <w:sz w:val="24"/>
              </w:rPr>
            </w:pPr>
          </w:p>
        </w:tc>
        <w:tc>
          <w:tcPr>
            <w:tcW w:w="814" w:type="dxa"/>
            <w:vAlign w:val="center"/>
          </w:tcPr>
          <w:p>
            <w:pPr>
              <w:keepNext/>
              <w:keepLines/>
              <w:tabs>
                <w:tab w:val="left" w:pos="720"/>
              </w:tabs>
              <w:spacing w:before="120" w:line="360" w:lineRule="auto"/>
              <w:jc w:val="center"/>
              <w:rPr>
                <w:rFonts w:ascii="宋体" w:hAnsi="宋体" w:cs="宋体"/>
                <w:b/>
                <w:bCs/>
                <w:sz w:val="24"/>
              </w:rPr>
            </w:pPr>
          </w:p>
        </w:tc>
        <w:tc>
          <w:tcPr>
            <w:tcW w:w="814" w:type="dxa"/>
            <w:vAlign w:val="center"/>
          </w:tcPr>
          <w:p>
            <w:pPr>
              <w:keepNext/>
              <w:keepLines/>
              <w:tabs>
                <w:tab w:val="left" w:pos="720"/>
              </w:tabs>
              <w:spacing w:before="120" w:line="360" w:lineRule="auto"/>
              <w:jc w:val="center"/>
              <w:rPr>
                <w:rFonts w:ascii="宋体" w:hAnsi="宋体" w:cs="宋体"/>
                <w:b/>
                <w:bCs/>
                <w:sz w:val="24"/>
              </w:rPr>
            </w:pPr>
          </w:p>
        </w:tc>
        <w:tc>
          <w:tcPr>
            <w:tcW w:w="814" w:type="dxa"/>
            <w:vAlign w:val="center"/>
          </w:tcPr>
          <w:p>
            <w:pPr>
              <w:keepNext/>
              <w:keepLines/>
              <w:tabs>
                <w:tab w:val="left" w:pos="720"/>
              </w:tabs>
              <w:spacing w:before="120" w:line="360" w:lineRule="auto"/>
              <w:jc w:val="center"/>
              <w:rPr>
                <w:rFonts w:ascii="宋体" w:hAnsi="宋体" w:cs="宋体"/>
                <w:b/>
                <w:bCs/>
                <w:sz w:val="24"/>
              </w:rPr>
            </w:pPr>
          </w:p>
        </w:tc>
        <w:tc>
          <w:tcPr>
            <w:tcW w:w="814" w:type="dxa"/>
            <w:vAlign w:val="center"/>
          </w:tcPr>
          <w:p>
            <w:pPr>
              <w:keepNext/>
              <w:keepLines/>
              <w:tabs>
                <w:tab w:val="left" w:pos="720"/>
              </w:tabs>
              <w:spacing w:before="120" w:line="360" w:lineRule="auto"/>
              <w:jc w:val="center"/>
              <w:rPr>
                <w:rFonts w:ascii="宋体" w:hAnsi="宋体" w:cs="宋体"/>
                <w:b/>
                <w:bCs/>
                <w:sz w:val="24"/>
              </w:rPr>
            </w:pPr>
          </w:p>
        </w:tc>
        <w:tc>
          <w:tcPr>
            <w:tcW w:w="814" w:type="dxa"/>
            <w:vAlign w:val="center"/>
          </w:tcPr>
          <w:p>
            <w:pPr>
              <w:keepNext/>
              <w:keepLines/>
              <w:tabs>
                <w:tab w:val="left" w:pos="720"/>
              </w:tabs>
              <w:spacing w:before="120" w:line="360" w:lineRule="auto"/>
              <w:jc w:val="center"/>
              <w:rPr>
                <w:rFonts w:ascii="宋体" w:hAnsi="宋体" w:cs="宋体"/>
                <w:b/>
                <w:bCs/>
                <w:sz w:val="24"/>
              </w:rPr>
            </w:pPr>
          </w:p>
        </w:tc>
        <w:tc>
          <w:tcPr>
            <w:tcW w:w="1010" w:type="dxa"/>
            <w:vAlign w:val="center"/>
          </w:tcPr>
          <w:p>
            <w:pPr>
              <w:keepNext/>
              <w:keepLines/>
              <w:tabs>
                <w:tab w:val="left" w:pos="720"/>
              </w:tabs>
              <w:spacing w:before="120" w:line="360" w:lineRule="auto"/>
              <w:jc w:val="center"/>
              <w:rPr>
                <w:rFonts w:ascii="宋体" w:hAnsi="宋体" w:cs="宋体"/>
                <w:b/>
                <w:bCs/>
                <w:sz w:val="24"/>
              </w:rPr>
            </w:pPr>
          </w:p>
        </w:tc>
        <w:tc>
          <w:tcPr>
            <w:tcW w:w="814" w:type="dxa"/>
            <w:vAlign w:val="center"/>
          </w:tcPr>
          <w:p>
            <w:pPr>
              <w:keepNext/>
              <w:keepLines/>
              <w:tabs>
                <w:tab w:val="left" w:pos="720"/>
              </w:tabs>
              <w:spacing w:before="120" w:line="360" w:lineRule="auto"/>
              <w:jc w:val="center"/>
              <w:rPr>
                <w:rFonts w:ascii="宋体" w:hAnsi="宋体" w:cs="宋体"/>
                <w:b/>
                <w:bCs/>
                <w:sz w:val="24"/>
              </w:rPr>
            </w:pPr>
          </w:p>
        </w:tc>
        <w:tc>
          <w:tcPr>
            <w:tcW w:w="815" w:type="dxa"/>
            <w:vAlign w:val="center"/>
          </w:tcPr>
          <w:p>
            <w:pPr>
              <w:keepNext/>
              <w:keepLines/>
              <w:tabs>
                <w:tab w:val="left" w:pos="720"/>
              </w:tabs>
              <w:spacing w:before="120" w:line="360" w:lineRule="auto"/>
              <w:jc w:val="center"/>
              <w:rPr>
                <w:rFonts w:ascii="宋体" w:hAnsi="宋体" w:cs="宋体"/>
                <w:b/>
                <w:bCs/>
                <w:sz w:val="24"/>
              </w:rPr>
            </w:pPr>
          </w:p>
        </w:tc>
        <w:tc>
          <w:tcPr>
            <w:tcW w:w="815" w:type="dxa"/>
            <w:vAlign w:val="center"/>
          </w:tcPr>
          <w:p>
            <w:pPr>
              <w:keepNext/>
              <w:keepLines/>
              <w:tabs>
                <w:tab w:val="left" w:pos="720"/>
              </w:tabs>
              <w:spacing w:before="120" w:line="360" w:lineRule="auto"/>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14" w:type="dxa"/>
            <w:vAlign w:val="center"/>
          </w:tcPr>
          <w:p>
            <w:pPr>
              <w:keepNext/>
              <w:keepLines/>
              <w:tabs>
                <w:tab w:val="left" w:pos="720"/>
              </w:tabs>
              <w:spacing w:before="120" w:line="360" w:lineRule="auto"/>
              <w:jc w:val="center"/>
              <w:rPr>
                <w:rFonts w:ascii="宋体" w:hAnsi="宋体" w:cs="宋体"/>
                <w:b/>
                <w:bCs/>
                <w:sz w:val="24"/>
              </w:rPr>
            </w:pPr>
          </w:p>
        </w:tc>
        <w:tc>
          <w:tcPr>
            <w:tcW w:w="814" w:type="dxa"/>
            <w:vAlign w:val="center"/>
          </w:tcPr>
          <w:p>
            <w:pPr>
              <w:keepNext/>
              <w:keepLines/>
              <w:tabs>
                <w:tab w:val="left" w:pos="720"/>
              </w:tabs>
              <w:spacing w:before="120" w:line="360" w:lineRule="auto"/>
              <w:jc w:val="center"/>
              <w:rPr>
                <w:rFonts w:ascii="宋体" w:hAnsi="宋体" w:cs="宋体"/>
                <w:b/>
                <w:bCs/>
                <w:sz w:val="24"/>
              </w:rPr>
            </w:pPr>
          </w:p>
        </w:tc>
        <w:tc>
          <w:tcPr>
            <w:tcW w:w="814" w:type="dxa"/>
            <w:vAlign w:val="center"/>
          </w:tcPr>
          <w:p>
            <w:pPr>
              <w:keepNext/>
              <w:keepLines/>
              <w:tabs>
                <w:tab w:val="left" w:pos="720"/>
              </w:tabs>
              <w:spacing w:before="120" w:line="360" w:lineRule="auto"/>
              <w:jc w:val="center"/>
              <w:rPr>
                <w:rFonts w:ascii="宋体" w:hAnsi="宋体" w:cs="宋体"/>
                <w:b/>
                <w:bCs/>
                <w:sz w:val="24"/>
              </w:rPr>
            </w:pPr>
          </w:p>
        </w:tc>
        <w:tc>
          <w:tcPr>
            <w:tcW w:w="814" w:type="dxa"/>
            <w:vAlign w:val="center"/>
          </w:tcPr>
          <w:p>
            <w:pPr>
              <w:keepNext/>
              <w:keepLines/>
              <w:tabs>
                <w:tab w:val="left" w:pos="720"/>
              </w:tabs>
              <w:spacing w:before="120" w:line="360" w:lineRule="auto"/>
              <w:jc w:val="center"/>
              <w:rPr>
                <w:rFonts w:ascii="宋体" w:hAnsi="宋体" w:cs="宋体"/>
                <w:b/>
                <w:bCs/>
                <w:sz w:val="24"/>
              </w:rPr>
            </w:pPr>
          </w:p>
        </w:tc>
        <w:tc>
          <w:tcPr>
            <w:tcW w:w="814" w:type="dxa"/>
            <w:vAlign w:val="center"/>
          </w:tcPr>
          <w:p>
            <w:pPr>
              <w:keepNext/>
              <w:keepLines/>
              <w:tabs>
                <w:tab w:val="left" w:pos="720"/>
              </w:tabs>
              <w:spacing w:before="120" w:line="360" w:lineRule="auto"/>
              <w:jc w:val="center"/>
              <w:rPr>
                <w:rFonts w:ascii="宋体" w:hAnsi="宋体" w:cs="宋体"/>
                <w:b/>
                <w:bCs/>
                <w:sz w:val="24"/>
              </w:rPr>
            </w:pPr>
          </w:p>
        </w:tc>
        <w:tc>
          <w:tcPr>
            <w:tcW w:w="814" w:type="dxa"/>
            <w:vAlign w:val="center"/>
          </w:tcPr>
          <w:p>
            <w:pPr>
              <w:keepNext/>
              <w:keepLines/>
              <w:tabs>
                <w:tab w:val="left" w:pos="720"/>
              </w:tabs>
              <w:spacing w:before="120" w:line="360" w:lineRule="auto"/>
              <w:jc w:val="center"/>
              <w:rPr>
                <w:rFonts w:ascii="宋体" w:hAnsi="宋体" w:cs="宋体"/>
                <w:b/>
                <w:bCs/>
                <w:sz w:val="24"/>
              </w:rPr>
            </w:pPr>
          </w:p>
        </w:tc>
        <w:tc>
          <w:tcPr>
            <w:tcW w:w="814" w:type="dxa"/>
            <w:vAlign w:val="center"/>
          </w:tcPr>
          <w:p>
            <w:pPr>
              <w:keepNext/>
              <w:keepLines/>
              <w:tabs>
                <w:tab w:val="left" w:pos="720"/>
              </w:tabs>
              <w:spacing w:before="120" w:line="360" w:lineRule="auto"/>
              <w:jc w:val="center"/>
              <w:rPr>
                <w:rFonts w:ascii="宋体" w:hAnsi="宋体" w:cs="宋体"/>
                <w:b/>
                <w:bCs/>
                <w:sz w:val="24"/>
              </w:rPr>
            </w:pPr>
          </w:p>
        </w:tc>
        <w:tc>
          <w:tcPr>
            <w:tcW w:w="1010" w:type="dxa"/>
            <w:vAlign w:val="center"/>
          </w:tcPr>
          <w:p>
            <w:pPr>
              <w:keepNext/>
              <w:keepLines/>
              <w:tabs>
                <w:tab w:val="left" w:pos="720"/>
              </w:tabs>
              <w:spacing w:before="120" w:line="360" w:lineRule="auto"/>
              <w:jc w:val="center"/>
              <w:rPr>
                <w:rFonts w:ascii="宋体" w:hAnsi="宋体" w:cs="宋体"/>
                <w:b/>
                <w:bCs/>
                <w:sz w:val="24"/>
              </w:rPr>
            </w:pPr>
          </w:p>
        </w:tc>
        <w:tc>
          <w:tcPr>
            <w:tcW w:w="814" w:type="dxa"/>
            <w:vAlign w:val="center"/>
          </w:tcPr>
          <w:p>
            <w:pPr>
              <w:keepNext/>
              <w:keepLines/>
              <w:tabs>
                <w:tab w:val="left" w:pos="720"/>
              </w:tabs>
              <w:spacing w:before="120" w:line="360" w:lineRule="auto"/>
              <w:jc w:val="center"/>
              <w:rPr>
                <w:rFonts w:ascii="宋体" w:hAnsi="宋体" w:cs="宋体"/>
                <w:b/>
                <w:bCs/>
                <w:sz w:val="24"/>
              </w:rPr>
            </w:pPr>
          </w:p>
        </w:tc>
        <w:tc>
          <w:tcPr>
            <w:tcW w:w="815" w:type="dxa"/>
            <w:vAlign w:val="center"/>
          </w:tcPr>
          <w:p>
            <w:pPr>
              <w:keepNext/>
              <w:keepLines/>
              <w:tabs>
                <w:tab w:val="left" w:pos="720"/>
              </w:tabs>
              <w:spacing w:before="120" w:line="360" w:lineRule="auto"/>
              <w:jc w:val="center"/>
              <w:rPr>
                <w:rFonts w:ascii="宋体" w:hAnsi="宋体" w:cs="宋体"/>
                <w:b/>
                <w:bCs/>
                <w:sz w:val="24"/>
              </w:rPr>
            </w:pPr>
          </w:p>
        </w:tc>
        <w:tc>
          <w:tcPr>
            <w:tcW w:w="815" w:type="dxa"/>
            <w:vAlign w:val="center"/>
          </w:tcPr>
          <w:p>
            <w:pPr>
              <w:keepNext/>
              <w:keepLines/>
              <w:tabs>
                <w:tab w:val="left" w:pos="720"/>
              </w:tabs>
              <w:spacing w:before="120" w:line="360" w:lineRule="auto"/>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14" w:type="dxa"/>
            <w:vAlign w:val="center"/>
          </w:tcPr>
          <w:p>
            <w:pPr>
              <w:keepNext/>
              <w:keepLines/>
              <w:tabs>
                <w:tab w:val="left" w:pos="720"/>
              </w:tabs>
              <w:spacing w:before="120" w:line="360" w:lineRule="auto"/>
              <w:jc w:val="center"/>
              <w:rPr>
                <w:rFonts w:ascii="宋体" w:hAnsi="宋体" w:cs="宋体"/>
                <w:b/>
                <w:bCs/>
                <w:sz w:val="24"/>
              </w:rPr>
            </w:pPr>
          </w:p>
        </w:tc>
        <w:tc>
          <w:tcPr>
            <w:tcW w:w="814" w:type="dxa"/>
            <w:vAlign w:val="center"/>
          </w:tcPr>
          <w:p>
            <w:pPr>
              <w:keepNext/>
              <w:keepLines/>
              <w:tabs>
                <w:tab w:val="left" w:pos="720"/>
              </w:tabs>
              <w:spacing w:before="120" w:line="360" w:lineRule="auto"/>
              <w:jc w:val="center"/>
              <w:rPr>
                <w:rFonts w:ascii="宋体" w:hAnsi="宋体" w:cs="宋体"/>
                <w:b/>
                <w:bCs/>
                <w:sz w:val="24"/>
              </w:rPr>
            </w:pPr>
          </w:p>
        </w:tc>
        <w:tc>
          <w:tcPr>
            <w:tcW w:w="814" w:type="dxa"/>
            <w:vAlign w:val="center"/>
          </w:tcPr>
          <w:p>
            <w:pPr>
              <w:keepNext/>
              <w:keepLines/>
              <w:tabs>
                <w:tab w:val="left" w:pos="720"/>
              </w:tabs>
              <w:spacing w:before="120" w:line="360" w:lineRule="auto"/>
              <w:jc w:val="center"/>
              <w:rPr>
                <w:rFonts w:ascii="宋体" w:hAnsi="宋体" w:cs="宋体"/>
                <w:b/>
                <w:bCs/>
                <w:sz w:val="24"/>
              </w:rPr>
            </w:pPr>
          </w:p>
        </w:tc>
        <w:tc>
          <w:tcPr>
            <w:tcW w:w="814" w:type="dxa"/>
            <w:vAlign w:val="center"/>
          </w:tcPr>
          <w:p>
            <w:pPr>
              <w:keepNext/>
              <w:keepLines/>
              <w:tabs>
                <w:tab w:val="left" w:pos="720"/>
              </w:tabs>
              <w:spacing w:before="120" w:line="360" w:lineRule="auto"/>
              <w:jc w:val="center"/>
              <w:rPr>
                <w:rFonts w:ascii="宋体" w:hAnsi="宋体" w:cs="宋体"/>
                <w:b/>
                <w:bCs/>
                <w:sz w:val="24"/>
              </w:rPr>
            </w:pPr>
          </w:p>
        </w:tc>
        <w:tc>
          <w:tcPr>
            <w:tcW w:w="814" w:type="dxa"/>
            <w:vAlign w:val="center"/>
          </w:tcPr>
          <w:p>
            <w:pPr>
              <w:keepNext/>
              <w:keepLines/>
              <w:tabs>
                <w:tab w:val="left" w:pos="720"/>
              </w:tabs>
              <w:spacing w:before="120" w:line="360" w:lineRule="auto"/>
              <w:jc w:val="center"/>
              <w:rPr>
                <w:rFonts w:ascii="宋体" w:hAnsi="宋体" w:cs="宋体"/>
                <w:b/>
                <w:bCs/>
                <w:sz w:val="24"/>
              </w:rPr>
            </w:pPr>
          </w:p>
        </w:tc>
        <w:tc>
          <w:tcPr>
            <w:tcW w:w="814" w:type="dxa"/>
            <w:vAlign w:val="center"/>
          </w:tcPr>
          <w:p>
            <w:pPr>
              <w:keepNext/>
              <w:keepLines/>
              <w:tabs>
                <w:tab w:val="left" w:pos="720"/>
              </w:tabs>
              <w:spacing w:before="120" w:line="360" w:lineRule="auto"/>
              <w:jc w:val="center"/>
              <w:rPr>
                <w:rFonts w:ascii="宋体" w:hAnsi="宋体" w:cs="宋体"/>
                <w:b/>
                <w:bCs/>
                <w:sz w:val="24"/>
              </w:rPr>
            </w:pPr>
          </w:p>
        </w:tc>
        <w:tc>
          <w:tcPr>
            <w:tcW w:w="814" w:type="dxa"/>
            <w:vAlign w:val="center"/>
          </w:tcPr>
          <w:p>
            <w:pPr>
              <w:keepNext/>
              <w:keepLines/>
              <w:tabs>
                <w:tab w:val="left" w:pos="720"/>
              </w:tabs>
              <w:spacing w:before="120" w:line="360" w:lineRule="auto"/>
              <w:jc w:val="center"/>
              <w:rPr>
                <w:rFonts w:ascii="宋体" w:hAnsi="宋体" w:cs="宋体"/>
                <w:b/>
                <w:bCs/>
                <w:sz w:val="24"/>
              </w:rPr>
            </w:pPr>
          </w:p>
        </w:tc>
        <w:tc>
          <w:tcPr>
            <w:tcW w:w="1010" w:type="dxa"/>
            <w:vAlign w:val="center"/>
          </w:tcPr>
          <w:p>
            <w:pPr>
              <w:keepNext/>
              <w:keepLines/>
              <w:tabs>
                <w:tab w:val="left" w:pos="720"/>
              </w:tabs>
              <w:spacing w:before="120" w:line="360" w:lineRule="auto"/>
              <w:jc w:val="center"/>
              <w:rPr>
                <w:rFonts w:ascii="宋体" w:hAnsi="宋体" w:cs="宋体"/>
                <w:b/>
                <w:bCs/>
                <w:sz w:val="24"/>
              </w:rPr>
            </w:pPr>
          </w:p>
        </w:tc>
        <w:tc>
          <w:tcPr>
            <w:tcW w:w="814" w:type="dxa"/>
            <w:vAlign w:val="center"/>
          </w:tcPr>
          <w:p>
            <w:pPr>
              <w:keepNext/>
              <w:keepLines/>
              <w:tabs>
                <w:tab w:val="left" w:pos="720"/>
              </w:tabs>
              <w:spacing w:before="120" w:line="360" w:lineRule="auto"/>
              <w:jc w:val="center"/>
              <w:rPr>
                <w:rFonts w:ascii="宋体" w:hAnsi="宋体" w:cs="宋体"/>
                <w:b/>
                <w:bCs/>
                <w:sz w:val="24"/>
              </w:rPr>
            </w:pPr>
          </w:p>
        </w:tc>
        <w:tc>
          <w:tcPr>
            <w:tcW w:w="815" w:type="dxa"/>
            <w:vAlign w:val="center"/>
          </w:tcPr>
          <w:p>
            <w:pPr>
              <w:keepNext/>
              <w:keepLines/>
              <w:tabs>
                <w:tab w:val="left" w:pos="720"/>
              </w:tabs>
              <w:spacing w:before="120" w:line="360" w:lineRule="auto"/>
              <w:jc w:val="center"/>
              <w:rPr>
                <w:rFonts w:ascii="宋体" w:hAnsi="宋体" w:cs="宋体"/>
                <w:b/>
                <w:bCs/>
                <w:sz w:val="24"/>
              </w:rPr>
            </w:pPr>
          </w:p>
        </w:tc>
        <w:tc>
          <w:tcPr>
            <w:tcW w:w="815" w:type="dxa"/>
            <w:vAlign w:val="center"/>
          </w:tcPr>
          <w:p>
            <w:pPr>
              <w:keepNext/>
              <w:keepLines/>
              <w:tabs>
                <w:tab w:val="left" w:pos="720"/>
              </w:tabs>
              <w:spacing w:before="120" w:line="360" w:lineRule="auto"/>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14" w:type="dxa"/>
            <w:vAlign w:val="center"/>
          </w:tcPr>
          <w:p>
            <w:pPr>
              <w:keepNext/>
              <w:keepLines/>
              <w:tabs>
                <w:tab w:val="left" w:pos="720"/>
              </w:tabs>
              <w:spacing w:before="120" w:line="360" w:lineRule="auto"/>
              <w:jc w:val="center"/>
              <w:rPr>
                <w:rFonts w:ascii="宋体" w:hAnsi="宋体" w:cs="宋体"/>
                <w:b/>
                <w:bCs/>
                <w:sz w:val="24"/>
              </w:rPr>
            </w:pPr>
          </w:p>
        </w:tc>
        <w:tc>
          <w:tcPr>
            <w:tcW w:w="814" w:type="dxa"/>
            <w:vAlign w:val="center"/>
          </w:tcPr>
          <w:p>
            <w:pPr>
              <w:keepNext/>
              <w:keepLines/>
              <w:tabs>
                <w:tab w:val="left" w:pos="720"/>
              </w:tabs>
              <w:spacing w:before="120" w:line="360" w:lineRule="auto"/>
              <w:jc w:val="center"/>
              <w:rPr>
                <w:rFonts w:ascii="宋体" w:hAnsi="宋体" w:cs="宋体"/>
                <w:b/>
                <w:bCs/>
                <w:sz w:val="24"/>
              </w:rPr>
            </w:pPr>
          </w:p>
        </w:tc>
        <w:tc>
          <w:tcPr>
            <w:tcW w:w="814" w:type="dxa"/>
            <w:vAlign w:val="center"/>
          </w:tcPr>
          <w:p>
            <w:pPr>
              <w:keepNext/>
              <w:keepLines/>
              <w:tabs>
                <w:tab w:val="left" w:pos="720"/>
              </w:tabs>
              <w:spacing w:before="120" w:line="360" w:lineRule="auto"/>
              <w:jc w:val="center"/>
              <w:rPr>
                <w:rFonts w:ascii="宋体" w:hAnsi="宋体" w:cs="宋体"/>
                <w:b/>
                <w:bCs/>
                <w:sz w:val="24"/>
              </w:rPr>
            </w:pPr>
          </w:p>
        </w:tc>
        <w:tc>
          <w:tcPr>
            <w:tcW w:w="814" w:type="dxa"/>
            <w:vAlign w:val="center"/>
          </w:tcPr>
          <w:p>
            <w:pPr>
              <w:keepNext/>
              <w:keepLines/>
              <w:tabs>
                <w:tab w:val="left" w:pos="720"/>
              </w:tabs>
              <w:spacing w:before="120" w:line="360" w:lineRule="auto"/>
              <w:jc w:val="center"/>
              <w:rPr>
                <w:rFonts w:ascii="宋体" w:hAnsi="宋体" w:cs="宋体"/>
                <w:b/>
                <w:bCs/>
                <w:sz w:val="24"/>
              </w:rPr>
            </w:pPr>
          </w:p>
        </w:tc>
        <w:tc>
          <w:tcPr>
            <w:tcW w:w="814" w:type="dxa"/>
            <w:vAlign w:val="center"/>
          </w:tcPr>
          <w:p>
            <w:pPr>
              <w:keepNext/>
              <w:keepLines/>
              <w:tabs>
                <w:tab w:val="left" w:pos="720"/>
              </w:tabs>
              <w:spacing w:before="120" w:line="360" w:lineRule="auto"/>
              <w:jc w:val="center"/>
              <w:rPr>
                <w:rFonts w:ascii="宋体" w:hAnsi="宋体" w:cs="宋体"/>
                <w:b/>
                <w:bCs/>
                <w:sz w:val="24"/>
              </w:rPr>
            </w:pPr>
          </w:p>
        </w:tc>
        <w:tc>
          <w:tcPr>
            <w:tcW w:w="814" w:type="dxa"/>
            <w:vAlign w:val="center"/>
          </w:tcPr>
          <w:p>
            <w:pPr>
              <w:keepNext/>
              <w:keepLines/>
              <w:tabs>
                <w:tab w:val="left" w:pos="720"/>
              </w:tabs>
              <w:spacing w:before="120" w:line="360" w:lineRule="auto"/>
              <w:jc w:val="center"/>
              <w:rPr>
                <w:rFonts w:ascii="宋体" w:hAnsi="宋体" w:cs="宋体"/>
                <w:b/>
                <w:bCs/>
                <w:sz w:val="24"/>
              </w:rPr>
            </w:pPr>
          </w:p>
        </w:tc>
        <w:tc>
          <w:tcPr>
            <w:tcW w:w="814" w:type="dxa"/>
            <w:vAlign w:val="center"/>
          </w:tcPr>
          <w:p>
            <w:pPr>
              <w:keepNext/>
              <w:keepLines/>
              <w:tabs>
                <w:tab w:val="left" w:pos="720"/>
              </w:tabs>
              <w:spacing w:before="120" w:line="360" w:lineRule="auto"/>
              <w:jc w:val="center"/>
              <w:rPr>
                <w:rFonts w:ascii="宋体" w:hAnsi="宋体" w:cs="宋体"/>
                <w:b/>
                <w:bCs/>
                <w:sz w:val="24"/>
              </w:rPr>
            </w:pPr>
          </w:p>
        </w:tc>
        <w:tc>
          <w:tcPr>
            <w:tcW w:w="1010" w:type="dxa"/>
            <w:vAlign w:val="center"/>
          </w:tcPr>
          <w:p>
            <w:pPr>
              <w:keepNext/>
              <w:keepLines/>
              <w:tabs>
                <w:tab w:val="left" w:pos="720"/>
              </w:tabs>
              <w:spacing w:before="120" w:line="360" w:lineRule="auto"/>
              <w:jc w:val="center"/>
              <w:rPr>
                <w:rFonts w:ascii="宋体" w:hAnsi="宋体" w:cs="宋体"/>
                <w:b/>
                <w:bCs/>
                <w:sz w:val="24"/>
              </w:rPr>
            </w:pPr>
          </w:p>
        </w:tc>
        <w:tc>
          <w:tcPr>
            <w:tcW w:w="814" w:type="dxa"/>
            <w:vAlign w:val="center"/>
          </w:tcPr>
          <w:p>
            <w:pPr>
              <w:keepNext/>
              <w:keepLines/>
              <w:tabs>
                <w:tab w:val="left" w:pos="720"/>
              </w:tabs>
              <w:spacing w:before="120" w:line="360" w:lineRule="auto"/>
              <w:jc w:val="center"/>
              <w:rPr>
                <w:rFonts w:ascii="宋体" w:hAnsi="宋体" w:cs="宋体"/>
                <w:b/>
                <w:bCs/>
                <w:sz w:val="24"/>
              </w:rPr>
            </w:pPr>
          </w:p>
        </w:tc>
        <w:tc>
          <w:tcPr>
            <w:tcW w:w="815" w:type="dxa"/>
            <w:vAlign w:val="center"/>
          </w:tcPr>
          <w:p>
            <w:pPr>
              <w:keepNext/>
              <w:keepLines/>
              <w:tabs>
                <w:tab w:val="left" w:pos="720"/>
              </w:tabs>
              <w:spacing w:before="120" w:line="360" w:lineRule="auto"/>
              <w:jc w:val="center"/>
              <w:rPr>
                <w:rFonts w:ascii="宋体" w:hAnsi="宋体" w:cs="宋体"/>
                <w:b/>
                <w:bCs/>
                <w:sz w:val="24"/>
              </w:rPr>
            </w:pPr>
          </w:p>
        </w:tc>
        <w:tc>
          <w:tcPr>
            <w:tcW w:w="815" w:type="dxa"/>
            <w:vAlign w:val="center"/>
          </w:tcPr>
          <w:p>
            <w:pPr>
              <w:keepNext/>
              <w:keepLines/>
              <w:tabs>
                <w:tab w:val="left" w:pos="720"/>
              </w:tabs>
              <w:spacing w:before="120" w:line="360" w:lineRule="auto"/>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14" w:type="dxa"/>
            <w:vAlign w:val="center"/>
          </w:tcPr>
          <w:p>
            <w:pPr>
              <w:keepNext/>
              <w:keepLines/>
              <w:tabs>
                <w:tab w:val="left" w:pos="720"/>
              </w:tabs>
              <w:spacing w:before="120" w:line="360" w:lineRule="auto"/>
              <w:jc w:val="center"/>
              <w:rPr>
                <w:rFonts w:ascii="宋体" w:hAnsi="宋体" w:cs="宋体"/>
                <w:b/>
                <w:bCs/>
                <w:sz w:val="24"/>
              </w:rPr>
            </w:pPr>
          </w:p>
        </w:tc>
        <w:tc>
          <w:tcPr>
            <w:tcW w:w="814" w:type="dxa"/>
            <w:vAlign w:val="center"/>
          </w:tcPr>
          <w:p>
            <w:pPr>
              <w:keepNext/>
              <w:keepLines/>
              <w:tabs>
                <w:tab w:val="left" w:pos="720"/>
              </w:tabs>
              <w:spacing w:before="120" w:line="360" w:lineRule="auto"/>
              <w:jc w:val="center"/>
              <w:rPr>
                <w:rFonts w:ascii="宋体" w:hAnsi="宋体" w:cs="宋体"/>
                <w:b/>
                <w:bCs/>
                <w:sz w:val="24"/>
              </w:rPr>
            </w:pPr>
          </w:p>
        </w:tc>
        <w:tc>
          <w:tcPr>
            <w:tcW w:w="814" w:type="dxa"/>
            <w:vAlign w:val="center"/>
          </w:tcPr>
          <w:p>
            <w:pPr>
              <w:keepNext/>
              <w:keepLines/>
              <w:tabs>
                <w:tab w:val="left" w:pos="720"/>
              </w:tabs>
              <w:spacing w:before="120" w:line="360" w:lineRule="auto"/>
              <w:jc w:val="center"/>
              <w:rPr>
                <w:rFonts w:ascii="宋体" w:hAnsi="宋体" w:cs="宋体"/>
                <w:b/>
                <w:bCs/>
                <w:sz w:val="24"/>
              </w:rPr>
            </w:pPr>
          </w:p>
        </w:tc>
        <w:tc>
          <w:tcPr>
            <w:tcW w:w="814" w:type="dxa"/>
            <w:vAlign w:val="center"/>
          </w:tcPr>
          <w:p>
            <w:pPr>
              <w:keepNext/>
              <w:keepLines/>
              <w:tabs>
                <w:tab w:val="left" w:pos="720"/>
              </w:tabs>
              <w:spacing w:before="120" w:line="360" w:lineRule="auto"/>
              <w:jc w:val="center"/>
              <w:rPr>
                <w:rFonts w:ascii="宋体" w:hAnsi="宋体" w:cs="宋体"/>
                <w:b/>
                <w:bCs/>
                <w:sz w:val="24"/>
              </w:rPr>
            </w:pPr>
          </w:p>
        </w:tc>
        <w:tc>
          <w:tcPr>
            <w:tcW w:w="814" w:type="dxa"/>
            <w:vAlign w:val="center"/>
          </w:tcPr>
          <w:p>
            <w:pPr>
              <w:keepNext/>
              <w:keepLines/>
              <w:tabs>
                <w:tab w:val="left" w:pos="720"/>
              </w:tabs>
              <w:spacing w:before="120" w:line="360" w:lineRule="auto"/>
              <w:jc w:val="center"/>
              <w:rPr>
                <w:rFonts w:ascii="宋体" w:hAnsi="宋体" w:cs="宋体"/>
                <w:b/>
                <w:bCs/>
                <w:sz w:val="24"/>
              </w:rPr>
            </w:pPr>
          </w:p>
        </w:tc>
        <w:tc>
          <w:tcPr>
            <w:tcW w:w="814" w:type="dxa"/>
            <w:vAlign w:val="center"/>
          </w:tcPr>
          <w:p>
            <w:pPr>
              <w:keepNext/>
              <w:keepLines/>
              <w:tabs>
                <w:tab w:val="left" w:pos="720"/>
              </w:tabs>
              <w:spacing w:before="120" w:line="360" w:lineRule="auto"/>
              <w:jc w:val="center"/>
              <w:rPr>
                <w:rFonts w:ascii="宋体" w:hAnsi="宋体" w:cs="宋体"/>
                <w:b/>
                <w:bCs/>
                <w:sz w:val="24"/>
              </w:rPr>
            </w:pPr>
          </w:p>
        </w:tc>
        <w:tc>
          <w:tcPr>
            <w:tcW w:w="814" w:type="dxa"/>
            <w:vAlign w:val="center"/>
          </w:tcPr>
          <w:p>
            <w:pPr>
              <w:keepNext/>
              <w:keepLines/>
              <w:tabs>
                <w:tab w:val="left" w:pos="720"/>
              </w:tabs>
              <w:spacing w:before="120" w:line="360" w:lineRule="auto"/>
              <w:jc w:val="center"/>
              <w:rPr>
                <w:rFonts w:ascii="宋体" w:hAnsi="宋体" w:cs="宋体"/>
                <w:b/>
                <w:bCs/>
                <w:sz w:val="24"/>
              </w:rPr>
            </w:pPr>
          </w:p>
        </w:tc>
        <w:tc>
          <w:tcPr>
            <w:tcW w:w="1010" w:type="dxa"/>
            <w:vAlign w:val="center"/>
          </w:tcPr>
          <w:p>
            <w:pPr>
              <w:keepNext/>
              <w:keepLines/>
              <w:tabs>
                <w:tab w:val="left" w:pos="720"/>
              </w:tabs>
              <w:spacing w:before="120" w:line="360" w:lineRule="auto"/>
              <w:jc w:val="center"/>
              <w:rPr>
                <w:rFonts w:ascii="宋体" w:hAnsi="宋体" w:cs="宋体"/>
                <w:b/>
                <w:bCs/>
                <w:sz w:val="24"/>
              </w:rPr>
            </w:pPr>
          </w:p>
        </w:tc>
        <w:tc>
          <w:tcPr>
            <w:tcW w:w="814" w:type="dxa"/>
            <w:vAlign w:val="center"/>
          </w:tcPr>
          <w:p>
            <w:pPr>
              <w:keepNext/>
              <w:keepLines/>
              <w:tabs>
                <w:tab w:val="left" w:pos="720"/>
              </w:tabs>
              <w:spacing w:before="120" w:line="360" w:lineRule="auto"/>
              <w:jc w:val="center"/>
              <w:rPr>
                <w:rFonts w:ascii="宋体" w:hAnsi="宋体" w:cs="宋体"/>
                <w:b/>
                <w:bCs/>
                <w:sz w:val="24"/>
              </w:rPr>
            </w:pPr>
          </w:p>
        </w:tc>
        <w:tc>
          <w:tcPr>
            <w:tcW w:w="815" w:type="dxa"/>
            <w:vAlign w:val="center"/>
          </w:tcPr>
          <w:p>
            <w:pPr>
              <w:keepNext/>
              <w:keepLines/>
              <w:tabs>
                <w:tab w:val="left" w:pos="720"/>
              </w:tabs>
              <w:spacing w:before="120" w:line="360" w:lineRule="auto"/>
              <w:jc w:val="center"/>
              <w:rPr>
                <w:rFonts w:ascii="宋体" w:hAnsi="宋体" w:cs="宋体"/>
                <w:b/>
                <w:bCs/>
                <w:sz w:val="24"/>
              </w:rPr>
            </w:pPr>
          </w:p>
        </w:tc>
        <w:tc>
          <w:tcPr>
            <w:tcW w:w="815" w:type="dxa"/>
            <w:vAlign w:val="center"/>
          </w:tcPr>
          <w:p>
            <w:pPr>
              <w:keepNext/>
              <w:keepLines/>
              <w:tabs>
                <w:tab w:val="left" w:pos="720"/>
              </w:tabs>
              <w:spacing w:before="120" w:line="360" w:lineRule="auto"/>
              <w:jc w:val="center"/>
              <w:rPr>
                <w:rFonts w:ascii="宋体" w:hAnsi="宋体" w:cs="宋体"/>
                <w:b/>
                <w:bCs/>
                <w:sz w:val="24"/>
              </w:rPr>
            </w:pPr>
          </w:p>
        </w:tc>
      </w:tr>
    </w:tbl>
    <w:p>
      <w:pPr>
        <w:widowControl/>
        <w:spacing w:line="360" w:lineRule="auto"/>
        <w:jc w:val="left"/>
        <w:rPr>
          <w:rFonts w:ascii="宋体" w:hAnsi="宋体" w:cs="宋体"/>
          <w:kern w:val="0"/>
          <w:sz w:val="24"/>
          <w:lang w:bidi="ar"/>
        </w:rPr>
      </w:pPr>
      <w:r>
        <w:rPr>
          <w:rFonts w:hint="eastAsia" w:ascii="宋体" w:hAnsi="宋体" w:cs="宋体"/>
          <w:kern w:val="0"/>
          <w:sz w:val="24"/>
          <w:lang w:bidi="ar"/>
        </w:rPr>
        <w:t xml:space="preserve"> </w:t>
      </w:r>
    </w:p>
    <w:p>
      <w:pPr>
        <w:widowControl/>
        <w:spacing w:line="360" w:lineRule="auto"/>
        <w:jc w:val="left"/>
        <w:rPr>
          <w:rFonts w:ascii="宋体" w:hAnsi="宋体" w:cs="宋体"/>
          <w:sz w:val="24"/>
        </w:rPr>
      </w:pPr>
      <w:r>
        <w:rPr>
          <w:rFonts w:hint="eastAsia" w:ascii="宋体" w:hAnsi="宋体" w:cs="宋体"/>
          <w:kern w:val="0"/>
          <w:sz w:val="24"/>
          <w:lang w:bidi="ar"/>
        </w:rPr>
        <w:t xml:space="preserve"> </w:t>
      </w:r>
      <w:r>
        <w:rPr>
          <w:rFonts w:hint="eastAsia" w:ascii="宋体" w:hAnsi="宋体" w:cs="宋体"/>
          <w:b/>
          <w:bCs/>
          <w:sz w:val="24"/>
        </w:rPr>
        <w:t>（五）</w:t>
      </w:r>
      <w:r>
        <w:rPr>
          <w:rFonts w:hint="eastAsia" w:ascii="宋体" w:hAnsi="宋体" w:cs="宋体"/>
          <w:b/>
          <w:bCs/>
          <w:kern w:val="0"/>
          <w:sz w:val="24"/>
          <w:lang w:bidi="ar"/>
        </w:rPr>
        <w:t xml:space="preserve">投标人为完成本项目组建的项目组人员名单 </w:t>
      </w:r>
    </w:p>
    <w:p>
      <w:pPr>
        <w:widowControl/>
        <w:spacing w:line="360" w:lineRule="auto"/>
        <w:ind w:right="-733" w:rightChars="-349" w:firstLine="480" w:firstLineChars="200"/>
        <w:jc w:val="left"/>
        <w:rPr>
          <w:rFonts w:ascii="宋体" w:hAnsi="宋体" w:cs="宋体"/>
          <w:sz w:val="24"/>
        </w:rPr>
      </w:pPr>
      <w:r>
        <w:rPr>
          <w:rFonts w:hint="eastAsia" w:ascii="宋体" w:hAnsi="宋体" w:cs="宋体"/>
          <w:kern w:val="0"/>
          <w:sz w:val="24"/>
          <w:lang w:bidi="ar"/>
        </w:rPr>
        <w:t xml:space="preserve">每个专业人员的情况应该明确表示，明确各阶段投入人数，在提交的标书中安排的人员，须为单位的固定职员；每个参加项目人员的履历表应随标书一并提交，主要内容包括学历（学院、大学和其他职业教育，列出大学的名称，就学日期以及所取得的学位）、工作特长（特长领域、能力取向等）、 经验与业绩（主要是类似项目的经验，该人员参与的时间以及在项目中的责任）等、资质情况等； </w:t>
      </w:r>
    </w:p>
    <w:p>
      <w:pPr>
        <w:widowControl/>
        <w:spacing w:line="360" w:lineRule="auto"/>
        <w:ind w:firstLine="480" w:firstLineChars="200"/>
        <w:jc w:val="left"/>
        <w:rPr>
          <w:rFonts w:ascii="宋体" w:hAnsi="宋体" w:cs="宋体"/>
          <w:kern w:val="0"/>
          <w:sz w:val="24"/>
          <w:lang w:bidi="ar"/>
        </w:rPr>
      </w:pPr>
      <w:r>
        <w:rPr>
          <w:rFonts w:hint="eastAsia" w:ascii="宋体" w:hAnsi="宋体" w:cs="宋体"/>
          <w:kern w:val="0"/>
          <w:sz w:val="24"/>
          <w:lang w:bidi="ar"/>
        </w:rPr>
        <w:t xml:space="preserve">不限于表格形式，可采用其他形式表述。 </w:t>
      </w:r>
    </w:p>
    <w:p>
      <w:pPr>
        <w:widowControl/>
        <w:spacing w:line="360" w:lineRule="auto"/>
        <w:jc w:val="left"/>
        <w:rPr>
          <w:rFonts w:ascii="宋体" w:hAnsi="宋体" w:cs="宋体"/>
          <w:sz w:val="24"/>
        </w:rPr>
      </w:pPr>
      <w:r>
        <w:rPr>
          <w:rFonts w:hint="eastAsia" w:ascii="宋体" w:hAnsi="宋体" w:cs="宋体"/>
          <w:kern w:val="0"/>
          <w:sz w:val="24"/>
          <w:lang w:bidi="ar"/>
        </w:rPr>
        <w:t xml:space="preserve">1）项目组人员表 </w:t>
      </w:r>
    </w:p>
    <w:tbl>
      <w:tblPr>
        <w:tblStyle w:val="63"/>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1013"/>
        <w:gridCol w:w="1013"/>
        <w:gridCol w:w="1137"/>
        <w:gridCol w:w="889"/>
        <w:gridCol w:w="1013"/>
        <w:gridCol w:w="1013"/>
        <w:gridCol w:w="119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12" w:type="dxa"/>
            <w:vMerge w:val="restart"/>
            <w:vAlign w:val="center"/>
          </w:tcPr>
          <w:p>
            <w:pPr>
              <w:widowControl/>
              <w:spacing w:line="360" w:lineRule="auto"/>
              <w:jc w:val="center"/>
              <w:rPr>
                <w:rFonts w:ascii="宋体" w:hAnsi="宋体" w:cs="宋体"/>
                <w:sz w:val="24"/>
              </w:rPr>
            </w:pPr>
            <w:r>
              <w:rPr>
                <w:rFonts w:hint="eastAsia" w:ascii="宋体" w:hAnsi="宋体" w:cs="宋体"/>
                <w:kern w:val="0"/>
                <w:sz w:val="24"/>
                <w:lang w:bidi="ar"/>
              </w:rPr>
              <w:t>项目组职务</w:t>
            </w:r>
          </w:p>
        </w:tc>
        <w:tc>
          <w:tcPr>
            <w:tcW w:w="1013" w:type="dxa"/>
            <w:vMerge w:val="restart"/>
            <w:vAlign w:val="center"/>
          </w:tcPr>
          <w:p>
            <w:pPr>
              <w:pStyle w:val="638"/>
              <w:widowControl w:val="0"/>
              <w:spacing w:line="360" w:lineRule="auto"/>
              <w:ind w:firstLine="0" w:firstLineChars="0"/>
              <w:jc w:val="center"/>
              <w:rPr>
                <w:rFonts w:hAnsi="宋体" w:cs="宋体"/>
                <w:sz w:val="24"/>
                <w:szCs w:val="24"/>
              </w:rPr>
            </w:pPr>
            <w:r>
              <w:rPr>
                <w:rFonts w:hint="eastAsia" w:hAnsi="宋体" w:cs="宋体"/>
                <w:sz w:val="24"/>
                <w:szCs w:val="24"/>
                <w:lang w:bidi="ar"/>
              </w:rPr>
              <w:t>姓名</w:t>
            </w:r>
          </w:p>
        </w:tc>
        <w:tc>
          <w:tcPr>
            <w:tcW w:w="1013" w:type="dxa"/>
            <w:vMerge w:val="restart"/>
            <w:vAlign w:val="center"/>
          </w:tcPr>
          <w:p>
            <w:pPr>
              <w:pStyle w:val="638"/>
              <w:widowControl w:val="0"/>
              <w:spacing w:line="360" w:lineRule="auto"/>
              <w:ind w:firstLine="0" w:firstLineChars="0"/>
              <w:jc w:val="center"/>
              <w:rPr>
                <w:rFonts w:hAnsi="宋体" w:cs="宋体"/>
                <w:sz w:val="24"/>
                <w:szCs w:val="24"/>
              </w:rPr>
            </w:pPr>
            <w:r>
              <w:rPr>
                <w:rFonts w:hint="eastAsia" w:hAnsi="宋体" w:cs="宋体"/>
                <w:sz w:val="24"/>
                <w:szCs w:val="24"/>
                <w:lang w:bidi="ar"/>
              </w:rPr>
              <w:t>职称</w:t>
            </w:r>
          </w:p>
        </w:tc>
        <w:tc>
          <w:tcPr>
            <w:tcW w:w="5249" w:type="dxa"/>
            <w:gridSpan w:val="5"/>
            <w:vAlign w:val="center"/>
          </w:tcPr>
          <w:p>
            <w:pPr>
              <w:pStyle w:val="638"/>
              <w:widowControl w:val="0"/>
              <w:spacing w:line="360" w:lineRule="auto"/>
              <w:ind w:firstLine="480"/>
              <w:jc w:val="center"/>
              <w:rPr>
                <w:rFonts w:hAnsi="宋体" w:cs="宋体"/>
                <w:sz w:val="24"/>
                <w:szCs w:val="24"/>
              </w:rPr>
            </w:pPr>
            <w:r>
              <w:rPr>
                <w:rFonts w:hint="eastAsia" w:hAnsi="宋体" w:cs="宋体"/>
                <w:sz w:val="24"/>
                <w:szCs w:val="24"/>
                <w:lang w:bidi="ar"/>
              </w:rPr>
              <w:t>人员所具有的执业或职业资格证明</w:t>
            </w:r>
          </w:p>
        </w:tc>
        <w:tc>
          <w:tcPr>
            <w:tcW w:w="1213" w:type="dxa"/>
            <w:vAlign w:val="center"/>
          </w:tcPr>
          <w:p>
            <w:pPr>
              <w:pStyle w:val="638"/>
              <w:widowControl w:val="0"/>
              <w:spacing w:line="360" w:lineRule="auto"/>
              <w:ind w:firstLine="0" w:firstLineChars="0"/>
              <w:jc w:val="center"/>
              <w:rPr>
                <w:rFonts w:hAnsi="宋体" w:cs="宋体"/>
                <w:sz w:val="24"/>
                <w:szCs w:val="24"/>
              </w:rPr>
            </w:pPr>
            <w:r>
              <w:rPr>
                <w:rFonts w:hint="eastAsia" w:hAnsi="宋体" w:cs="宋体"/>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12" w:type="dxa"/>
            <w:vMerge w:val="continue"/>
            <w:vAlign w:val="center"/>
          </w:tcPr>
          <w:p>
            <w:pPr>
              <w:pStyle w:val="638"/>
              <w:widowControl w:val="0"/>
              <w:spacing w:line="360" w:lineRule="auto"/>
              <w:ind w:firstLine="480"/>
              <w:jc w:val="center"/>
              <w:rPr>
                <w:rFonts w:hAnsi="宋体" w:cs="宋体"/>
                <w:sz w:val="24"/>
                <w:szCs w:val="24"/>
              </w:rPr>
            </w:pPr>
          </w:p>
        </w:tc>
        <w:tc>
          <w:tcPr>
            <w:tcW w:w="1013" w:type="dxa"/>
            <w:vMerge w:val="continue"/>
            <w:vAlign w:val="center"/>
          </w:tcPr>
          <w:p>
            <w:pPr>
              <w:pStyle w:val="638"/>
              <w:widowControl w:val="0"/>
              <w:spacing w:line="360" w:lineRule="auto"/>
              <w:ind w:firstLine="480"/>
              <w:jc w:val="center"/>
              <w:rPr>
                <w:rFonts w:hAnsi="宋体" w:cs="宋体"/>
                <w:sz w:val="24"/>
                <w:szCs w:val="24"/>
              </w:rPr>
            </w:pPr>
          </w:p>
        </w:tc>
        <w:tc>
          <w:tcPr>
            <w:tcW w:w="1013" w:type="dxa"/>
            <w:vMerge w:val="continue"/>
            <w:vAlign w:val="center"/>
          </w:tcPr>
          <w:p>
            <w:pPr>
              <w:pStyle w:val="638"/>
              <w:widowControl w:val="0"/>
              <w:spacing w:line="360" w:lineRule="auto"/>
              <w:ind w:firstLine="480"/>
              <w:jc w:val="center"/>
              <w:rPr>
                <w:rFonts w:hAnsi="宋体" w:cs="宋体"/>
                <w:sz w:val="24"/>
                <w:szCs w:val="24"/>
              </w:rPr>
            </w:pPr>
          </w:p>
        </w:tc>
        <w:tc>
          <w:tcPr>
            <w:tcW w:w="1137" w:type="dxa"/>
            <w:vAlign w:val="center"/>
          </w:tcPr>
          <w:p>
            <w:pPr>
              <w:pStyle w:val="638"/>
              <w:widowControl w:val="0"/>
              <w:spacing w:line="360" w:lineRule="auto"/>
              <w:ind w:firstLine="0" w:firstLineChars="0"/>
              <w:jc w:val="center"/>
              <w:rPr>
                <w:rFonts w:hAnsi="宋体" w:cs="宋体"/>
                <w:sz w:val="24"/>
                <w:szCs w:val="24"/>
              </w:rPr>
            </w:pPr>
            <w:r>
              <w:rPr>
                <w:rFonts w:hint="eastAsia" w:hAnsi="宋体" w:cs="宋体"/>
                <w:sz w:val="24"/>
                <w:szCs w:val="24"/>
                <w:lang w:bidi="ar"/>
              </w:rPr>
              <w:t>证书名称</w:t>
            </w:r>
          </w:p>
        </w:tc>
        <w:tc>
          <w:tcPr>
            <w:tcW w:w="889" w:type="dxa"/>
            <w:vAlign w:val="center"/>
          </w:tcPr>
          <w:p>
            <w:pPr>
              <w:pStyle w:val="638"/>
              <w:widowControl w:val="0"/>
              <w:spacing w:line="360" w:lineRule="auto"/>
              <w:ind w:firstLine="0" w:firstLineChars="0"/>
              <w:jc w:val="center"/>
              <w:rPr>
                <w:rFonts w:hAnsi="宋体" w:cs="宋体"/>
                <w:sz w:val="24"/>
                <w:szCs w:val="24"/>
              </w:rPr>
            </w:pPr>
            <w:r>
              <w:rPr>
                <w:rFonts w:hint="eastAsia" w:hAnsi="宋体" w:cs="宋体"/>
                <w:sz w:val="24"/>
                <w:szCs w:val="24"/>
                <w:lang w:bidi="ar"/>
              </w:rPr>
              <w:t>级别</w:t>
            </w:r>
          </w:p>
        </w:tc>
        <w:tc>
          <w:tcPr>
            <w:tcW w:w="1013" w:type="dxa"/>
            <w:vAlign w:val="center"/>
          </w:tcPr>
          <w:p>
            <w:pPr>
              <w:pStyle w:val="638"/>
              <w:widowControl w:val="0"/>
              <w:spacing w:line="360" w:lineRule="auto"/>
              <w:ind w:firstLine="0" w:firstLineChars="0"/>
              <w:jc w:val="center"/>
              <w:rPr>
                <w:rFonts w:hAnsi="宋体" w:cs="宋体"/>
                <w:sz w:val="24"/>
                <w:szCs w:val="24"/>
              </w:rPr>
            </w:pPr>
            <w:r>
              <w:rPr>
                <w:rFonts w:hint="eastAsia" w:hAnsi="宋体" w:cs="宋体"/>
                <w:sz w:val="24"/>
                <w:szCs w:val="24"/>
                <w:lang w:bidi="ar"/>
              </w:rPr>
              <w:t>证号</w:t>
            </w:r>
          </w:p>
        </w:tc>
        <w:tc>
          <w:tcPr>
            <w:tcW w:w="1013" w:type="dxa"/>
            <w:vAlign w:val="center"/>
          </w:tcPr>
          <w:p>
            <w:pPr>
              <w:pStyle w:val="638"/>
              <w:widowControl w:val="0"/>
              <w:spacing w:line="360" w:lineRule="auto"/>
              <w:ind w:firstLine="0" w:firstLineChars="0"/>
              <w:jc w:val="center"/>
              <w:rPr>
                <w:rFonts w:hAnsi="宋体" w:cs="宋体"/>
                <w:sz w:val="24"/>
                <w:szCs w:val="24"/>
              </w:rPr>
            </w:pPr>
            <w:r>
              <w:rPr>
                <w:rFonts w:hint="eastAsia" w:hAnsi="宋体" w:cs="宋体"/>
                <w:sz w:val="24"/>
                <w:szCs w:val="24"/>
                <w:lang w:bidi="ar"/>
              </w:rPr>
              <w:t>专业</w:t>
            </w:r>
          </w:p>
        </w:tc>
        <w:tc>
          <w:tcPr>
            <w:tcW w:w="1197" w:type="dxa"/>
            <w:vAlign w:val="center"/>
          </w:tcPr>
          <w:p>
            <w:pPr>
              <w:pStyle w:val="638"/>
              <w:widowControl w:val="0"/>
              <w:spacing w:line="360" w:lineRule="auto"/>
              <w:ind w:firstLine="0" w:firstLineChars="0"/>
              <w:jc w:val="center"/>
              <w:rPr>
                <w:rFonts w:hAnsi="宋体" w:cs="宋体"/>
                <w:sz w:val="24"/>
                <w:szCs w:val="24"/>
              </w:rPr>
            </w:pPr>
            <w:r>
              <w:rPr>
                <w:rFonts w:hint="eastAsia" w:hAnsi="宋体" w:cs="宋体"/>
                <w:sz w:val="24"/>
                <w:szCs w:val="24"/>
                <w:lang w:bidi="ar"/>
              </w:rPr>
              <w:t>社保缴纳</w:t>
            </w:r>
          </w:p>
        </w:tc>
        <w:tc>
          <w:tcPr>
            <w:tcW w:w="1213" w:type="dxa"/>
            <w:vAlign w:val="center"/>
          </w:tcPr>
          <w:p>
            <w:pPr>
              <w:widowControl/>
              <w:spacing w:line="360" w:lineRule="auto"/>
              <w:jc w:val="center"/>
              <w:rPr>
                <w:rFonts w:ascii="宋体" w:hAnsi="宋体" w:cs="宋体"/>
                <w:sz w:val="24"/>
              </w:rPr>
            </w:pPr>
            <w:r>
              <w:rPr>
                <w:rFonts w:hint="eastAsia" w:ascii="宋体" w:hAnsi="宋体" w:cs="宋体"/>
                <w:kern w:val="0"/>
                <w:sz w:val="24"/>
                <w:lang w:bidi="ar"/>
              </w:rPr>
              <w:t>人员能力及实施经验说明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12" w:type="dxa"/>
            <w:vAlign w:val="center"/>
          </w:tcPr>
          <w:p>
            <w:pPr>
              <w:pStyle w:val="638"/>
              <w:widowControl w:val="0"/>
              <w:spacing w:line="360" w:lineRule="auto"/>
              <w:ind w:firstLine="480"/>
              <w:jc w:val="center"/>
              <w:rPr>
                <w:rFonts w:hAnsi="宋体" w:cs="宋体"/>
                <w:sz w:val="24"/>
                <w:szCs w:val="24"/>
              </w:rPr>
            </w:pPr>
          </w:p>
        </w:tc>
        <w:tc>
          <w:tcPr>
            <w:tcW w:w="1013" w:type="dxa"/>
            <w:vAlign w:val="center"/>
          </w:tcPr>
          <w:p>
            <w:pPr>
              <w:pStyle w:val="638"/>
              <w:widowControl w:val="0"/>
              <w:spacing w:line="360" w:lineRule="auto"/>
              <w:ind w:firstLine="480"/>
              <w:jc w:val="center"/>
              <w:rPr>
                <w:rFonts w:hAnsi="宋体" w:cs="宋体"/>
                <w:sz w:val="24"/>
                <w:szCs w:val="24"/>
              </w:rPr>
            </w:pPr>
          </w:p>
        </w:tc>
        <w:tc>
          <w:tcPr>
            <w:tcW w:w="1013" w:type="dxa"/>
            <w:vAlign w:val="center"/>
          </w:tcPr>
          <w:p>
            <w:pPr>
              <w:pStyle w:val="638"/>
              <w:widowControl w:val="0"/>
              <w:spacing w:line="360" w:lineRule="auto"/>
              <w:ind w:firstLine="480"/>
              <w:jc w:val="center"/>
              <w:rPr>
                <w:rFonts w:hAnsi="宋体" w:cs="宋体"/>
                <w:sz w:val="24"/>
                <w:szCs w:val="24"/>
              </w:rPr>
            </w:pPr>
          </w:p>
        </w:tc>
        <w:tc>
          <w:tcPr>
            <w:tcW w:w="1137" w:type="dxa"/>
            <w:vAlign w:val="center"/>
          </w:tcPr>
          <w:p>
            <w:pPr>
              <w:pStyle w:val="638"/>
              <w:widowControl w:val="0"/>
              <w:spacing w:line="360" w:lineRule="auto"/>
              <w:ind w:firstLine="480"/>
              <w:jc w:val="center"/>
              <w:rPr>
                <w:rFonts w:hAnsi="宋体" w:cs="宋体"/>
                <w:sz w:val="24"/>
                <w:szCs w:val="24"/>
              </w:rPr>
            </w:pPr>
          </w:p>
        </w:tc>
        <w:tc>
          <w:tcPr>
            <w:tcW w:w="889" w:type="dxa"/>
            <w:vAlign w:val="center"/>
          </w:tcPr>
          <w:p>
            <w:pPr>
              <w:pStyle w:val="638"/>
              <w:widowControl w:val="0"/>
              <w:spacing w:line="360" w:lineRule="auto"/>
              <w:ind w:firstLine="480"/>
              <w:jc w:val="center"/>
              <w:rPr>
                <w:rFonts w:hAnsi="宋体" w:cs="宋体"/>
                <w:sz w:val="24"/>
                <w:szCs w:val="24"/>
              </w:rPr>
            </w:pPr>
          </w:p>
        </w:tc>
        <w:tc>
          <w:tcPr>
            <w:tcW w:w="1013" w:type="dxa"/>
            <w:vAlign w:val="center"/>
          </w:tcPr>
          <w:p>
            <w:pPr>
              <w:pStyle w:val="638"/>
              <w:widowControl w:val="0"/>
              <w:spacing w:line="360" w:lineRule="auto"/>
              <w:ind w:firstLine="480"/>
              <w:jc w:val="center"/>
              <w:rPr>
                <w:rFonts w:hAnsi="宋体" w:cs="宋体"/>
                <w:sz w:val="24"/>
                <w:szCs w:val="24"/>
              </w:rPr>
            </w:pPr>
          </w:p>
        </w:tc>
        <w:tc>
          <w:tcPr>
            <w:tcW w:w="1013" w:type="dxa"/>
            <w:vAlign w:val="center"/>
          </w:tcPr>
          <w:p>
            <w:pPr>
              <w:pStyle w:val="638"/>
              <w:widowControl w:val="0"/>
              <w:spacing w:line="360" w:lineRule="auto"/>
              <w:ind w:firstLine="480"/>
              <w:jc w:val="center"/>
              <w:rPr>
                <w:rFonts w:hAnsi="宋体" w:cs="宋体"/>
                <w:sz w:val="24"/>
                <w:szCs w:val="24"/>
              </w:rPr>
            </w:pPr>
          </w:p>
        </w:tc>
        <w:tc>
          <w:tcPr>
            <w:tcW w:w="1197" w:type="dxa"/>
            <w:vAlign w:val="center"/>
          </w:tcPr>
          <w:p>
            <w:pPr>
              <w:pStyle w:val="638"/>
              <w:widowControl w:val="0"/>
              <w:spacing w:line="360" w:lineRule="auto"/>
              <w:ind w:firstLine="480"/>
              <w:jc w:val="center"/>
              <w:rPr>
                <w:rFonts w:hAnsi="宋体" w:cs="宋体"/>
                <w:sz w:val="24"/>
                <w:szCs w:val="24"/>
              </w:rPr>
            </w:pPr>
          </w:p>
        </w:tc>
        <w:tc>
          <w:tcPr>
            <w:tcW w:w="1213" w:type="dxa"/>
            <w:vAlign w:val="center"/>
          </w:tcPr>
          <w:p>
            <w:pPr>
              <w:pStyle w:val="638"/>
              <w:widowControl w:val="0"/>
              <w:spacing w:line="360" w:lineRule="auto"/>
              <w:ind w:firstLine="48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012" w:type="dxa"/>
            <w:vAlign w:val="center"/>
          </w:tcPr>
          <w:p>
            <w:pPr>
              <w:pStyle w:val="638"/>
              <w:widowControl w:val="0"/>
              <w:spacing w:line="360" w:lineRule="auto"/>
              <w:ind w:firstLine="480"/>
              <w:jc w:val="center"/>
              <w:rPr>
                <w:rFonts w:hAnsi="宋体" w:cs="宋体"/>
                <w:sz w:val="24"/>
                <w:szCs w:val="24"/>
              </w:rPr>
            </w:pPr>
          </w:p>
        </w:tc>
        <w:tc>
          <w:tcPr>
            <w:tcW w:w="1013" w:type="dxa"/>
            <w:vAlign w:val="center"/>
          </w:tcPr>
          <w:p>
            <w:pPr>
              <w:pStyle w:val="638"/>
              <w:widowControl w:val="0"/>
              <w:spacing w:line="360" w:lineRule="auto"/>
              <w:ind w:firstLine="480"/>
              <w:jc w:val="center"/>
              <w:rPr>
                <w:rFonts w:hAnsi="宋体" w:cs="宋体"/>
                <w:sz w:val="24"/>
                <w:szCs w:val="24"/>
              </w:rPr>
            </w:pPr>
          </w:p>
        </w:tc>
        <w:tc>
          <w:tcPr>
            <w:tcW w:w="1013" w:type="dxa"/>
            <w:vAlign w:val="center"/>
          </w:tcPr>
          <w:p>
            <w:pPr>
              <w:pStyle w:val="638"/>
              <w:widowControl w:val="0"/>
              <w:spacing w:line="360" w:lineRule="auto"/>
              <w:ind w:firstLine="480"/>
              <w:jc w:val="center"/>
              <w:rPr>
                <w:rFonts w:hAnsi="宋体" w:cs="宋体"/>
                <w:sz w:val="24"/>
                <w:szCs w:val="24"/>
              </w:rPr>
            </w:pPr>
          </w:p>
        </w:tc>
        <w:tc>
          <w:tcPr>
            <w:tcW w:w="1137" w:type="dxa"/>
            <w:vAlign w:val="center"/>
          </w:tcPr>
          <w:p>
            <w:pPr>
              <w:pStyle w:val="638"/>
              <w:widowControl w:val="0"/>
              <w:spacing w:line="360" w:lineRule="auto"/>
              <w:ind w:firstLine="480"/>
              <w:jc w:val="center"/>
              <w:rPr>
                <w:rFonts w:hAnsi="宋体" w:cs="宋体"/>
                <w:sz w:val="24"/>
                <w:szCs w:val="24"/>
              </w:rPr>
            </w:pPr>
          </w:p>
        </w:tc>
        <w:tc>
          <w:tcPr>
            <w:tcW w:w="889" w:type="dxa"/>
            <w:vAlign w:val="center"/>
          </w:tcPr>
          <w:p>
            <w:pPr>
              <w:pStyle w:val="638"/>
              <w:widowControl w:val="0"/>
              <w:spacing w:line="360" w:lineRule="auto"/>
              <w:ind w:firstLine="480"/>
              <w:jc w:val="center"/>
              <w:rPr>
                <w:rFonts w:hAnsi="宋体" w:cs="宋体"/>
                <w:sz w:val="24"/>
                <w:szCs w:val="24"/>
              </w:rPr>
            </w:pPr>
          </w:p>
        </w:tc>
        <w:tc>
          <w:tcPr>
            <w:tcW w:w="1013" w:type="dxa"/>
            <w:vAlign w:val="center"/>
          </w:tcPr>
          <w:p>
            <w:pPr>
              <w:pStyle w:val="638"/>
              <w:widowControl w:val="0"/>
              <w:spacing w:line="360" w:lineRule="auto"/>
              <w:ind w:firstLine="480"/>
              <w:jc w:val="center"/>
              <w:rPr>
                <w:rFonts w:hAnsi="宋体" w:cs="宋体"/>
                <w:sz w:val="24"/>
                <w:szCs w:val="24"/>
              </w:rPr>
            </w:pPr>
          </w:p>
        </w:tc>
        <w:tc>
          <w:tcPr>
            <w:tcW w:w="1013" w:type="dxa"/>
            <w:vAlign w:val="center"/>
          </w:tcPr>
          <w:p>
            <w:pPr>
              <w:pStyle w:val="638"/>
              <w:widowControl w:val="0"/>
              <w:spacing w:line="360" w:lineRule="auto"/>
              <w:ind w:firstLine="480"/>
              <w:jc w:val="center"/>
              <w:rPr>
                <w:rFonts w:hAnsi="宋体" w:cs="宋体"/>
                <w:sz w:val="24"/>
                <w:szCs w:val="24"/>
              </w:rPr>
            </w:pPr>
          </w:p>
        </w:tc>
        <w:tc>
          <w:tcPr>
            <w:tcW w:w="1197" w:type="dxa"/>
            <w:vAlign w:val="center"/>
          </w:tcPr>
          <w:p>
            <w:pPr>
              <w:pStyle w:val="638"/>
              <w:widowControl w:val="0"/>
              <w:spacing w:line="360" w:lineRule="auto"/>
              <w:ind w:firstLine="480"/>
              <w:jc w:val="center"/>
              <w:rPr>
                <w:rFonts w:hAnsi="宋体" w:cs="宋体"/>
                <w:sz w:val="24"/>
                <w:szCs w:val="24"/>
              </w:rPr>
            </w:pPr>
          </w:p>
        </w:tc>
        <w:tc>
          <w:tcPr>
            <w:tcW w:w="1213" w:type="dxa"/>
            <w:vAlign w:val="center"/>
          </w:tcPr>
          <w:p>
            <w:pPr>
              <w:pStyle w:val="638"/>
              <w:widowControl w:val="0"/>
              <w:spacing w:line="360" w:lineRule="auto"/>
              <w:ind w:firstLine="48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012" w:type="dxa"/>
            <w:vAlign w:val="center"/>
          </w:tcPr>
          <w:p>
            <w:pPr>
              <w:pStyle w:val="638"/>
              <w:widowControl w:val="0"/>
              <w:spacing w:line="360" w:lineRule="auto"/>
              <w:ind w:firstLine="480"/>
              <w:jc w:val="center"/>
              <w:rPr>
                <w:rFonts w:hAnsi="宋体" w:cs="宋体"/>
                <w:sz w:val="24"/>
                <w:szCs w:val="24"/>
              </w:rPr>
            </w:pPr>
          </w:p>
        </w:tc>
        <w:tc>
          <w:tcPr>
            <w:tcW w:w="1013" w:type="dxa"/>
            <w:vAlign w:val="center"/>
          </w:tcPr>
          <w:p>
            <w:pPr>
              <w:pStyle w:val="638"/>
              <w:widowControl w:val="0"/>
              <w:spacing w:line="360" w:lineRule="auto"/>
              <w:ind w:firstLine="480"/>
              <w:jc w:val="center"/>
              <w:rPr>
                <w:rFonts w:hAnsi="宋体" w:cs="宋体"/>
                <w:sz w:val="24"/>
                <w:szCs w:val="24"/>
              </w:rPr>
            </w:pPr>
          </w:p>
        </w:tc>
        <w:tc>
          <w:tcPr>
            <w:tcW w:w="1013" w:type="dxa"/>
            <w:vAlign w:val="center"/>
          </w:tcPr>
          <w:p>
            <w:pPr>
              <w:pStyle w:val="638"/>
              <w:widowControl w:val="0"/>
              <w:spacing w:line="360" w:lineRule="auto"/>
              <w:ind w:firstLine="480"/>
              <w:jc w:val="center"/>
              <w:rPr>
                <w:rFonts w:hAnsi="宋体" w:cs="宋体"/>
                <w:sz w:val="24"/>
                <w:szCs w:val="24"/>
              </w:rPr>
            </w:pPr>
          </w:p>
        </w:tc>
        <w:tc>
          <w:tcPr>
            <w:tcW w:w="1137" w:type="dxa"/>
            <w:vAlign w:val="center"/>
          </w:tcPr>
          <w:p>
            <w:pPr>
              <w:pStyle w:val="638"/>
              <w:widowControl w:val="0"/>
              <w:spacing w:line="360" w:lineRule="auto"/>
              <w:ind w:firstLine="480"/>
              <w:jc w:val="center"/>
              <w:rPr>
                <w:rFonts w:hAnsi="宋体" w:cs="宋体"/>
                <w:sz w:val="24"/>
                <w:szCs w:val="24"/>
              </w:rPr>
            </w:pPr>
          </w:p>
        </w:tc>
        <w:tc>
          <w:tcPr>
            <w:tcW w:w="889" w:type="dxa"/>
            <w:vAlign w:val="center"/>
          </w:tcPr>
          <w:p>
            <w:pPr>
              <w:pStyle w:val="638"/>
              <w:widowControl w:val="0"/>
              <w:spacing w:line="360" w:lineRule="auto"/>
              <w:ind w:firstLine="480"/>
              <w:jc w:val="center"/>
              <w:rPr>
                <w:rFonts w:hAnsi="宋体" w:cs="宋体"/>
                <w:sz w:val="24"/>
                <w:szCs w:val="24"/>
              </w:rPr>
            </w:pPr>
          </w:p>
        </w:tc>
        <w:tc>
          <w:tcPr>
            <w:tcW w:w="1013" w:type="dxa"/>
            <w:vAlign w:val="center"/>
          </w:tcPr>
          <w:p>
            <w:pPr>
              <w:pStyle w:val="638"/>
              <w:widowControl w:val="0"/>
              <w:spacing w:line="360" w:lineRule="auto"/>
              <w:ind w:firstLine="480"/>
              <w:jc w:val="center"/>
              <w:rPr>
                <w:rFonts w:hAnsi="宋体" w:cs="宋体"/>
                <w:sz w:val="24"/>
                <w:szCs w:val="24"/>
              </w:rPr>
            </w:pPr>
          </w:p>
        </w:tc>
        <w:tc>
          <w:tcPr>
            <w:tcW w:w="1013" w:type="dxa"/>
            <w:vAlign w:val="center"/>
          </w:tcPr>
          <w:p>
            <w:pPr>
              <w:pStyle w:val="638"/>
              <w:widowControl w:val="0"/>
              <w:spacing w:line="360" w:lineRule="auto"/>
              <w:ind w:firstLine="480"/>
              <w:jc w:val="center"/>
              <w:rPr>
                <w:rFonts w:hAnsi="宋体" w:cs="宋体"/>
                <w:sz w:val="24"/>
                <w:szCs w:val="24"/>
              </w:rPr>
            </w:pPr>
          </w:p>
        </w:tc>
        <w:tc>
          <w:tcPr>
            <w:tcW w:w="1197" w:type="dxa"/>
            <w:vAlign w:val="center"/>
          </w:tcPr>
          <w:p>
            <w:pPr>
              <w:pStyle w:val="638"/>
              <w:widowControl w:val="0"/>
              <w:spacing w:line="360" w:lineRule="auto"/>
              <w:ind w:firstLine="480"/>
              <w:jc w:val="center"/>
              <w:rPr>
                <w:rFonts w:hAnsi="宋体" w:cs="宋体"/>
                <w:sz w:val="24"/>
                <w:szCs w:val="24"/>
              </w:rPr>
            </w:pPr>
          </w:p>
        </w:tc>
        <w:tc>
          <w:tcPr>
            <w:tcW w:w="1213" w:type="dxa"/>
            <w:vAlign w:val="center"/>
          </w:tcPr>
          <w:p>
            <w:pPr>
              <w:pStyle w:val="638"/>
              <w:widowControl w:val="0"/>
              <w:spacing w:line="360" w:lineRule="auto"/>
              <w:ind w:firstLine="480"/>
              <w:jc w:val="center"/>
              <w:rPr>
                <w:rFonts w:hAnsi="宋体" w:cs="宋体"/>
                <w:sz w:val="24"/>
                <w:szCs w:val="24"/>
              </w:rPr>
            </w:pPr>
          </w:p>
        </w:tc>
      </w:tr>
    </w:tbl>
    <w:p>
      <w:pPr>
        <w:topLinePunct/>
        <w:snapToGrid w:val="0"/>
        <w:spacing w:line="360" w:lineRule="auto"/>
        <w:ind w:firstLine="482" w:firstLineChars="200"/>
        <w:rPr>
          <w:rFonts w:ascii="宋体" w:hAnsi="宋体" w:cs="宋体"/>
          <w:b/>
          <w:bCs/>
          <w:sz w:val="24"/>
        </w:rPr>
      </w:pPr>
      <w:r>
        <w:rPr>
          <w:rFonts w:hint="eastAsia" w:ascii="宋体" w:hAnsi="宋体" w:cs="宋体"/>
          <w:b/>
          <w:bCs/>
          <w:sz w:val="24"/>
        </w:rPr>
        <w:t>附：相关人员的社保机构出具的社保缴纳证明材料。</w:t>
      </w:r>
    </w:p>
    <w:p>
      <w:pPr>
        <w:widowControl/>
        <w:spacing w:line="360" w:lineRule="auto"/>
        <w:ind w:right="-733" w:rightChars="-349"/>
        <w:jc w:val="left"/>
        <w:rPr>
          <w:rFonts w:ascii="宋体" w:hAnsi="宋体" w:cs="宋体"/>
          <w:sz w:val="24"/>
        </w:rPr>
      </w:pPr>
      <w:r>
        <w:rPr>
          <w:rFonts w:hint="eastAsia" w:ascii="宋体" w:hAnsi="宋体" w:cs="宋体"/>
          <w:kern w:val="0"/>
          <w:sz w:val="24"/>
          <w:lang w:bidi="ar"/>
        </w:rPr>
        <w:t xml:space="preserve">2）项目负责人简历表 </w:t>
      </w:r>
    </w:p>
    <w:tbl>
      <w:tblPr>
        <w:tblStyle w:val="62"/>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584"/>
        <w:gridCol w:w="1583"/>
        <w:gridCol w:w="1583"/>
        <w:gridCol w:w="1583"/>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582" w:type="dxa"/>
            <w:vAlign w:val="center"/>
          </w:tcPr>
          <w:p>
            <w:pPr>
              <w:snapToGrid w:val="0"/>
              <w:spacing w:line="360" w:lineRule="auto"/>
              <w:jc w:val="center"/>
              <w:rPr>
                <w:rFonts w:ascii="宋体" w:hAnsi="宋体" w:cs="宋体"/>
                <w:sz w:val="24"/>
              </w:rPr>
            </w:pPr>
            <w:r>
              <w:rPr>
                <w:rFonts w:hint="eastAsia" w:ascii="宋体" w:hAnsi="宋体" w:cs="宋体"/>
                <w:sz w:val="24"/>
              </w:rPr>
              <w:t>姓名</w:t>
            </w:r>
          </w:p>
        </w:tc>
        <w:tc>
          <w:tcPr>
            <w:tcW w:w="1584" w:type="dxa"/>
            <w:vAlign w:val="center"/>
          </w:tcPr>
          <w:p>
            <w:pPr>
              <w:snapToGrid w:val="0"/>
              <w:spacing w:line="360" w:lineRule="auto"/>
              <w:jc w:val="center"/>
              <w:rPr>
                <w:rFonts w:ascii="宋体" w:hAnsi="宋体" w:cs="宋体"/>
                <w:sz w:val="24"/>
              </w:rPr>
            </w:pPr>
          </w:p>
        </w:tc>
        <w:tc>
          <w:tcPr>
            <w:tcW w:w="1583" w:type="dxa"/>
            <w:vAlign w:val="center"/>
          </w:tcPr>
          <w:p>
            <w:pPr>
              <w:snapToGrid w:val="0"/>
              <w:spacing w:line="360" w:lineRule="auto"/>
              <w:jc w:val="center"/>
              <w:rPr>
                <w:rFonts w:ascii="宋体" w:hAnsi="宋体" w:cs="宋体"/>
                <w:sz w:val="24"/>
              </w:rPr>
            </w:pPr>
            <w:r>
              <w:rPr>
                <w:rFonts w:hint="eastAsia" w:ascii="宋体" w:hAnsi="宋体" w:cs="宋体"/>
                <w:sz w:val="24"/>
              </w:rPr>
              <w:t>性别</w:t>
            </w:r>
          </w:p>
        </w:tc>
        <w:tc>
          <w:tcPr>
            <w:tcW w:w="1583" w:type="dxa"/>
            <w:vAlign w:val="center"/>
          </w:tcPr>
          <w:p>
            <w:pPr>
              <w:snapToGrid w:val="0"/>
              <w:spacing w:line="360" w:lineRule="auto"/>
              <w:jc w:val="center"/>
              <w:rPr>
                <w:rFonts w:ascii="宋体" w:hAnsi="宋体" w:cs="宋体"/>
                <w:sz w:val="24"/>
              </w:rPr>
            </w:pPr>
          </w:p>
        </w:tc>
        <w:tc>
          <w:tcPr>
            <w:tcW w:w="1583" w:type="dxa"/>
            <w:vAlign w:val="center"/>
          </w:tcPr>
          <w:p>
            <w:pPr>
              <w:snapToGrid w:val="0"/>
              <w:spacing w:line="360" w:lineRule="auto"/>
              <w:jc w:val="center"/>
              <w:rPr>
                <w:rFonts w:ascii="宋体" w:hAnsi="宋体" w:cs="宋体"/>
                <w:sz w:val="24"/>
              </w:rPr>
            </w:pPr>
            <w:r>
              <w:rPr>
                <w:rFonts w:hint="eastAsia" w:ascii="宋体" w:hAnsi="宋体" w:cs="宋体"/>
                <w:sz w:val="24"/>
              </w:rPr>
              <w:t>年龄</w:t>
            </w:r>
          </w:p>
        </w:tc>
        <w:tc>
          <w:tcPr>
            <w:tcW w:w="1504" w:type="dxa"/>
            <w:vAlign w:val="center"/>
          </w:tcPr>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582" w:type="dxa"/>
            <w:vAlign w:val="center"/>
          </w:tcPr>
          <w:p>
            <w:pPr>
              <w:snapToGrid w:val="0"/>
              <w:spacing w:line="360" w:lineRule="auto"/>
              <w:jc w:val="center"/>
              <w:rPr>
                <w:rFonts w:ascii="宋体" w:hAnsi="宋体" w:cs="宋体"/>
                <w:sz w:val="24"/>
              </w:rPr>
            </w:pPr>
            <w:r>
              <w:rPr>
                <w:rFonts w:hint="eastAsia" w:ascii="宋体" w:hAnsi="宋体" w:cs="宋体"/>
                <w:sz w:val="24"/>
              </w:rPr>
              <w:t>职务</w:t>
            </w:r>
          </w:p>
        </w:tc>
        <w:tc>
          <w:tcPr>
            <w:tcW w:w="1584" w:type="dxa"/>
            <w:vAlign w:val="center"/>
          </w:tcPr>
          <w:p>
            <w:pPr>
              <w:snapToGrid w:val="0"/>
              <w:spacing w:line="360" w:lineRule="auto"/>
              <w:jc w:val="center"/>
              <w:rPr>
                <w:rFonts w:ascii="宋体" w:hAnsi="宋体" w:cs="宋体"/>
                <w:sz w:val="24"/>
              </w:rPr>
            </w:pPr>
          </w:p>
        </w:tc>
        <w:tc>
          <w:tcPr>
            <w:tcW w:w="1583" w:type="dxa"/>
            <w:vAlign w:val="center"/>
          </w:tcPr>
          <w:p>
            <w:pPr>
              <w:snapToGrid w:val="0"/>
              <w:spacing w:line="360" w:lineRule="auto"/>
              <w:jc w:val="center"/>
              <w:rPr>
                <w:rFonts w:ascii="宋体" w:hAnsi="宋体" w:cs="宋体"/>
                <w:sz w:val="24"/>
              </w:rPr>
            </w:pPr>
            <w:r>
              <w:rPr>
                <w:rFonts w:hint="eastAsia" w:ascii="宋体" w:hAnsi="宋体" w:cs="宋体"/>
                <w:sz w:val="24"/>
              </w:rPr>
              <w:t>职称</w:t>
            </w:r>
          </w:p>
        </w:tc>
        <w:tc>
          <w:tcPr>
            <w:tcW w:w="1583" w:type="dxa"/>
            <w:vAlign w:val="center"/>
          </w:tcPr>
          <w:p>
            <w:pPr>
              <w:snapToGrid w:val="0"/>
              <w:spacing w:line="360" w:lineRule="auto"/>
              <w:jc w:val="center"/>
              <w:rPr>
                <w:rFonts w:ascii="宋体" w:hAnsi="宋体" w:cs="宋体"/>
                <w:sz w:val="24"/>
              </w:rPr>
            </w:pPr>
          </w:p>
        </w:tc>
        <w:tc>
          <w:tcPr>
            <w:tcW w:w="1583" w:type="dxa"/>
            <w:vAlign w:val="center"/>
          </w:tcPr>
          <w:p>
            <w:pPr>
              <w:snapToGrid w:val="0"/>
              <w:spacing w:line="360" w:lineRule="auto"/>
              <w:jc w:val="center"/>
              <w:rPr>
                <w:rFonts w:ascii="宋体" w:hAnsi="宋体" w:cs="宋体"/>
                <w:sz w:val="24"/>
              </w:rPr>
            </w:pPr>
            <w:r>
              <w:rPr>
                <w:rFonts w:hint="eastAsia" w:ascii="宋体" w:hAnsi="宋体" w:cs="宋体"/>
                <w:sz w:val="24"/>
              </w:rPr>
              <w:t>学历</w:t>
            </w:r>
          </w:p>
        </w:tc>
        <w:tc>
          <w:tcPr>
            <w:tcW w:w="1504" w:type="dxa"/>
            <w:vAlign w:val="center"/>
          </w:tcPr>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166" w:type="dxa"/>
            <w:gridSpan w:val="2"/>
            <w:vAlign w:val="center"/>
          </w:tcPr>
          <w:p>
            <w:pPr>
              <w:snapToGrid w:val="0"/>
              <w:spacing w:line="360" w:lineRule="auto"/>
              <w:jc w:val="center"/>
              <w:rPr>
                <w:rFonts w:ascii="宋体" w:hAnsi="宋体" w:cs="宋体"/>
                <w:sz w:val="24"/>
              </w:rPr>
            </w:pPr>
            <w:r>
              <w:rPr>
                <w:rFonts w:hint="eastAsia" w:ascii="宋体" w:hAnsi="宋体" w:cs="宋体"/>
                <w:sz w:val="24"/>
              </w:rPr>
              <w:t>参加工作时间</w:t>
            </w:r>
          </w:p>
        </w:tc>
        <w:tc>
          <w:tcPr>
            <w:tcW w:w="6253" w:type="dxa"/>
            <w:gridSpan w:val="4"/>
            <w:vAlign w:val="center"/>
          </w:tcPr>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419" w:type="dxa"/>
            <w:gridSpan w:val="6"/>
            <w:vAlign w:val="center"/>
          </w:tcPr>
          <w:p>
            <w:pPr>
              <w:snapToGrid w:val="0"/>
              <w:spacing w:line="360" w:lineRule="auto"/>
              <w:jc w:val="center"/>
              <w:rPr>
                <w:rFonts w:ascii="宋体" w:hAnsi="宋体" w:cs="宋体"/>
                <w:sz w:val="24"/>
              </w:rPr>
            </w:pPr>
            <w:r>
              <w:rPr>
                <w:rFonts w:hint="eastAsia" w:ascii="宋体" w:hAnsi="宋体" w:cs="宋体"/>
                <w:sz w:val="24"/>
              </w:rPr>
              <w:t>承担过项目情况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582" w:type="dxa"/>
            <w:vAlign w:val="center"/>
          </w:tcPr>
          <w:p>
            <w:pPr>
              <w:snapToGrid w:val="0"/>
              <w:spacing w:line="360" w:lineRule="auto"/>
              <w:jc w:val="center"/>
              <w:rPr>
                <w:rFonts w:ascii="宋体" w:hAnsi="宋体" w:cs="宋体"/>
                <w:sz w:val="24"/>
              </w:rPr>
            </w:pPr>
            <w:r>
              <w:rPr>
                <w:rFonts w:hint="eastAsia" w:ascii="宋体" w:hAnsi="宋体" w:cs="宋体"/>
                <w:sz w:val="24"/>
              </w:rPr>
              <w:t>采购单位</w:t>
            </w:r>
          </w:p>
        </w:tc>
        <w:tc>
          <w:tcPr>
            <w:tcW w:w="1584" w:type="dxa"/>
            <w:vAlign w:val="center"/>
          </w:tcPr>
          <w:p>
            <w:pPr>
              <w:snapToGrid w:val="0"/>
              <w:spacing w:line="360" w:lineRule="auto"/>
              <w:jc w:val="center"/>
              <w:rPr>
                <w:rFonts w:ascii="宋体" w:hAnsi="宋体" w:cs="宋体"/>
                <w:sz w:val="24"/>
              </w:rPr>
            </w:pPr>
            <w:r>
              <w:rPr>
                <w:rFonts w:hint="eastAsia" w:ascii="宋体" w:hAnsi="宋体" w:cs="宋体"/>
                <w:sz w:val="24"/>
              </w:rPr>
              <w:t>项目名称</w:t>
            </w:r>
          </w:p>
        </w:tc>
        <w:tc>
          <w:tcPr>
            <w:tcW w:w="1583" w:type="dxa"/>
            <w:vAlign w:val="center"/>
          </w:tcPr>
          <w:p>
            <w:pPr>
              <w:snapToGrid w:val="0"/>
              <w:spacing w:line="360" w:lineRule="auto"/>
              <w:jc w:val="center"/>
              <w:rPr>
                <w:rFonts w:ascii="宋体" w:hAnsi="宋体" w:cs="宋体"/>
                <w:sz w:val="24"/>
              </w:rPr>
            </w:pPr>
            <w:r>
              <w:rPr>
                <w:rFonts w:hint="eastAsia" w:ascii="宋体" w:hAnsi="宋体" w:cs="宋体"/>
                <w:sz w:val="24"/>
              </w:rPr>
              <w:t>主要内容</w:t>
            </w:r>
          </w:p>
        </w:tc>
        <w:tc>
          <w:tcPr>
            <w:tcW w:w="3166" w:type="dxa"/>
            <w:gridSpan w:val="2"/>
            <w:vAlign w:val="center"/>
          </w:tcPr>
          <w:p>
            <w:pPr>
              <w:snapToGrid w:val="0"/>
              <w:spacing w:line="360" w:lineRule="auto"/>
              <w:jc w:val="center"/>
              <w:rPr>
                <w:rFonts w:ascii="宋体" w:hAnsi="宋体" w:cs="宋体"/>
                <w:sz w:val="24"/>
              </w:rPr>
            </w:pPr>
            <w:r>
              <w:rPr>
                <w:rFonts w:hint="eastAsia" w:ascii="宋体" w:hAnsi="宋体" w:cs="宋体"/>
                <w:sz w:val="24"/>
              </w:rPr>
              <w:t>采购单位联系人</w:t>
            </w:r>
          </w:p>
        </w:tc>
        <w:tc>
          <w:tcPr>
            <w:tcW w:w="1504" w:type="dxa"/>
            <w:vAlign w:val="center"/>
          </w:tcPr>
          <w:p>
            <w:pPr>
              <w:snapToGrid w:val="0"/>
              <w:spacing w:line="360" w:lineRule="auto"/>
              <w:jc w:val="center"/>
              <w:rPr>
                <w:rFonts w:ascii="宋体" w:hAnsi="宋体" w:cs="宋体"/>
                <w:sz w:val="24"/>
              </w:rPr>
            </w:pPr>
            <w:r>
              <w:rPr>
                <w:rFonts w:hint="eastAsia" w:ascii="宋体" w:hAnsi="宋体" w:cs="宋体"/>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582" w:type="dxa"/>
            <w:vAlign w:val="center"/>
          </w:tcPr>
          <w:p>
            <w:pPr>
              <w:snapToGrid w:val="0"/>
              <w:spacing w:line="360" w:lineRule="auto"/>
              <w:jc w:val="left"/>
              <w:rPr>
                <w:rFonts w:ascii="宋体" w:hAnsi="宋体" w:cs="宋体"/>
                <w:sz w:val="24"/>
              </w:rPr>
            </w:pPr>
          </w:p>
        </w:tc>
        <w:tc>
          <w:tcPr>
            <w:tcW w:w="1584" w:type="dxa"/>
            <w:vAlign w:val="center"/>
          </w:tcPr>
          <w:p>
            <w:pPr>
              <w:snapToGrid w:val="0"/>
              <w:spacing w:line="360" w:lineRule="auto"/>
              <w:jc w:val="left"/>
              <w:rPr>
                <w:rFonts w:ascii="宋体" w:hAnsi="宋体" w:cs="宋体"/>
                <w:sz w:val="24"/>
              </w:rPr>
            </w:pPr>
          </w:p>
        </w:tc>
        <w:tc>
          <w:tcPr>
            <w:tcW w:w="1583" w:type="dxa"/>
            <w:vAlign w:val="center"/>
          </w:tcPr>
          <w:p>
            <w:pPr>
              <w:snapToGrid w:val="0"/>
              <w:spacing w:line="360" w:lineRule="auto"/>
              <w:jc w:val="left"/>
              <w:rPr>
                <w:rFonts w:ascii="宋体" w:hAnsi="宋体" w:cs="宋体"/>
                <w:sz w:val="24"/>
              </w:rPr>
            </w:pPr>
          </w:p>
        </w:tc>
        <w:tc>
          <w:tcPr>
            <w:tcW w:w="3166" w:type="dxa"/>
            <w:gridSpan w:val="2"/>
            <w:vAlign w:val="center"/>
          </w:tcPr>
          <w:p>
            <w:pPr>
              <w:snapToGrid w:val="0"/>
              <w:spacing w:line="360" w:lineRule="auto"/>
              <w:jc w:val="left"/>
              <w:rPr>
                <w:rFonts w:ascii="宋体" w:hAnsi="宋体" w:cs="宋体"/>
                <w:sz w:val="24"/>
              </w:rPr>
            </w:pPr>
          </w:p>
        </w:tc>
        <w:tc>
          <w:tcPr>
            <w:tcW w:w="1504" w:type="dxa"/>
            <w:vAlign w:val="center"/>
          </w:tcPr>
          <w:p>
            <w:pPr>
              <w:snapToGrid w:val="0"/>
              <w:spacing w:line="360" w:lineRule="auto"/>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582" w:type="dxa"/>
            <w:vAlign w:val="center"/>
          </w:tcPr>
          <w:p>
            <w:pPr>
              <w:snapToGrid w:val="0"/>
              <w:spacing w:line="360" w:lineRule="auto"/>
              <w:jc w:val="left"/>
              <w:rPr>
                <w:rFonts w:ascii="宋体" w:hAnsi="宋体" w:cs="宋体"/>
                <w:sz w:val="24"/>
              </w:rPr>
            </w:pPr>
          </w:p>
        </w:tc>
        <w:tc>
          <w:tcPr>
            <w:tcW w:w="1584" w:type="dxa"/>
            <w:vAlign w:val="center"/>
          </w:tcPr>
          <w:p>
            <w:pPr>
              <w:snapToGrid w:val="0"/>
              <w:spacing w:line="360" w:lineRule="auto"/>
              <w:jc w:val="left"/>
              <w:rPr>
                <w:rFonts w:ascii="宋体" w:hAnsi="宋体" w:cs="宋体"/>
                <w:sz w:val="24"/>
              </w:rPr>
            </w:pPr>
          </w:p>
        </w:tc>
        <w:tc>
          <w:tcPr>
            <w:tcW w:w="1583" w:type="dxa"/>
            <w:vAlign w:val="center"/>
          </w:tcPr>
          <w:p>
            <w:pPr>
              <w:snapToGrid w:val="0"/>
              <w:spacing w:line="360" w:lineRule="auto"/>
              <w:jc w:val="left"/>
              <w:rPr>
                <w:rFonts w:ascii="宋体" w:hAnsi="宋体" w:cs="宋体"/>
                <w:sz w:val="24"/>
              </w:rPr>
            </w:pPr>
          </w:p>
        </w:tc>
        <w:tc>
          <w:tcPr>
            <w:tcW w:w="3166" w:type="dxa"/>
            <w:gridSpan w:val="2"/>
            <w:vAlign w:val="center"/>
          </w:tcPr>
          <w:p>
            <w:pPr>
              <w:snapToGrid w:val="0"/>
              <w:spacing w:line="360" w:lineRule="auto"/>
              <w:jc w:val="left"/>
              <w:rPr>
                <w:rFonts w:ascii="宋体" w:hAnsi="宋体" w:cs="宋体"/>
                <w:sz w:val="24"/>
              </w:rPr>
            </w:pPr>
          </w:p>
        </w:tc>
        <w:tc>
          <w:tcPr>
            <w:tcW w:w="1504" w:type="dxa"/>
            <w:vAlign w:val="center"/>
          </w:tcPr>
          <w:p>
            <w:pPr>
              <w:snapToGrid w:val="0"/>
              <w:spacing w:line="360" w:lineRule="auto"/>
              <w:jc w:val="left"/>
              <w:rPr>
                <w:rFonts w:ascii="宋体" w:hAnsi="宋体" w:cs="宋体"/>
                <w:sz w:val="24"/>
              </w:rPr>
            </w:pPr>
          </w:p>
        </w:tc>
      </w:tr>
    </w:tbl>
    <w:p>
      <w:pPr>
        <w:pStyle w:val="722"/>
        <w:spacing w:line="360" w:lineRule="auto"/>
        <w:ind w:firstLine="482"/>
        <w:rPr>
          <w:rFonts w:cs="宋体"/>
          <w:b/>
          <w:bCs/>
          <w:szCs w:val="24"/>
        </w:rPr>
      </w:pPr>
      <w:r>
        <w:rPr>
          <w:rFonts w:hint="eastAsia" w:cs="宋体"/>
          <w:b/>
          <w:bCs/>
          <w:szCs w:val="24"/>
        </w:rPr>
        <w:t>应附身份证、学历证等复印件，管理过的项目业绩附相关证明材料。</w:t>
      </w:r>
    </w:p>
    <w:p>
      <w:pPr>
        <w:spacing w:line="360" w:lineRule="auto"/>
        <w:rPr>
          <w:rFonts w:ascii="宋体" w:hAnsi="宋体" w:cs="宋体"/>
          <w:b/>
          <w:kern w:val="0"/>
          <w:sz w:val="36"/>
          <w:szCs w:val="36"/>
        </w:rPr>
      </w:pPr>
      <w:r>
        <w:rPr>
          <w:rFonts w:hint="eastAsia" w:ascii="宋体" w:hAnsi="宋体" w:cs="宋体"/>
          <w:b/>
          <w:kern w:val="0"/>
          <w:sz w:val="36"/>
          <w:szCs w:val="36"/>
        </w:rPr>
        <w:br w:type="page"/>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（2）投标价格组成明细表…………………………………………………………（页码）</w:t>
      </w:r>
    </w:p>
    <w:p>
      <w:pPr>
        <w:snapToGrid w:val="0"/>
        <w:spacing w:line="360" w:lineRule="auto"/>
        <w:rPr>
          <w:rFonts w:ascii="宋体" w:hAnsi="宋体" w:cs="宋体"/>
          <w:sz w:val="24"/>
        </w:rPr>
      </w:pPr>
      <w:r>
        <w:rPr>
          <w:rFonts w:hint="eastAsia" w:ascii="宋体" w:hAnsi="宋体" w:cs="宋体"/>
          <w:sz w:val="24"/>
        </w:rPr>
        <w:t>（3）中小企业声明函………………………………………………………………（页码）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杭州市上城区综合行政执法局、浙江科佳工程咨询有限公司</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按你方招标文件要求，我们，本投标文件签字方，谨此向你方发出要约如下：如你方接受本投标，我方承诺按照如下开标一览表（报价表）的价格完成龙山河等4条河道设施长效管养招标项目</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上城政采分-2022-01317-】的实施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pPr w:leftFromText="180" w:rightFromText="180" w:vertAnchor="text" w:horzAnchor="page" w:tblpX="1441" w:tblpY="360"/>
        <w:tblOverlap w:val="never"/>
        <w:tblW w:w="14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724"/>
        <w:gridCol w:w="2726"/>
        <w:gridCol w:w="1133"/>
        <w:gridCol w:w="1087"/>
        <w:gridCol w:w="3088"/>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135"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5450" w:type="dxa"/>
            <w:gridSpan w:val="2"/>
            <w:vAlign w:val="center"/>
          </w:tcPr>
          <w:p>
            <w:pPr>
              <w:spacing w:line="360" w:lineRule="auto"/>
              <w:jc w:val="center"/>
              <w:rPr>
                <w:rFonts w:ascii="宋体" w:hAnsi="宋体" w:cs="宋体"/>
                <w:b/>
                <w:sz w:val="24"/>
              </w:rPr>
            </w:pPr>
            <w:r>
              <w:rPr>
                <w:rFonts w:hint="eastAsia" w:ascii="宋体" w:hAnsi="宋体" w:cs="宋体"/>
                <w:b/>
                <w:sz w:val="24"/>
              </w:rPr>
              <w:t>标项名称</w:t>
            </w:r>
          </w:p>
        </w:tc>
        <w:tc>
          <w:tcPr>
            <w:tcW w:w="113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087" w:type="dxa"/>
            <w:vAlign w:val="center"/>
          </w:tcPr>
          <w:p>
            <w:pPr>
              <w:spacing w:line="360" w:lineRule="auto"/>
              <w:jc w:val="center"/>
              <w:rPr>
                <w:rFonts w:ascii="宋体" w:hAnsi="宋体" w:cs="宋体"/>
                <w:b/>
                <w:sz w:val="24"/>
              </w:rPr>
            </w:pPr>
            <w:r>
              <w:rPr>
                <w:rFonts w:hint="eastAsia" w:ascii="宋体" w:hAnsi="宋体" w:cs="宋体"/>
                <w:b/>
                <w:sz w:val="24"/>
              </w:rPr>
              <w:t>单位</w:t>
            </w:r>
          </w:p>
        </w:tc>
        <w:tc>
          <w:tcPr>
            <w:tcW w:w="3088"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5" w:type="dxa"/>
            <w:vAlign w:val="center"/>
          </w:tcPr>
          <w:p>
            <w:pPr>
              <w:spacing w:line="360" w:lineRule="auto"/>
              <w:jc w:val="center"/>
              <w:rPr>
                <w:rFonts w:ascii="宋体" w:hAnsi="宋体" w:cs="宋体"/>
                <w:b/>
                <w:sz w:val="24"/>
              </w:rPr>
            </w:pPr>
            <w:r>
              <w:rPr>
                <w:rFonts w:hint="eastAsia" w:ascii="宋体" w:hAnsi="宋体" w:cs="宋体"/>
                <w:b/>
                <w:sz w:val="24"/>
              </w:rPr>
              <w:t>项目质量目标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135" w:type="dxa"/>
            <w:vAlign w:val="center"/>
          </w:tcPr>
          <w:p>
            <w:pPr>
              <w:spacing w:line="360" w:lineRule="auto"/>
              <w:jc w:val="center"/>
              <w:rPr>
                <w:rFonts w:ascii="宋体" w:hAnsi="宋体" w:cs="宋体"/>
                <w:b/>
                <w:sz w:val="24"/>
              </w:rPr>
            </w:pPr>
            <w:r>
              <w:rPr>
                <w:rFonts w:hint="eastAsia" w:ascii="宋体" w:hAnsi="宋体" w:cs="宋体"/>
                <w:b/>
                <w:sz w:val="24"/>
              </w:rPr>
              <w:t>1</w:t>
            </w:r>
          </w:p>
        </w:tc>
        <w:tc>
          <w:tcPr>
            <w:tcW w:w="5450" w:type="dxa"/>
            <w:gridSpan w:val="2"/>
            <w:vAlign w:val="center"/>
          </w:tcPr>
          <w:p>
            <w:pPr>
              <w:spacing w:line="360" w:lineRule="auto"/>
              <w:jc w:val="center"/>
              <w:rPr>
                <w:rFonts w:ascii="宋体" w:hAnsi="宋体" w:cs="宋体"/>
                <w:b/>
                <w:sz w:val="24"/>
              </w:rPr>
            </w:pPr>
            <w:r>
              <w:rPr>
                <w:rFonts w:hint="eastAsia" w:ascii="宋体" w:hAnsi="宋体" w:cs="宋体"/>
                <w:b/>
                <w:sz w:val="24"/>
              </w:rPr>
              <w:t>龙山河等4条河道设施长效管养招标项目</w:t>
            </w:r>
          </w:p>
        </w:tc>
        <w:tc>
          <w:tcPr>
            <w:tcW w:w="1133" w:type="dxa"/>
            <w:vAlign w:val="center"/>
          </w:tcPr>
          <w:p>
            <w:pPr>
              <w:spacing w:line="360" w:lineRule="auto"/>
              <w:jc w:val="center"/>
              <w:rPr>
                <w:rFonts w:ascii="宋体" w:hAnsi="宋体" w:cs="宋体"/>
                <w:b/>
                <w:sz w:val="24"/>
              </w:rPr>
            </w:pPr>
            <w:r>
              <w:rPr>
                <w:rFonts w:hint="eastAsia" w:ascii="宋体" w:hAnsi="宋体" w:cs="宋体"/>
                <w:b/>
                <w:sz w:val="24"/>
              </w:rPr>
              <w:t>1</w:t>
            </w:r>
          </w:p>
        </w:tc>
        <w:tc>
          <w:tcPr>
            <w:tcW w:w="1087" w:type="dxa"/>
            <w:vAlign w:val="center"/>
          </w:tcPr>
          <w:p>
            <w:pPr>
              <w:spacing w:line="360" w:lineRule="auto"/>
              <w:jc w:val="center"/>
              <w:rPr>
                <w:rFonts w:ascii="宋体" w:hAnsi="宋体" w:cs="宋体"/>
                <w:b/>
                <w:sz w:val="24"/>
              </w:rPr>
            </w:pPr>
            <w:r>
              <w:rPr>
                <w:rFonts w:hint="eastAsia" w:ascii="宋体" w:hAnsi="宋体" w:cs="宋体"/>
                <w:b/>
                <w:sz w:val="24"/>
              </w:rPr>
              <w:t>项</w:t>
            </w:r>
          </w:p>
        </w:tc>
        <w:tc>
          <w:tcPr>
            <w:tcW w:w="3088" w:type="dxa"/>
            <w:vAlign w:val="center"/>
          </w:tcPr>
          <w:p>
            <w:pPr>
              <w:spacing w:line="360" w:lineRule="auto"/>
              <w:jc w:val="center"/>
              <w:rPr>
                <w:rFonts w:ascii="宋体" w:hAnsi="宋体" w:cs="宋体"/>
                <w:b/>
                <w:sz w:val="24"/>
              </w:rPr>
            </w:pPr>
            <w:r>
              <w:rPr>
                <w:rFonts w:hint="eastAsia" w:ascii="宋体" w:hAnsi="宋体" w:cs="宋体"/>
                <w:b/>
                <w:sz w:val="24"/>
              </w:rPr>
              <w:t>响应招标文件要求</w:t>
            </w:r>
          </w:p>
        </w:tc>
        <w:tc>
          <w:tcPr>
            <w:tcW w:w="2265" w:type="dxa"/>
            <w:vAlign w:val="center"/>
          </w:tcPr>
          <w:p>
            <w:pPr>
              <w:spacing w:line="360" w:lineRule="auto"/>
              <w:jc w:val="center"/>
              <w:rPr>
                <w:rFonts w:ascii="宋体" w:hAnsi="宋体" w:cs="宋体"/>
                <w:b/>
                <w:sz w:val="24"/>
              </w:rPr>
            </w:pPr>
            <w:r>
              <w:rPr>
                <w:rFonts w:hint="eastAsia" w:ascii="宋体" w:hAnsi="宋体" w:cs="宋体"/>
                <w:b/>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859" w:type="dxa"/>
            <w:gridSpan w:val="2"/>
            <w:vMerge w:val="restart"/>
            <w:vAlign w:val="center"/>
          </w:tcPr>
          <w:p>
            <w:pPr>
              <w:spacing w:line="360" w:lineRule="auto"/>
              <w:jc w:val="center"/>
              <w:rPr>
                <w:rFonts w:ascii="宋体" w:hAnsi="宋体" w:cs="宋体"/>
              </w:rPr>
            </w:pPr>
            <w:r>
              <w:rPr>
                <w:rFonts w:hint="eastAsia" w:ascii="宋体" w:hAnsi="宋体" w:cs="宋体"/>
                <w:b/>
                <w:sz w:val="24"/>
              </w:rPr>
              <w:t>单年养护经费</w:t>
            </w:r>
          </w:p>
        </w:tc>
        <w:tc>
          <w:tcPr>
            <w:tcW w:w="3859" w:type="dxa"/>
            <w:gridSpan w:val="2"/>
            <w:vAlign w:val="center"/>
          </w:tcPr>
          <w:p>
            <w:pPr>
              <w:spacing w:line="360" w:lineRule="auto"/>
              <w:jc w:val="center"/>
              <w:rPr>
                <w:rFonts w:ascii="宋体" w:hAnsi="宋体" w:cs="宋体"/>
              </w:rPr>
            </w:pPr>
            <w:r>
              <w:rPr>
                <w:rFonts w:hint="eastAsia" w:ascii="宋体" w:hAnsi="宋体" w:cs="宋体"/>
                <w:b/>
                <w:sz w:val="24"/>
              </w:rPr>
              <w:t>投标报价（小写）</w:t>
            </w:r>
          </w:p>
        </w:tc>
        <w:tc>
          <w:tcPr>
            <w:tcW w:w="6440" w:type="dxa"/>
            <w:gridSpan w:val="3"/>
            <w:vAlign w:val="center"/>
          </w:tcPr>
          <w:p>
            <w:pPr>
              <w:spacing w:line="36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859" w:type="dxa"/>
            <w:gridSpan w:val="2"/>
            <w:vMerge w:val="continue"/>
            <w:vAlign w:val="center"/>
          </w:tcPr>
          <w:p>
            <w:pPr>
              <w:spacing w:line="360" w:lineRule="auto"/>
              <w:jc w:val="center"/>
              <w:rPr>
                <w:rFonts w:ascii="宋体" w:hAnsi="宋体" w:cs="宋体"/>
              </w:rPr>
            </w:pPr>
          </w:p>
        </w:tc>
        <w:tc>
          <w:tcPr>
            <w:tcW w:w="3859" w:type="dxa"/>
            <w:gridSpan w:val="2"/>
            <w:vAlign w:val="center"/>
          </w:tcPr>
          <w:p>
            <w:pPr>
              <w:spacing w:line="360" w:lineRule="auto"/>
              <w:jc w:val="center"/>
              <w:rPr>
                <w:rFonts w:ascii="宋体" w:hAnsi="宋体" w:cs="宋体"/>
              </w:rPr>
            </w:pPr>
            <w:r>
              <w:rPr>
                <w:rFonts w:hint="eastAsia" w:ascii="宋体" w:hAnsi="宋体" w:cs="宋体"/>
                <w:b/>
                <w:sz w:val="24"/>
              </w:rPr>
              <w:t>投标报价（大写）</w:t>
            </w:r>
          </w:p>
        </w:tc>
        <w:tc>
          <w:tcPr>
            <w:tcW w:w="6440" w:type="dxa"/>
            <w:gridSpan w:val="3"/>
            <w:vAlign w:val="center"/>
          </w:tcPr>
          <w:p>
            <w:pPr>
              <w:spacing w:line="36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859" w:type="dxa"/>
            <w:gridSpan w:val="2"/>
            <w:vMerge w:val="restart"/>
            <w:vAlign w:val="center"/>
          </w:tcPr>
          <w:p>
            <w:pPr>
              <w:tabs>
                <w:tab w:val="left" w:pos="2571"/>
              </w:tabs>
              <w:spacing w:line="360" w:lineRule="auto"/>
              <w:jc w:val="center"/>
              <w:rPr>
                <w:rFonts w:ascii="宋体" w:hAnsi="宋体" w:cs="宋体"/>
              </w:rPr>
            </w:pPr>
            <w:r>
              <w:rPr>
                <w:rFonts w:hint="eastAsia" w:ascii="宋体" w:hAnsi="宋体" w:cs="宋体"/>
                <w:b/>
                <w:sz w:val="24"/>
              </w:rPr>
              <w:t>三年养护总报价</w:t>
            </w:r>
          </w:p>
        </w:tc>
        <w:tc>
          <w:tcPr>
            <w:tcW w:w="3859" w:type="dxa"/>
            <w:gridSpan w:val="2"/>
            <w:vAlign w:val="center"/>
          </w:tcPr>
          <w:p>
            <w:pPr>
              <w:spacing w:line="360" w:lineRule="auto"/>
              <w:jc w:val="center"/>
              <w:rPr>
                <w:rFonts w:ascii="宋体" w:hAnsi="宋体" w:cs="宋体"/>
              </w:rPr>
            </w:pPr>
            <w:r>
              <w:rPr>
                <w:rFonts w:hint="eastAsia" w:ascii="宋体" w:hAnsi="宋体" w:cs="宋体"/>
                <w:b/>
                <w:sz w:val="24"/>
              </w:rPr>
              <w:t>投标报价（小写）</w:t>
            </w:r>
          </w:p>
        </w:tc>
        <w:tc>
          <w:tcPr>
            <w:tcW w:w="6440" w:type="dxa"/>
            <w:gridSpan w:val="3"/>
            <w:vAlign w:val="center"/>
          </w:tcPr>
          <w:p>
            <w:pPr>
              <w:spacing w:line="360" w:lineRule="auto"/>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3859" w:type="dxa"/>
            <w:gridSpan w:val="2"/>
            <w:vMerge w:val="continue"/>
            <w:vAlign w:val="center"/>
          </w:tcPr>
          <w:p>
            <w:pPr>
              <w:spacing w:line="360" w:lineRule="auto"/>
              <w:jc w:val="center"/>
              <w:rPr>
                <w:rFonts w:ascii="宋体" w:hAnsi="宋体" w:cs="宋体"/>
              </w:rPr>
            </w:pPr>
          </w:p>
        </w:tc>
        <w:tc>
          <w:tcPr>
            <w:tcW w:w="3859" w:type="dxa"/>
            <w:gridSpan w:val="2"/>
            <w:vAlign w:val="center"/>
          </w:tcPr>
          <w:p>
            <w:pPr>
              <w:spacing w:line="360" w:lineRule="auto"/>
              <w:jc w:val="center"/>
              <w:rPr>
                <w:rFonts w:ascii="宋体" w:hAnsi="宋体" w:cs="宋体"/>
              </w:rPr>
            </w:pPr>
            <w:r>
              <w:rPr>
                <w:rFonts w:hint="eastAsia" w:ascii="宋体" w:hAnsi="宋体" w:cs="宋体"/>
                <w:b/>
                <w:sz w:val="24"/>
              </w:rPr>
              <w:t>投标报价（大写）</w:t>
            </w:r>
          </w:p>
        </w:tc>
        <w:tc>
          <w:tcPr>
            <w:tcW w:w="6440" w:type="dxa"/>
            <w:gridSpan w:val="3"/>
            <w:vAlign w:val="center"/>
          </w:tcPr>
          <w:p>
            <w:pPr>
              <w:spacing w:line="360" w:lineRule="auto"/>
              <w:jc w:val="center"/>
              <w:rPr>
                <w:rFonts w:ascii="宋体" w:hAnsi="宋体" w:cs="宋体"/>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1、投标人需按本表格式填写，不得自行更改。</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hAnsi="宋体" w:cs="宋体"/>
          <w:b/>
          <w:kern w:val="0"/>
          <w:sz w:val="24"/>
        </w:rPr>
      </w:pPr>
      <w:r>
        <w:rPr>
          <w:rFonts w:hint="eastAsia" w:ascii="宋体" w:hAnsi="宋体" w:cs="宋体"/>
          <w:kern w:val="0"/>
          <w:sz w:val="24"/>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1"/>
        <w:keepNext w:val="0"/>
        <w:pageBreakBefore w:val="0"/>
        <w:numPr>
          <w:ilvl w:val="0"/>
          <w:numId w:val="27"/>
        </w:numPr>
        <w:tabs>
          <w:tab w:val="clear" w:pos="720"/>
        </w:tabs>
        <w:snapToGrid w:val="0"/>
        <w:spacing w:before="120" w:after="120"/>
        <w:ind w:firstLine="643"/>
        <w:outlineLvl w:val="9"/>
        <w:rPr>
          <w:rFonts w:ascii="宋体" w:hAnsi="宋体" w:eastAsia="宋体" w:cs="宋体"/>
          <w:kern w:val="2"/>
          <w:sz w:val="32"/>
          <w:szCs w:val="32"/>
        </w:rPr>
      </w:pPr>
      <w:bookmarkStart w:id="686" w:name="_Toc345575540"/>
      <w:bookmarkStart w:id="687" w:name="_Toc336683580"/>
      <w:r>
        <w:rPr>
          <w:rFonts w:hint="eastAsia" w:ascii="宋体" w:hAnsi="宋体" w:eastAsia="宋体" w:cs="宋体"/>
          <w:kern w:val="2"/>
          <w:sz w:val="32"/>
          <w:szCs w:val="32"/>
        </w:rPr>
        <w:t>投标价格组成明细表</w:t>
      </w:r>
      <w:bookmarkEnd w:id="686"/>
      <w:bookmarkEnd w:id="687"/>
    </w:p>
    <w:tbl>
      <w:tblPr>
        <w:tblStyle w:val="62"/>
        <w:tblW w:w="4997" w:type="pct"/>
        <w:tblInd w:w="0" w:type="dxa"/>
        <w:tblLayout w:type="autofit"/>
        <w:tblCellMar>
          <w:top w:w="0" w:type="dxa"/>
          <w:left w:w="0" w:type="dxa"/>
          <w:bottom w:w="0" w:type="dxa"/>
          <w:right w:w="0" w:type="dxa"/>
        </w:tblCellMar>
      </w:tblPr>
      <w:tblGrid>
        <w:gridCol w:w="1028"/>
        <w:gridCol w:w="1234"/>
        <w:gridCol w:w="1503"/>
        <w:gridCol w:w="1332"/>
        <w:gridCol w:w="1332"/>
        <w:gridCol w:w="1332"/>
        <w:gridCol w:w="1334"/>
      </w:tblGrid>
      <w:tr>
        <w:tblPrEx>
          <w:tblCellMar>
            <w:top w:w="0" w:type="dxa"/>
            <w:left w:w="0" w:type="dxa"/>
            <w:bottom w:w="0" w:type="dxa"/>
            <w:right w:w="0" w:type="dxa"/>
          </w:tblCellMar>
        </w:tblPrEx>
        <w:trPr>
          <w:trHeight w:val="340" w:hRule="atLeast"/>
        </w:trPr>
        <w:tc>
          <w:tcPr>
            <w:tcW w:w="2069"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序号</w:t>
            </w:r>
          </w:p>
        </w:tc>
        <w:tc>
          <w:tcPr>
            <w:tcW w:w="7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7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7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w:t>
            </w:r>
          </w:p>
        </w:tc>
        <w:tc>
          <w:tcPr>
            <w:tcW w:w="7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w:t>
            </w:r>
          </w:p>
        </w:tc>
      </w:tr>
      <w:tr>
        <w:tblPrEx>
          <w:tblCellMar>
            <w:top w:w="0" w:type="dxa"/>
            <w:left w:w="0" w:type="dxa"/>
            <w:bottom w:w="0" w:type="dxa"/>
            <w:right w:w="0" w:type="dxa"/>
          </w:tblCellMar>
        </w:tblPrEx>
        <w:trPr>
          <w:trHeight w:val="340" w:hRule="atLeast"/>
        </w:trPr>
        <w:tc>
          <w:tcPr>
            <w:tcW w:w="2069"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河道名称</w:t>
            </w:r>
          </w:p>
        </w:tc>
        <w:tc>
          <w:tcPr>
            <w:tcW w:w="7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18"/>
                <w:szCs w:val="18"/>
              </w:rPr>
            </w:pPr>
          </w:p>
        </w:tc>
        <w:tc>
          <w:tcPr>
            <w:tcW w:w="7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18"/>
                <w:szCs w:val="18"/>
              </w:rPr>
            </w:pPr>
          </w:p>
        </w:tc>
      </w:tr>
      <w:tr>
        <w:tblPrEx>
          <w:tblCellMar>
            <w:top w:w="0" w:type="dxa"/>
            <w:left w:w="0" w:type="dxa"/>
            <w:bottom w:w="0" w:type="dxa"/>
            <w:right w:w="0" w:type="dxa"/>
          </w:tblCellMar>
        </w:tblPrEx>
        <w:trPr>
          <w:trHeight w:val="340" w:hRule="atLeast"/>
        </w:trPr>
        <w:tc>
          <w:tcPr>
            <w:tcW w:w="2069"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河道类别</w:t>
            </w:r>
          </w:p>
        </w:tc>
        <w:tc>
          <w:tcPr>
            <w:tcW w:w="7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p>
        </w:tc>
        <w:tc>
          <w:tcPr>
            <w:tcW w:w="7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p>
        </w:tc>
      </w:tr>
      <w:tr>
        <w:tblPrEx>
          <w:tblCellMar>
            <w:top w:w="0" w:type="dxa"/>
            <w:left w:w="0" w:type="dxa"/>
            <w:bottom w:w="0" w:type="dxa"/>
            <w:right w:w="0" w:type="dxa"/>
          </w:tblCellMar>
        </w:tblPrEx>
        <w:trPr>
          <w:trHeight w:val="340" w:hRule="atLeast"/>
        </w:trPr>
        <w:tc>
          <w:tcPr>
            <w:tcW w:w="2069"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河道长度（米）</w:t>
            </w:r>
          </w:p>
        </w:tc>
        <w:tc>
          <w:tcPr>
            <w:tcW w:w="7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p>
        </w:tc>
        <w:tc>
          <w:tcPr>
            <w:tcW w:w="7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p>
        </w:tc>
      </w:tr>
      <w:tr>
        <w:tblPrEx>
          <w:tblCellMar>
            <w:top w:w="0" w:type="dxa"/>
            <w:left w:w="0" w:type="dxa"/>
            <w:bottom w:w="0" w:type="dxa"/>
            <w:right w:w="0" w:type="dxa"/>
          </w:tblCellMar>
        </w:tblPrEx>
        <w:trPr>
          <w:trHeight w:val="340" w:hRule="atLeast"/>
        </w:trPr>
        <w:tc>
          <w:tcPr>
            <w:tcW w:w="2069"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河道宽度（米）</w:t>
            </w:r>
          </w:p>
        </w:tc>
        <w:tc>
          <w:tcPr>
            <w:tcW w:w="7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p>
        </w:tc>
        <w:tc>
          <w:tcPr>
            <w:tcW w:w="7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p>
        </w:tc>
      </w:tr>
      <w:tr>
        <w:tblPrEx>
          <w:tblCellMar>
            <w:top w:w="0" w:type="dxa"/>
            <w:left w:w="0" w:type="dxa"/>
            <w:bottom w:w="0" w:type="dxa"/>
            <w:right w:w="0" w:type="dxa"/>
          </w:tblCellMar>
        </w:tblPrEx>
        <w:trPr>
          <w:trHeight w:val="340" w:hRule="atLeast"/>
        </w:trPr>
        <w:tc>
          <w:tcPr>
            <w:tcW w:w="565"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河道主体保洁巡查部分</w:t>
            </w:r>
          </w:p>
        </w:tc>
        <w:tc>
          <w:tcPr>
            <w:tcW w:w="678"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河面保洁</w:t>
            </w:r>
          </w:p>
        </w:tc>
        <w:tc>
          <w:tcPr>
            <w:tcW w:w="8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水域面积       （平方米）</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18"/>
                <w:szCs w:val="18"/>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18"/>
                <w:szCs w:val="18"/>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67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8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单价</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67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8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小计（元）</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678"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河岸巡查</w:t>
            </w:r>
          </w:p>
        </w:tc>
        <w:tc>
          <w:tcPr>
            <w:tcW w:w="8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河岸长度（公里）</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18"/>
                <w:szCs w:val="18"/>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18"/>
                <w:szCs w:val="18"/>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67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8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单价</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67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8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小计（元）</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40" w:hRule="atLeast"/>
        </w:trPr>
        <w:tc>
          <w:tcPr>
            <w:tcW w:w="565"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河道主体维修养护部分</w:t>
            </w:r>
          </w:p>
        </w:tc>
        <w:tc>
          <w:tcPr>
            <w:tcW w:w="678"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硬质驳坎</w:t>
            </w:r>
          </w:p>
        </w:tc>
        <w:tc>
          <w:tcPr>
            <w:tcW w:w="8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驳坎长度（米）</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18"/>
                <w:szCs w:val="18"/>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18"/>
                <w:szCs w:val="18"/>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67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8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单价</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67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8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小计（元）</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678"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自然岸线</w:t>
            </w:r>
          </w:p>
        </w:tc>
        <w:tc>
          <w:tcPr>
            <w:tcW w:w="8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自然岸线（米）</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67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8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单价</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67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8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小计（元）</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678"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标警示牌</w:t>
            </w:r>
          </w:p>
        </w:tc>
        <w:tc>
          <w:tcPr>
            <w:tcW w:w="8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警标示牌（个）</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18"/>
                <w:szCs w:val="18"/>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18"/>
                <w:szCs w:val="18"/>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67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8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单价</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67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8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小计（元）</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678"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栏杆维护</w:t>
            </w:r>
          </w:p>
        </w:tc>
        <w:tc>
          <w:tcPr>
            <w:tcW w:w="8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栏杆长度（米）</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18"/>
                <w:szCs w:val="18"/>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67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8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单价</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67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8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小计（元）</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678"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河面垃圾外运</w:t>
            </w:r>
          </w:p>
        </w:tc>
        <w:tc>
          <w:tcPr>
            <w:tcW w:w="8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水域面积       （平方米）</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18"/>
                <w:szCs w:val="18"/>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18"/>
                <w:szCs w:val="18"/>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67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8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单价</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67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8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小计（元）</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40" w:hRule="atLeast"/>
        </w:trPr>
        <w:tc>
          <w:tcPr>
            <w:tcW w:w="565"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河道附属生态设施部分</w:t>
            </w:r>
          </w:p>
        </w:tc>
        <w:tc>
          <w:tcPr>
            <w:tcW w:w="678"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生态浮岛及滨岸带挺水植物</w:t>
            </w:r>
          </w:p>
        </w:tc>
        <w:tc>
          <w:tcPr>
            <w:tcW w:w="8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浮岛及挺水植物（平方米）</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18"/>
                <w:szCs w:val="18"/>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67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8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单价</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67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8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小计（元）</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678"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浮水植物</w:t>
            </w:r>
          </w:p>
        </w:tc>
        <w:tc>
          <w:tcPr>
            <w:tcW w:w="8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 xml:space="preserve">浮水植物  </w:t>
            </w:r>
          </w:p>
          <w:p>
            <w:pPr>
              <w:widowControl/>
              <w:jc w:val="center"/>
              <w:textAlignment w:val="center"/>
              <w:rPr>
                <w:rFonts w:ascii="宋体" w:hAnsi="宋体" w:cs="宋体"/>
                <w:sz w:val="18"/>
                <w:szCs w:val="18"/>
              </w:rPr>
            </w:pPr>
            <w:r>
              <w:rPr>
                <w:rFonts w:hint="eastAsia" w:ascii="宋体" w:hAnsi="宋体" w:cs="宋体"/>
                <w:kern w:val="0"/>
                <w:sz w:val="18"/>
                <w:szCs w:val="18"/>
                <w:lang w:bidi="ar"/>
              </w:rPr>
              <w:t>（平方米）</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67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8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单价</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67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8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小计（元）</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678"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沉水植物</w:t>
            </w:r>
          </w:p>
        </w:tc>
        <w:tc>
          <w:tcPr>
            <w:tcW w:w="8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 xml:space="preserve">沉水植物 </w:t>
            </w:r>
          </w:p>
          <w:p>
            <w:pPr>
              <w:widowControl/>
              <w:jc w:val="center"/>
              <w:textAlignment w:val="center"/>
              <w:rPr>
                <w:rFonts w:ascii="宋体" w:hAnsi="宋体" w:cs="宋体"/>
                <w:sz w:val="18"/>
                <w:szCs w:val="18"/>
              </w:rPr>
            </w:pPr>
            <w:r>
              <w:rPr>
                <w:rFonts w:hint="eastAsia" w:ascii="宋体" w:hAnsi="宋体" w:cs="宋体"/>
                <w:kern w:val="0"/>
                <w:sz w:val="18"/>
                <w:szCs w:val="18"/>
                <w:lang w:bidi="ar"/>
              </w:rPr>
              <w:t xml:space="preserve"> （平方米）</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67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8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单价</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67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8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小计（元）</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678"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曝气增氧机</w:t>
            </w:r>
          </w:p>
        </w:tc>
        <w:tc>
          <w:tcPr>
            <w:tcW w:w="8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曝气增氧机（台）</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18"/>
                <w:szCs w:val="18"/>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67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8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单价</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67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8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小计（元）</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678"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人工水草</w:t>
            </w:r>
          </w:p>
        </w:tc>
        <w:tc>
          <w:tcPr>
            <w:tcW w:w="8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人工水草      （平方米）</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67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8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单价</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40" w:hRule="atLeast"/>
        </w:trPr>
        <w:tc>
          <w:tcPr>
            <w:tcW w:w="56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67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18"/>
                <w:szCs w:val="18"/>
              </w:rPr>
            </w:pPr>
          </w:p>
        </w:tc>
        <w:tc>
          <w:tcPr>
            <w:tcW w:w="8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小计（元）</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40" w:hRule="atLeast"/>
        </w:trPr>
        <w:tc>
          <w:tcPr>
            <w:tcW w:w="2069"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主体设施养护经费合计（元）</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c>
          <w:tcPr>
            <w:tcW w:w="7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18"/>
                <w:szCs w:val="18"/>
              </w:rPr>
            </w:pPr>
          </w:p>
        </w:tc>
      </w:tr>
    </w:tbl>
    <w:p>
      <w:pPr>
        <w:pStyle w:val="691"/>
        <w:keepNext w:val="0"/>
        <w:pageBreakBefore w:val="0"/>
        <w:tabs>
          <w:tab w:val="left" w:pos="420"/>
        </w:tabs>
        <w:snapToGrid w:val="0"/>
        <w:jc w:val="both"/>
        <w:outlineLvl w:val="1"/>
        <w:rPr>
          <w:rFonts w:ascii="宋体" w:hAnsi="宋体" w:eastAsia="宋体" w:cs="宋体"/>
          <w:kern w:val="2"/>
          <w:sz w:val="32"/>
          <w:szCs w:val="32"/>
        </w:rPr>
      </w:pPr>
    </w:p>
    <w:p>
      <w:pPr>
        <w:spacing w:line="360" w:lineRule="auto"/>
        <w:jc w:val="left"/>
        <w:rPr>
          <w:rFonts w:ascii="宋体" w:hAnsi="宋体" w:cs="宋体"/>
          <w:sz w:val="24"/>
        </w:rPr>
      </w:pPr>
      <w:r>
        <w:rPr>
          <w:rFonts w:hint="eastAsia" w:ascii="宋体" w:hAnsi="宋体" w:cs="宋体"/>
          <w:sz w:val="24"/>
        </w:rPr>
        <w:t>（1）本项目的投标应以人民币报价，投标人报价应是包括为完成本工程项目可能发生的全部费用及成交人的利润和应交纳的税金等一切费用，采购项目不出具联系单。</w:t>
      </w:r>
    </w:p>
    <w:p>
      <w:pPr>
        <w:spacing w:line="360" w:lineRule="auto"/>
        <w:jc w:val="left"/>
        <w:rPr>
          <w:rFonts w:ascii="宋体" w:hAnsi="宋体" w:cs="宋体"/>
          <w:sz w:val="24"/>
        </w:rPr>
      </w:pPr>
      <w:r>
        <w:rPr>
          <w:rFonts w:hint="eastAsia" w:ascii="宋体" w:hAnsi="宋体" w:cs="宋体"/>
          <w:sz w:val="24"/>
        </w:rPr>
        <w:t>（2）投标人应承担其参加本招标活动自身所发生的费用。</w:t>
      </w:r>
    </w:p>
    <w:p>
      <w:pPr>
        <w:spacing w:line="360" w:lineRule="auto"/>
        <w:jc w:val="left"/>
        <w:rPr>
          <w:rFonts w:ascii="宋体" w:hAnsi="宋体" w:cs="宋体"/>
          <w:b/>
          <w:sz w:val="24"/>
        </w:rPr>
      </w:pPr>
      <w:r>
        <w:rPr>
          <w:rFonts w:hint="eastAsia" w:ascii="宋体" w:hAnsi="宋体" w:cs="宋体"/>
          <w:b/>
          <w:sz w:val="24"/>
        </w:rPr>
        <w:t>（3）按提供的设施量分别报价，报价内容按设施量逐一报价，若有漏项，视为已包含在内。</w:t>
      </w:r>
    </w:p>
    <w:p>
      <w:pPr>
        <w:pStyle w:val="6"/>
        <w:ind w:firstLine="0"/>
        <w:rPr>
          <w:rFonts w:hAnsi="宋体" w:cs="宋体"/>
          <w:b/>
          <w:snapToGrid/>
          <w:color w:val="auto"/>
          <w:kern w:val="2"/>
          <w:sz w:val="24"/>
          <w:szCs w:val="24"/>
        </w:rPr>
      </w:pPr>
      <w:r>
        <w:rPr>
          <w:rFonts w:hint="eastAsia" w:hAnsi="宋体" w:cs="宋体"/>
          <w:b/>
          <w:color w:val="auto"/>
          <w:sz w:val="24"/>
          <w:szCs w:val="24"/>
        </w:rPr>
        <w:t>（4）设施量参照第三部分采购需求3《本次招标的河道设施量表》，</w:t>
      </w:r>
      <w:r>
        <w:rPr>
          <w:rFonts w:hint="eastAsia" w:hAnsi="宋体" w:cs="宋体"/>
          <w:b/>
          <w:snapToGrid/>
          <w:color w:val="auto"/>
          <w:kern w:val="2"/>
          <w:sz w:val="24"/>
          <w:szCs w:val="24"/>
        </w:rPr>
        <w:t>单价最高限价参照《河道设施养护定额表》。</w:t>
      </w:r>
    </w:p>
    <w:p/>
    <w:p>
      <w:pPr>
        <w:rPr>
          <w:rFonts w:hAnsi="宋体" w:cs="宋体"/>
          <w:b/>
          <w:sz w:val="24"/>
        </w:rPr>
      </w:pPr>
      <w:r>
        <w:rPr>
          <w:rFonts w:hint="eastAsia" w:ascii="宋体" w:hAnsi="宋体" w:cs="宋体"/>
          <w:sz w:val="24"/>
        </w:rPr>
        <w:t>▲</w:t>
      </w:r>
      <w:r>
        <w:rPr>
          <w:rFonts w:hint="eastAsia" w:hAnsi="宋体" w:cs="宋体"/>
          <w:b/>
          <w:sz w:val="24"/>
        </w:rPr>
        <w:t>（5）投标报价总价不得超过预算价格，项目单价不得超过定额标准。</w:t>
      </w:r>
    </w:p>
    <w:p>
      <w:pPr>
        <w:pStyle w:val="6"/>
        <w:rPr>
          <w:color w:val="auto"/>
        </w:rPr>
      </w:pPr>
    </w:p>
    <w:p>
      <w:pPr>
        <w:spacing w:line="360" w:lineRule="auto"/>
        <w:ind w:left="6226" w:leftChars="2736" w:hanging="480" w:hangingChars="200"/>
        <w:jc w:val="left"/>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 xml:space="preserve">                        投标人名称(电子签名)：</w:t>
      </w:r>
    </w:p>
    <w:p>
      <w:pPr>
        <w:spacing w:line="360" w:lineRule="auto"/>
        <w:ind w:left="6239" w:leftChars="228" w:hanging="5760" w:hangingChars="2400"/>
        <w:jc w:val="left"/>
        <w:rPr>
          <w:rFonts w:ascii="宋体" w:hAnsi="宋体" w:cs="宋体"/>
          <w:sz w:val="24"/>
        </w:rPr>
      </w:pPr>
      <w:r>
        <w:rPr>
          <w:rFonts w:hint="eastAsia" w:ascii="宋体" w:hAnsi="宋体" w:cs="宋体"/>
          <w:sz w:val="24"/>
        </w:rPr>
        <w:t xml:space="preserve">                                   法定代表人或授权委托人(签字)：</w:t>
      </w:r>
    </w:p>
    <w:p>
      <w:pPr>
        <w:pStyle w:val="691"/>
        <w:keepNext w:val="0"/>
        <w:pageBreakBefore w:val="0"/>
        <w:tabs>
          <w:tab w:val="clear" w:pos="720"/>
        </w:tabs>
        <w:snapToGrid w:val="0"/>
        <w:spacing w:before="120" w:after="120"/>
        <w:outlineLvl w:val="9"/>
        <w:rPr>
          <w:rFonts w:ascii="宋体" w:hAnsi="宋体" w:eastAsia="宋体" w:cs="宋体"/>
          <w:b w:val="0"/>
          <w:kern w:val="2"/>
          <w:sz w:val="24"/>
          <w:szCs w:val="24"/>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r>
        <w:rPr>
          <w:rFonts w:hint="eastAsia" w:ascii="宋体" w:hAnsi="宋体" w:eastAsia="宋体" w:cs="宋体"/>
          <w:sz w:val="24"/>
        </w:rPr>
        <w:t xml:space="preserve">               </w:t>
      </w:r>
      <w:r>
        <w:rPr>
          <w:rFonts w:hint="eastAsia" w:ascii="宋体" w:hAnsi="宋体" w:eastAsia="宋体" w:cs="宋体"/>
          <w:b w:val="0"/>
          <w:kern w:val="2"/>
          <w:sz w:val="24"/>
          <w:szCs w:val="24"/>
        </w:rPr>
        <w:t xml:space="preserve"> 日期： 年  月   </w:t>
      </w:r>
    </w:p>
    <w:p>
      <w:pPr>
        <w:pStyle w:val="691"/>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1"/>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rPr>
          <w:rFonts w:ascii="宋体" w:hAnsi="宋体" w:cs="宋体"/>
          <w:b/>
          <w:sz w:val="32"/>
          <w:szCs w:val="32"/>
        </w:rPr>
      </w:pPr>
      <w:r>
        <w:rPr>
          <w:rFonts w:hint="eastAsia" w:ascii="宋体" w:hAnsi="宋体" w:cs="宋体"/>
          <w:b/>
          <w:sz w:val="32"/>
          <w:szCs w:val="32"/>
        </w:rPr>
        <w:br w:type="page"/>
      </w: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kern w:val="0"/>
          <w:sz w:val="24"/>
          <w:lang w:val="zh-CN"/>
        </w:rPr>
      </w:pPr>
      <w:r>
        <w:rPr>
          <w:rFonts w:hint="eastAsia" w:ascii="宋体" w:hAnsi="宋体" w:cs="宋体"/>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sz w:val="24"/>
        </w:rPr>
      </w:pPr>
      <w:r>
        <w:rPr>
          <w:rFonts w:hint="eastAsia" w:ascii="宋体" w:hAnsi="宋体" w:cs="宋体"/>
          <w:b/>
          <w:sz w:val="24"/>
        </w:rPr>
        <w:t>一、适用对象</w:t>
      </w:r>
    </w:p>
    <w:p>
      <w:pPr>
        <w:spacing w:line="360" w:lineRule="auto"/>
        <w:ind w:firstLine="480" w:firstLineChars="200"/>
        <w:rPr>
          <w:rFonts w:ascii="宋体" w:hAnsi="宋体" w:cs="宋体"/>
          <w:sz w:val="24"/>
        </w:rPr>
      </w:pPr>
      <w:r>
        <w:rPr>
          <w:rFonts w:hint="eastAsia" w:ascii="宋体" w:hAnsi="宋体" w:cs="宋体"/>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sz w:val="24"/>
        </w:rPr>
      </w:pPr>
      <w:r>
        <w:rPr>
          <w:rFonts w:hint="eastAsia" w:ascii="宋体" w:hAnsi="宋体" w:cs="宋体"/>
          <w:b/>
          <w:sz w:val="24"/>
        </w:rPr>
        <w:t>二、相关信息获取方式</w:t>
      </w:r>
    </w:p>
    <w:p>
      <w:pPr>
        <w:spacing w:line="360" w:lineRule="auto"/>
        <w:ind w:firstLine="480" w:firstLineChars="200"/>
        <w:rPr>
          <w:rFonts w:ascii="宋体" w:hAnsi="宋体" w:cs="宋体"/>
          <w:sz w:val="24"/>
        </w:rPr>
      </w:pPr>
      <w:r>
        <w:rPr>
          <w:rFonts w:hint="eastAsia" w:ascii="宋体" w:hAnsi="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sz w:val="24"/>
        </w:rPr>
      </w:pPr>
      <w:r>
        <w:rPr>
          <w:rFonts w:hint="eastAsia" w:ascii="宋体" w:hAnsi="宋体" w:cs="宋体"/>
          <w:b/>
          <w:sz w:val="24"/>
        </w:rPr>
        <w:t>三、　政府采购信用融资操作流程：</w:t>
      </w:r>
    </w:p>
    <w:p>
      <w:pPr>
        <w:spacing w:line="360" w:lineRule="auto"/>
        <w:ind w:firstLine="960" w:firstLineChars="400"/>
        <w:rPr>
          <w:rFonts w:ascii="宋体" w:hAnsi="宋体" w:cs="宋体"/>
          <w:sz w:val="24"/>
        </w:rPr>
      </w:pPr>
      <w:r>
        <w:rPr>
          <w:rFonts w:hint="eastAsia" w:ascii="宋体" w:hAnsi="宋体" w:cs="宋体"/>
          <w:sz w:val="24"/>
        </w:rPr>
        <w:t>（一）线上融资模式：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1.供应商根据合作银行提供的方案，自行选择金融产品，并办理开户等手续；</w:t>
      </w:r>
    </w:p>
    <w:p>
      <w:pPr>
        <w:spacing w:line="360" w:lineRule="auto"/>
        <w:ind w:firstLine="480" w:firstLineChars="200"/>
        <w:rPr>
          <w:rFonts w:ascii="宋体" w:hAnsi="宋体" w:cs="宋体"/>
          <w:sz w:val="24"/>
        </w:rPr>
      </w:pPr>
      <w:r>
        <w:rPr>
          <w:rFonts w:hint="eastAsia" w:ascii="宋体" w:hAnsi="宋体" w:cs="宋体"/>
          <w:sz w:val="24"/>
        </w:rPr>
        <w:t>　　2.供应商中标后，可通过杭州市政府采购网或“浙里办”测算授信额度；</w:t>
      </w:r>
    </w:p>
    <w:p>
      <w:pPr>
        <w:spacing w:line="360" w:lineRule="auto"/>
        <w:ind w:firstLine="480" w:firstLineChars="200"/>
        <w:rPr>
          <w:rFonts w:ascii="宋体" w:hAnsi="宋体" w:cs="宋体"/>
          <w:sz w:val="24"/>
        </w:rPr>
      </w:pPr>
      <w:r>
        <w:rPr>
          <w:rFonts w:hint="eastAsia" w:ascii="宋体" w:hAnsi="宋体" w:cs="宋体"/>
          <w:sz w:val="24"/>
        </w:rPr>
        <w:t>　　3.采购合同签订后，供应商在杭州市政府采购网或“浙里办”向合作银行发出融资申请；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4.审批通过后，在线办理放贷手续。</w:t>
      </w:r>
    </w:p>
    <w:p>
      <w:pPr>
        <w:spacing w:line="360" w:lineRule="auto"/>
        <w:ind w:firstLine="480" w:firstLineChars="200"/>
        <w:rPr>
          <w:rFonts w:ascii="宋体" w:hAnsi="宋体" w:cs="宋体"/>
          <w:sz w:val="24"/>
        </w:rPr>
      </w:pPr>
      <w:r>
        <w:rPr>
          <w:rFonts w:hint="eastAsia" w:ascii="宋体" w:hAnsi="宋体" w:cs="宋体"/>
          <w:sz w:val="24"/>
        </w:rPr>
        <w:t>　　（二）线下融资模式：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1.供应商根据合作银行提供的方案，自行选择金融产品，向合作银行提出信用资格预审，并办理开户等手续；</w:t>
      </w:r>
    </w:p>
    <w:p>
      <w:pPr>
        <w:spacing w:line="360" w:lineRule="auto"/>
        <w:ind w:firstLine="480" w:firstLineChars="200"/>
        <w:rPr>
          <w:rFonts w:ascii="宋体" w:hAnsi="宋体" w:cs="宋体"/>
          <w:sz w:val="24"/>
        </w:rPr>
      </w:pPr>
      <w:r>
        <w:rPr>
          <w:rFonts w:hint="eastAsia" w:ascii="宋体" w:hAnsi="宋体" w:cs="宋体"/>
          <w:sz w:val="24"/>
        </w:rPr>
        <w:t>　　2.采购合同签订后，供应商在杭州市政府采购网或“浙里办”向合作银行发出融资申请；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sz w:val="24"/>
        </w:rPr>
      </w:pPr>
      <w:r>
        <w:rPr>
          <w:rFonts w:hint="eastAsia" w:ascii="宋体" w:hAnsi="宋体" w:cs="宋体"/>
          <w:sz w:val="24"/>
        </w:rPr>
        <w:t>　　4.审批通过后，合作银行应按照合作备忘录中约定的审批放款期限和优惠利率及时予以放款。</w:t>
      </w:r>
    </w:p>
    <w:p>
      <w:pPr>
        <w:pStyle w:val="4"/>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pPr>
        <w:pStyle w:val="4"/>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pPr>
        <w:spacing w:line="360" w:lineRule="auto"/>
        <w:ind w:firstLine="482" w:firstLineChars="200"/>
        <w:rPr>
          <w:rFonts w:ascii="宋体" w:hAnsi="宋体" w:cs="宋体"/>
          <w:b/>
          <w:sz w:val="24"/>
        </w:rPr>
      </w:pPr>
      <w:r>
        <w:rPr>
          <w:rFonts w:hint="eastAsia" w:ascii="宋体" w:hAnsi="宋体" w:cs="宋体"/>
          <w:b/>
          <w:sz w:val="24"/>
        </w:rPr>
        <w:t>四、注意事项</w:t>
      </w:r>
    </w:p>
    <w:p>
      <w:pPr>
        <w:spacing w:line="360" w:lineRule="auto"/>
        <w:ind w:firstLine="480" w:firstLineChars="200"/>
        <w:rPr>
          <w:rFonts w:ascii="宋体" w:hAnsi="宋体" w:cs="宋体"/>
          <w:sz w:val="24"/>
        </w:rPr>
      </w:pPr>
      <w:r>
        <w:rPr>
          <w:rFonts w:hint="eastAsia" w:ascii="宋体" w:hAnsi="宋体" w:cs="宋体"/>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sz w:val="24"/>
        </w:rPr>
      </w:pPr>
      <w:r>
        <w:rPr>
          <w:rFonts w:hint="eastAsia" w:ascii="宋体" w:hAnsi="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688" w:name="_Toc465665161"/>
      <w:r>
        <w:rPr>
          <w:rFonts w:hint="eastAsia" w:ascii="宋体" w:hAnsi="宋体" w:cs="宋体"/>
        </w:rPr>
        <w:t>附件</w:t>
      </w:r>
      <w:bookmarkEnd w:id="688"/>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689" w:name="OLE_LINK13"/>
      <w:bookmarkStart w:id="690" w:name="OLE_LINK14"/>
      <w:r>
        <w:rPr>
          <w:rFonts w:hint="eastAsia" w:ascii="宋体" w:hAnsi="宋体" w:cs="宋体"/>
          <w:b/>
          <w:spacing w:val="6"/>
          <w:sz w:val="32"/>
          <w:szCs w:val="32"/>
        </w:rPr>
        <w:t>残疾人福利性单位声明函</w:t>
      </w:r>
    </w:p>
    <w:bookmarkEnd w:id="689"/>
    <w:bookmarkEnd w:id="690"/>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 xml:space="preserve">杭州市上城区综合行政执法局、   </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你方组织的龙山河等4条河道设施长效管养招标项目【招标编号：上城政采分-2022-01317-】</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spacing w:line="360" w:lineRule="auto"/>
        <w:ind w:right="1440" w:firstLine="494"/>
        <w:jc w:val="center"/>
        <w:rPr>
          <w:rFonts w:ascii="宋体" w:hAnsi="宋体" w:cs="宋体"/>
          <w:sz w:val="24"/>
        </w:rPr>
      </w:pPr>
      <w:r>
        <w:rPr>
          <w:rFonts w:hint="eastAsia" w:ascii="宋体" w:hAnsi="宋体" w:cs="宋体"/>
          <w:sz w:val="24"/>
        </w:rPr>
        <w:t xml:space="preserve">                              日期：       年     月     日</w:t>
      </w:r>
    </w:p>
    <w:p>
      <w:pPr>
        <w:spacing w:line="360" w:lineRule="auto"/>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6438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209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540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107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pStyle w:val="6"/>
        <w:spacing w:line="360" w:lineRule="auto"/>
        <w:rPr>
          <w:rFonts w:hAnsi="宋体" w:cs="宋体"/>
          <w:color w:val="auto"/>
        </w:rPr>
      </w:pPr>
    </w:p>
    <w:p>
      <w:pPr>
        <w:autoSpaceDE w:val="0"/>
        <w:autoSpaceDN w:val="0"/>
        <w:spacing w:line="360" w:lineRule="auto"/>
        <w:jc w:val="center"/>
        <w:rPr>
          <w:rFonts w:ascii="宋体" w:hAnsi="宋体" w:cs="宋体"/>
          <w:b/>
          <w:bCs/>
          <w:sz w:val="32"/>
          <w:szCs w:val="32"/>
        </w:rPr>
      </w:pPr>
      <w:r>
        <w:rPr>
          <w:rFonts w:hint="eastAsia" w:ascii="宋体" w:hAnsi="宋体" w:cs="宋体"/>
          <w:b/>
          <w:spacing w:val="6"/>
          <w:sz w:val="32"/>
          <w:szCs w:val="32"/>
        </w:rPr>
        <w:t>附件5：</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中小企业声明函（工程、服务）</w:t>
      </w:r>
    </w:p>
    <w:p>
      <w:pPr>
        <w:spacing w:line="360" w:lineRule="auto"/>
        <w:rPr>
          <w:rFonts w:ascii="宋体" w:hAnsi="宋体" w:cs="宋体"/>
        </w:rPr>
      </w:pPr>
    </w:p>
    <w:p>
      <w:pPr>
        <w:spacing w:line="360" w:lineRule="auto"/>
        <w:ind w:firstLine="360" w:firstLineChars="150"/>
        <w:jc w:val="left"/>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宋体" w:hAnsi="宋体" w:cs="宋体"/>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方正小标宋_GBK">
    <w:altName w:val="微软雅黑"/>
    <w:panose1 w:val="00000000000000000000"/>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- 75 -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- 75 -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- 74 -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- 74 -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- 83 -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- 83 -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- 82 -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- 82 -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- 24 -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- 24 -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7104"/>
      <w:rPr>
        <w:rFonts w:ascii="宋体" w:hAnsi="宋体" w:cs="宋体"/>
        <w:sz w:val="12"/>
        <w:szCs w:val="12"/>
      </w:rPr>
    </w:pPr>
    <w:r>
      <w:rPr>
        <w:sz w:val="12"/>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- 39 -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- 39 -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7044"/>
      <w:rPr>
        <w:rFonts w:ascii="宋体" w:hAnsi="宋体" w:cs="宋体"/>
        <w:sz w:val="14"/>
        <w:szCs w:val="14"/>
      </w:rPr>
    </w:pPr>
    <w:r>
      <w:rPr>
        <w:sz w:val="1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- 40 -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- 40 -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7144"/>
      <w:rPr>
        <w:rFonts w:ascii="宋体" w:hAnsi="宋体" w:cs="宋体"/>
        <w:sz w:val="11"/>
        <w:szCs w:val="11"/>
      </w:rPr>
    </w:pPr>
    <w:r>
      <w:rPr>
        <w:sz w:val="1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- 53 -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- 53 -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- 52 -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- 52 -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D293A"/>
    <w:multiLevelType w:val="multilevel"/>
    <w:tmpl w:val="80FD293A"/>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8CA2592E"/>
    <w:multiLevelType w:val="multilevel"/>
    <w:tmpl w:val="8CA2592E"/>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999EA3C3"/>
    <w:multiLevelType w:val="multilevel"/>
    <w:tmpl w:val="999EA3C3"/>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9D6900B4"/>
    <w:multiLevelType w:val="multilevel"/>
    <w:tmpl w:val="9D6900B4"/>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B635C8BB"/>
    <w:multiLevelType w:val="multilevel"/>
    <w:tmpl w:val="B635C8BB"/>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C1785E57"/>
    <w:multiLevelType w:val="multilevel"/>
    <w:tmpl w:val="C1785E57"/>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CA0F33BE"/>
    <w:multiLevelType w:val="multilevel"/>
    <w:tmpl w:val="CA0F33BE"/>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CF15A032"/>
    <w:multiLevelType w:val="multilevel"/>
    <w:tmpl w:val="CF15A032"/>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D4F28D43"/>
    <w:multiLevelType w:val="multilevel"/>
    <w:tmpl w:val="D4F28D43"/>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D87CA47A"/>
    <w:multiLevelType w:val="multilevel"/>
    <w:tmpl w:val="D87CA47A"/>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E427283A"/>
    <w:multiLevelType w:val="multilevel"/>
    <w:tmpl w:val="E427283A"/>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E6F6C42D"/>
    <w:multiLevelType w:val="multilevel"/>
    <w:tmpl w:val="E6F6C42D"/>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F0E2ACC3"/>
    <w:multiLevelType w:val="multilevel"/>
    <w:tmpl w:val="F0E2ACC3"/>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00000009"/>
    <w:multiLevelType w:val="singleLevel"/>
    <w:tmpl w:val="00000009"/>
    <w:lvl w:ilvl="0" w:tentative="0">
      <w:start w:val="1"/>
      <w:numFmt w:val="chineseCounting"/>
      <w:suff w:val="nothing"/>
      <w:lvlText w:val="（%1）"/>
      <w:lvlJc w:val="left"/>
    </w:lvl>
  </w:abstractNum>
  <w:abstractNum w:abstractNumId="14">
    <w:nsid w:val="083FA551"/>
    <w:multiLevelType w:val="multilevel"/>
    <w:tmpl w:val="083FA551"/>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0C066A34"/>
    <w:multiLevelType w:val="multilevel"/>
    <w:tmpl w:val="0C066A34"/>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10A4E214"/>
    <w:multiLevelType w:val="multilevel"/>
    <w:tmpl w:val="10A4E214"/>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17A1857B"/>
    <w:multiLevelType w:val="singleLevel"/>
    <w:tmpl w:val="17A1857B"/>
    <w:lvl w:ilvl="0" w:tentative="0">
      <w:start w:val="1"/>
      <w:numFmt w:val="lowerLetter"/>
      <w:suff w:val="space"/>
      <w:lvlText w:val="%1)"/>
      <w:lvlJc w:val="left"/>
    </w:lvl>
  </w:abstractNum>
  <w:abstractNum w:abstractNumId="18">
    <w:nsid w:val="3736AE44"/>
    <w:multiLevelType w:val="multilevel"/>
    <w:tmpl w:val="3736AE44"/>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387AEA2A"/>
    <w:multiLevelType w:val="singleLevel"/>
    <w:tmpl w:val="387AEA2A"/>
    <w:lvl w:ilvl="0" w:tentative="0">
      <w:start w:val="2"/>
      <w:numFmt w:val="chineseCounting"/>
      <w:suff w:val="nothing"/>
      <w:lvlText w:val="%1、"/>
      <w:lvlJc w:val="left"/>
      <w:rPr>
        <w:rFonts w:hint="eastAsia"/>
      </w:rPr>
    </w:lvl>
  </w:abstractNum>
  <w:abstractNum w:abstractNumId="20">
    <w:nsid w:val="3AD3B063"/>
    <w:multiLevelType w:val="multilevel"/>
    <w:tmpl w:val="3AD3B063"/>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1">
    <w:nsid w:val="4192787E"/>
    <w:multiLevelType w:val="multilevel"/>
    <w:tmpl w:val="4192787E"/>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2">
    <w:nsid w:val="4E0E9123"/>
    <w:multiLevelType w:val="multilevel"/>
    <w:tmpl w:val="4E0E9123"/>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3">
    <w:nsid w:val="5A0FDB68"/>
    <w:multiLevelType w:val="multilevel"/>
    <w:tmpl w:val="5A0FDB68"/>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4">
    <w:nsid w:val="60505CBA"/>
    <w:multiLevelType w:val="multilevel"/>
    <w:tmpl w:val="60505CBA"/>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5">
    <w:nsid w:val="67298C99"/>
    <w:multiLevelType w:val="singleLevel"/>
    <w:tmpl w:val="67298C99"/>
    <w:lvl w:ilvl="0" w:tentative="0">
      <w:start w:val="1"/>
      <w:numFmt w:val="upperLetter"/>
      <w:lvlText w:val="%1."/>
      <w:lvlJc w:val="left"/>
      <w:pPr>
        <w:tabs>
          <w:tab w:val="left" w:pos="312"/>
        </w:tabs>
      </w:pPr>
    </w:lvl>
  </w:abstractNum>
  <w:abstractNum w:abstractNumId="26">
    <w:nsid w:val="7939EDA2"/>
    <w:multiLevelType w:val="multilevel"/>
    <w:tmpl w:val="7939EDA2"/>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17"/>
  </w:num>
  <w:num w:numId="2">
    <w:abstractNumId w:val="20"/>
  </w:num>
  <w:num w:numId="3">
    <w:abstractNumId w:val="10"/>
  </w:num>
  <w:num w:numId="4">
    <w:abstractNumId w:val="0"/>
  </w:num>
  <w:num w:numId="5">
    <w:abstractNumId w:val="24"/>
  </w:num>
  <w:num w:numId="6">
    <w:abstractNumId w:val="14"/>
  </w:num>
  <w:num w:numId="7">
    <w:abstractNumId w:val="12"/>
  </w:num>
  <w:num w:numId="8">
    <w:abstractNumId w:val="6"/>
  </w:num>
  <w:num w:numId="9">
    <w:abstractNumId w:val="7"/>
  </w:num>
  <w:num w:numId="10">
    <w:abstractNumId w:val="1"/>
  </w:num>
  <w:num w:numId="11">
    <w:abstractNumId w:val="26"/>
  </w:num>
  <w:num w:numId="12">
    <w:abstractNumId w:val="3"/>
  </w:num>
  <w:num w:numId="13">
    <w:abstractNumId w:val="22"/>
  </w:num>
  <w:num w:numId="14">
    <w:abstractNumId w:val="8"/>
  </w:num>
  <w:num w:numId="15">
    <w:abstractNumId w:val="2"/>
  </w:num>
  <w:num w:numId="16">
    <w:abstractNumId w:val="21"/>
  </w:num>
  <w:num w:numId="17">
    <w:abstractNumId w:val="15"/>
  </w:num>
  <w:num w:numId="18">
    <w:abstractNumId w:val="9"/>
  </w:num>
  <w:num w:numId="19">
    <w:abstractNumId w:val="4"/>
  </w:num>
  <w:num w:numId="20">
    <w:abstractNumId w:val="18"/>
  </w:num>
  <w:num w:numId="21">
    <w:abstractNumId w:val="11"/>
  </w:num>
  <w:num w:numId="22">
    <w:abstractNumId w:val="23"/>
  </w:num>
  <w:num w:numId="23">
    <w:abstractNumId w:val="5"/>
  </w:num>
  <w:num w:numId="24">
    <w:abstractNumId w:val="16"/>
  </w:num>
  <w:num w:numId="25">
    <w:abstractNumId w:val="13"/>
  </w:num>
  <w:num w:numId="26">
    <w:abstractNumId w:val="2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3YjQxOGY5NzcyZWJkNGExYTViOThjZTExNmJlMDgifQ=="/>
  </w:docVars>
  <w:rsids>
    <w:rsidRoot w:val="006F4C1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DE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91F"/>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7B7"/>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C6"/>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C17"/>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39D"/>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C08"/>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C8B"/>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17597"/>
    <w:rsid w:val="00E203DE"/>
    <w:rsid w:val="00E20754"/>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475"/>
    <w:rsid w:val="00FF651D"/>
    <w:rsid w:val="00FF6843"/>
    <w:rsid w:val="00FF6C25"/>
    <w:rsid w:val="010651D9"/>
    <w:rsid w:val="011F6449"/>
    <w:rsid w:val="01236AFB"/>
    <w:rsid w:val="012A1BB5"/>
    <w:rsid w:val="015E2759"/>
    <w:rsid w:val="01632467"/>
    <w:rsid w:val="019F7441"/>
    <w:rsid w:val="01B37585"/>
    <w:rsid w:val="01B52630"/>
    <w:rsid w:val="01BD2DF9"/>
    <w:rsid w:val="01D55165"/>
    <w:rsid w:val="01DF6BF8"/>
    <w:rsid w:val="01EC2C57"/>
    <w:rsid w:val="01FA620B"/>
    <w:rsid w:val="024737BC"/>
    <w:rsid w:val="02475551"/>
    <w:rsid w:val="026B2E25"/>
    <w:rsid w:val="02824D4D"/>
    <w:rsid w:val="02A36BF0"/>
    <w:rsid w:val="02B32F86"/>
    <w:rsid w:val="02D55772"/>
    <w:rsid w:val="02DC4B10"/>
    <w:rsid w:val="02DD76CE"/>
    <w:rsid w:val="02F36323"/>
    <w:rsid w:val="02F5619C"/>
    <w:rsid w:val="02F8264A"/>
    <w:rsid w:val="02F8465F"/>
    <w:rsid w:val="0326446A"/>
    <w:rsid w:val="032D5555"/>
    <w:rsid w:val="03657F62"/>
    <w:rsid w:val="036634D2"/>
    <w:rsid w:val="03936CB9"/>
    <w:rsid w:val="03985DAD"/>
    <w:rsid w:val="03B130F4"/>
    <w:rsid w:val="03B56E8A"/>
    <w:rsid w:val="03DD35E4"/>
    <w:rsid w:val="03E4553F"/>
    <w:rsid w:val="04040FB0"/>
    <w:rsid w:val="04076900"/>
    <w:rsid w:val="04110DC9"/>
    <w:rsid w:val="041A5A3B"/>
    <w:rsid w:val="042311BA"/>
    <w:rsid w:val="042B157A"/>
    <w:rsid w:val="0438197D"/>
    <w:rsid w:val="04600236"/>
    <w:rsid w:val="047D0F4C"/>
    <w:rsid w:val="048F763B"/>
    <w:rsid w:val="04994FEC"/>
    <w:rsid w:val="049F330E"/>
    <w:rsid w:val="04AA775C"/>
    <w:rsid w:val="04AC7907"/>
    <w:rsid w:val="04AF1889"/>
    <w:rsid w:val="04C24964"/>
    <w:rsid w:val="04F3493C"/>
    <w:rsid w:val="04F66F48"/>
    <w:rsid w:val="05001F68"/>
    <w:rsid w:val="05251E14"/>
    <w:rsid w:val="055F7DAD"/>
    <w:rsid w:val="057202F6"/>
    <w:rsid w:val="05A16594"/>
    <w:rsid w:val="05A7762D"/>
    <w:rsid w:val="05D1733D"/>
    <w:rsid w:val="05F766AC"/>
    <w:rsid w:val="05FA0EB1"/>
    <w:rsid w:val="060E5941"/>
    <w:rsid w:val="06110FAF"/>
    <w:rsid w:val="06493CA7"/>
    <w:rsid w:val="064B0440"/>
    <w:rsid w:val="065A6178"/>
    <w:rsid w:val="066A652D"/>
    <w:rsid w:val="066F1CF3"/>
    <w:rsid w:val="06930BB8"/>
    <w:rsid w:val="07221B96"/>
    <w:rsid w:val="07245D42"/>
    <w:rsid w:val="07264C62"/>
    <w:rsid w:val="0779354C"/>
    <w:rsid w:val="07833CB4"/>
    <w:rsid w:val="07A42D24"/>
    <w:rsid w:val="07B54D24"/>
    <w:rsid w:val="07C949D3"/>
    <w:rsid w:val="07D3641C"/>
    <w:rsid w:val="07E57004"/>
    <w:rsid w:val="07F550A9"/>
    <w:rsid w:val="08061376"/>
    <w:rsid w:val="081F7833"/>
    <w:rsid w:val="08452D77"/>
    <w:rsid w:val="086401F8"/>
    <w:rsid w:val="08751CAA"/>
    <w:rsid w:val="087E4C40"/>
    <w:rsid w:val="08AC0FDA"/>
    <w:rsid w:val="08B76602"/>
    <w:rsid w:val="08C95E5B"/>
    <w:rsid w:val="08D66AD6"/>
    <w:rsid w:val="08DA33A3"/>
    <w:rsid w:val="08E80F13"/>
    <w:rsid w:val="09335624"/>
    <w:rsid w:val="0944690F"/>
    <w:rsid w:val="09535675"/>
    <w:rsid w:val="095F057D"/>
    <w:rsid w:val="09642282"/>
    <w:rsid w:val="09733572"/>
    <w:rsid w:val="09772C16"/>
    <w:rsid w:val="09833CD5"/>
    <w:rsid w:val="098353B5"/>
    <w:rsid w:val="09A92330"/>
    <w:rsid w:val="09AA58D2"/>
    <w:rsid w:val="09B06B87"/>
    <w:rsid w:val="09C13146"/>
    <w:rsid w:val="09C32C91"/>
    <w:rsid w:val="09D6573B"/>
    <w:rsid w:val="09D7645E"/>
    <w:rsid w:val="09E04166"/>
    <w:rsid w:val="0A0C45CC"/>
    <w:rsid w:val="0A1B6999"/>
    <w:rsid w:val="0A1C0718"/>
    <w:rsid w:val="0A277D6A"/>
    <w:rsid w:val="0A3E7710"/>
    <w:rsid w:val="0A470802"/>
    <w:rsid w:val="0A5B7E63"/>
    <w:rsid w:val="0A995944"/>
    <w:rsid w:val="0AA374A5"/>
    <w:rsid w:val="0AAB7649"/>
    <w:rsid w:val="0AB702C5"/>
    <w:rsid w:val="0ABC01A5"/>
    <w:rsid w:val="0ABC5606"/>
    <w:rsid w:val="0AC0128B"/>
    <w:rsid w:val="0AD3537F"/>
    <w:rsid w:val="0B1F7084"/>
    <w:rsid w:val="0B30404E"/>
    <w:rsid w:val="0B4C6C14"/>
    <w:rsid w:val="0B631A88"/>
    <w:rsid w:val="0B633CF7"/>
    <w:rsid w:val="0B683D45"/>
    <w:rsid w:val="0B7F3F11"/>
    <w:rsid w:val="0B884417"/>
    <w:rsid w:val="0B9E46EC"/>
    <w:rsid w:val="0BD7795F"/>
    <w:rsid w:val="0BF6188C"/>
    <w:rsid w:val="0BF73C91"/>
    <w:rsid w:val="0C170175"/>
    <w:rsid w:val="0C201306"/>
    <w:rsid w:val="0C571A41"/>
    <w:rsid w:val="0C5C1171"/>
    <w:rsid w:val="0C5E1CBC"/>
    <w:rsid w:val="0C615B50"/>
    <w:rsid w:val="0C8445DA"/>
    <w:rsid w:val="0C87121B"/>
    <w:rsid w:val="0C9E3522"/>
    <w:rsid w:val="0C9F24F4"/>
    <w:rsid w:val="0CAD04FC"/>
    <w:rsid w:val="0CC007F7"/>
    <w:rsid w:val="0CDA4B83"/>
    <w:rsid w:val="0CFE707A"/>
    <w:rsid w:val="0D063BDA"/>
    <w:rsid w:val="0D08375F"/>
    <w:rsid w:val="0D184CFB"/>
    <w:rsid w:val="0D4A7419"/>
    <w:rsid w:val="0D5250CF"/>
    <w:rsid w:val="0D827401"/>
    <w:rsid w:val="0D84094E"/>
    <w:rsid w:val="0D8A00E9"/>
    <w:rsid w:val="0D8A2037"/>
    <w:rsid w:val="0D8B1E49"/>
    <w:rsid w:val="0D8D589E"/>
    <w:rsid w:val="0DA01C73"/>
    <w:rsid w:val="0DA76E31"/>
    <w:rsid w:val="0DD5144B"/>
    <w:rsid w:val="0DD63300"/>
    <w:rsid w:val="0DF50604"/>
    <w:rsid w:val="0DF702FE"/>
    <w:rsid w:val="0E060E51"/>
    <w:rsid w:val="0E2A646C"/>
    <w:rsid w:val="0E5604B2"/>
    <w:rsid w:val="0E6D5D79"/>
    <w:rsid w:val="0E9D0089"/>
    <w:rsid w:val="0EB803EE"/>
    <w:rsid w:val="0ED71D6D"/>
    <w:rsid w:val="0EF94D4B"/>
    <w:rsid w:val="0F26188C"/>
    <w:rsid w:val="0F284C56"/>
    <w:rsid w:val="0F360E40"/>
    <w:rsid w:val="0F4958DC"/>
    <w:rsid w:val="0F515DF7"/>
    <w:rsid w:val="0F596BA8"/>
    <w:rsid w:val="0F6248D2"/>
    <w:rsid w:val="0F652893"/>
    <w:rsid w:val="0F693536"/>
    <w:rsid w:val="0F7B0511"/>
    <w:rsid w:val="0F7B76D9"/>
    <w:rsid w:val="0F816ACD"/>
    <w:rsid w:val="0F9832DB"/>
    <w:rsid w:val="0FA7339C"/>
    <w:rsid w:val="0FAE7713"/>
    <w:rsid w:val="0FAF73CD"/>
    <w:rsid w:val="0FBF3FD2"/>
    <w:rsid w:val="0FBF7FF3"/>
    <w:rsid w:val="0FF37032"/>
    <w:rsid w:val="100F56A6"/>
    <w:rsid w:val="101D6D1B"/>
    <w:rsid w:val="10242B40"/>
    <w:rsid w:val="10262E2E"/>
    <w:rsid w:val="10556DB0"/>
    <w:rsid w:val="10646583"/>
    <w:rsid w:val="106A4437"/>
    <w:rsid w:val="10733AED"/>
    <w:rsid w:val="10782D90"/>
    <w:rsid w:val="107D4B15"/>
    <w:rsid w:val="108A3C80"/>
    <w:rsid w:val="1092263A"/>
    <w:rsid w:val="10AD3B8F"/>
    <w:rsid w:val="10C26171"/>
    <w:rsid w:val="10F33360"/>
    <w:rsid w:val="10FC16EA"/>
    <w:rsid w:val="11007D0F"/>
    <w:rsid w:val="110F1D40"/>
    <w:rsid w:val="11266F33"/>
    <w:rsid w:val="118963A1"/>
    <w:rsid w:val="118A209B"/>
    <w:rsid w:val="11B45DDA"/>
    <w:rsid w:val="11C6522A"/>
    <w:rsid w:val="11C66686"/>
    <w:rsid w:val="11D61793"/>
    <w:rsid w:val="11E104CC"/>
    <w:rsid w:val="11E20309"/>
    <w:rsid w:val="11ED61ED"/>
    <w:rsid w:val="12255233"/>
    <w:rsid w:val="12530213"/>
    <w:rsid w:val="125D40EF"/>
    <w:rsid w:val="12641821"/>
    <w:rsid w:val="127723A9"/>
    <w:rsid w:val="12827F92"/>
    <w:rsid w:val="12862074"/>
    <w:rsid w:val="12883966"/>
    <w:rsid w:val="129E45B4"/>
    <w:rsid w:val="12CE745F"/>
    <w:rsid w:val="12D05CBE"/>
    <w:rsid w:val="12D81596"/>
    <w:rsid w:val="12FE1154"/>
    <w:rsid w:val="13072A44"/>
    <w:rsid w:val="135F4BE2"/>
    <w:rsid w:val="138D2161"/>
    <w:rsid w:val="139B1A0A"/>
    <w:rsid w:val="139D25C7"/>
    <w:rsid w:val="13BF3CE4"/>
    <w:rsid w:val="13EE3FEA"/>
    <w:rsid w:val="141008D8"/>
    <w:rsid w:val="14125FE6"/>
    <w:rsid w:val="14174CE7"/>
    <w:rsid w:val="143B280D"/>
    <w:rsid w:val="14677395"/>
    <w:rsid w:val="146D271E"/>
    <w:rsid w:val="146D3936"/>
    <w:rsid w:val="14982588"/>
    <w:rsid w:val="149A5AD9"/>
    <w:rsid w:val="14A7619D"/>
    <w:rsid w:val="150536C3"/>
    <w:rsid w:val="150C1963"/>
    <w:rsid w:val="151447A0"/>
    <w:rsid w:val="152A7520"/>
    <w:rsid w:val="15350D93"/>
    <w:rsid w:val="153F26F5"/>
    <w:rsid w:val="154A6454"/>
    <w:rsid w:val="15762120"/>
    <w:rsid w:val="15A074FD"/>
    <w:rsid w:val="15B773A6"/>
    <w:rsid w:val="15E50ECA"/>
    <w:rsid w:val="161559AC"/>
    <w:rsid w:val="16305626"/>
    <w:rsid w:val="164A63CF"/>
    <w:rsid w:val="166A33B1"/>
    <w:rsid w:val="167E55A7"/>
    <w:rsid w:val="16A8729C"/>
    <w:rsid w:val="16B33777"/>
    <w:rsid w:val="16BC70A7"/>
    <w:rsid w:val="16C6339E"/>
    <w:rsid w:val="16C67764"/>
    <w:rsid w:val="172F2D79"/>
    <w:rsid w:val="17557BEF"/>
    <w:rsid w:val="178A658A"/>
    <w:rsid w:val="17D349C1"/>
    <w:rsid w:val="17D65216"/>
    <w:rsid w:val="17F701D7"/>
    <w:rsid w:val="180E4681"/>
    <w:rsid w:val="1830729E"/>
    <w:rsid w:val="1870062C"/>
    <w:rsid w:val="18817102"/>
    <w:rsid w:val="18830A15"/>
    <w:rsid w:val="18852B28"/>
    <w:rsid w:val="188B5321"/>
    <w:rsid w:val="1891463B"/>
    <w:rsid w:val="189250A3"/>
    <w:rsid w:val="19281915"/>
    <w:rsid w:val="19391364"/>
    <w:rsid w:val="194A65AB"/>
    <w:rsid w:val="19563533"/>
    <w:rsid w:val="19700B61"/>
    <w:rsid w:val="197828A3"/>
    <w:rsid w:val="19932372"/>
    <w:rsid w:val="19A20DD5"/>
    <w:rsid w:val="19AE03F1"/>
    <w:rsid w:val="19C969AD"/>
    <w:rsid w:val="1A071A03"/>
    <w:rsid w:val="1A1F16AE"/>
    <w:rsid w:val="1A3B5C77"/>
    <w:rsid w:val="1A49725C"/>
    <w:rsid w:val="1A6E7BFC"/>
    <w:rsid w:val="1A984BAD"/>
    <w:rsid w:val="1AB8220E"/>
    <w:rsid w:val="1AE4166C"/>
    <w:rsid w:val="1AF06CFB"/>
    <w:rsid w:val="1AF11B8D"/>
    <w:rsid w:val="1AF652AC"/>
    <w:rsid w:val="1B11359C"/>
    <w:rsid w:val="1B2A271F"/>
    <w:rsid w:val="1B530544"/>
    <w:rsid w:val="1B713184"/>
    <w:rsid w:val="1BA209CF"/>
    <w:rsid w:val="1BB4777D"/>
    <w:rsid w:val="1BD7315A"/>
    <w:rsid w:val="1BD75AB8"/>
    <w:rsid w:val="1BDA1ABF"/>
    <w:rsid w:val="1BE10506"/>
    <w:rsid w:val="1C0459C2"/>
    <w:rsid w:val="1C1B3B4A"/>
    <w:rsid w:val="1C4D6383"/>
    <w:rsid w:val="1C664351"/>
    <w:rsid w:val="1C88086E"/>
    <w:rsid w:val="1CA72241"/>
    <w:rsid w:val="1CB104D8"/>
    <w:rsid w:val="1D1F0BC1"/>
    <w:rsid w:val="1D246C1D"/>
    <w:rsid w:val="1D266CE1"/>
    <w:rsid w:val="1D3963AF"/>
    <w:rsid w:val="1D6A673C"/>
    <w:rsid w:val="1D815123"/>
    <w:rsid w:val="1D9247AE"/>
    <w:rsid w:val="1DB567EC"/>
    <w:rsid w:val="1DD542DC"/>
    <w:rsid w:val="1DF51A98"/>
    <w:rsid w:val="1E3D060F"/>
    <w:rsid w:val="1E3F7D2E"/>
    <w:rsid w:val="1E4134E4"/>
    <w:rsid w:val="1E4C2345"/>
    <w:rsid w:val="1E4D66BB"/>
    <w:rsid w:val="1E5062B3"/>
    <w:rsid w:val="1E523514"/>
    <w:rsid w:val="1E714A66"/>
    <w:rsid w:val="1E73338C"/>
    <w:rsid w:val="1E802593"/>
    <w:rsid w:val="1E873793"/>
    <w:rsid w:val="1EA617D7"/>
    <w:rsid w:val="1EA703CC"/>
    <w:rsid w:val="1EB05387"/>
    <w:rsid w:val="1EB53BE7"/>
    <w:rsid w:val="1EB7330C"/>
    <w:rsid w:val="1ED4641E"/>
    <w:rsid w:val="1ED56B46"/>
    <w:rsid w:val="1EFB52BB"/>
    <w:rsid w:val="1F0A0FF3"/>
    <w:rsid w:val="1F5771FF"/>
    <w:rsid w:val="1F6B06CB"/>
    <w:rsid w:val="1F8E2D43"/>
    <w:rsid w:val="1FB03782"/>
    <w:rsid w:val="1FC77039"/>
    <w:rsid w:val="1FDC0BBC"/>
    <w:rsid w:val="1FDC1CB8"/>
    <w:rsid w:val="1FE868A9"/>
    <w:rsid w:val="20034907"/>
    <w:rsid w:val="201628A9"/>
    <w:rsid w:val="20173E4B"/>
    <w:rsid w:val="2020316A"/>
    <w:rsid w:val="20387F2D"/>
    <w:rsid w:val="204E48BC"/>
    <w:rsid w:val="207F7762"/>
    <w:rsid w:val="208921B3"/>
    <w:rsid w:val="20973DEB"/>
    <w:rsid w:val="20AE6A88"/>
    <w:rsid w:val="20B26522"/>
    <w:rsid w:val="20B44310"/>
    <w:rsid w:val="20D642A3"/>
    <w:rsid w:val="20E32094"/>
    <w:rsid w:val="20EA2E7A"/>
    <w:rsid w:val="20EA3CC5"/>
    <w:rsid w:val="211116EB"/>
    <w:rsid w:val="21325DAC"/>
    <w:rsid w:val="21374CAA"/>
    <w:rsid w:val="21380A48"/>
    <w:rsid w:val="21540FBA"/>
    <w:rsid w:val="216133FC"/>
    <w:rsid w:val="216E2554"/>
    <w:rsid w:val="21D56769"/>
    <w:rsid w:val="21E464DA"/>
    <w:rsid w:val="21E52EF3"/>
    <w:rsid w:val="21EF4908"/>
    <w:rsid w:val="21FB5D7B"/>
    <w:rsid w:val="220B1C3D"/>
    <w:rsid w:val="221D1D20"/>
    <w:rsid w:val="22334A87"/>
    <w:rsid w:val="22462BFF"/>
    <w:rsid w:val="22BE6801"/>
    <w:rsid w:val="22E4430B"/>
    <w:rsid w:val="23052FC3"/>
    <w:rsid w:val="232E2D83"/>
    <w:rsid w:val="233500BF"/>
    <w:rsid w:val="23377FF7"/>
    <w:rsid w:val="233C3C56"/>
    <w:rsid w:val="23400067"/>
    <w:rsid w:val="234354D1"/>
    <w:rsid w:val="236B425F"/>
    <w:rsid w:val="23735689"/>
    <w:rsid w:val="23832621"/>
    <w:rsid w:val="23836192"/>
    <w:rsid w:val="23901F29"/>
    <w:rsid w:val="239C0061"/>
    <w:rsid w:val="239D7601"/>
    <w:rsid w:val="23B908A4"/>
    <w:rsid w:val="23E60B96"/>
    <w:rsid w:val="23E95BEF"/>
    <w:rsid w:val="23FD0064"/>
    <w:rsid w:val="241C39CC"/>
    <w:rsid w:val="245375B0"/>
    <w:rsid w:val="24642C0A"/>
    <w:rsid w:val="246942F3"/>
    <w:rsid w:val="24AD2E91"/>
    <w:rsid w:val="24B22173"/>
    <w:rsid w:val="24B95AD9"/>
    <w:rsid w:val="24BE24DA"/>
    <w:rsid w:val="24CF5825"/>
    <w:rsid w:val="24D663E6"/>
    <w:rsid w:val="24D77F2B"/>
    <w:rsid w:val="24E22490"/>
    <w:rsid w:val="251319D3"/>
    <w:rsid w:val="251D0DF0"/>
    <w:rsid w:val="258B00E2"/>
    <w:rsid w:val="259063C1"/>
    <w:rsid w:val="25A917A6"/>
    <w:rsid w:val="25AD5CCD"/>
    <w:rsid w:val="25B94CC5"/>
    <w:rsid w:val="25BE27CC"/>
    <w:rsid w:val="25F74A5C"/>
    <w:rsid w:val="2628662C"/>
    <w:rsid w:val="262D45DE"/>
    <w:rsid w:val="26467401"/>
    <w:rsid w:val="268853A2"/>
    <w:rsid w:val="26987FDB"/>
    <w:rsid w:val="26A53EF9"/>
    <w:rsid w:val="26A94201"/>
    <w:rsid w:val="26AB75C6"/>
    <w:rsid w:val="26AC274F"/>
    <w:rsid w:val="27044A29"/>
    <w:rsid w:val="271D34C8"/>
    <w:rsid w:val="276142BF"/>
    <w:rsid w:val="27783712"/>
    <w:rsid w:val="27907362"/>
    <w:rsid w:val="27BA51E0"/>
    <w:rsid w:val="27FE49C4"/>
    <w:rsid w:val="281E2155"/>
    <w:rsid w:val="2826423B"/>
    <w:rsid w:val="28333E1D"/>
    <w:rsid w:val="28454BD6"/>
    <w:rsid w:val="28455253"/>
    <w:rsid w:val="28551971"/>
    <w:rsid w:val="285B1C53"/>
    <w:rsid w:val="287F612D"/>
    <w:rsid w:val="289F7086"/>
    <w:rsid w:val="28AB039A"/>
    <w:rsid w:val="28AF2D4D"/>
    <w:rsid w:val="28C32028"/>
    <w:rsid w:val="28CC490F"/>
    <w:rsid w:val="28DE40AA"/>
    <w:rsid w:val="2905530D"/>
    <w:rsid w:val="291B30CD"/>
    <w:rsid w:val="2926290C"/>
    <w:rsid w:val="2929539A"/>
    <w:rsid w:val="29345E77"/>
    <w:rsid w:val="294C65AD"/>
    <w:rsid w:val="295E770C"/>
    <w:rsid w:val="2967312E"/>
    <w:rsid w:val="29703AD7"/>
    <w:rsid w:val="29806583"/>
    <w:rsid w:val="298B3C4C"/>
    <w:rsid w:val="29A053DC"/>
    <w:rsid w:val="29E61706"/>
    <w:rsid w:val="29F26D24"/>
    <w:rsid w:val="2A0C25A6"/>
    <w:rsid w:val="2A15033F"/>
    <w:rsid w:val="2A1662C1"/>
    <w:rsid w:val="2A1C7367"/>
    <w:rsid w:val="2A2815FA"/>
    <w:rsid w:val="2A4F6B01"/>
    <w:rsid w:val="2A6D6092"/>
    <w:rsid w:val="2A6E1E53"/>
    <w:rsid w:val="2A7D76B4"/>
    <w:rsid w:val="2AA25464"/>
    <w:rsid w:val="2AA648DA"/>
    <w:rsid w:val="2AB253C7"/>
    <w:rsid w:val="2ABA72AD"/>
    <w:rsid w:val="2AD253F5"/>
    <w:rsid w:val="2AFC380C"/>
    <w:rsid w:val="2B437463"/>
    <w:rsid w:val="2B4723E9"/>
    <w:rsid w:val="2B7807EE"/>
    <w:rsid w:val="2B9220CA"/>
    <w:rsid w:val="2BBF00EC"/>
    <w:rsid w:val="2BC37CFD"/>
    <w:rsid w:val="2BCB4E4F"/>
    <w:rsid w:val="2BD5237F"/>
    <w:rsid w:val="2BE536CE"/>
    <w:rsid w:val="2BE758D9"/>
    <w:rsid w:val="2C082916"/>
    <w:rsid w:val="2C09049E"/>
    <w:rsid w:val="2C0A653C"/>
    <w:rsid w:val="2C191F85"/>
    <w:rsid w:val="2C324A12"/>
    <w:rsid w:val="2C555EA1"/>
    <w:rsid w:val="2C5A6220"/>
    <w:rsid w:val="2C7959C4"/>
    <w:rsid w:val="2CE82D6F"/>
    <w:rsid w:val="2D093882"/>
    <w:rsid w:val="2D343236"/>
    <w:rsid w:val="2D3850E9"/>
    <w:rsid w:val="2D4B705C"/>
    <w:rsid w:val="2D8C0CCA"/>
    <w:rsid w:val="2D904BE1"/>
    <w:rsid w:val="2DD15014"/>
    <w:rsid w:val="2DF72DE4"/>
    <w:rsid w:val="2E0220AF"/>
    <w:rsid w:val="2E23680E"/>
    <w:rsid w:val="2E290364"/>
    <w:rsid w:val="2E2D6AB6"/>
    <w:rsid w:val="2E4B082A"/>
    <w:rsid w:val="2E5059D6"/>
    <w:rsid w:val="2E5D4E86"/>
    <w:rsid w:val="2E5D790B"/>
    <w:rsid w:val="2E732B82"/>
    <w:rsid w:val="2E84222B"/>
    <w:rsid w:val="2E9A3C18"/>
    <w:rsid w:val="2EAB6D9A"/>
    <w:rsid w:val="2EB873FE"/>
    <w:rsid w:val="2EBB0FEE"/>
    <w:rsid w:val="2EC63002"/>
    <w:rsid w:val="2EC851B9"/>
    <w:rsid w:val="2F0A6B38"/>
    <w:rsid w:val="2F1316AE"/>
    <w:rsid w:val="2F14134E"/>
    <w:rsid w:val="2F5643E1"/>
    <w:rsid w:val="2F5C4221"/>
    <w:rsid w:val="2F89774B"/>
    <w:rsid w:val="2F946CCB"/>
    <w:rsid w:val="2FD25781"/>
    <w:rsid w:val="2FF257EE"/>
    <w:rsid w:val="2FFD7934"/>
    <w:rsid w:val="30733ACD"/>
    <w:rsid w:val="30867748"/>
    <w:rsid w:val="308C3862"/>
    <w:rsid w:val="309379D8"/>
    <w:rsid w:val="30A270F7"/>
    <w:rsid w:val="30DF1478"/>
    <w:rsid w:val="30E31EFA"/>
    <w:rsid w:val="30EC586F"/>
    <w:rsid w:val="30F259EF"/>
    <w:rsid w:val="31175F84"/>
    <w:rsid w:val="313D4E9B"/>
    <w:rsid w:val="314D7645"/>
    <w:rsid w:val="319C6071"/>
    <w:rsid w:val="31AB2DA7"/>
    <w:rsid w:val="31AC537E"/>
    <w:rsid w:val="31E3679B"/>
    <w:rsid w:val="31E732FD"/>
    <w:rsid w:val="322B4079"/>
    <w:rsid w:val="325142F2"/>
    <w:rsid w:val="32517576"/>
    <w:rsid w:val="32822166"/>
    <w:rsid w:val="32902537"/>
    <w:rsid w:val="32B013F5"/>
    <w:rsid w:val="32B154A6"/>
    <w:rsid w:val="32BE5C2C"/>
    <w:rsid w:val="32E37EE8"/>
    <w:rsid w:val="32EA2406"/>
    <w:rsid w:val="32EA3221"/>
    <w:rsid w:val="32F152E0"/>
    <w:rsid w:val="32FB6478"/>
    <w:rsid w:val="330A3CD4"/>
    <w:rsid w:val="331E7308"/>
    <w:rsid w:val="33263B3F"/>
    <w:rsid w:val="332F0F96"/>
    <w:rsid w:val="335F4BF1"/>
    <w:rsid w:val="336963EB"/>
    <w:rsid w:val="33791FCD"/>
    <w:rsid w:val="33816EEB"/>
    <w:rsid w:val="33E73F7C"/>
    <w:rsid w:val="33EB55CD"/>
    <w:rsid w:val="33EC4C02"/>
    <w:rsid w:val="340D2360"/>
    <w:rsid w:val="3410665D"/>
    <w:rsid w:val="34120C85"/>
    <w:rsid w:val="34211214"/>
    <w:rsid w:val="342E63AB"/>
    <w:rsid w:val="346F39A5"/>
    <w:rsid w:val="34950E68"/>
    <w:rsid w:val="34986E94"/>
    <w:rsid w:val="349C7485"/>
    <w:rsid w:val="34A12694"/>
    <w:rsid w:val="34AF62C9"/>
    <w:rsid w:val="34CB4388"/>
    <w:rsid w:val="34F66AE8"/>
    <w:rsid w:val="34FA6E12"/>
    <w:rsid w:val="35155921"/>
    <w:rsid w:val="35230FEC"/>
    <w:rsid w:val="35390A7A"/>
    <w:rsid w:val="353F679D"/>
    <w:rsid w:val="358D5588"/>
    <w:rsid w:val="35947B93"/>
    <w:rsid w:val="35CB64B0"/>
    <w:rsid w:val="35F460E8"/>
    <w:rsid w:val="361D5C29"/>
    <w:rsid w:val="362320E4"/>
    <w:rsid w:val="363A3B40"/>
    <w:rsid w:val="365302AE"/>
    <w:rsid w:val="36607A0A"/>
    <w:rsid w:val="36610790"/>
    <w:rsid w:val="366E227C"/>
    <w:rsid w:val="366F2E0D"/>
    <w:rsid w:val="367B6A5C"/>
    <w:rsid w:val="36922A9D"/>
    <w:rsid w:val="36A74ADA"/>
    <w:rsid w:val="36AD60D5"/>
    <w:rsid w:val="36B224F9"/>
    <w:rsid w:val="36EC0CC9"/>
    <w:rsid w:val="371B243F"/>
    <w:rsid w:val="373F410B"/>
    <w:rsid w:val="37442A19"/>
    <w:rsid w:val="37873DD7"/>
    <w:rsid w:val="37876CF9"/>
    <w:rsid w:val="37887EF7"/>
    <w:rsid w:val="378A0DCC"/>
    <w:rsid w:val="37991935"/>
    <w:rsid w:val="37C8622C"/>
    <w:rsid w:val="37D76237"/>
    <w:rsid w:val="37EE7094"/>
    <w:rsid w:val="37FD3115"/>
    <w:rsid w:val="381F04BB"/>
    <w:rsid w:val="38296C89"/>
    <w:rsid w:val="383002EB"/>
    <w:rsid w:val="384267FA"/>
    <w:rsid w:val="384D287F"/>
    <w:rsid w:val="38586797"/>
    <w:rsid w:val="389C69EB"/>
    <w:rsid w:val="38BC0149"/>
    <w:rsid w:val="38D87D1C"/>
    <w:rsid w:val="38D95EF3"/>
    <w:rsid w:val="38E34F8D"/>
    <w:rsid w:val="38F31B67"/>
    <w:rsid w:val="390069D0"/>
    <w:rsid w:val="395935C3"/>
    <w:rsid w:val="39636459"/>
    <w:rsid w:val="396B7F6C"/>
    <w:rsid w:val="39AC23F5"/>
    <w:rsid w:val="39AE3D98"/>
    <w:rsid w:val="39AF15F2"/>
    <w:rsid w:val="39B417A9"/>
    <w:rsid w:val="39C26724"/>
    <w:rsid w:val="39FC5695"/>
    <w:rsid w:val="3A006D8E"/>
    <w:rsid w:val="3A0119A4"/>
    <w:rsid w:val="3A295B14"/>
    <w:rsid w:val="3A3651E5"/>
    <w:rsid w:val="3A744481"/>
    <w:rsid w:val="3A8C7BEF"/>
    <w:rsid w:val="3A906246"/>
    <w:rsid w:val="3AAF6860"/>
    <w:rsid w:val="3AB75132"/>
    <w:rsid w:val="3B145A0B"/>
    <w:rsid w:val="3B160C28"/>
    <w:rsid w:val="3B1958DF"/>
    <w:rsid w:val="3B2349B7"/>
    <w:rsid w:val="3B420884"/>
    <w:rsid w:val="3B4A47B1"/>
    <w:rsid w:val="3B616CFF"/>
    <w:rsid w:val="3B6259F6"/>
    <w:rsid w:val="3B6B11DD"/>
    <w:rsid w:val="3B8D538C"/>
    <w:rsid w:val="3B976654"/>
    <w:rsid w:val="3BB67E77"/>
    <w:rsid w:val="3BC01EFC"/>
    <w:rsid w:val="3BCA786A"/>
    <w:rsid w:val="3BCC65D1"/>
    <w:rsid w:val="3BD31E2F"/>
    <w:rsid w:val="3BF15831"/>
    <w:rsid w:val="3C047A4D"/>
    <w:rsid w:val="3C105946"/>
    <w:rsid w:val="3C471448"/>
    <w:rsid w:val="3C4D31A2"/>
    <w:rsid w:val="3C5F759A"/>
    <w:rsid w:val="3C603596"/>
    <w:rsid w:val="3C6977FD"/>
    <w:rsid w:val="3C6C525A"/>
    <w:rsid w:val="3C9B215F"/>
    <w:rsid w:val="3CAB1CAA"/>
    <w:rsid w:val="3CCE23CB"/>
    <w:rsid w:val="3CD016DD"/>
    <w:rsid w:val="3CD17D17"/>
    <w:rsid w:val="3D3C7F39"/>
    <w:rsid w:val="3D440F09"/>
    <w:rsid w:val="3D4504A0"/>
    <w:rsid w:val="3D462269"/>
    <w:rsid w:val="3D4F01DF"/>
    <w:rsid w:val="3D8734BB"/>
    <w:rsid w:val="3D9A11D4"/>
    <w:rsid w:val="3DA16D89"/>
    <w:rsid w:val="3DA364BE"/>
    <w:rsid w:val="3DB64152"/>
    <w:rsid w:val="3DE041CB"/>
    <w:rsid w:val="3E094222"/>
    <w:rsid w:val="3E0D48F6"/>
    <w:rsid w:val="3E1868B4"/>
    <w:rsid w:val="3E377251"/>
    <w:rsid w:val="3E42664B"/>
    <w:rsid w:val="3E5A7334"/>
    <w:rsid w:val="3E7B5D6B"/>
    <w:rsid w:val="3E843E66"/>
    <w:rsid w:val="3E8F51FE"/>
    <w:rsid w:val="3E926F87"/>
    <w:rsid w:val="3E9A59DE"/>
    <w:rsid w:val="3EAF4836"/>
    <w:rsid w:val="3EC33DFA"/>
    <w:rsid w:val="3ED34A3A"/>
    <w:rsid w:val="3EF0320E"/>
    <w:rsid w:val="3F060E16"/>
    <w:rsid w:val="3F1766CB"/>
    <w:rsid w:val="3F1D1096"/>
    <w:rsid w:val="3F2F0234"/>
    <w:rsid w:val="3F3773C9"/>
    <w:rsid w:val="3F6363FE"/>
    <w:rsid w:val="3F756B8F"/>
    <w:rsid w:val="3F95482B"/>
    <w:rsid w:val="3FA97FDF"/>
    <w:rsid w:val="3FFD1DAB"/>
    <w:rsid w:val="4019356B"/>
    <w:rsid w:val="40200288"/>
    <w:rsid w:val="40592157"/>
    <w:rsid w:val="406E1CAE"/>
    <w:rsid w:val="406E582C"/>
    <w:rsid w:val="407E06C3"/>
    <w:rsid w:val="408A06BA"/>
    <w:rsid w:val="40A0133A"/>
    <w:rsid w:val="40C31A53"/>
    <w:rsid w:val="40D459D4"/>
    <w:rsid w:val="40F46F69"/>
    <w:rsid w:val="40FF545D"/>
    <w:rsid w:val="410067C8"/>
    <w:rsid w:val="412B24C8"/>
    <w:rsid w:val="41314658"/>
    <w:rsid w:val="413B45AF"/>
    <w:rsid w:val="41456B3D"/>
    <w:rsid w:val="418F0D2A"/>
    <w:rsid w:val="41A24A28"/>
    <w:rsid w:val="41D01505"/>
    <w:rsid w:val="41DC258D"/>
    <w:rsid w:val="421F4849"/>
    <w:rsid w:val="42424241"/>
    <w:rsid w:val="42474939"/>
    <w:rsid w:val="424C3C57"/>
    <w:rsid w:val="42613FF3"/>
    <w:rsid w:val="42650E9B"/>
    <w:rsid w:val="42660D96"/>
    <w:rsid w:val="428667D2"/>
    <w:rsid w:val="42CC7D90"/>
    <w:rsid w:val="42CD1CE0"/>
    <w:rsid w:val="42E1381E"/>
    <w:rsid w:val="42E3660E"/>
    <w:rsid w:val="42ED5095"/>
    <w:rsid w:val="42ED6459"/>
    <w:rsid w:val="42FE58DD"/>
    <w:rsid w:val="43021A1A"/>
    <w:rsid w:val="431272F0"/>
    <w:rsid w:val="43174B3D"/>
    <w:rsid w:val="434B790E"/>
    <w:rsid w:val="4360274F"/>
    <w:rsid w:val="43735D6E"/>
    <w:rsid w:val="43895E48"/>
    <w:rsid w:val="43977AB6"/>
    <w:rsid w:val="43A3342B"/>
    <w:rsid w:val="43C77C27"/>
    <w:rsid w:val="43D72F83"/>
    <w:rsid w:val="43DB5537"/>
    <w:rsid w:val="43DE09EE"/>
    <w:rsid w:val="43FC5D17"/>
    <w:rsid w:val="44002FAD"/>
    <w:rsid w:val="440B7A39"/>
    <w:rsid w:val="44120E62"/>
    <w:rsid w:val="449101DD"/>
    <w:rsid w:val="44C4502D"/>
    <w:rsid w:val="44D01572"/>
    <w:rsid w:val="44DE1391"/>
    <w:rsid w:val="44E35ED6"/>
    <w:rsid w:val="44EA5861"/>
    <w:rsid w:val="45091DFB"/>
    <w:rsid w:val="451B225C"/>
    <w:rsid w:val="452410C9"/>
    <w:rsid w:val="45317DFB"/>
    <w:rsid w:val="4544241B"/>
    <w:rsid w:val="456D3CE4"/>
    <w:rsid w:val="45766BFA"/>
    <w:rsid w:val="4579042C"/>
    <w:rsid w:val="457F0571"/>
    <w:rsid w:val="45851176"/>
    <w:rsid w:val="45C63B94"/>
    <w:rsid w:val="45CC5134"/>
    <w:rsid w:val="45D9577F"/>
    <w:rsid w:val="45EC1A83"/>
    <w:rsid w:val="460E7DA5"/>
    <w:rsid w:val="461A23C0"/>
    <w:rsid w:val="461B3768"/>
    <w:rsid w:val="46422483"/>
    <w:rsid w:val="4648196A"/>
    <w:rsid w:val="4659254A"/>
    <w:rsid w:val="465B0637"/>
    <w:rsid w:val="465E3F0D"/>
    <w:rsid w:val="466A16E6"/>
    <w:rsid w:val="46893F2B"/>
    <w:rsid w:val="46C4686E"/>
    <w:rsid w:val="46C80343"/>
    <w:rsid w:val="47287344"/>
    <w:rsid w:val="4732379B"/>
    <w:rsid w:val="477B778F"/>
    <w:rsid w:val="478203EC"/>
    <w:rsid w:val="47B025FA"/>
    <w:rsid w:val="47F44D18"/>
    <w:rsid w:val="4809698F"/>
    <w:rsid w:val="4811697D"/>
    <w:rsid w:val="48492E9F"/>
    <w:rsid w:val="486776C7"/>
    <w:rsid w:val="4870692D"/>
    <w:rsid w:val="487637D6"/>
    <w:rsid w:val="487A3E25"/>
    <w:rsid w:val="488B5503"/>
    <w:rsid w:val="48937E21"/>
    <w:rsid w:val="48970A12"/>
    <w:rsid w:val="489A0361"/>
    <w:rsid w:val="48A22B44"/>
    <w:rsid w:val="48B94FF3"/>
    <w:rsid w:val="48E37AAB"/>
    <w:rsid w:val="48FD4B4C"/>
    <w:rsid w:val="490A68E0"/>
    <w:rsid w:val="490D29AB"/>
    <w:rsid w:val="491055FE"/>
    <w:rsid w:val="493E506E"/>
    <w:rsid w:val="495F5B3E"/>
    <w:rsid w:val="496F77D7"/>
    <w:rsid w:val="497654FD"/>
    <w:rsid w:val="49AB3D9A"/>
    <w:rsid w:val="49B31060"/>
    <w:rsid w:val="49B64211"/>
    <w:rsid w:val="49D94096"/>
    <w:rsid w:val="49F6167F"/>
    <w:rsid w:val="4A064FA0"/>
    <w:rsid w:val="4A16615C"/>
    <w:rsid w:val="4A2A0527"/>
    <w:rsid w:val="4A4424D7"/>
    <w:rsid w:val="4A48654A"/>
    <w:rsid w:val="4A4E17F9"/>
    <w:rsid w:val="4A64022A"/>
    <w:rsid w:val="4AB82D0F"/>
    <w:rsid w:val="4AD124B3"/>
    <w:rsid w:val="4AE942D2"/>
    <w:rsid w:val="4AEB7664"/>
    <w:rsid w:val="4AFD7C19"/>
    <w:rsid w:val="4B0567D1"/>
    <w:rsid w:val="4B094DC2"/>
    <w:rsid w:val="4B236AAE"/>
    <w:rsid w:val="4B2B6DBC"/>
    <w:rsid w:val="4B345FB7"/>
    <w:rsid w:val="4B707271"/>
    <w:rsid w:val="4B9739F7"/>
    <w:rsid w:val="4B9E3E74"/>
    <w:rsid w:val="4BB07D72"/>
    <w:rsid w:val="4BEB14BD"/>
    <w:rsid w:val="4BEE2503"/>
    <w:rsid w:val="4BFD41B8"/>
    <w:rsid w:val="4BFE4975"/>
    <w:rsid w:val="4C0A6677"/>
    <w:rsid w:val="4C101AF6"/>
    <w:rsid w:val="4C245A30"/>
    <w:rsid w:val="4C3F1574"/>
    <w:rsid w:val="4C4B2CE8"/>
    <w:rsid w:val="4C5F52BD"/>
    <w:rsid w:val="4C767C73"/>
    <w:rsid w:val="4CB6685F"/>
    <w:rsid w:val="4CC367FE"/>
    <w:rsid w:val="4CCF77E5"/>
    <w:rsid w:val="4CDD2925"/>
    <w:rsid w:val="4D077F3C"/>
    <w:rsid w:val="4D123355"/>
    <w:rsid w:val="4D2A3B31"/>
    <w:rsid w:val="4D312C52"/>
    <w:rsid w:val="4D4A6A29"/>
    <w:rsid w:val="4D905305"/>
    <w:rsid w:val="4D964A72"/>
    <w:rsid w:val="4D9C1254"/>
    <w:rsid w:val="4DA314CD"/>
    <w:rsid w:val="4DA53A5E"/>
    <w:rsid w:val="4E2E7E1C"/>
    <w:rsid w:val="4E45017D"/>
    <w:rsid w:val="4E522680"/>
    <w:rsid w:val="4E793892"/>
    <w:rsid w:val="4E800872"/>
    <w:rsid w:val="4E8A13D9"/>
    <w:rsid w:val="4E9C593D"/>
    <w:rsid w:val="4EC569ED"/>
    <w:rsid w:val="4ECB6EC2"/>
    <w:rsid w:val="4ED50EA1"/>
    <w:rsid w:val="4EEC050C"/>
    <w:rsid w:val="4F104EC3"/>
    <w:rsid w:val="4F47354A"/>
    <w:rsid w:val="4F8A7C0C"/>
    <w:rsid w:val="4F911C54"/>
    <w:rsid w:val="4FC23BED"/>
    <w:rsid w:val="4FD4509F"/>
    <w:rsid w:val="4FE625E0"/>
    <w:rsid w:val="4FF64271"/>
    <w:rsid w:val="50096F72"/>
    <w:rsid w:val="5021480F"/>
    <w:rsid w:val="50667C9F"/>
    <w:rsid w:val="50962ECB"/>
    <w:rsid w:val="50A42E38"/>
    <w:rsid w:val="50A4577F"/>
    <w:rsid w:val="50B73D1F"/>
    <w:rsid w:val="50BD5BC9"/>
    <w:rsid w:val="50C11EEE"/>
    <w:rsid w:val="50E97CFC"/>
    <w:rsid w:val="50FA4028"/>
    <w:rsid w:val="510D65B7"/>
    <w:rsid w:val="511157AB"/>
    <w:rsid w:val="512434ED"/>
    <w:rsid w:val="5142540C"/>
    <w:rsid w:val="51487825"/>
    <w:rsid w:val="51851A84"/>
    <w:rsid w:val="518832C8"/>
    <w:rsid w:val="51A0432A"/>
    <w:rsid w:val="51A86090"/>
    <w:rsid w:val="51B7396D"/>
    <w:rsid w:val="51CD590D"/>
    <w:rsid w:val="5208143F"/>
    <w:rsid w:val="522E4CC3"/>
    <w:rsid w:val="5244713B"/>
    <w:rsid w:val="52615633"/>
    <w:rsid w:val="5278084F"/>
    <w:rsid w:val="52977FD4"/>
    <w:rsid w:val="52992CE6"/>
    <w:rsid w:val="52A25790"/>
    <w:rsid w:val="52A96B6F"/>
    <w:rsid w:val="52B45975"/>
    <w:rsid w:val="52D94AA4"/>
    <w:rsid w:val="52EA3A62"/>
    <w:rsid w:val="52F50BB8"/>
    <w:rsid w:val="53097272"/>
    <w:rsid w:val="531C2B44"/>
    <w:rsid w:val="531C426E"/>
    <w:rsid w:val="53224FCB"/>
    <w:rsid w:val="534769FE"/>
    <w:rsid w:val="53544462"/>
    <w:rsid w:val="5397158E"/>
    <w:rsid w:val="53A27E72"/>
    <w:rsid w:val="53AC5FF3"/>
    <w:rsid w:val="54013861"/>
    <w:rsid w:val="5418206A"/>
    <w:rsid w:val="542B6662"/>
    <w:rsid w:val="54487265"/>
    <w:rsid w:val="544D6070"/>
    <w:rsid w:val="54583DE3"/>
    <w:rsid w:val="54605E1E"/>
    <w:rsid w:val="546A5899"/>
    <w:rsid w:val="54B3506A"/>
    <w:rsid w:val="54BB02EF"/>
    <w:rsid w:val="54C92AEE"/>
    <w:rsid w:val="54CA0D16"/>
    <w:rsid w:val="54DD4057"/>
    <w:rsid w:val="54E7490F"/>
    <w:rsid w:val="54E934DF"/>
    <w:rsid w:val="54F7725E"/>
    <w:rsid w:val="550764A4"/>
    <w:rsid w:val="550B2BF6"/>
    <w:rsid w:val="55214EB5"/>
    <w:rsid w:val="55364EFD"/>
    <w:rsid w:val="55373D16"/>
    <w:rsid w:val="555D4828"/>
    <w:rsid w:val="55607602"/>
    <w:rsid w:val="5571778F"/>
    <w:rsid w:val="557A4C8B"/>
    <w:rsid w:val="558931E1"/>
    <w:rsid w:val="558B0370"/>
    <w:rsid w:val="55914FEE"/>
    <w:rsid w:val="55923347"/>
    <w:rsid w:val="55925180"/>
    <w:rsid w:val="559602BC"/>
    <w:rsid w:val="55983B1B"/>
    <w:rsid w:val="55A8376B"/>
    <w:rsid w:val="55B041ED"/>
    <w:rsid w:val="55DC29B6"/>
    <w:rsid w:val="55DD4241"/>
    <w:rsid w:val="564C575A"/>
    <w:rsid w:val="56535401"/>
    <w:rsid w:val="565C59BC"/>
    <w:rsid w:val="566B6D1E"/>
    <w:rsid w:val="56F92146"/>
    <w:rsid w:val="57032A2C"/>
    <w:rsid w:val="570F5219"/>
    <w:rsid w:val="57233025"/>
    <w:rsid w:val="57580F21"/>
    <w:rsid w:val="575D12B5"/>
    <w:rsid w:val="57610A87"/>
    <w:rsid w:val="577B1140"/>
    <w:rsid w:val="577B7F21"/>
    <w:rsid w:val="577F181B"/>
    <w:rsid w:val="57921984"/>
    <w:rsid w:val="579737F0"/>
    <w:rsid w:val="57AB7B30"/>
    <w:rsid w:val="57AD5BC5"/>
    <w:rsid w:val="57AF5251"/>
    <w:rsid w:val="57B26373"/>
    <w:rsid w:val="57B63F04"/>
    <w:rsid w:val="57B936B8"/>
    <w:rsid w:val="57B97206"/>
    <w:rsid w:val="57CB43B8"/>
    <w:rsid w:val="57CD20C2"/>
    <w:rsid w:val="57D675AB"/>
    <w:rsid w:val="57D95FDD"/>
    <w:rsid w:val="582B03E3"/>
    <w:rsid w:val="583A03ED"/>
    <w:rsid w:val="585C748B"/>
    <w:rsid w:val="58773486"/>
    <w:rsid w:val="58917D2F"/>
    <w:rsid w:val="5894085C"/>
    <w:rsid w:val="58AE4F0C"/>
    <w:rsid w:val="58B85899"/>
    <w:rsid w:val="58E363A9"/>
    <w:rsid w:val="591C0AC9"/>
    <w:rsid w:val="59472270"/>
    <w:rsid w:val="595E1678"/>
    <w:rsid w:val="596D5BD4"/>
    <w:rsid w:val="597E3DD8"/>
    <w:rsid w:val="59A82B94"/>
    <w:rsid w:val="59F66E86"/>
    <w:rsid w:val="59F80043"/>
    <w:rsid w:val="5A09252F"/>
    <w:rsid w:val="5A0B2778"/>
    <w:rsid w:val="5A2A7C7B"/>
    <w:rsid w:val="5A392F01"/>
    <w:rsid w:val="5A3E2560"/>
    <w:rsid w:val="5A4F2873"/>
    <w:rsid w:val="5A557200"/>
    <w:rsid w:val="5A5D3B6E"/>
    <w:rsid w:val="5A637A76"/>
    <w:rsid w:val="5A6D33BA"/>
    <w:rsid w:val="5A76707F"/>
    <w:rsid w:val="5A792B1F"/>
    <w:rsid w:val="5A874767"/>
    <w:rsid w:val="5AA80BDA"/>
    <w:rsid w:val="5AAD6F28"/>
    <w:rsid w:val="5AD63A24"/>
    <w:rsid w:val="5B063349"/>
    <w:rsid w:val="5B0B0567"/>
    <w:rsid w:val="5B226B5D"/>
    <w:rsid w:val="5B2E1A1D"/>
    <w:rsid w:val="5B6C017A"/>
    <w:rsid w:val="5B750193"/>
    <w:rsid w:val="5B843A1C"/>
    <w:rsid w:val="5B873E3F"/>
    <w:rsid w:val="5BE32549"/>
    <w:rsid w:val="5C02690E"/>
    <w:rsid w:val="5C196DA7"/>
    <w:rsid w:val="5C2A048C"/>
    <w:rsid w:val="5C666C20"/>
    <w:rsid w:val="5C80234E"/>
    <w:rsid w:val="5C8A680C"/>
    <w:rsid w:val="5CD13A1E"/>
    <w:rsid w:val="5CF85CFC"/>
    <w:rsid w:val="5D0C4701"/>
    <w:rsid w:val="5D0F0395"/>
    <w:rsid w:val="5D221076"/>
    <w:rsid w:val="5D226D21"/>
    <w:rsid w:val="5D281BF7"/>
    <w:rsid w:val="5D397964"/>
    <w:rsid w:val="5D3F2C0A"/>
    <w:rsid w:val="5D5A391C"/>
    <w:rsid w:val="5D5F10C0"/>
    <w:rsid w:val="5D675118"/>
    <w:rsid w:val="5D891B7B"/>
    <w:rsid w:val="5D9B481D"/>
    <w:rsid w:val="5DAD38EE"/>
    <w:rsid w:val="5DDD5B89"/>
    <w:rsid w:val="5E006862"/>
    <w:rsid w:val="5E0207B9"/>
    <w:rsid w:val="5E1834A1"/>
    <w:rsid w:val="5E261785"/>
    <w:rsid w:val="5E3848D2"/>
    <w:rsid w:val="5E4A7017"/>
    <w:rsid w:val="5E552BBA"/>
    <w:rsid w:val="5E611C10"/>
    <w:rsid w:val="5E99106E"/>
    <w:rsid w:val="5E9A11BC"/>
    <w:rsid w:val="5EB96775"/>
    <w:rsid w:val="5EF62277"/>
    <w:rsid w:val="5EFC7377"/>
    <w:rsid w:val="5F06174D"/>
    <w:rsid w:val="5F117B2C"/>
    <w:rsid w:val="5F200D69"/>
    <w:rsid w:val="5F3A3602"/>
    <w:rsid w:val="5F5B31B8"/>
    <w:rsid w:val="5F6277C6"/>
    <w:rsid w:val="5F6A6AED"/>
    <w:rsid w:val="5F6D0B1D"/>
    <w:rsid w:val="5F8D0B82"/>
    <w:rsid w:val="5FBE4115"/>
    <w:rsid w:val="5FC015D3"/>
    <w:rsid w:val="5FCC5339"/>
    <w:rsid w:val="5FE34A5B"/>
    <w:rsid w:val="5FFE1E36"/>
    <w:rsid w:val="601255BC"/>
    <w:rsid w:val="60232584"/>
    <w:rsid w:val="604A5C07"/>
    <w:rsid w:val="607330CE"/>
    <w:rsid w:val="60825176"/>
    <w:rsid w:val="608D75BB"/>
    <w:rsid w:val="60952590"/>
    <w:rsid w:val="609F2AC4"/>
    <w:rsid w:val="60B4383A"/>
    <w:rsid w:val="60EC26DA"/>
    <w:rsid w:val="60FA2EE8"/>
    <w:rsid w:val="61054A27"/>
    <w:rsid w:val="610A52BC"/>
    <w:rsid w:val="611D2366"/>
    <w:rsid w:val="61421856"/>
    <w:rsid w:val="615227C4"/>
    <w:rsid w:val="615247EE"/>
    <w:rsid w:val="61654E3F"/>
    <w:rsid w:val="6182292A"/>
    <w:rsid w:val="619F7F92"/>
    <w:rsid w:val="61E66F60"/>
    <w:rsid w:val="61F94C26"/>
    <w:rsid w:val="62000E56"/>
    <w:rsid w:val="623A0B90"/>
    <w:rsid w:val="624F3E49"/>
    <w:rsid w:val="62632286"/>
    <w:rsid w:val="626D4451"/>
    <w:rsid w:val="62885958"/>
    <w:rsid w:val="629A1B1B"/>
    <w:rsid w:val="62A120AF"/>
    <w:rsid w:val="62A86B23"/>
    <w:rsid w:val="62F40B65"/>
    <w:rsid w:val="62FC2CFE"/>
    <w:rsid w:val="63024505"/>
    <w:rsid w:val="635138E5"/>
    <w:rsid w:val="635B1DB5"/>
    <w:rsid w:val="636C7037"/>
    <w:rsid w:val="63711FED"/>
    <w:rsid w:val="63880DDC"/>
    <w:rsid w:val="638D750D"/>
    <w:rsid w:val="63AC6CC0"/>
    <w:rsid w:val="63BA764D"/>
    <w:rsid w:val="63E13CA2"/>
    <w:rsid w:val="63E26FF0"/>
    <w:rsid w:val="640129F7"/>
    <w:rsid w:val="64055776"/>
    <w:rsid w:val="640660B1"/>
    <w:rsid w:val="64240056"/>
    <w:rsid w:val="6428123C"/>
    <w:rsid w:val="643E143A"/>
    <w:rsid w:val="648B6EEF"/>
    <w:rsid w:val="64AD7237"/>
    <w:rsid w:val="64C01692"/>
    <w:rsid w:val="64C158BF"/>
    <w:rsid w:val="64C36CE6"/>
    <w:rsid w:val="64CE2EAA"/>
    <w:rsid w:val="64EE2E25"/>
    <w:rsid w:val="6533747F"/>
    <w:rsid w:val="653C3090"/>
    <w:rsid w:val="65854376"/>
    <w:rsid w:val="658767BE"/>
    <w:rsid w:val="65892531"/>
    <w:rsid w:val="66195831"/>
    <w:rsid w:val="66232993"/>
    <w:rsid w:val="662E75B1"/>
    <w:rsid w:val="66342C2E"/>
    <w:rsid w:val="663E784C"/>
    <w:rsid w:val="665B0F37"/>
    <w:rsid w:val="66880E42"/>
    <w:rsid w:val="668B6A45"/>
    <w:rsid w:val="672F3F24"/>
    <w:rsid w:val="673E055F"/>
    <w:rsid w:val="67551CE3"/>
    <w:rsid w:val="677F5B2A"/>
    <w:rsid w:val="67A22552"/>
    <w:rsid w:val="67B22DCC"/>
    <w:rsid w:val="67BE71AA"/>
    <w:rsid w:val="67D90273"/>
    <w:rsid w:val="67DC63DF"/>
    <w:rsid w:val="67DE5875"/>
    <w:rsid w:val="67E55852"/>
    <w:rsid w:val="67EB1AB4"/>
    <w:rsid w:val="67FA1285"/>
    <w:rsid w:val="682744EC"/>
    <w:rsid w:val="68517184"/>
    <w:rsid w:val="68551F4F"/>
    <w:rsid w:val="685E1639"/>
    <w:rsid w:val="68762168"/>
    <w:rsid w:val="687C10C9"/>
    <w:rsid w:val="68840C16"/>
    <w:rsid w:val="68876EFB"/>
    <w:rsid w:val="68884654"/>
    <w:rsid w:val="689F444F"/>
    <w:rsid w:val="68B96DBB"/>
    <w:rsid w:val="68CA2805"/>
    <w:rsid w:val="68E937A3"/>
    <w:rsid w:val="68EF39C0"/>
    <w:rsid w:val="693E15D3"/>
    <w:rsid w:val="69627681"/>
    <w:rsid w:val="6977531D"/>
    <w:rsid w:val="69791EA7"/>
    <w:rsid w:val="6983299E"/>
    <w:rsid w:val="69CC2BFF"/>
    <w:rsid w:val="69F25520"/>
    <w:rsid w:val="69FD55B8"/>
    <w:rsid w:val="6A0B1C62"/>
    <w:rsid w:val="6A2406C8"/>
    <w:rsid w:val="6A5269CD"/>
    <w:rsid w:val="6A5A5F08"/>
    <w:rsid w:val="6A997041"/>
    <w:rsid w:val="6ADE0BD1"/>
    <w:rsid w:val="6ADE7537"/>
    <w:rsid w:val="6AE96859"/>
    <w:rsid w:val="6AED0FCF"/>
    <w:rsid w:val="6AED7A14"/>
    <w:rsid w:val="6B0B1EBE"/>
    <w:rsid w:val="6B147746"/>
    <w:rsid w:val="6B24787C"/>
    <w:rsid w:val="6B2C111D"/>
    <w:rsid w:val="6B573233"/>
    <w:rsid w:val="6B5B6274"/>
    <w:rsid w:val="6B8553A9"/>
    <w:rsid w:val="6B935D53"/>
    <w:rsid w:val="6BC569EA"/>
    <w:rsid w:val="6BC8148B"/>
    <w:rsid w:val="6BDE2E94"/>
    <w:rsid w:val="6BF61164"/>
    <w:rsid w:val="6C196F71"/>
    <w:rsid w:val="6C1C0960"/>
    <w:rsid w:val="6C226FCB"/>
    <w:rsid w:val="6C31226F"/>
    <w:rsid w:val="6C527389"/>
    <w:rsid w:val="6C552F0B"/>
    <w:rsid w:val="6C840AE1"/>
    <w:rsid w:val="6C8C67B7"/>
    <w:rsid w:val="6C947788"/>
    <w:rsid w:val="6C9D744C"/>
    <w:rsid w:val="6CC1392E"/>
    <w:rsid w:val="6D167928"/>
    <w:rsid w:val="6D181DE8"/>
    <w:rsid w:val="6D26299B"/>
    <w:rsid w:val="6D4772EC"/>
    <w:rsid w:val="6D5B2E17"/>
    <w:rsid w:val="6D9078AF"/>
    <w:rsid w:val="6DA15D94"/>
    <w:rsid w:val="6DAA3FEF"/>
    <w:rsid w:val="6DBD2F07"/>
    <w:rsid w:val="6DC0172B"/>
    <w:rsid w:val="6DCB690C"/>
    <w:rsid w:val="6DCE632F"/>
    <w:rsid w:val="6DD41A5B"/>
    <w:rsid w:val="6DE2733E"/>
    <w:rsid w:val="6DE87D02"/>
    <w:rsid w:val="6DF43C2E"/>
    <w:rsid w:val="6DF51CA3"/>
    <w:rsid w:val="6E0C6803"/>
    <w:rsid w:val="6E344B86"/>
    <w:rsid w:val="6E7036CB"/>
    <w:rsid w:val="6E8335BD"/>
    <w:rsid w:val="6E8E12EF"/>
    <w:rsid w:val="6E9711DB"/>
    <w:rsid w:val="6E972936"/>
    <w:rsid w:val="6ED446C5"/>
    <w:rsid w:val="6ED8053D"/>
    <w:rsid w:val="6EE5454F"/>
    <w:rsid w:val="6F0F5C83"/>
    <w:rsid w:val="6F2A7D94"/>
    <w:rsid w:val="6F703DC2"/>
    <w:rsid w:val="6F8331F1"/>
    <w:rsid w:val="6FAC6706"/>
    <w:rsid w:val="6FAE1A09"/>
    <w:rsid w:val="6FB52EC7"/>
    <w:rsid w:val="6FD74555"/>
    <w:rsid w:val="6FD75BF8"/>
    <w:rsid w:val="6FEC6C0A"/>
    <w:rsid w:val="701939E3"/>
    <w:rsid w:val="702712B8"/>
    <w:rsid w:val="703F2826"/>
    <w:rsid w:val="704C01AF"/>
    <w:rsid w:val="707723D0"/>
    <w:rsid w:val="70F5661B"/>
    <w:rsid w:val="70F86B47"/>
    <w:rsid w:val="70FC0F3B"/>
    <w:rsid w:val="7111358D"/>
    <w:rsid w:val="71360107"/>
    <w:rsid w:val="713B688E"/>
    <w:rsid w:val="71684DCF"/>
    <w:rsid w:val="716A6432"/>
    <w:rsid w:val="71721D28"/>
    <w:rsid w:val="71743213"/>
    <w:rsid w:val="71B524C1"/>
    <w:rsid w:val="71C04054"/>
    <w:rsid w:val="71D43752"/>
    <w:rsid w:val="71D62C7C"/>
    <w:rsid w:val="71F1796A"/>
    <w:rsid w:val="72154626"/>
    <w:rsid w:val="72262B5D"/>
    <w:rsid w:val="72283FF7"/>
    <w:rsid w:val="722E7212"/>
    <w:rsid w:val="723A0474"/>
    <w:rsid w:val="723C3877"/>
    <w:rsid w:val="725923E4"/>
    <w:rsid w:val="72837E28"/>
    <w:rsid w:val="72864BF7"/>
    <w:rsid w:val="728A625F"/>
    <w:rsid w:val="729023FC"/>
    <w:rsid w:val="72902E7D"/>
    <w:rsid w:val="73325D42"/>
    <w:rsid w:val="73C0646E"/>
    <w:rsid w:val="73E44A5D"/>
    <w:rsid w:val="74147B26"/>
    <w:rsid w:val="742222F5"/>
    <w:rsid w:val="742B6B3B"/>
    <w:rsid w:val="742F617E"/>
    <w:rsid w:val="74476126"/>
    <w:rsid w:val="74672D9E"/>
    <w:rsid w:val="74706664"/>
    <w:rsid w:val="747F3682"/>
    <w:rsid w:val="749C4185"/>
    <w:rsid w:val="7502290C"/>
    <w:rsid w:val="75067759"/>
    <w:rsid w:val="751D2A9F"/>
    <w:rsid w:val="752E6DCD"/>
    <w:rsid w:val="754A60CC"/>
    <w:rsid w:val="7551380D"/>
    <w:rsid w:val="75600BE5"/>
    <w:rsid w:val="7564475C"/>
    <w:rsid w:val="7583797F"/>
    <w:rsid w:val="75B56EF4"/>
    <w:rsid w:val="75D20F1D"/>
    <w:rsid w:val="75DA2C18"/>
    <w:rsid w:val="75DB50E7"/>
    <w:rsid w:val="75F54412"/>
    <w:rsid w:val="761532B7"/>
    <w:rsid w:val="761D08E0"/>
    <w:rsid w:val="76404F41"/>
    <w:rsid w:val="765D347C"/>
    <w:rsid w:val="76826699"/>
    <w:rsid w:val="76A4339B"/>
    <w:rsid w:val="76C87133"/>
    <w:rsid w:val="76CD08D5"/>
    <w:rsid w:val="76DB4B92"/>
    <w:rsid w:val="76E0438F"/>
    <w:rsid w:val="77052AA4"/>
    <w:rsid w:val="77136511"/>
    <w:rsid w:val="772A45D3"/>
    <w:rsid w:val="77340A39"/>
    <w:rsid w:val="77351FD0"/>
    <w:rsid w:val="77472422"/>
    <w:rsid w:val="777F31F2"/>
    <w:rsid w:val="77A04FB2"/>
    <w:rsid w:val="77A652F7"/>
    <w:rsid w:val="77B9353A"/>
    <w:rsid w:val="77C460AF"/>
    <w:rsid w:val="77D1700D"/>
    <w:rsid w:val="77D46B75"/>
    <w:rsid w:val="77EC04CC"/>
    <w:rsid w:val="78254DF7"/>
    <w:rsid w:val="783842C9"/>
    <w:rsid w:val="78775729"/>
    <w:rsid w:val="789A157D"/>
    <w:rsid w:val="78A42DB0"/>
    <w:rsid w:val="78A656AB"/>
    <w:rsid w:val="78B2245C"/>
    <w:rsid w:val="78B33DB1"/>
    <w:rsid w:val="78B540D7"/>
    <w:rsid w:val="78C76007"/>
    <w:rsid w:val="78E172CC"/>
    <w:rsid w:val="78EA1D1F"/>
    <w:rsid w:val="78EC6A03"/>
    <w:rsid w:val="7904172F"/>
    <w:rsid w:val="790F7E27"/>
    <w:rsid w:val="792A231A"/>
    <w:rsid w:val="79316829"/>
    <w:rsid w:val="797E66A9"/>
    <w:rsid w:val="798B5882"/>
    <w:rsid w:val="79A97383"/>
    <w:rsid w:val="79E27E8B"/>
    <w:rsid w:val="79E35EAF"/>
    <w:rsid w:val="79F850CE"/>
    <w:rsid w:val="79FD443C"/>
    <w:rsid w:val="7A1371A1"/>
    <w:rsid w:val="7A1D1975"/>
    <w:rsid w:val="7A3E5150"/>
    <w:rsid w:val="7A4670D6"/>
    <w:rsid w:val="7A534B63"/>
    <w:rsid w:val="7A5A20C7"/>
    <w:rsid w:val="7A615382"/>
    <w:rsid w:val="7A643BCC"/>
    <w:rsid w:val="7A67303B"/>
    <w:rsid w:val="7A822B12"/>
    <w:rsid w:val="7A896A58"/>
    <w:rsid w:val="7AAB1D04"/>
    <w:rsid w:val="7AAD27F0"/>
    <w:rsid w:val="7ABA4368"/>
    <w:rsid w:val="7AC51DFD"/>
    <w:rsid w:val="7AD05746"/>
    <w:rsid w:val="7AFD1C26"/>
    <w:rsid w:val="7B257FFD"/>
    <w:rsid w:val="7B343476"/>
    <w:rsid w:val="7B5A2978"/>
    <w:rsid w:val="7B5A7E4C"/>
    <w:rsid w:val="7B667AF9"/>
    <w:rsid w:val="7B7468F8"/>
    <w:rsid w:val="7B8176A9"/>
    <w:rsid w:val="7BD67FB8"/>
    <w:rsid w:val="7BE0163E"/>
    <w:rsid w:val="7BEE0103"/>
    <w:rsid w:val="7C0A0FE4"/>
    <w:rsid w:val="7C1A0ECB"/>
    <w:rsid w:val="7C254906"/>
    <w:rsid w:val="7C590818"/>
    <w:rsid w:val="7C653670"/>
    <w:rsid w:val="7C6E5018"/>
    <w:rsid w:val="7C7C10F6"/>
    <w:rsid w:val="7C853BEA"/>
    <w:rsid w:val="7C881368"/>
    <w:rsid w:val="7C890CE6"/>
    <w:rsid w:val="7C9453FC"/>
    <w:rsid w:val="7CAA0983"/>
    <w:rsid w:val="7CAF41D8"/>
    <w:rsid w:val="7CBE0CE6"/>
    <w:rsid w:val="7CC443B1"/>
    <w:rsid w:val="7CE27788"/>
    <w:rsid w:val="7CE357B0"/>
    <w:rsid w:val="7D0C32F1"/>
    <w:rsid w:val="7D0F408D"/>
    <w:rsid w:val="7D491C6C"/>
    <w:rsid w:val="7D4C0330"/>
    <w:rsid w:val="7D5429C0"/>
    <w:rsid w:val="7D54519E"/>
    <w:rsid w:val="7D6E6D43"/>
    <w:rsid w:val="7DB57A34"/>
    <w:rsid w:val="7DD554C1"/>
    <w:rsid w:val="7DE06EDF"/>
    <w:rsid w:val="7DE60973"/>
    <w:rsid w:val="7DEF0916"/>
    <w:rsid w:val="7E1E5218"/>
    <w:rsid w:val="7E760C64"/>
    <w:rsid w:val="7E9A4E1F"/>
    <w:rsid w:val="7E9E2E94"/>
    <w:rsid w:val="7EA7723A"/>
    <w:rsid w:val="7EDD1310"/>
    <w:rsid w:val="7EF56FBB"/>
    <w:rsid w:val="7EF92F30"/>
    <w:rsid w:val="7EFB52F9"/>
    <w:rsid w:val="7EFD41B3"/>
    <w:rsid w:val="7F0768EB"/>
    <w:rsid w:val="7F143BEC"/>
    <w:rsid w:val="7F39191A"/>
    <w:rsid w:val="7F4F44D6"/>
    <w:rsid w:val="7F715AF2"/>
    <w:rsid w:val="7F886E69"/>
    <w:rsid w:val="7FA07938"/>
    <w:rsid w:val="7FD701B1"/>
    <w:rsid w:val="B8AF86AF"/>
    <w:rsid w:val="BB7FA927"/>
    <w:rsid w:val="F5FFD31F"/>
    <w:rsid w:val="F6F99AB4"/>
    <w:rsid w:val="FBF50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semiHidden/>
    <w:unhideWhenUsed/>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semiHidden/>
    <w:unhideWhenUsed/>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semiHidden/>
    <w:unhideWhenUsed/>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semiHidden/>
    <w:unhideWhenUsed/>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semiHidden/>
    <w:unhideWhenUsed/>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semiHidden/>
    <w:unhideWhenUsed/>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semiHidden/>
    <w:unhideWhenUsed/>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semiHidden/>
    <w:unhideWhenUsed/>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263"/>
    <w:qFormat/>
    <w:uiPriority w:val="0"/>
    <w:pPr>
      <w:spacing w:line="480" w:lineRule="exact"/>
      <w:ind w:firstLine="480" w:firstLineChars="200"/>
    </w:pPr>
    <w:rPr>
      <w:rFonts w:ascii="宋体" w:hAnsi="宋体"/>
      <w:sz w:val="24"/>
    </w:rPr>
  </w:style>
  <w:style w:type="paragraph" w:styleId="6">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semiHidden/>
    <w:unhideWhenUsed/>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0"/>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qFormat/>
    <w:uiPriority w:val="0"/>
    <w:pPr>
      <w:snapToGrid w:val="0"/>
      <w:spacing w:line="360" w:lineRule="auto"/>
      <w:ind w:left="360" w:right="238" w:hanging="360"/>
      <w:contextualSpacing/>
    </w:pPr>
    <w:rPr>
      <w:sz w:val="24"/>
    </w:rPr>
  </w:style>
  <w:style w:type="paragraph" w:styleId="24">
    <w:name w:val="Body Text"/>
    <w:basedOn w:val="1"/>
    <w:next w:val="25"/>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19"/>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0"/>
    <w:pPr>
      <w:tabs>
        <w:tab w:val="center" w:pos="4153"/>
        <w:tab w:val="right" w:pos="8306"/>
      </w:tabs>
      <w:snapToGrid w:val="0"/>
      <w:jc w:val="left"/>
    </w:pPr>
    <w:rPr>
      <w:sz w:val="18"/>
      <w:szCs w:val="18"/>
    </w:rPr>
  </w:style>
  <w:style w:type="paragraph" w:styleId="42">
    <w:name w:val="header"/>
    <w:basedOn w:val="1"/>
    <w:link w:val="390"/>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0"/>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2"/>
    <w:basedOn w:val="2"/>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0"/>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0"/>
    <w:rPr>
      <w:rFonts w:ascii="Arial" w:hAnsi="Arial" w:eastAsia="黑体" w:cs="Arial"/>
      <w:snapToGrid w:val="0"/>
      <w:color w:val="000000"/>
      <w:kern w:val="0"/>
      <w:sz w:val="18"/>
      <w:szCs w:val="18"/>
      <w:u w:val="none"/>
    </w:rPr>
  </w:style>
  <w:style w:type="character" w:styleId="74">
    <w:name w:val="Emphasis"/>
    <w:qFormat/>
    <w:uiPriority w:val="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0"/>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0"/>
    <w:rPr>
      <w:sz w:val="21"/>
      <w:szCs w:val="21"/>
    </w:rPr>
  </w:style>
  <w:style w:type="paragraph" w:customStyle="1" w:styleId="79">
    <w:name w:val="Normal Indent1"/>
    <w:basedOn w:val="1"/>
    <w:qFormat/>
    <w:uiPriority w:val="0"/>
    <w:pPr>
      <w:adjustRightInd/>
      <w:ind w:firstLine="420"/>
    </w:pPr>
    <w:rPr>
      <w:sz w:val="28"/>
      <w:szCs w:val="20"/>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1"/>
    <w:qFormat/>
    <w:uiPriority w:val="0"/>
    <w:rPr>
      <w:rFonts w:ascii="宋体" w:hAnsi="宋体"/>
      <w:kern w:val="2"/>
      <w:sz w:val="21"/>
      <w:szCs w:val="24"/>
    </w:rPr>
  </w:style>
  <w:style w:type="character" w:customStyle="1" w:styleId="120">
    <w:name w:val="font11"/>
    <w:basedOn w:val="69"/>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basedOn w:val="69"/>
    <w:qFormat/>
    <w:uiPriority w:val="0"/>
    <w:rPr>
      <w:rFonts w:hint="eastAsia" w:ascii="仿宋_GB2312" w:eastAsia="仿宋_GB2312" w:cs="仿宋_GB2312"/>
      <w:color w:val="000000"/>
      <w:sz w:val="22"/>
      <w:szCs w:val="22"/>
      <w:u w:val="none"/>
    </w:rPr>
  </w:style>
  <w:style w:type="character" w:customStyle="1" w:styleId="145">
    <w:name w:val="标题 6 字符"/>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7"/>
    <w:qFormat/>
    <w:uiPriority w:val="0"/>
    <w:rPr>
      <w:rFonts w:ascii="宋体"/>
      <w:kern w:val="2"/>
      <w:sz w:val="24"/>
      <w:szCs w:val="21"/>
      <w:lang w:val="zh-CN"/>
    </w:rPr>
  </w:style>
  <w:style w:type="character" w:customStyle="1" w:styleId="180">
    <w:name w:val="标题 9 字符"/>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basedOn w:val="69"/>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semiHidden/>
    <w:unhideWhenUsed/>
    <w:qFormat/>
    <w:uiPriority w:val="99"/>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
    <w:qFormat/>
    <w:uiPriority w:val="0"/>
    <w:rPr>
      <w:rFonts w:ascii="宋体" w:hAnsi="宋体"/>
      <w:kern w:val="2"/>
      <w:sz w:val="24"/>
      <w:szCs w:val="24"/>
    </w:rPr>
  </w:style>
  <w:style w:type="character" w:customStyle="1" w:styleId="264">
    <w:name w:val="font01"/>
    <w:basedOn w:val="69"/>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basedOn w:val="69"/>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0"/>
    <w:qFormat/>
    <w:uiPriority w:val="0"/>
    <w:rPr>
      <w:b/>
      <w:bCs/>
      <w:kern w:val="2"/>
      <w:sz w:val="24"/>
      <w:szCs w:val="24"/>
    </w:rPr>
  </w:style>
  <w:style w:type="character" w:customStyle="1" w:styleId="306">
    <w:name w:val="正文文本缩进 2 字符"/>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basedOn w:val="69"/>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25"/>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2"/>
    <w:qFormat/>
    <w:uiPriority w:val="0"/>
    <w:rPr>
      <w:kern w:val="2"/>
      <w:sz w:val="21"/>
    </w:rPr>
  </w:style>
  <w:style w:type="character" w:customStyle="1" w:styleId="329">
    <w:name w:val="font31"/>
    <w:basedOn w:val="69"/>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0"/>
    <w:qFormat/>
    <w:uiPriority w:val="0"/>
    <w:rPr>
      <w:kern w:val="2"/>
      <w:sz w:val="21"/>
      <w:szCs w:val="24"/>
    </w:rPr>
  </w:style>
  <w:style w:type="character" w:customStyle="1" w:styleId="343">
    <w:name w:val="签名 字符"/>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basedOn w:val="69"/>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semiHidden/>
    <w:unhideWhenUsed/>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next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9"/>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basedOn w:val="69"/>
    <w:qFormat/>
    <w:uiPriority w:val="0"/>
    <w:rPr>
      <w:rFonts w:hint="eastAsia" w:ascii="宋体" w:hAnsi="宋体" w:eastAsia="宋体" w:cs="宋体"/>
      <w:color w:val="000000"/>
      <w:sz w:val="22"/>
      <w:szCs w:val="22"/>
      <w:u w:val="none"/>
    </w:rPr>
  </w:style>
  <w:style w:type="character" w:customStyle="1" w:styleId="961">
    <w:name w:val="font91"/>
    <w:basedOn w:val="69"/>
    <w:qFormat/>
    <w:uiPriority w:val="0"/>
    <w:rPr>
      <w:rFonts w:hint="eastAsia" w:ascii="仿宋" w:hAnsi="仿宋" w:eastAsia="仿宋" w:cs="仿宋"/>
      <w:color w:val="000000"/>
      <w:sz w:val="22"/>
      <w:szCs w:val="22"/>
      <w:u w:val="none"/>
    </w:rPr>
  </w:style>
  <w:style w:type="character" w:customStyle="1" w:styleId="962">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963">
    <w:name w:val="font101"/>
    <w:basedOn w:val="69"/>
    <w:qFormat/>
    <w:uiPriority w:val="0"/>
    <w:rPr>
      <w:rFonts w:hint="eastAsia" w:ascii="新宋体" w:hAnsi="新宋体" w:eastAsia="新宋体" w:cs="新宋体"/>
      <w:color w:val="000000"/>
      <w:sz w:val="16"/>
      <w:szCs w:val="16"/>
      <w:u w:val="none"/>
    </w:rPr>
  </w:style>
  <w:style w:type="character" w:customStyle="1" w:styleId="964">
    <w:name w:val="font122"/>
    <w:basedOn w:val="69"/>
    <w:qFormat/>
    <w:uiPriority w:val="0"/>
    <w:rPr>
      <w:rFonts w:hint="eastAsia" w:ascii="新宋体" w:hAnsi="新宋体" w:eastAsia="新宋体" w:cs="新宋体"/>
      <w:color w:val="000000"/>
      <w:sz w:val="18"/>
      <w:szCs w:val="18"/>
      <w:u w:val="none"/>
      <w:vertAlign w:val="superscript"/>
    </w:rPr>
  </w:style>
  <w:style w:type="character" w:customStyle="1" w:styleId="965">
    <w:name w:val="font131"/>
    <w:basedOn w:val="69"/>
    <w:qFormat/>
    <w:uiPriority w:val="0"/>
    <w:rPr>
      <w:rFonts w:hint="eastAsia" w:ascii="新宋体" w:hAnsi="新宋体" w:eastAsia="新宋体" w:cs="新宋体"/>
      <w:color w:val="000000"/>
      <w:sz w:val="20"/>
      <w:szCs w:val="20"/>
      <w:u w:val="none"/>
      <w:vertAlign w:val="superscript"/>
    </w:rPr>
  </w:style>
  <w:style w:type="table" w:customStyle="1" w:styleId="966">
    <w:name w:val="Table Normal"/>
    <w:semiHidden/>
    <w:unhideWhenUsed/>
    <w:qFormat/>
    <w:uiPriority w:val="0"/>
    <w:tblPr>
      <w:tblCellMar>
        <w:top w:w="0" w:type="dxa"/>
        <w:left w:w="0" w:type="dxa"/>
        <w:bottom w:w="0" w:type="dxa"/>
        <w:right w:w="0" w:type="dxa"/>
      </w:tblCellMar>
    </w:tblPr>
  </w:style>
  <w:style w:type="character" w:customStyle="1" w:styleId="967">
    <w:name w:val="Unresolved Mention"/>
    <w:basedOn w:val="6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jpeg"/><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93</Pages>
  <Words>48464</Words>
  <Characters>51506</Characters>
  <Lines>423</Lines>
  <Paragraphs>119</Paragraphs>
  <TotalTime>111</TotalTime>
  <ScaleCrop>false</ScaleCrop>
  <LinksUpToDate>false</LinksUpToDate>
  <CharactersWithSpaces>56555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jxj</cp:lastModifiedBy>
  <cp:lastPrinted>2022-11-22T04:24:00Z</cp:lastPrinted>
  <dcterms:modified xsi:type="dcterms:W3CDTF">2022-12-13T06:24:47Z</dcterms:modified>
  <dc:title>杭州市市民卡扩大发卡工程</dc:title>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24B3B36B560441ECBD10FD7862642620</vt:lpwstr>
  </property>
</Properties>
</file>