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textAlignment w:val="bottom"/>
        <w:outlineLvl w:val="9"/>
        <w:rPr>
          <w:rFonts w:ascii="宋体"/>
          <w:b/>
          <w:color w:val="000000"/>
          <w:sz w:val="84"/>
        </w:rPr>
      </w:pPr>
      <w:r>
        <w:rPr>
          <w:rFonts w:ascii="宋体" w:hAnsi="宋体"/>
          <w:b/>
          <w:color w:val="000000"/>
          <w:sz w:val="84"/>
        </w:rPr>
        <w:t xml:space="preserve"> </w:t>
      </w:r>
    </w:p>
    <w:p>
      <w:pPr>
        <w:autoSpaceDE w:val="0"/>
        <w:autoSpaceDN w:val="0"/>
        <w:spacing w:line="360" w:lineRule="auto"/>
        <w:ind w:firstLine="2100" w:firstLineChars="250"/>
        <w:textAlignment w:val="bottom"/>
        <w:outlineLvl w:val="0"/>
        <w:rPr>
          <w:rFonts w:hint="eastAsia" w:ascii="宋体" w:hAnsi="宋体" w:eastAsia="宋体" w:cs="宋体"/>
          <w:color w:val="auto"/>
          <w:sz w:val="72"/>
        </w:rPr>
      </w:pPr>
      <w:bookmarkStart w:id="0" w:name="_Toc5281"/>
      <w:bookmarkStart w:id="1" w:name="_Toc10522"/>
      <w:bookmarkStart w:id="2" w:name="_Toc23946"/>
      <w:bookmarkStart w:id="3" w:name="_Toc1468"/>
      <w:r>
        <w:rPr>
          <w:rFonts w:hint="eastAsia" w:ascii="宋体" w:hAnsi="宋体" w:eastAsia="宋体" w:cs="宋体"/>
          <w:b/>
          <w:color w:val="auto"/>
          <w:sz w:val="84"/>
        </w:rPr>
        <w:t>招 标 文 件</w:t>
      </w:r>
      <w:bookmarkEnd w:id="0"/>
      <w:bookmarkEnd w:id="1"/>
      <w:bookmarkEnd w:id="2"/>
      <w:bookmarkEnd w:id="3"/>
    </w:p>
    <w:p>
      <w:pPr>
        <w:autoSpaceDE w:val="0"/>
        <w:autoSpaceDN w:val="0"/>
        <w:spacing w:line="360" w:lineRule="auto"/>
        <w:ind w:firstLine="1440" w:firstLineChars="400"/>
        <w:textAlignment w:val="bottom"/>
        <w:outlineLvl w:val="9"/>
        <w:rPr>
          <w:rFonts w:hint="eastAsia" w:ascii="宋体" w:hAnsi="宋体" w:eastAsia="宋体" w:cs="宋体"/>
          <w:b/>
          <w:color w:val="auto"/>
          <w:sz w:val="36"/>
        </w:rPr>
      </w:pPr>
    </w:p>
    <w:p>
      <w:pPr>
        <w:autoSpaceDE w:val="0"/>
        <w:autoSpaceDN w:val="0"/>
        <w:spacing w:line="360" w:lineRule="auto"/>
        <w:ind w:firstLine="1440" w:firstLineChars="400"/>
        <w:textAlignment w:val="bottom"/>
        <w:outlineLvl w:val="9"/>
        <w:rPr>
          <w:rFonts w:hint="eastAsia" w:ascii="宋体" w:hAnsi="宋体" w:eastAsia="宋体" w:cs="宋体"/>
          <w:b/>
          <w:color w:val="auto"/>
          <w:sz w:val="36"/>
        </w:rPr>
      </w:pPr>
    </w:p>
    <w:p>
      <w:pPr>
        <w:autoSpaceDE w:val="0"/>
        <w:autoSpaceDN w:val="0"/>
        <w:spacing w:line="240" w:lineRule="auto"/>
        <w:ind w:firstLine="720" w:firstLineChars="200"/>
        <w:textAlignment w:val="bottom"/>
        <w:outlineLvl w:val="0"/>
        <w:rPr>
          <w:rFonts w:hint="eastAsia" w:ascii="宋体" w:hAnsi="宋体" w:eastAsia="宋体" w:cs="宋体"/>
          <w:b/>
          <w:color w:val="auto"/>
          <w:sz w:val="36"/>
          <w:szCs w:val="36"/>
        </w:rPr>
      </w:pPr>
      <w:bookmarkStart w:id="4" w:name="_Toc8617"/>
      <w:bookmarkStart w:id="5" w:name="_Toc28647"/>
      <w:bookmarkStart w:id="6" w:name="_Toc2168"/>
      <w:bookmarkStart w:id="7" w:name="_Toc18349"/>
      <w:r>
        <w:rPr>
          <w:rFonts w:hint="eastAsia" w:ascii="宋体" w:hAnsi="宋体" w:eastAsia="宋体" w:cs="宋体"/>
          <w:b/>
          <w:color w:val="auto"/>
          <w:sz w:val="36"/>
          <w:szCs w:val="36"/>
        </w:rPr>
        <w:t>采购编号：</w:t>
      </w:r>
      <w:bookmarkEnd w:id="4"/>
      <w:r>
        <w:rPr>
          <w:rFonts w:hint="eastAsia" w:ascii="宋体" w:hAnsi="宋体" w:eastAsia="宋体" w:cs="宋体"/>
          <w:b/>
          <w:color w:val="auto"/>
          <w:sz w:val="36"/>
          <w:szCs w:val="36"/>
          <w:lang w:eastAsia="zh-CN"/>
        </w:rPr>
        <w:t>欧龙采2020-007</w:t>
      </w:r>
      <w:bookmarkEnd w:id="5"/>
      <w:bookmarkEnd w:id="6"/>
      <w:bookmarkEnd w:id="7"/>
    </w:p>
    <w:p>
      <w:pPr>
        <w:spacing w:line="240" w:lineRule="auto"/>
        <w:ind w:firstLine="720" w:firstLineChars="200"/>
        <w:jc w:val="left"/>
        <w:rPr>
          <w:rFonts w:hint="eastAsia" w:ascii="宋体" w:hAnsi="宋体" w:eastAsia="宋体" w:cs="宋体"/>
          <w:b/>
          <w:color w:val="auto"/>
          <w:sz w:val="36"/>
          <w:szCs w:val="36"/>
        </w:rPr>
      </w:pPr>
    </w:p>
    <w:p>
      <w:pPr>
        <w:pStyle w:val="2"/>
        <w:spacing w:line="240" w:lineRule="auto"/>
        <w:rPr>
          <w:rFonts w:hint="eastAsia" w:ascii="宋体" w:hAnsi="宋体" w:eastAsia="宋体" w:cs="宋体"/>
          <w:color w:val="auto"/>
          <w:sz w:val="36"/>
          <w:szCs w:val="36"/>
        </w:rPr>
      </w:pPr>
    </w:p>
    <w:p>
      <w:pPr>
        <w:spacing w:line="240" w:lineRule="auto"/>
        <w:ind w:firstLine="720" w:firstLineChars="2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项目名称：</w:t>
      </w:r>
      <w:r>
        <w:rPr>
          <w:rFonts w:hint="eastAsia" w:ascii="宋体" w:hAnsi="宋体" w:cs="宋体"/>
          <w:b/>
          <w:color w:val="auto"/>
          <w:sz w:val="36"/>
          <w:szCs w:val="36"/>
          <w:lang w:eastAsia="zh-CN"/>
        </w:rPr>
        <w:t>龙泉市房改资金竞争性存放项目</w:t>
      </w:r>
    </w:p>
    <w:p>
      <w:pPr>
        <w:spacing w:line="240" w:lineRule="auto"/>
        <w:ind w:firstLine="720" w:firstLineChars="200"/>
        <w:rPr>
          <w:rFonts w:hint="eastAsia" w:ascii="宋体" w:hAnsi="宋体" w:eastAsia="宋体" w:cs="宋体"/>
          <w:b/>
          <w:color w:val="auto"/>
          <w:sz w:val="36"/>
          <w:szCs w:val="36"/>
        </w:rPr>
      </w:pPr>
    </w:p>
    <w:p>
      <w:pPr>
        <w:pStyle w:val="2"/>
        <w:spacing w:line="240" w:lineRule="auto"/>
        <w:rPr>
          <w:rFonts w:hint="eastAsia" w:ascii="宋体" w:hAnsi="宋体" w:eastAsia="宋体" w:cs="宋体"/>
          <w:color w:val="auto"/>
          <w:sz w:val="36"/>
          <w:szCs w:val="36"/>
        </w:rPr>
      </w:pPr>
    </w:p>
    <w:p>
      <w:pPr>
        <w:spacing w:line="240" w:lineRule="auto"/>
        <w:ind w:firstLine="720" w:firstLineChars="200"/>
        <w:rPr>
          <w:rFonts w:hint="eastAsia" w:ascii="宋体" w:hAnsi="宋体" w:eastAsia="宋体" w:cs="宋体"/>
          <w:b/>
          <w:color w:val="auto"/>
          <w:w w:val="90"/>
          <w:sz w:val="36"/>
          <w:szCs w:val="36"/>
        </w:rPr>
      </w:pPr>
      <w:r>
        <w:rPr>
          <w:rFonts w:hint="eastAsia" w:ascii="宋体" w:hAnsi="宋体" w:eastAsia="宋体" w:cs="宋体"/>
          <w:b/>
          <w:color w:val="auto"/>
          <w:sz w:val="36"/>
          <w:szCs w:val="36"/>
        </w:rPr>
        <w:t xml:space="preserve">采  购 人: </w:t>
      </w:r>
      <w:r>
        <w:rPr>
          <w:rFonts w:hint="eastAsia" w:ascii="宋体" w:hAnsi="宋体" w:cs="宋体"/>
          <w:b/>
          <w:color w:val="auto"/>
          <w:sz w:val="36"/>
          <w:szCs w:val="36"/>
          <w:lang w:eastAsia="zh-CN"/>
        </w:rPr>
        <w:t>龙泉市住房改革委员会办公室</w:t>
      </w:r>
      <w:r>
        <w:rPr>
          <w:rFonts w:hint="eastAsia" w:ascii="宋体" w:hAnsi="宋体" w:eastAsia="宋体" w:cs="宋体"/>
          <w:b/>
          <w:color w:val="auto"/>
          <w:w w:val="90"/>
          <w:sz w:val="36"/>
          <w:szCs w:val="36"/>
        </w:rPr>
        <w:t xml:space="preserve">                    </w:t>
      </w:r>
    </w:p>
    <w:p>
      <w:pPr>
        <w:autoSpaceDE w:val="0"/>
        <w:autoSpaceDN w:val="0"/>
        <w:spacing w:line="240" w:lineRule="auto"/>
        <w:ind w:firstLine="720" w:firstLineChars="200"/>
        <w:jc w:val="both"/>
        <w:textAlignment w:val="bottom"/>
        <w:rPr>
          <w:rFonts w:hint="eastAsia" w:ascii="宋体" w:hAnsi="宋体" w:eastAsia="宋体" w:cs="宋体"/>
          <w:b/>
          <w:color w:val="auto"/>
          <w:sz w:val="36"/>
          <w:szCs w:val="36"/>
        </w:rPr>
      </w:pPr>
    </w:p>
    <w:p>
      <w:pPr>
        <w:pStyle w:val="2"/>
        <w:spacing w:line="240" w:lineRule="auto"/>
        <w:rPr>
          <w:rFonts w:hint="eastAsia" w:ascii="宋体" w:hAnsi="宋体" w:eastAsia="宋体" w:cs="宋体"/>
          <w:color w:val="auto"/>
          <w:sz w:val="36"/>
          <w:szCs w:val="36"/>
        </w:rPr>
      </w:pPr>
    </w:p>
    <w:p>
      <w:pPr>
        <w:autoSpaceDE w:val="0"/>
        <w:autoSpaceDN w:val="0"/>
        <w:spacing w:line="240" w:lineRule="auto"/>
        <w:ind w:firstLine="720" w:firstLineChars="200"/>
        <w:jc w:val="both"/>
        <w:textAlignment w:val="bottom"/>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欧邦工程管理有限公司</w:t>
      </w:r>
    </w:p>
    <w:p>
      <w:pPr>
        <w:pStyle w:val="20"/>
        <w:spacing w:line="240" w:lineRule="auto"/>
        <w:jc w:val="center"/>
        <w:rPr>
          <w:rFonts w:hint="eastAsia" w:ascii="宋体" w:hAnsi="宋体" w:eastAsia="宋体" w:cs="宋体"/>
          <w:b/>
          <w:color w:val="auto"/>
          <w:sz w:val="36"/>
          <w:szCs w:val="36"/>
        </w:rPr>
      </w:pPr>
    </w:p>
    <w:p>
      <w:pPr>
        <w:pStyle w:val="20"/>
        <w:spacing w:line="24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w:t>
      </w:r>
    </w:p>
    <w:p>
      <w:pPr>
        <w:pStyle w:val="20"/>
        <w:spacing w:line="240" w:lineRule="auto"/>
        <w:jc w:val="center"/>
        <w:rPr>
          <w:rFonts w:hint="eastAsia" w:ascii="宋体" w:hAnsi="宋体" w:eastAsia="宋体" w:cs="宋体"/>
          <w:b/>
          <w:color w:val="auto"/>
          <w:sz w:val="36"/>
        </w:rPr>
      </w:pPr>
      <w:r>
        <w:rPr>
          <w:rFonts w:hint="eastAsia" w:ascii="宋体" w:hAnsi="宋体" w:eastAsia="宋体" w:cs="宋体"/>
          <w:b/>
          <w:color w:val="auto"/>
          <w:sz w:val="36"/>
          <w:szCs w:val="36"/>
        </w:rPr>
        <w:t xml:space="preserve"> 二</w:t>
      </w:r>
      <w:r>
        <w:rPr>
          <w:rFonts w:hint="eastAsia" w:ascii="宋体" w:hAnsi="宋体" w:eastAsia="宋体" w:cs="宋体"/>
          <w:b/>
          <w:color w:val="auto"/>
          <w:sz w:val="36"/>
          <w:szCs w:val="36"/>
          <w:lang w:eastAsia="zh-CN"/>
        </w:rPr>
        <w:t>〇</w:t>
      </w:r>
      <w:r>
        <w:rPr>
          <w:rFonts w:hint="eastAsia" w:ascii="宋体" w:hAnsi="宋体" w:eastAsia="宋体" w:cs="宋体"/>
          <w:b/>
          <w:color w:val="auto"/>
          <w:sz w:val="36"/>
          <w:szCs w:val="36"/>
        </w:rPr>
        <w:t>二</w:t>
      </w:r>
      <w:r>
        <w:rPr>
          <w:rFonts w:hint="eastAsia" w:ascii="宋体" w:hAnsi="宋体" w:eastAsia="宋体" w:cs="宋体"/>
          <w:b/>
          <w:color w:val="auto"/>
          <w:sz w:val="36"/>
          <w:szCs w:val="36"/>
          <w:lang w:eastAsia="zh-CN"/>
        </w:rPr>
        <w:t>〇</w:t>
      </w:r>
      <w:r>
        <w:rPr>
          <w:rFonts w:hint="eastAsia" w:ascii="宋体" w:hAnsi="宋体" w:eastAsia="宋体" w:cs="宋体"/>
          <w:b/>
          <w:color w:val="auto"/>
          <w:sz w:val="36"/>
          <w:szCs w:val="36"/>
        </w:rPr>
        <w:t>年</w:t>
      </w:r>
      <w:r>
        <w:rPr>
          <w:rFonts w:hint="eastAsia" w:ascii="宋体" w:hAnsi="宋体" w:eastAsia="宋体" w:cs="宋体"/>
          <w:b/>
          <w:color w:val="auto"/>
          <w:sz w:val="36"/>
          <w:szCs w:val="36"/>
          <w:lang w:eastAsia="zh-CN"/>
        </w:rPr>
        <w:t>三</w:t>
      </w:r>
      <w:r>
        <w:rPr>
          <w:rFonts w:hint="eastAsia" w:ascii="宋体" w:hAnsi="宋体" w:eastAsia="宋体" w:cs="宋体"/>
          <w:b/>
          <w:color w:val="auto"/>
          <w:sz w:val="36"/>
          <w:szCs w:val="36"/>
        </w:rPr>
        <w:t>月</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jc w:val="center"/>
        <w:rPr>
          <w:rFonts w:hint="eastAsia" w:ascii="宋体" w:hAnsi="宋体" w:eastAsia="宋体" w:cs="宋体"/>
          <w:b/>
          <w:bCs/>
          <w:color w:val="auto"/>
          <w:sz w:val="32"/>
        </w:rPr>
      </w:pPr>
      <w:r>
        <w:rPr>
          <w:rFonts w:hint="eastAsia" w:ascii="宋体" w:hAnsi="宋体" w:eastAsia="宋体" w:cs="宋体"/>
          <w:b/>
          <w:bCs/>
          <w:color w:val="auto"/>
          <w:sz w:val="32"/>
        </w:rPr>
        <w:t xml:space="preserve">  </w:t>
      </w:r>
    </w:p>
    <w:p>
      <w:pPr>
        <w:pStyle w:val="2"/>
        <w:rPr>
          <w:rFonts w:hint="eastAsia" w:ascii="宋体" w:hAnsi="宋体" w:eastAsia="宋体" w:cs="宋体"/>
          <w:color w:val="auto"/>
        </w:rPr>
        <w:sectPr>
          <w:headerReference r:id="rId4" w:type="first"/>
          <w:footerReference r:id="rId6" w:type="first"/>
          <w:headerReference r:id="rId3" w:type="default"/>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0" w:num="1"/>
          <w:titlePg/>
          <w:rtlGutter w:val="0"/>
          <w:docGrid w:type="linesAndChars" w:linePitch="312" w:charSpace="0"/>
        </w:sect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3"/>
        <w:ind w:firstLine="360" w:firstLineChars="100"/>
        <w:rPr>
          <w:rFonts w:hint="eastAsia" w:ascii="宋体" w:hAnsi="宋体" w:eastAsia="宋体" w:cs="宋体"/>
          <w:b w:val="0"/>
          <w:bCs/>
          <w:color w:val="auto"/>
          <w:sz w:val="36"/>
          <w:szCs w:val="36"/>
          <w:u w:val="single"/>
          <w:lang w:eastAsia="zh-CN"/>
        </w:rPr>
      </w:pPr>
      <w:r>
        <w:rPr>
          <w:rFonts w:hint="eastAsia" w:ascii="宋体" w:hAnsi="宋体" w:eastAsia="宋体" w:cs="宋体"/>
          <w:b w:val="0"/>
          <w:bCs/>
          <w:color w:val="auto"/>
          <w:sz w:val="36"/>
          <w:szCs w:val="36"/>
        </w:rPr>
        <w:t>项目名称：</w:t>
      </w:r>
      <w:r>
        <w:rPr>
          <w:rFonts w:hint="eastAsia" w:ascii="宋体" w:hAnsi="宋体" w:eastAsia="宋体" w:cs="宋体"/>
          <w:b w:val="0"/>
          <w:bCs/>
          <w:color w:val="auto"/>
          <w:sz w:val="36"/>
          <w:szCs w:val="36"/>
          <w:u w:val="none"/>
          <w:lang w:eastAsia="zh-CN"/>
        </w:rPr>
        <w:t>龙泉市房改资金竞争性存放项目</w:t>
      </w:r>
    </w:p>
    <w:p>
      <w:pPr>
        <w:pStyle w:val="148"/>
        <w:jc w:val="both"/>
        <w:rPr>
          <w:rFonts w:hint="eastAsia" w:ascii="宋体" w:hAnsi="宋体" w:eastAsia="宋体" w:cs="宋体"/>
          <w:b w:val="0"/>
          <w:bCs/>
          <w:color w:val="auto"/>
          <w:sz w:val="36"/>
          <w:szCs w:val="36"/>
        </w:rPr>
      </w:pPr>
    </w:p>
    <w:p>
      <w:pPr>
        <w:pStyle w:val="148"/>
        <w:jc w:val="both"/>
        <w:rPr>
          <w:rFonts w:hint="eastAsia" w:ascii="宋体" w:hAnsi="宋体" w:eastAsia="宋体" w:cs="宋体"/>
          <w:b w:val="0"/>
          <w:bCs/>
          <w:color w:val="auto"/>
          <w:sz w:val="36"/>
          <w:szCs w:val="36"/>
        </w:rPr>
      </w:pPr>
    </w:p>
    <w:p>
      <w:pPr>
        <w:autoSpaceDE w:val="0"/>
        <w:autoSpaceDN w:val="0"/>
        <w:spacing w:line="360" w:lineRule="auto"/>
        <w:ind w:firstLine="360" w:firstLineChars="100"/>
        <w:textAlignment w:val="bottom"/>
        <w:outlineLvl w:val="0"/>
        <w:rPr>
          <w:rFonts w:hint="eastAsia" w:ascii="宋体" w:hAnsi="宋体" w:eastAsia="宋体" w:cs="宋体"/>
          <w:b w:val="0"/>
          <w:bCs/>
          <w:color w:val="auto"/>
          <w:sz w:val="36"/>
          <w:szCs w:val="36"/>
        </w:rPr>
      </w:pPr>
      <w:bookmarkStart w:id="8" w:name="_Toc3715"/>
      <w:bookmarkStart w:id="9" w:name="_Toc11105"/>
      <w:bookmarkStart w:id="10" w:name="_Toc10955"/>
      <w:bookmarkStart w:id="11" w:name="_Toc8034"/>
      <w:r>
        <w:rPr>
          <w:rFonts w:hint="eastAsia" w:ascii="宋体" w:hAnsi="宋体" w:eastAsia="宋体" w:cs="宋体"/>
          <w:b w:val="0"/>
          <w:bCs/>
          <w:color w:val="auto"/>
          <w:sz w:val="36"/>
          <w:szCs w:val="36"/>
          <w:lang w:eastAsia="zh-CN"/>
        </w:rPr>
        <w:t>采购编号</w:t>
      </w:r>
      <w:r>
        <w:rPr>
          <w:rFonts w:hint="eastAsia" w:ascii="宋体" w:hAnsi="宋体" w:eastAsia="宋体" w:cs="宋体"/>
          <w:b w:val="0"/>
          <w:bCs/>
          <w:color w:val="auto"/>
          <w:sz w:val="36"/>
          <w:szCs w:val="36"/>
        </w:rPr>
        <w:t>：</w:t>
      </w:r>
      <w:bookmarkEnd w:id="8"/>
      <w:r>
        <w:rPr>
          <w:rFonts w:hint="eastAsia" w:ascii="宋体" w:hAnsi="宋体" w:eastAsia="宋体" w:cs="宋体"/>
          <w:b w:val="0"/>
          <w:bCs/>
          <w:color w:val="auto"/>
          <w:sz w:val="36"/>
          <w:szCs w:val="36"/>
          <w:u w:val="none"/>
          <w:lang w:eastAsia="zh-CN"/>
        </w:rPr>
        <w:t>欧龙采2020-007</w:t>
      </w:r>
      <w:bookmarkEnd w:id="9"/>
      <w:bookmarkEnd w:id="10"/>
      <w:bookmarkEnd w:id="11"/>
    </w:p>
    <w:p>
      <w:pPr>
        <w:spacing w:line="360" w:lineRule="auto"/>
        <w:rPr>
          <w:rFonts w:hint="eastAsia" w:ascii="宋体" w:hAnsi="宋体" w:eastAsia="宋体" w:cs="宋体"/>
          <w:b w:val="0"/>
          <w:bCs/>
          <w:color w:val="auto"/>
          <w:sz w:val="36"/>
          <w:szCs w:val="36"/>
        </w:rPr>
      </w:pPr>
    </w:p>
    <w:p>
      <w:pPr>
        <w:pStyle w:val="2"/>
        <w:rPr>
          <w:rFonts w:hint="eastAsia" w:ascii="宋体" w:hAnsi="宋体" w:eastAsia="宋体" w:cs="宋体"/>
          <w:color w:val="auto"/>
        </w:rPr>
      </w:pPr>
    </w:p>
    <w:p>
      <w:pPr>
        <w:ind w:firstLine="360" w:firstLineChars="100"/>
        <w:rPr>
          <w:rFonts w:hint="eastAsia" w:ascii="宋体" w:hAnsi="宋体" w:eastAsia="宋体" w:cs="宋体"/>
          <w:b w:val="0"/>
          <w:bCs/>
          <w:color w:val="auto"/>
          <w:sz w:val="36"/>
          <w:szCs w:val="36"/>
          <w:u w:val="single"/>
        </w:rPr>
      </w:pPr>
      <w:r>
        <w:rPr>
          <w:rFonts w:hint="eastAsia" w:ascii="宋体" w:hAnsi="宋体" w:eastAsia="宋体" w:cs="宋体"/>
          <w:b w:val="0"/>
          <w:bCs/>
          <w:color w:val="auto"/>
          <w:sz w:val="36"/>
          <w:szCs w:val="36"/>
        </w:rPr>
        <w:t>采购人：</w:t>
      </w:r>
      <w:r>
        <w:rPr>
          <w:rFonts w:hint="eastAsia" w:ascii="宋体" w:hAnsi="宋体" w:eastAsia="宋体" w:cs="宋体"/>
          <w:b w:val="0"/>
          <w:bCs/>
          <w:color w:val="auto"/>
          <w:sz w:val="36"/>
          <w:szCs w:val="36"/>
          <w:u w:val="single"/>
          <w:lang w:val="en-US" w:eastAsia="zh-CN"/>
        </w:rPr>
        <w:t xml:space="preserve">    </w:t>
      </w:r>
      <w:r>
        <w:rPr>
          <w:rFonts w:hint="eastAsia" w:ascii="宋体" w:hAnsi="宋体" w:cs="宋体"/>
          <w:b w:val="0"/>
          <w:bCs/>
          <w:color w:val="auto"/>
          <w:sz w:val="36"/>
          <w:szCs w:val="36"/>
          <w:u w:val="single"/>
          <w:lang w:eastAsia="zh-CN"/>
        </w:rPr>
        <w:t>龙泉市住房改革委员会办公室</w:t>
      </w:r>
      <w:r>
        <w:rPr>
          <w:rFonts w:hint="eastAsia" w:ascii="宋体" w:hAnsi="宋体" w:eastAsia="宋体" w:cs="宋体"/>
          <w:b w:val="0"/>
          <w:bCs/>
          <w:color w:val="auto"/>
          <w:sz w:val="36"/>
          <w:szCs w:val="36"/>
          <w:u w:val="single"/>
        </w:rPr>
        <w:t xml:space="preserve"> </w:t>
      </w:r>
      <w:r>
        <w:rPr>
          <w:rFonts w:hint="eastAsia" w:ascii="宋体" w:hAnsi="宋体" w:eastAsia="宋体" w:cs="宋体"/>
          <w:b w:val="0"/>
          <w:bCs/>
          <w:color w:val="auto"/>
          <w:sz w:val="36"/>
          <w:szCs w:val="36"/>
          <w:u w:val="single"/>
          <w:lang w:val="en-US" w:eastAsia="zh-CN"/>
        </w:rPr>
        <w:t xml:space="preserve">  </w:t>
      </w:r>
      <w:r>
        <w:rPr>
          <w:rFonts w:hint="eastAsia" w:ascii="宋体" w:hAnsi="宋体" w:eastAsia="宋体" w:cs="宋体"/>
          <w:b w:val="0"/>
          <w:bCs/>
          <w:color w:val="auto"/>
          <w:sz w:val="36"/>
          <w:szCs w:val="36"/>
        </w:rPr>
        <w:t>(盖章)</w:t>
      </w:r>
    </w:p>
    <w:p>
      <w:pPr>
        <w:ind w:firstLine="180" w:firstLineChars="50"/>
        <w:jc w:val="both"/>
        <w:rPr>
          <w:rFonts w:hint="eastAsia" w:ascii="宋体" w:hAnsi="宋体" w:eastAsia="宋体" w:cs="宋体"/>
          <w:b w:val="0"/>
          <w:bCs/>
          <w:color w:val="auto"/>
          <w:sz w:val="36"/>
          <w:szCs w:val="36"/>
          <w:u w:val="single"/>
        </w:rPr>
      </w:pPr>
    </w:p>
    <w:p>
      <w:pPr>
        <w:pStyle w:val="2"/>
        <w:rPr>
          <w:rFonts w:hint="eastAsia" w:ascii="宋体" w:hAnsi="宋体" w:eastAsia="宋体" w:cs="宋体"/>
          <w:color w:val="auto"/>
        </w:rPr>
      </w:pPr>
    </w:p>
    <w:p>
      <w:pPr>
        <w:spacing w:line="360" w:lineRule="auto"/>
        <w:ind w:firstLine="360" w:firstLineChars="100"/>
        <w:jc w:val="left"/>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法定代表人或授权代表：</w:t>
      </w:r>
      <w:r>
        <w:rPr>
          <w:rFonts w:hint="eastAsia" w:ascii="宋体" w:hAnsi="宋体" w:eastAsia="宋体" w:cs="宋体"/>
          <w:b w:val="0"/>
          <w:bCs/>
          <w:color w:val="auto"/>
          <w:sz w:val="36"/>
          <w:szCs w:val="36"/>
          <w:u w:val="single"/>
        </w:rPr>
        <w:t xml:space="preserve">     </w:t>
      </w:r>
      <w:r>
        <w:rPr>
          <w:rFonts w:hint="eastAsia" w:ascii="宋体" w:hAnsi="宋体" w:eastAsia="宋体" w:cs="宋体"/>
          <w:b w:val="0"/>
          <w:bCs/>
          <w:color w:val="auto"/>
          <w:sz w:val="36"/>
          <w:szCs w:val="36"/>
          <w:u w:val="single"/>
          <w:lang w:val="en-US" w:eastAsia="zh-CN"/>
        </w:rPr>
        <w:t xml:space="preserve"> </w:t>
      </w:r>
      <w:r>
        <w:rPr>
          <w:rFonts w:hint="eastAsia" w:ascii="宋体" w:hAnsi="宋体" w:eastAsia="宋体" w:cs="宋体"/>
          <w:b w:val="0"/>
          <w:bCs/>
          <w:color w:val="auto"/>
          <w:sz w:val="36"/>
          <w:szCs w:val="36"/>
          <w:u w:val="single"/>
        </w:rPr>
        <w:t xml:space="preserve">            </w:t>
      </w:r>
      <w:r>
        <w:rPr>
          <w:rFonts w:hint="eastAsia" w:ascii="宋体" w:hAnsi="宋体" w:eastAsia="宋体" w:cs="宋体"/>
          <w:b w:val="0"/>
          <w:bCs/>
          <w:color w:val="auto"/>
          <w:sz w:val="36"/>
          <w:szCs w:val="36"/>
        </w:rPr>
        <w:t>（签字）</w:t>
      </w:r>
    </w:p>
    <w:p>
      <w:pPr>
        <w:pStyle w:val="148"/>
        <w:jc w:val="both"/>
        <w:rPr>
          <w:rFonts w:hint="eastAsia" w:ascii="宋体" w:hAnsi="宋体" w:eastAsia="宋体" w:cs="宋体"/>
          <w:b w:val="0"/>
          <w:bCs/>
          <w:color w:val="auto"/>
          <w:sz w:val="36"/>
          <w:szCs w:val="36"/>
        </w:rPr>
      </w:pPr>
    </w:p>
    <w:p>
      <w:pPr>
        <w:pStyle w:val="148"/>
        <w:jc w:val="both"/>
        <w:rPr>
          <w:rFonts w:hint="eastAsia" w:ascii="宋体" w:hAnsi="宋体" w:eastAsia="宋体" w:cs="宋体"/>
          <w:b w:val="0"/>
          <w:bCs/>
          <w:color w:val="auto"/>
          <w:sz w:val="36"/>
          <w:szCs w:val="36"/>
        </w:rPr>
      </w:pPr>
    </w:p>
    <w:p>
      <w:pPr>
        <w:ind w:firstLine="360" w:firstLineChars="100"/>
        <w:jc w:val="both"/>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采购代理机构：</w:t>
      </w:r>
      <w:r>
        <w:rPr>
          <w:rFonts w:hint="eastAsia" w:ascii="宋体" w:hAnsi="宋体" w:eastAsia="宋体" w:cs="宋体"/>
          <w:b w:val="0"/>
          <w:bCs/>
          <w:color w:val="auto"/>
          <w:sz w:val="36"/>
          <w:szCs w:val="36"/>
          <w:u w:val="single"/>
          <w:lang w:val="en-US" w:eastAsia="zh-CN"/>
        </w:rPr>
        <w:t xml:space="preserve">   </w:t>
      </w:r>
      <w:r>
        <w:rPr>
          <w:rFonts w:hint="eastAsia" w:ascii="宋体" w:hAnsi="宋体" w:eastAsia="宋体" w:cs="宋体"/>
          <w:b w:val="0"/>
          <w:bCs/>
          <w:color w:val="auto"/>
          <w:sz w:val="36"/>
          <w:szCs w:val="36"/>
          <w:u w:val="single"/>
          <w:lang w:eastAsia="zh-CN"/>
        </w:rPr>
        <w:t>欧邦工程管理有限公司</w:t>
      </w:r>
      <w:r>
        <w:rPr>
          <w:rFonts w:hint="eastAsia" w:ascii="宋体" w:hAnsi="宋体" w:eastAsia="宋体" w:cs="宋体"/>
          <w:b w:val="0"/>
          <w:bCs/>
          <w:color w:val="auto"/>
          <w:sz w:val="36"/>
          <w:szCs w:val="36"/>
          <w:u w:val="single"/>
          <w:lang w:val="en-US" w:eastAsia="zh-CN"/>
        </w:rPr>
        <w:t xml:space="preserve">   </w:t>
      </w:r>
      <w:r>
        <w:rPr>
          <w:rFonts w:hint="eastAsia" w:ascii="宋体" w:hAnsi="宋体" w:eastAsia="宋体" w:cs="宋体"/>
          <w:b w:val="0"/>
          <w:bCs/>
          <w:color w:val="auto"/>
          <w:sz w:val="36"/>
          <w:szCs w:val="36"/>
        </w:rPr>
        <w:t>（盖章）</w:t>
      </w:r>
    </w:p>
    <w:p>
      <w:pPr>
        <w:pStyle w:val="148"/>
        <w:jc w:val="both"/>
        <w:rPr>
          <w:rFonts w:hint="eastAsia" w:ascii="宋体" w:hAnsi="宋体" w:eastAsia="宋体" w:cs="宋体"/>
          <w:b w:val="0"/>
          <w:bCs/>
          <w:color w:val="auto"/>
          <w:sz w:val="36"/>
          <w:szCs w:val="36"/>
        </w:rPr>
      </w:pPr>
    </w:p>
    <w:p>
      <w:pPr>
        <w:pStyle w:val="148"/>
        <w:jc w:val="both"/>
        <w:rPr>
          <w:rFonts w:hint="eastAsia" w:ascii="宋体" w:hAnsi="宋体" w:eastAsia="宋体" w:cs="宋体"/>
          <w:b w:val="0"/>
          <w:bCs/>
          <w:color w:val="auto"/>
          <w:sz w:val="36"/>
          <w:szCs w:val="36"/>
        </w:rPr>
      </w:pPr>
    </w:p>
    <w:p>
      <w:pPr>
        <w:spacing w:line="360" w:lineRule="auto"/>
        <w:ind w:firstLine="360" w:firstLineChars="100"/>
        <w:jc w:val="left"/>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法定代表人或授权代表：</w:t>
      </w:r>
      <w:r>
        <w:rPr>
          <w:rFonts w:hint="eastAsia" w:ascii="宋体" w:hAnsi="宋体" w:eastAsia="宋体" w:cs="宋体"/>
          <w:b w:val="0"/>
          <w:bCs/>
          <w:color w:val="auto"/>
          <w:sz w:val="36"/>
          <w:szCs w:val="36"/>
          <w:u w:val="single"/>
        </w:rPr>
        <w:t xml:space="preserve">     </w:t>
      </w:r>
      <w:r>
        <w:rPr>
          <w:rFonts w:hint="eastAsia" w:ascii="宋体" w:hAnsi="宋体" w:eastAsia="宋体" w:cs="宋体"/>
          <w:b w:val="0"/>
          <w:bCs/>
          <w:color w:val="auto"/>
          <w:sz w:val="36"/>
          <w:szCs w:val="36"/>
          <w:u w:val="single"/>
          <w:lang w:val="en-US" w:eastAsia="zh-CN"/>
        </w:rPr>
        <w:t xml:space="preserve"> </w:t>
      </w:r>
      <w:r>
        <w:rPr>
          <w:rFonts w:hint="eastAsia" w:ascii="宋体" w:hAnsi="宋体" w:eastAsia="宋体" w:cs="宋体"/>
          <w:b w:val="0"/>
          <w:bCs/>
          <w:color w:val="auto"/>
          <w:sz w:val="36"/>
          <w:szCs w:val="36"/>
          <w:u w:val="single"/>
        </w:rPr>
        <w:t xml:space="preserve">            </w:t>
      </w:r>
      <w:r>
        <w:rPr>
          <w:rFonts w:hint="eastAsia" w:ascii="宋体" w:hAnsi="宋体" w:eastAsia="宋体" w:cs="宋体"/>
          <w:b w:val="0"/>
          <w:bCs/>
          <w:color w:val="auto"/>
          <w:sz w:val="36"/>
          <w:szCs w:val="36"/>
        </w:rPr>
        <w:t>（签字）</w:t>
      </w:r>
    </w:p>
    <w:p>
      <w:pPr>
        <w:pStyle w:val="148"/>
        <w:rPr>
          <w:rFonts w:hint="eastAsia" w:ascii="宋体" w:hAnsi="宋体" w:eastAsia="宋体" w:cs="宋体"/>
          <w:b w:val="0"/>
          <w:bCs/>
          <w:color w:val="auto"/>
          <w:sz w:val="36"/>
          <w:szCs w:val="36"/>
        </w:rPr>
      </w:pPr>
    </w:p>
    <w:p>
      <w:pPr>
        <w:pStyle w:val="148"/>
        <w:rPr>
          <w:rFonts w:hint="eastAsia" w:ascii="宋体" w:hAnsi="宋体" w:eastAsia="宋体" w:cs="宋体"/>
          <w:b w:val="0"/>
          <w:bCs/>
          <w:color w:val="auto"/>
          <w:sz w:val="36"/>
          <w:szCs w:val="36"/>
        </w:rPr>
      </w:pPr>
    </w:p>
    <w:p>
      <w:pPr>
        <w:pStyle w:val="148"/>
        <w:rPr>
          <w:rFonts w:hint="eastAsia" w:ascii="宋体" w:hAnsi="宋体" w:eastAsia="宋体" w:cs="宋体"/>
          <w:b w:val="0"/>
          <w:bCs/>
          <w:color w:val="auto"/>
          <w:sz w:val="36"/>
          <w:szCs w:val="36"/>
          <w:lang w:eastAsia="zh-CN"/>
        </w:rPr>
      </w:pPr>
      <w:r>
        <w:rPr>
          <w:rFonts w:hint="eastAsia" w:ascii="宋体" w:hAnsi="宋体" w:eastAsia="宋体" w:cs="宋体"/>
          <w:b w:val="0"/>
          <w:bCs/>
          <w:color w:val="auto"/>
          <w:sz w:val="36"/>
          <w:szCs w:val="36"/>
        </w:rPr>
        <w:t>日期：</w:t>
      </w:r>
      <w:r>
        <w:rPr>
          <w:rFonts w:hint="eastAsia" w:cs="宋体"/>
          <w:b w:val="0"/>
          <w:bCs/>
          <w:color w:val="auto"/>
          <w:sz w:val="36"/>
          <w:szCs w:val="36"/>
          <w:lang w:eastAsia="zh-CN"/>
        </w:rPr>
        <w:t>2020年03月25日</w:t>
      </w:r>
    </w:p>
    <w:p>
      <w:pPr>
        <w:jc w:val="center"/>
        <w:rPr>
          <w:rFonts w:hint="eastAsia" w:ascii="宋体" w:hAnsi="宋体" w:eastAsia="宋体" w:cs="宋体"/>
          <w:b/>
          <w:bCs/>
          <w:color w:val="auto"/>
          <w:sz w:val="32"/>
        </w:rPr>
      </w:pPr>
      <w:r>
        <w:rPr>
          <w:rFonts w:hint="eastAsia" w:ascii="宋体" w:hAnsi="宋体" w:eastAsia="宋体" w:cs="宋体"/>
          <w:b/>
          <w:bCs/>
          <w:color w:val="auto"/>
          <w:sz w:val="32"/>
        </w:rPr>
        <w:t xml:space="preserve"> </w:t>
      </w:r>
    </w:p>
    <w:p>
      <w:pPr>
        <w:jc w:val="center"/>
        <w:rPr>
          <w:rFonts w:hint="eastAsia" w:ascii="宋体" w:hAnsi="宋体" w:eastAsia="宋体" w:cs="宋体"/>
          <w:b/>
          <w:bCs/>
          <w:color w:val="auto"/>
          <w:sz w:val="32"/>
        </w:rPr>
      </w:pPr>
    </w:p>
    <w:p>
      <w:pPr>
        <w:pStyle w:val="2"/>
        <w:rPr>
          <w:rFonts w:hint="eastAsia" w:ascii="宋体" w:hAnsi="宋体" w:eastAsia="宋体" w:cs="宋体"/>
          <w:color w:val="auto"/>
        </w:rPr>
      </w:pPr>
    </w:p>
    <w:p>
      <w:pPr>
        <w:jc w:val="center"/>
        <w:rPr>
          <w:rFonts w:hint="eastAsia" w:asciiTheme="minorEastAsia" w:hAnsiTheme="minorEastAsia" w:eastAsiaTheme="minorEastAsia" w:cstheme="minorEastAsia"/>
          <w:color w:val="auto"/>
          <w:sz w:val="36"/>
          <w:szCs w:val="36"/>
        </w:rPr>
      </w:pPr>
      <w:bookmarkStart w:id="12" w:name="_Toc69635410"/>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TOC \o "1-3" \h \u </w:instrText>
      </w:r>
      <w:r>
        <w:rPr>
          <w:rFonts w:hint="eastAsia" w:ascii="宋体" w:hAnsi="宋体" w:eastAsia="宋体" w:cs="宋体"/>
          <w:b w:val="0"/>
          <w:bCs w:val="0"/>
          <w:color w:val="auto"/>
          <w:sz w:val="24"/>
          <w:szCs w:val="24"/>
        </w:rPr>
        <w:fldChar w:fldCharType="separate"/>
      </w:r>
      <w:r>
        <w:rPr>
          <w:rFonts w:hint="eastAsia" w:asciiTheme="minorEastAsia" w:hAnsiTheme="minorEastAsia" w:eastAsiaTheme="minorEastAsia" w:cstheme="minorEastAsia"/>
          <w:color w:val="auto"/>
          <w:sz w:val="36"/>
          <w:szCs w:val="36"/>
        </w:rPr>
        <w:t>目</w:t>
      </w:r>
      <w:r>
        <w:rPr>
          <w:rFonts w:hint="eastAsia" w:asciiTheme="minorEastAsia" w:hAnsiTheme="minorEastAsia" w:eastAsiaTheme="minorEastAsia" w:cstheme="minorEastAsia"/>
          <w:color w:val="auto"/>
          <w:sz w:val="36"/>
          <w:szCs w:val="36"/>
          <w:lang w:val="en-US" w:eastAsia="zh-CN"/>
        </w:rPr>
        <w:t xml:space="preserve">  </w:t>
      </w:r>
      <w:r>
        <w:rPr>
          <w:rFonts w:hint="eastAsia" w:asciiTheme="minorEastAsia" w:hAnsiTheme="minorEastAsia" w:eastAsiaTheme="minorEastAsia" w:cstheme="minorEastAsia"/>
          <w:color w:val="auto"/>
          <w:sz w:val="36"/>
          <w:szCs w:val="36"/>
        </w:rPr>
        <w:t>录</w:t>
      </w:r>
    </w:p>
    <w:p>
      <w:pPr>
        <w:pStyle w:val="156"/>
        <w:tabs>
          <w:tab w:val="right" w:leader="dot" w:pos="9072"/>
        </w:tabs>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TOC \o "1-2" \h \u </w:instrText>
      </w:r>
      <w:r>
        <w:rPr>
          <w:rFonts w:hint="eastAsia" w:asciiTheme="minorEastAsia" w:hAnsiTheme="minorEastAsia" w:eastAsiaTheme="minorEastAsia" w:cstheme="minorEastAsia"/>
          <w:color w:val="auto"/>
          <w:sz w:val="24"/>
          <w:szCs w:val="24"/>
        </w:rPr>
        <w:fldChar w:fldCharType="separate"/>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_Toc13553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第一章 综合说明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_Toc13553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_Toc26939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一、招标公告</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_Toc26939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_Toc2716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二   投标须知前列表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_Toc2716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_Toc6184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三   招标活动日程安排表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_Toc6184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_Toc21799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第二章  投标人须知</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_Toc21799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_Toc32050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一   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_Toc32050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_Toc30767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二   招标文件说明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_Toc30767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_Toc15695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三   投标文件的编写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_Toc15695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_Toc23892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 xml:space="preserve">   开标和评标</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_Toc23892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_Toc14851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 xml:space="preserve">   投标无效的情形</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_Toc14851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_Toc3309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eastAsia="zh-CN"/>
        </w:rPr>
        <w:t>六</w:t>
      </w:r>
      <w:r>
        <w:rPr>
          <w:rFonts w:hint="eastAsia" w:asciiTheme="minorEastAsia" w:hAnsiTheme="minorEastAsia" w:eastAsiaTheme="minorEastAsia" w:cstheme="minorEastAsia"/>
          <w:color w:val="auto"/>
          <w:sz w:val="24"/>
          <w:szCs w:val="24"/>
        </w:rPr>
        <w:t xml:space="preserve">   授予合同</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_Toc3309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_Toc15294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第三章  招标内容</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_Toc15294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_Toc20816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资金对象</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_Toc20816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_Toc8315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中标原则及存款比例分配</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_Toc8315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_Toc24963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eastAsia="zh-CN"/>
        </w:rPr>
        <w:t>三</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其他说明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_Toc24963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_Toc14396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第四章   合同格式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_Toc14396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_Toc13907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第五章  评标办法和细则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_Toc13907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_Toc1599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val="0"/>
          <w:color w:val="auto"/>
          <w:sz w:val="24"/>
          <w:szCs w:val="24"/>
        </w:rPr>
        <w:t>一   总则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_Toc1599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_Toc1300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val="0"/>
          <w:color w:val="auto"/>
          <w:sz w:val="24"/>
          <w:szCs w:val="24"/>
        </w:rPr>
        <w:t>二   评审委员会</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_Toc1300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_Toc5428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val="0"/>
          <w:color w:val="auto"/>
          <w:sz w:val="24"/>
          <w:szCs w:val="24"/>
        </w:rPr>
        <w:t>三   评标主要内容</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_Toc5428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_Toc30124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val="0"/>
          <w:color w:val="auto"/>
          <w:sz w:val="24"/>
          <w:szCs w:val="24"/>
        </w:rPr>
        <w:t>四  评标程序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_Toc30124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_Toc15793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val="0"/>
          <w:color w:val="auto"/>
          <w:sz w:val="24"/>
          <w:szCs w:val="24"/>
        </w:rPr>
        <w:t>五  评标办法和细则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_Toc15793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_Toc27625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第六章　投标文件格式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_Toc27625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7"/>
        <w:tabs>
          <w:tab w:val="right" w:leader="dot" w:pos="9072"/>
        </w:tabs>
        <w:rPr>
          <w:rFonts w:hint="eastAsia" w:asciiTheme="minorEastAsia" w:hAnsiTheme="minorEastAsia" w:eastAsiaTheme="minorEastAsia" w:cstheme="minorEastAsia"/>
          <w:color w:val="auto"/>
          <w:sz w:val="24"/>
          <w:szCs w:val="24"/>
        </w:rPr>
      </w:pPr>
    </w:p>
    <w:p>
      <w:pPr>
        <w:pStyle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fldChar w:fldCharType="end"/>
      </w:r>
    </w:p>
    <w:p>
      <w:pPr>
        <w:pStyle w:val="27"/>
        <w:tabs>
          <w:tab w:val="right" w:leader="dot" w:pos="9072"/>
          <w:tab w:val="clear" w:pos="9060"/>
        </w:tabs>
        <w:spacing w:line="360" w:lineRule="auto"/>
        <w:rPr>
          <w:rFonts w:hint="eastAsia" w:ascii="宋体" w:hAnsi="宋体" w:eastAsia="宋体" w:cs="宋体"/>
          <w:b w:val="0"/>
          <w:bCs w:val="0"/>
          <w:color w:val="auto"/>
          <w:sz w:val="24"/>
          <w:szCs w:val="24"/>
        </w:rPr>
      </w:pPr>
    </w:p>
    <w:p>
      <w:pPr>
        <w:pStyle w:val="27"/>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end"/>
      </w:r>
    </w:p>
    <w:p>
      <w:pPr>
        <w:rPr>
          <w:rFonts w:hint="eastAsia" w:ascii="宋体" w:hAnsi="宋体" w:eastAsia="宋体" w:cs="宋体"/>
          <w:b w:val="0"/>
          <w:bCs w:val="0"/>
          <w:color w:val="auto"/>
          <w:sz w:val="24"/>
          <w:szCs w:val="24"/>
        </w:rPr>
      </w:pPr>
    </w:p>
    <w:p>
      <w:pPr>
        <w:pStyle w:val="2"/>
        <w:rPr>
          <w:rFonts w:hint="eastAsia" w:ascii="宋体" w:hAnsi="宋体" w:eastAsia="宋体" w:cs="宋体"/>
          <w:b w:val="0"/>
          <w:bCs w:val="0"/>
          <w:color w:val="auto"/>
          <w:sz w:val="24"/>
          <w:szCs w:val="24"/>
        </w:rPr>
      </w:pPr>
    </w:p>
    <w:p>
      <w:pPr>
        <w:pStyle w:val="5"/>
        <w:numPr>
          <w:ilvl w:val="0"/>
          <w:numId w:val="1"/>
        </w:numPr>
        <w:spacing w:line="560" w:lineRule="exact"/>
        <w:outlineLvl w:val="0"/>
        <w:rPr>
          <w:rFonts w:hint="eastAsia" w:ascii="宋体" w:hAnsi="宋体" w:eastAsia="宋体" w:cs="宋体"/>
          <w:color w:val="auto"/>
        </w:rPr>
      </w:pPr>
      <w:bookmarkStart w:id="13" w:name="_Toc31499"/>
      <w:bookmarkStart w:id="14" w:name="_Toc31297"/>
      <w:bookmarkStart w:id="15" w:name="_Toc13553"/>
      <w:bookmarkStart w:id="16" w:name="_Toc272"/>
      <w:bookmarkStart w:id="17" w:name="_Toc471825180"/>
      <w:r>
        <w:rPr>
          <w:rFonts w:hint="eastAsia" w:ascii="宋体" w:hAnsi="宋体" w:eastAsia="宋体" w:cs="宋体"/>
          <w:color w:val="auto"/>
        </w:rPr>
        <w:t>综合说明</w:t>
      </w:r>
      <w:bookmarkEnd w:id="12"/>
      <w:bookmarkEnd w:id="13"/>
      <w:bookmarkEnd w:id="14"/>
      <w:bookmarkEnd w:id="15"/>
      <w:bookmarkEnd w:id="16"/>
      <w:bookmarkEnd w:id="17"/>
    </w:p>
    <w:p>
      <w:pPr>
        <w:pStyle w:val="6"/>
        <w:ind w:left="0" w:leftChars="0" w:firstLine="0" w:firstLineChars="0"/>
        <w:jc w:val="center"/>
        <w:outlineLvl w:val="1"/>
        <w:rPr>
          <w:rFonts w:hint="eastAsia" w:ascii="宋体" w:hAnsi="宋体" w:eastAsia="宋体" w:cs="宋体"/>
          <w:color w:val="auto"/>
        </w:rPr>
      </w:pPr>
      <w:bookmarkStart w:id="18" w:name="_Toc441763602"/>
      <w:bookmarkEnd w:id="18"/>
      <w:bookmarkStart w:id="19" w:name="_Toc69635411"/>
      <w:bookmarkEnd w:id="19"/>
      <w:bookmarkStart w:id="20" w:name="_Toc471825181"/>
      <w:bookmarkStart w:id="21" w:name="_Toc2060"/>
      <w:bookmarkStart w:id="22" w:name="_Toc26939"/>
      <w:r>
        <w:rPr>
          <w:rFonts w:hint="eastAsia" w:ascii="宋体" w:hAnsi="宋体" w:eastAsia="宋体" w:cs="宋体"/>
          <w:color w:val="auto"/>
        </w:rPr>
        <w:t>一、</w:t>
      </w:r>
      <w:bookmarkEnd w:id="20"/>
      <w:r>
        <w:rPr>
          <w:rFonts w:hint="eastAsia" w:ascii="宋体" w:hAnsi="宋体" w:eastAsia="宋体" w:cs="宋体"/>
          <w:color w:val="auto"/>
        </w:rPr>
        <w:t>招标公告</w:t>
      </w:r>
      <w:bookmarkEnd w:id="21"/>
      <w:bookmarkEnd w:id="22"/>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为进一步规范</w:t>
      </w:r>
      <w:r>
        <w:rPr>
          <w:rFonts w:hint="eastAsia" w:ascii="宋体" w:hAnsi="宋体" w:cs="宋体"/>
          <w:color w:val="auto"/>
          <w:sz w:val="24"/>
          <w:szCs w:val="24"/>
          <w:lang w:eastAsia="zh-CN"/>
        </w:rPr>
        <w:t>龙泉市住房改革委员会办公室</w:t>
      </w:r>
      <w:r>
        <w:rPr>
          <w:rFonts w:hint="eastAsia" w:ascii="宋体" w:hAnsi="宋体" w:eastAsia="宋体" w:cs="宋体"/>
          <w:color w:val="auto"/>
          <w:sz w:val="24"/>
          <w:szCs w:val="24"/>
        </w:rPr>
        <w:t>资金存放管理，提高资金效益，推进阳光决策，规范权力运行，根据《龙泉市行政事业单位公款竞争性存放管理暂行办法》（龙政办发【2019】10号）和《龙泉市财政资金竞争性存放实施细则（试行）》（龙财库【2019】115号）文件，经研究决定，现就本</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资金存放项目进行公开招标，</w:t>
      </w:r>
      <w:r>
        <w:rPr>
          <w:rFonts w:hint="eastAsia" w:ascii="宋体" w:hAnsi="宋体" w:eastAsia="宋体" w:cs="宋体"/>
          <w:color w:val="auto"/>
          <w:sz w:val="24"/>
          <w:szCs w:val="24"/>
          <w:lang w:eastAsia="zh-CN"/>
        </w:rPr>
        <w:t>欧邦工程管理有限公司</w:t>
      </w:r>
      <w:r>
        <w:rPr>
          <w:rFonts w:hint="eastAsia" w:ascii="宋体" w:hAnsi="宋体" w:eastAsia="宋体" w:cs="宋体"/>
          <w:color w:val="auto"/>
          <w:sz w:val="24"/>
          <w:szCs w:val="24"/>
        </w:rPr>
        <w:t>受其委托代理相关事宜，欢迎各潜在投标人前来参加投标。</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采购编号：</w:t>
      </w:r>
      <w:r>
        <w:rPr>
          <w:rFonts w:hint="eastAsia" w:ascii="宋体" w:hAnsi="宋体" w:eastAsia="宋体" w:cs="宋体"/>
          <w:color w:val="auto"/>
          <w:sz w:val="24"/>
          <w:szCs w:val="24"/>
          <w:lang w:eastAsia="zh-CN"/>
        </w:rPr>
        <w:t>欧龙采2020-007</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采购项目：</w:t>
      </w:r>
      <w:r>
        <w:rPr>
          <w:rFonts w:hint="eastAsia" w:ascii="宋体" w:hAnsi="宋体" w:cs="宋体"/>
          <w:color w:val="auto"/>
          <w:sz w:val="24"/>
          <w:szCs w:val="24"/>
          <w:lang w:eastAsia="zh-CN"/>
        </w:rPr>
        <w:t>龙泉市房改资金竞争性存放项目</w:t>
      </w:r>
      <w:bookmarkStart w:id="311" w:name="_GoBack"/>
      <w:bookmarkEnd w:id="311"/>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采购方式：公开招标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招标内容：</w:t>
      </w:r>
    </w:p>
    <w:tbl>
      <w:tblPr>
        <w:tblStyle w:val="31"/>
        <w:tblW w:w="0" w:type="auto"/>
        <w:jc w:val="center"/>
        <w:tblLayout w:type="fixed"/>
        <w:tblCellMar>
          <w:top w:w="12" w:type="dxa"/>
          <w:left w:w="81" w:type="dxa"/>
          <w:bottom w:w="12" w:type="dxa"/>
          <w:right w:w="81" w:type="dxa"/>
        </w:tblCellMar>
      </w:tblPr>
      <w:tblGrid>
        <w:gridCol w:w="3583"/>
        <w:gridCol w:w="2789"/>
        <w:gridCol w:w="2266"/>
      </w:tblGrid>
      <w:tr>
        <w:tblPrEx>
          <w:tblCellMar>
            <w:top w:w="12" w:type="dxa"/>
            <w:left w:w="81" w:type="dxa"/>
            <w:bottom w:w="12" w:type="dxa"/>
            <w:right w:w="81" w:type="dxa"/>
          </w:tblCellMar>
        </w:tblPrEx>
        <w:trPr>
          <w:trHeight w:val="715" w:hRule="atLeast"/>
          <w:jc w:val="center"/>
        </w:trPr>
        <w:tc>
          <w:tcPr>
            <w:tcW w:w="3583" w:type="dxa"/>
            <w:tcBorders>
              <w:top w:val="single" w:color="000000" w:sz="4" w:space="0"/>
              <w:left w:val="single" w:color="000000" w:sz="4" w:space="0"/>
              <w:bottom w:val="single" w:color="000000" w:sz="4" w:space="0"/>
              <w:right w:val="single" w:color="000000" w:sz="4" w:space="0"/>
            </w:tcBorders>
            <w:tcMar>
              <w:top w:w="0" w:type="dxa"/>
              <w:left w:w="81" w:type="dxa"/>
              <w:bottom w:w="0" w:type="dxa"/>
              <w:right w:w="81" w:type="dxa"/>
            </w:tcMar>
            <w:vAlign w:val="center"/>
          </w:tcPr>
          <w:p>
            <w:pPr>
              <w:widowControl/>
              <w:spacing w:line="360" w:lineRule="auto"/>
              <w:ind w:firstLine="840"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资金对象</w:t>
            </w:r>
          </w:p>
        </w:tc>
        <w:tc>
          <w:tcPr>
            <w:tcW w:w="2789" w:type="dxa"/>
            <w:tcBorders>
              <w:top w:val="single" w:color="000000" w:sz="4" w:space="0"/>
              <w:left w:val="nil"/>
              <w:bottom w:val="single" w:color="000000" w:sz="4" w:space="0"/>
              <w:right w:val="single" w:color="000000" w:sz="4" w:space="0"/>
            </w:tcBorders>
            <w:tcMar>
              <w:top w:w="0" w:type="dxa"/>
              <w:left w:w="81" w:type="dxa"/>
              <w:bottom w:w="0" w:type="dxa"/>
              <w:right w:w="81" w:type="dxa"/>
            </w:tcMar>
            <w:vAlign w:val="center"/>
          </w:tcPr>
          <w:p>
            <w:pPr>
              <w:widowControl/>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标的金额（万元）</w:t>
            </w:r>
          </w:p>
        </w:tc>
        <w:tc>
          <w:tcPr>
            <w:tcW w:w="2266" w:type="dxa"/>
            <w:tcBorders>
              <w:top w:val="single" w:color="000000" w:sz="4" w:space="0"/>
              <w:left w:val="nil"/>
              <w:bottom w:val="single" w:color="000000" w:sz="4" w:space="0"/>
              <w:right w:val="single" w:color="000000" w:sz="4" w:space="0"/>
            </w:tcBorders>
            <w:tcMar>
              <w:top w:w="0" w:type="dxa"/>
              <w:left w:w="81" w:type="dxa"/>
              <w:bottom w:w="0" w:type="dxa"/>
              <w:right w:w="81" w:type="dxa"/>
            </w:tcMar>
            <w:vAlign w:val="center"/>
          </w:tcPr>
          <w:p>
            <w:pPr>
              <w:widowControl/>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b/>
                <w:color w:val="auto"/>
                <w:sz w:val="24"/>
                <w:szCs w:val="24"/>
              </w:rPr>
              <w:t>资金存期</w:t>
            </w:r>
          </w:p>
        </w:tc>
      </w:tr>
      <w:tr>
        <w:tblPrEx>
          <w:tblCellMar>
            <w:top w:w="12" w:type="dxa"/>
            <w:left w:w="81" w:type="dxa"/>
            <w:bottom w:w="12" w:type="dxa"/>
            <w:right w:w="81" w:type="dxa"/>
          </w:tblCellMar>
        </w:tblPrEx>
        <w:trPr>
          <w:trHeight w:val="662" w:hRule="atLeast"/>
          <w:jc w:val="center"/>
        </w:trPr>
        <w:tc>
          <w:tcPr>
            <w:tcW w:w="3583" w:type="dxa"/>
            <w:tcBorders>
              <w:top w:val="nil"/>
              <w:left w:val="single" w:color="000000" w:sz="4" w:space="0"/>
              <w:bottom w:val="single" w:color="auto" w:sz="4" w:space="0"/>
              <w:right w:val="single" w:color="000000" w:sz="4" w:space="0"/>
            </w:tcBorders>
            <w:tcMar>
              <w:top w:w="0" w:type="dxa"/>
              <w:left w:w="81" w:type="dxa"/>
              <w:bottom w:w="0" w:type="dxa"/>
              <w:right w:w="81" w:type="dxa"/>
            </w:tcMar>
            <w:vAlign w:val="center"/>
          </w:tcPr>
          <w:p>
            <w:pPr>
              <w:widowControl/>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资金存放定期存款</w:t>
            </w:r>
          </w:p>
        </w:tc>
        <w:tc>
          <w:tcPr>
            <w:tcW w:w="2789" w:type="dxa"/>
            <w:tcBorders>
              <w:top w:val="nil"/>
              <w:left w:val="nil"/>
              <w:bottom w:val="single" w:color="auto" w:sz="4" w:space="0"/>
              <w:right w:val="single" w:color="000000" w:sz="4" w:space="0"/>
            </w:tcBorders>
            <w:tcMar>
              <w:top w:w="0" w:type="dxa"/>
              <w:left w:w="81" w:type="dxa"/>
              <w:bottom w:w="0" w:type="dxa"/>
              <w:right w:w="81" w:type="dxa"/>
            </w:tcMar>
            <w:vAlign w:val="center"/>
          </w:tcPr>
          <w:p>
            <w:pPr>
              <w:widowControl/>
              <w:spacing w:line="360" w:lineRule="auto"/>
              <w:ind w:firstLine="840"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约</w:t>
            </w:r>
            <w:r>
              <w:rPr>
                <w:rFonts w:hint="eastAsia" w:ascii="宋体" w:hAnsi="宋体" w:cs="宋体"/>
                <w:b/>
                <w:color w:val="auto"/>
                <w:sz w:val="24"/>
                <w:szCs w:val="24"/>
                <w:lang w:val="en-US" w:eastAsia="zh-CN"/>
              </w:rPr>
              <w:t>2900</w:t>
            </w:r>
          </w:p>
        </w:tc>
        <w:tc>
          <w:tcPr>
            <w:tcW w:w="2266" w:type="dxa"/>
            <w:tcBorders>
              <w:top w:val="nil"/>
              <w:left w:val="nil"/>
              <w:bottom w:val="single" w:color="auto" w:sz="4" w:space="0"/>
              <w:right w:val="single" w:color="000000" w:sz="4" w:space="0"/>
            </w:tcBorders>
            <w:tcMar>
              <w:top w:w="0" w:type="dxa"/>
              <w:left w:w="81" w:type="dxa"/>
              <w:bottom w:w="0" w:type="dxa"/>
              <w:right w:w="81" w:type="dxa"/>
            </w:tcMar>
            <w:vAlign w:val="center"/>
          </w:tcPr>
          <w:p>
            <w:pPr>
              <w:widowControl/>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12个月</w:t>
            </w: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投标人应具备的资格要求：</w:t>
      </w:r>
    </w:p>
    <w:p>
      <w:pPr>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 xml:space="preserve">5.1在中华人民共和国境内依法设立的政策性银行、国有商业银行、股份制商业银行、邮政储蓄银行、城市商业银行在龙泉的分支机构，及农村商业银行股份有限公司、村镇银行在所在地设有分支机构（同一家银行只允许市级分行作为唯一投标人）；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5.2依法开展经营活动，近3年内在经营活动中无重大违法违规记录及重大违约事件；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5.3监管评级人民银行上年度综合评价Ｂ级及以上、银监部门上年度监管评级</w:t>
      </w:r>
      <w:r>
        <w:rPr>
          <w:rFonts w:hint="eastAsia" w:ascii="宋体" w:hAnsi="宋体" w:eastAsia="宋体" w:cs="宋体"/>
          <w:b/>
          <w:color w:val="auto"/>
          <w:sz w:val="24"/>
          <w:szCs w:val="24"/>
        </w:rPr>
        <w:t>2</w:t>
      </w:r>
      <w:r>
        <w:rPr>
          <w:rFonts w:hint="eastAsia" w:ascii="宋体" w:hAnsi="宋体" w:eastAsia="宋体" w:cs="宋体"/>
          <w:color w:val="auto"/>
          <w:sz w:val="24"/>
          <w:szCs w:val="24"/>
        </w:rPr>
        <w:t>级及以上。（如上年度监管评级未出的按201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年度监管评级为准）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5.4本项目不接受联合体投标。</w:t>
      </w:r>
    </w:p>
    <w:p>
      <w:pPr>
        <w:widowControl/>
        <w:tabs>
          <w:tab w:val="left" w:pos="540"/>
        </w:tabs>
        <w:snapToGrid w:val="0"/>
        <w:spacing w:line="360" w:lineRule="auto"/>
        <w:ind w:firstLine="51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获取招标文件</w:t>
      </w:r>
      <w:r>
        <w:rPr>
          <w:rFonts w:hint="eastAsia" w:ascii="宋体" w:hAnsi="宋体" w:eastAsia="宋体" w:cs="宋体"/>
          <w:color w:val="auto"/>
          <w:sz w:val="24"/>
          <w:szCs w:val="24"/>
        </w:rPr>
        <w:t>时间：从公告之日起至</w:t>
      </w:r>
      <w:r>
        <w:rPr>
          <w:rFonts w:hint="eastAsia" w:ascii="宋体" w:hAnsi="宋体" w:cs="宋体"/>
          <w:color w:val="auto"/>
          <w:sz w:val="24"/>
          <w:szCs w:val="24"/>
          <w:lang w:eastAsia="zh-CN"/>
        </w:rPr>
        <w:t>2020年04月09日16：30时</w:t>
      </w:r>
      <w:r>
        <w:rPr>
          <w:rFonts w:hint="eastAsia" w:ascii="宋体" w:hAnsi="宋体" w:eastAsia="宋体" w:cs="宋体"/>
          <w:color w:val="auto"/>
          <w:sz w:val="24"/>
          <w:szCs w:val="24"/>
        </w:rPr>
        <w:t>前止。上午：08：30-12：00；下午：1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0(双休日及法定节假日除外)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获取招标文件</w:t>
      </w:r>
      <w:r>
        <w:rPr>
          <w:rFonts w:hint="eastAsia" w:ascii="宋体" w:hAnsi="宋体" w:eastAsia="宋体" w:cs="宋体"/>
          <w:color w:val="auto"/>
          <w:sz w:val="24"/>
          <w:szCs w:val="24"/>
        </w:rPr>
        <w:t>地点：浙江政府采购网（http://www.zjzfcg.gov.cn/）与丽水市公共资源交易网龙泉分网（http://lq.lssggzy.com/lqweb/）自行免费下载。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r>
        <w:rPr>
          <w:rFonts w:hint="eastAsia" w:ascii="宋体" w:hAnsi="宋体" w:eastAsia="宋体" w:cs="宋体"/>
          <w:color w:val="auto"/>
          <w:sz w:val="24"/>
          <w:szCs w:val="24"/>
          <w:lang w:eastAsia="zh-CN"/>
        </w:rPr>
        <w:t>兰</w:t>
      </w:r>
      <w:r>
        <w:rPr>
          <w:rFonts w:hint="eastAsia" w:ascii="宋体" w:hAnsi="宋体" w:eastAsia="宋体" w:cs="宋体"/>
          <w:color w:val="auto"/>
          <w:sz w:val="24"/>
          <w:szCs w:val="24"/>
        </w:rPr>
        <w:t>女士      联系电话：0578-7128816   传真：0578-7128816</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8</w:t>
      </w:r>
      <w:r>
        <w:rPr>
          <w:rFonts w:hint="eastAsia" w:ascii="宋体" w:hAnsi="宋体" w:eastAsia="宋体" w:cs="宋体"/>
          <w:bCs/>
          <w:color w:val="auto"/>
          <w:sz w:val="24"/>
          <w:szCs w:val="24"/>
          <w:lang w:val="en-US" w:eastAsia="zh-CN"/>
        </w:rPr>
        <w:t>.</w:t>
      </w:r>
      <w:r>
        <w:rPr>
          <w:rFonts w:hint="eastAsia" w:ascii="宋体" w:hAnsi="宋体" w:cs="宋体"/>
          <w:bCs/>
          <w:color w:val="auto"/>
          <w:sz w:val="24"/>
          <w:szCs w:val="24"/>
          <w:lang w:val="en-US" w:eastAsia="zh-CN"/>
        </w:rPr>
        <w:t>投标人</w:t>
      </w:r>
      <w:r>
        <w:rPr>
          <w:rFonts w:hint="eastAsia" w:ascii="宋体" w:hAnsi="宋体" w:eastAsia="宋体" w:cs="宋体"/>
          <w:bCs/>
          <w:color w:val="auto"/>
          <w:sz w:val="24"/>
          <w:szCs w:val="24"/>
          <w:lang w:val="en-US" w:eastAsia="zh-CN"/>
        </w:rPr>
        <w:t>可以通过电子邮件形式进行在线报名，将报名资料发送至采购代理机构指定邮箱（1664930986@qq.com）</w:t>
      </w:r>
      <w:r>
        <w:rPr>
          <w:rFonts w:hint="eastAsia" w:ascii="宋体" w:hAnsi="宋体" w:eastAsia="宋体" w:cs="宋体"/>
          <w:bCs/>
          <w:color w:val="auto"/>
          <w:sz w:val="24"/>
          <w:szCs w:val="24"/>
        </w:rPr>
        <w:t>报名时须提供以下资料，且提供联系方式：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营业执照副本复印件加盖公章；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相关资格证书复印件（加盖投标单位公章的监管评级证明复印件）；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法定代表人授权委托书。</w:t>
      </w:r>
    </w:p>
    <w:p>
      <w:pPr>
        <w:snapToGrid w:val="0"/>
        <w:spacing w:line="360" w:lineRule="auto"/>
        <w:ind w:firstLine="510"/>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递交投标文件截止时间：</w:t>
      </w:r>
      <w:r>
        <w:rPr>
          <w:rFonts w:hint="eastAsia" w:ascii="宋体" w:hAnsi="宋体" w:cs="宋体"/>
          <w:color w:val="auto"/>
          <w:sz w:val="24"/>
          <w:szCs w:val="24"/>
          <w:lang w:eastAsia="zh-CN"/>
        </w:rPr>
        <w:t>2020年04月10日14:30</w:t>
      </w:r>
      <w:r>
        <w:rPr>
          <w:rFonts w:hint="eastAsia" w:ascii="宋体" w:hAnsi="宋体" w:eastAsia="宋体" w:cs="宋体"/>
          <w:color w:val="auto"/>
          <w:sz w:val="24"/>
          <w:szCs w:val="24"/>
        </w:rPr>
        <w:t>（北京时间）。</w:t>
      </w:r>
    </w:p>
    <w:p>
      <w:pPr>
        <w:tabs>
          <w:tab w:val="left" w:pos="540"/>
        </w:tabs>
        <w:snapToGrid w:val="0"/>
        <w:spacing w:line="360" w:lineRule="auto"/>
        <w:ind w:firstLine="51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递交文件</w:t>
      </w:r>
      <w:r>
        <w:rPr>
          <w:rFonts w:hint="eastAsia" w:ascii="宋体" w:hAnsi="宋体" w:cs="宋体"/>
          <w:color w:val="auto"/>
          <w:sz w:val="24"/>
          <w:szCs w:val="24"/>
          <w:lang w:eastAsia="zh-CN"/>
        </w:rPr>
        <w:t>方式、</w:t>
      </w:r>
      <w:r>
        <w:rPr>
          <w:rFonts w:hint="eastAsia" w:ascii="宋体" w:hAnsi="宋体" w:eastAsia="宋体" w:cs="宋体"/>
          <w:color w:val="auto"/>
          <w:sz w:val="24"/>
          <w:szCs w:val="24"/>
        </w:rPr>
        <w:t>地点：</w:t>
      </w:r>
    </w:p>
    <w:p>
      <w:pPr>
        <w:tabs>
          <w:tab w:val="left" w:pos="540"/>
        </w:tabs>
        <w:snapToGrid w:val="0"/>
        <w:spacing w:line="360" w:lineRule="auto"/>
        <w:ind w:firstLine="510"/>
        <w:rPr>
          <w:rFonts w:hint="eastAsia" w:ascii="宋体" w:hAnsi="宋体" w:eastAsia="宋体" w:cs="宋体"/>
          <w:b/>
          <w:bCs w:val="0"/>
          <w:color w:val="auto"/>
          <w:sz w:val="24"/>
          <w:lang w:eastAsia="zh-CN"/>
        </w:rPr>
      </w:pPr>
      <w:r>
        <w:rPr>
          <w:rFonts w:hint="eastAsia" w:ascii="宋体" w:hAnsi="宋体" w:cs="宋体"/>
          <w:b/>
          <w:bCs w:val="0"/>
          <w:color w:val="auto"/>
          <w:sz w:val="24"/>
          <w:lang w:val="en-US" w:eastAsia="zh-CN"/>
        </w:rPr>
        <w:t>10.1由于疫情防控需要，本项目不接受投标人上门递交投标文件，</w:t>
      </w:r>
      <w:r>
        <w:rPr>
          <w:rFonts w:hint="eastAsia" w:ascii="宋体" w:hAnsi="宋体" w:cs="宋体"/>
          <w:b/>
          <w:bCs w:val="0"/>
          <w:color w:val="auto"/>
          <w:sz w:val="24"/>
          <w:lang w:eastAsia="zh-CN"/>
        </w:rPr>
        <w:t>投标文件将通过邮寄快递方式提交，邮寄地址为：龙泉市公共资源交易中心开标室（龙泉市贤良路333号行政中心西副楼四楼），联系电话：15024645722，采购代理机构派接收人员负责接收投标文件至开标大厅档案柜封存，在接收记录单上对投标文件快递包裹的相关情况签字确认，待开标会议开始时间后由工作人员和监督人起封。</w:t>
      </w:r>
    </w:p>
    <w:p>
      <w:pPr>
        <w:snapToGrid w:val="0"/>
        <w:spacing w:line="360" w:lineRule="auto"/>
        <w:ind w:firstLine="510"/>
        <w:rPr>
          <w:rFonts w:hint="eastAsia" w:ascii="宋体" w:hAnsi="宋体" w:eastAsia="宋体" w:cs="宋体"/>
          <w:color w:val="auto"/>
          <w:sz w:val="24"/>
          <w:szCs w:val="24"/>
        </w:rPr>
      </w:pPr>
      <w:r>
        <w:rPr>
          <w:rFonts w:hint="eastAsia" w:ascii="宋体" w:hAnsi="宋体" w:cs="宋体"/>
          <w:b/>
          <w:bCs w:val="0"/>
          <w:color w:val="auto"/>
          <w:sz w:val="24"/>
          <w:lang w:val="en-US" w:eastAsia="zh-CN"/>
        </w:rPr>
        <w:t>10.2</w:t>
      </w:r>
      <w:r>
        <w:rPr>
          <w:rFonts w:hint="eastAsia" w:ascii="宋体" w:hAnsi="宋体" w:cs="宋体"/>
          <w:b/>
          <w:bCs w:val="0"/>
          <w:color w:val="auto"/>
          <w:sz w:val="24"/>
          <w:lang w:eastAsia="zh-CN"/>
        </w:rPr>
        <w:t>投标人</w:t>
      </w:r>
      <w:r>
        <w:rPr>
          <w:rFonts w:hint="eastAsia" w:ascii="宋体" w:hAnsi="宋体" w:cs="宋体"/>
          <w:b/>
          <w:bCs w:val="0"/>
          <w:color w:val="auto"/>
          <w:sz w:val="24"/>
        </w:rPr>
        <w:t>需留足</w:t>
      </w:r>
      <w:r>
        <w:rPr>
          <w:rFonts w:hint="eastAsia" w:ascii="宋体" w:hAnsi="宋体" w:cs="宋体"/>
          <w:b/>
          <w:bCs w:val="0"/>
          <w:color w:val="auto"/>
          <w:sz w:val="24"/>
          <w:lang w:eastAsia="zh-CN"/>
        </w:rPr>
        <w:t>投标文件</w:t>
      </w:r>
      <w:r>
        <w:rPr>
          <w:rFonts w:hint="eastAsia" w:ascii="宋体" w:hAnsi="宋体" w:cs="宋体"/>
          <w:b/>
          <w:bCs w:val="0"/>
          <w:color w:val="auto"/>
          <w:sz w:val="24"/>
        </w:rPr>
        <w:t>邮寄时间,确保</w:t>
      </w:r>
      <w:r>
        <w:rPr>
          <w:rFonts w:hint="eastAsia" w:ascii="宋体" w:hAnsi="宋体" w:cs="宋体"/>
          <w:b/>
          <w:bCs w:val="0"/>
          <w:color w:val="auto"/>
          <w:sz w:val="24"/>
          <w:lang w:eastAsia="zh-CN"/>
        </w:rPr>
        <w:t>投标文件</w:t>
      </w:r>
      <w:r>
        <w:rPr>
          <w:rFonts w:hint="eastAsia" w:ascii="宋体" w:hAnsi="宋体" w:cs="宋体"/>
          <w:b/>
          <w:bCs w:val="0"/>
          <w:color w:val="auto"/>
          <w:sz w:val="24"/>
        </w:rPr>
        <w:t>于</w:t>
      </w:r>
      <w:r>
        <w:rPr>
          <w:rFonts w:hint="eastAsia" w:ascii="宋体" w:hAnsi="宋体" w:cs="宋体"/>
          <w:b/>
          <w:bCs w:val="0"/>
          <w:color w:val="auto"/>
          <w:sz w:val="24"/>
          <w:lang w:eastAsia="zh-CN"/>
        </w:rPr>
        <w:t>投标文件递交截止时间</w:t>
      </w:r>
      <w:r>
        <w:rPr>
          <w:rFonts w:hint="eastAsia" w:ascii="宋体" w:hAnsi="宋体" w:cs="宋体"/>
          <w:b/>
          <w:bCs w:val="0"/>
          <w:color w:val="auto"/>
          <w:sz w:val="24"/>
        </w:rPr>
        <w:t>前送达</w:t>
      </w:r>
      <w:r>
        <w:rPr>
          <w:rFonts w:hint="eastAsia" w:ascii="宋体" w:hAnsi="宋体" w:cs="宋体"/>
          <w:b/>
          <w:bCs w:val="0"/>
          <w:color w:val="auto"/>
          <w:sz w:val="24"/>
          <w:lang w:eastAsia="zh-CN"/>
        </w:rPr>
        <w:t>采购</w:t>
      </w:r>
      <w:r>
        <w:rPr>
          <w:rFonts w:hint="eastAsia" w:ascii="宋体" w:hAnsi="宋体" w:cs="宋体"/>
          <w:b/>
          <w:bCs w:val="0"/>
          <w:color w:val="auto"/>
          <w:sz w:val="24"/>
        </w:rPr>
        <w:t>地点，因自身贻误行为导致投标失败的，责任自负。</w:t>
      </w:r>
    </w:p>
    <w:p>
      <w:pPr>
        <w:snapToGrid w:val="0"/>
        <w:spacing w:line="360" w:lineRule="auto"/>
        <w:ind w:firstLine="510"/>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公开招标开标时间：</w:t>
      </w:r>
      <w:r>
        <w:rPr>
          <w:rFonts w:hint="eastAsia" w:ascii="宋体" w:hAnsi="宋体" w:cs="宋体"/>
          <w:b/>
          <w:bCs/>
          <w:color w:val="auto"/>
          <w:sz w:val="24"/>
          <w:szCs w:val="24"/>
          <w:lang w:eastAsia="zh-CN"/>
        </w:rPr>
        <w:t>2020年04月10日14:30</w:t>
      </w:r>
      <w:r>
        <w:rPr>
          <w:rFonts w:hint="eastAsia" w:ascii="宋体" w:hAnsi="宋体" w:eastAsia="宋体" w:cs="宋体"/>
          <w:b/>
          <w:bCs/>
          <w:color w:val="auto"/>
          <w:sz w:val="24"/>
          <w:szCs w:val="24"/>
        </w:rPr>
        <w:t>（北京时间）</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由于疫情防控需要，</w:t>
      </w:r>
      <w:r>
        <w:rPr>
          <w:rFonts w:hint="eastAsia" w:ascii="宋体" w:hAnsi="宋体" w:eastAsia="宋体" w:cs="宋体"/>
          <w:b/>
          <w:bCs/>
          <w:color w:val="auto"/>
          <w:sz w:val="24"/>
          <w:szCs w:val="24"/>
          <w:highlight w:val="none"/>
          <w:lang w:val="en-US" w:eastAsia="zh-CN"/>
        </w:rPr>
        <w:t>按照“不见面、少接触”的原则，本项目采取“不见面”形式进行开评标活动，法定代表人或其授权委托人无须到场，若有需要通过电子邮箱、</w:t>
      </w:r>
      <w:r>
        <w:rPr>
          <w:rFonts w:hint="eastAsia" w:ascii="宋体" w:hAnsi="宋体" w:cs="宋体"/>
          <w:b/>
          <w:bCs/>
          <w:color w:val="auto"/>
          <w:sz w:val="24"/>
          <w:szCs w:val="24"/>
          <w:highlight w:val="none"/>
          <w:lang w:val="en-US" w:eastAsia="zh-CN"/>
        </w:rPr>
        <w:t>微信</w:t>
      </w:r>
      <w:r>
        <w:rPr>
          <w:rFonts w:hint="eastAsia" w:ascii="宋体" w:hAnsi="宋体" w:eastAsia="宋体" w:cs="宋体"/>
          <w:b/>
          <w:bCs/>
          <w:color w:val="auto"/>
          <w:sz w:val="24"/>
          <w:szCs w:val="24"/>
          <w:highlight w:val="none"/>
          <w:lang w:val="en-US" w:eastAsia="zh-CN"/>
        </w:rPr>
        <w:t>在线书面询标</w:t>
      </w:r>
      <w:r>
        <w:rPr>
          <w:rFonts w:hint="eastAsia" w:ascii="宋体" w:hAnsi="宋体" w:eastAsia="宋体" w:cs="宋体"/>
          <w:b/>
          <w:bCs/>
          <w:color w:val="auto"/>
          <w:sz w:val="24"/>
          <w:szCs w:val="24"/>
        </w:rPr>
        <w:t>。</w:t>
      </w:r>
    </w:p>
    <w:p>
      <w:pPr>
        <w:snapToGrid w:val="0"/>
        <w:spacing w:line="360" w:lineRule="auto"/>
        <w:ind w:firstLine="510"/>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开标地点：</w:t>
      </w:r>
      <w:r>
        <w:rPr>
          <w:rFonts w:hint="eastAsia" w:ascii="宋体" w:hAnsi="宋体" w:eastAsia="宋体" w:cs="宋体"/>
          <w:color w:val="auto"/>
          <w:sz w:val="24"/>
          <w:szCs w:val="24"/>
          <w:lang w:eastAsia="zh-CN"/>
        </w:rPr>
        <w:t>龙泉市公共资源交易中心开标室</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龙泉市贤良路333号行政中心西副楼四楼</w:t>
      </w:r>
      <w:r>
        <w:rPr>
          <w:rFonts w:hint="eastAsia" w:ascii="宋体" w:hAnsi="宋体" w:eastAsia="宋体" w:cs="宋体"/>
          <w:color w:val="auto"/>
          <w:sz w:val="24"/>
          <w:szCs w:val="24"/>
        </w:rPr>
        <w:t>）。</w:t>
      </w:r>
    </w:p>
    <w:p>
      <w:pPr>
        <w:snapToGrid w:val="0"/>
        <w:spacing w:line="360" w:lineRule="auto"/>
        <w:ind w:firstLine="51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联系人：</w:t>
      </w:r>
      <w:r>
        <w:rPr>
          <w:rFonts w:hint="eastAsia" w:ascii="宋体" w:hAnsi="宋体" w:cs="宋体"/>
          <w:color w:val="auto"/>
          <w:sz w:val="24"/>
          <w:szCs w:val="24"/>
          <w:lang w:eastAsia="zh-CN"/>
        </w:rPr>
        <w:t>汤</w:t>
      </w:r>
      <w:r>
        <w:rPr>
          <w:rFonts w:hint="eastAsia" w:ascii="宋体" w:hAnsi="宋体" w:eastAsia="宋体" w:cs="宋体"/>
          <w:color w:val="auto"/>
          <w:sz w:val="24"/>
          <w:szCs w:val="24"/>
          <w:lang w:eastAsia="zh-CN"/>
        </w:rPr>
        <w:t>女士</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eastAsia="zh-CN"/>
        </w:rPr>
        <w:t>0578－</w:t>
      </w:r>
      <w:r>
        <w:rPr>
          <w:rFonts w:hint="eastAsia" w:ascii="宋体" w:hAnsi="宋体" w:cs="宋体"/>
          <w:color w:val="auto"/>
          <w:sz w:val="24"/>
          <w:szCs w:val="24"/>
          <w:lang w:val="en-US" w:eastAsia="zh-CN"/>
        </w:rPr>
        <w:t>7110528</w:t>
      </w:r>
      <w:r>
        <w:rPr>
          <w:rFonts w:hint="eastAsia" w:ascii="宋体" w:hAnsi="宋体" w:eastAsia="宋体" w:cs="宋体"/>
          <w:color w:val="auto"/>
          <w:sz w:val="24"/>
          <w:szCs w:val="24"/>
        </w:rPr>
        <w:t xml:space="preserve">       </w:t>
      </w:r>
    </w:p>
    <w:p>
      <w:pPr>
        <w:snapToGrid w:val="0"/>
        <w:spacing w:line="360" w:lineRule="auto"/>
        <w:ind w:firstLine="51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龙泉市住房改革委员会办公室</w:t>
      </w:r>
    </w:p>
    <w:p>
      <w:pPr>
        <w:spacing w:line="360" w:lineRule="auto"/>
        <w:ind w:firstLine="480" w:firstLineChars="20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欧邦工程管理有限公司</w:t>
      </w:r>
    </w:p>
    <w:p>
      <w:pPr>
        <w:spacing w:line="360" w:lineRule="auto"/>
        <w:ind w:firstLine="480" w:firstLineChars="200"/>
        <w:jc w:val="right"/>
        <w:rPr>
          <w:rFonts w:hint="eastAsia" w:ascii="宋体" w:hAnsi="宋体" w:eastAsia="宋体" w:cs="宋体"/>
          <w:color w:val="auto"/>
          <w:sz w:val="24"/>
          <w:lang w:eastAsia="zh-CN"/>
        </w:rPr>
      </w:pP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2020年03月25日</w:t>
      </w:r>
    </w:p>
    <w:p>
      <w:pPr>
        <w:pStyle w:val="6"/>
        <w:outlineLvl w:val="1"/>
        <w:rPr>
          <w:rFonts w:hint="eastAsia" w:ascii="宋体" w:hAnsi="宋体" w:eastAsia="宋体" w:cs="宋体"/>
          <w:color w:val="auto"/>
        </w:rPr>
      </w:pPr>
      <w:r>
        <w:rPr>
          <w:rFonts w:hint="eastAsia" w:ascii="宋体" w:hAnsi="宋体" w:eastAsia="宋体" w:cs="宋体"/>
          <w:color w:val="auto"/>
        </w:rPr>
        <w:br w:type="page"/>
      </w:r>
      <w:bookmarkStart w:id="23" w:name="_Toc31071"/>
      <w:bookmarkStart w:id="24" w:name="_Toc441763603"/>
      <w:bookmarkStart w:id="25" w:name="_Toc471825182"/>
      <w:bookmarkStart w:id="26" w:name="_Toc2716"/>
      <w:r>
        <w:rPr>
          <w:rFonts w:hint="eastAsia" w:ascii="宋体" w:hAnsi="宋体" w:eastAsia="宋体" w:cs="宋体"/>
          <w:color w:val="auto"/>
        </w:rPr>
        <w:t>二   投标须知前列表</w:t>
      </w:r>
      <w:bookmarkEnd w:id="23"/>
      <w:bookmarkEnd w:id="24"/>
      <w:bookmarkEnd w:id="25"/>
      <w:bookmarkEnd w:id="26"/>
    </w:p>
    <w:tbl>
      <w:tblPr>
        <w:tblStyle w:val="31"/>
        <w:tblW w:w="94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929"/>
        <w:gridCol w:w="1238"/>
        <w:gridCol w:w="3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1" w:hRule="exact"/>
          <w:jc w:val="center"/>
        </w:trPr>
        <w:tc>
          <w:tcPr>
            <w:tcW w:w="1776" w:type="dxa"/>
            <w:tcBorders>
              <w:top w:val="double" w:color="auto" w:sz="4" w:space="0"/>
              <w:left w:val="double" w:color="auto" w:sz="4" w:space="0"/>
            </w:tcBorders>
            <w:vAlign w:val="center"/>
          </w:tcPr>
          <w:p>
            <w:pPr>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项目名称</w:t>
            </w:r>
          </w:p>
        </w:tc>
        <w:tc>
          <w:tcPr>
            <w:tcW w:w="7723" w:type="dxa"/>
            <w:gridSpan w:val="3"/>
            <w:tcBorders>
              <w:top w:val="double" w:color="auto" w:sz="4" w:space="0"/>
              <w:right w:val="double" w:color="auto" w:sz="4" w:space="0"/>
            </w:tcBorders>
            <w:vAlign w:val="center"/>
          </w:tcPr>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龙泉市房改资金竞争性存放项目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1" w:hRule="exact"/>
          <w:jc w:val="center"/>
        </w:trPr>
        <w:tc>
          <w:tcPr>
            <w:tcW w:w="1776" w:type="dxa"/>
            <w:tcBorders>
              <w:left w:val="double" w:color="auto" w:sz="4" w:space="0"/>
            </w:tcBorders>
            <w:vAlign w:val="center"/>
          </w:tcPr>
          <w:p>
            <w:pPr>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采购代理机构</w:t>
            </w:r>
          </w:p>
        </w:tc>
        <w:tc>
          <w:tcPr>
            <w:tcW w:w="7723" w:type="dxa"/>
            <w:gridSpan w:val="3"/>
            <w:tcBorders>
              <w:right w:val="double" w:color="auto" w:sz="4" w:space="0"/>
            </w:tcBorders>
            <w:vAlign w:val="center"/>
          </w:tcPr>
          <w:p>
            <w:pP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欧邦工程管理有限公司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1776" w:type="dxa"/>
            <w:tcBorders>
              <w:left w:val="double" w:color="auto" w:sz="4" w:space="0"/>
            </w:tcBorders>
            <w:vAlign w:val="center"/>
          </w:tcPr>
          <w:p>
            <w:pPr>
              <w:ind w:firstLine="240" w:firstLineChars="1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联 系 人</w:t>
            </w:r>
          </w:p>
        </w:tc>
        <w:tc>
          <w:tcPr>
            <w:tcW w:w="2929" w:type="dxa"/>
            <w:vAlign w:val="center"/>
          </w:tcPr>
          <w:p>
            <w:pP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兰女士</w:t>
            </w:r>
          </w:p>
        </w:tc>
        <w:tc>
          <w:tcPr>
            <w:tcW w:w="1238" w:type="dxa"/>
            <w:vAlign w:val="center"/>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联系电话</w:t>
            </w:r>
          </w:p>
        </w:tc>
        <w:tc>
          <w:tcPr>
            <w:tcW w:w="3556" w:type="dxa"/>
            <w:tcBorders>
              <w:right w:val="double" w:color="auto" w:sz="4" w:space="0"/>
            </w:tcBorders>
            <w:vAlign w:val="center"/>
          </w:tcPr>
          <w:p>
            <w:pP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0578-7128816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1" w:hRule="exact"/>
          <w:jc w:val="center"/>
        </w:trPr>
        <w:tc>
          <w:tcPr>
            <w:tcW w:w="1776" w:type="dxa"/>
            <w:tcBorders>
              <w:left w:val="double" w:color="auto" w:sz="4" w:space="0"/>
            </w:tcBorders>
            <w:vAlign w:val="center"/>
          </w:tcPr>
          <w:p>
            <w:pPr>
              <w:ind w:firstLine="240" w:firstLineChars="1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采购人</w:t>
            </w:r>
          </w:p>
        </w:tc>
        <w:tc>
          <w:tcPr>
            <w:tcW w:w="7723" w:type="dxa"/>
            <w:gridSpan w:val="3"/>
            <w:tcBorders>
              <w:right w:val="double" w:color="auto" w:sz="4" w:space="0"/>
            </w:tcBorders>
            <w:vAlign w:val="center"/>
          </w:tcPr>
          <w:p>
            <w:pPr>
              <w:rPr>
                <w:rFonts w:hint="eastAsia" w:ascii="宋体" w:hAnsi="宋体" w:eastAsia="宋体" w:cs="宋体"/>
                <w:bCs/>
                <w:color w:val="auto"/>
                <w:sz w:val="24"/>
                <w:szCs w:val="24"/>
                <w:lang w:eastAsia="zh-CN"/>
              </w:rPr>
            </w:pPr>
            <w:r>
              <w:rPr>
                <w:rFonts w:hint="eastAsia" w:ascii="宋体" w:hAnsi="宋体" w:cs="宋体"/>
                <w:color w:val="auto"/>
                <w:sz w:val="24"/>
                <w:szCs w:val="24"/>
                <w:lang w:eastAsia="zh-CN"/>
              </w:rPr>
              <w:t>龙泉市住房改革委员会办公室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1776" w:type="dxa"/>
            <w:tcBorders>
              <w:left w:val="double" w:color="auto" w:sz="4" w:space="0"/>
            </w:tcBorders>
            <w:vAlign w:val="center"/>
          </w:tcPr>
          <w:p>
            <w:pPr>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采购内容</w:t>
            </w:r>
          </w:p>
        </w:tc>
        <w:tc>
          <w:tcPr>
            <w:tcW w:w="7723" w:type="dxa"/>
            <w:gridSpan w:val="3"/>
            <w:tcBorders>
              <w:right w:val="doub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见第三章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1776" w:type="dxa"/>
            <w:tcBorders>
              <w:left w:val="double" w:color="auto" w:sz="4" w:space="0"/>
            </w:tcBorders>
            <w:vAlign w:val="center"/>
          </w:tcPr>
          <w:p>
            <w:pPr>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投标人</w:t>
            </w:r>
          </w:p>
          <w:p>
            <w:pPr>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资格要求</w:t>
            </w:r>
          </w:p>
        </w:tc>
        <w:tc>
          <w:tcPr>
            <w:tcW w:w="7723" w:type="dxa"/>
            <w:gridSpan w:val="3"/>
            <w:tcBorders>
              <w:right w:val="double" w:color="auto" w:sz="4" w:space="0"/>
            </w:tcBorders>
            <w:vAlign w:val="center"/>
          </w:tcPr>
          <w:p>
            <w:pPr>
              <w:tabs>
                <w:tab w:val="left" w:pos="540"/>
              </w:tabs>
              <w:snapToGrid w:val="0"/>
              <w:spacing w:before="96" w:after="96"/>
              <w:rPr>
                <w:rFonts w:hint="eastAsia" w:ascii="宋体" w:hAnsi="宋体" w:eastAsia="宋体" w:cs="宋体"/>
                <w:color w:val="auto"/>
                <w:sz w:val="24"/>
                <w:szCs w:val="24"/>
              </w:rPr>
            </w:pPr>
            <w:r>
              <w:rPr>
                <w:rFonts w:hint="eastAsia" w:ascii="宋体" w:hAnsi="宋体" w:eastAsia="宋体" w:cs="宋体"/>
                <w:color w:val="auto"/>
                <w:sz w:val="24"/>
                <w:szCs w:val="24"/>
              </w:rPr>
              <w:t>见第一章招标公告5.条款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8" w:hRule="exact"/>
          <w:jc w:val="center"/>
        </w:trPr>
        <w:tc>
          <w:tcPr>
            <w:tcW w:w="1776" w:type="dxa"/>
            <w:tcBorders>
              <w:left w:val="double" w:color="auto" w:sz="4" w:space="0"/>
            </w:tcBorders>
            <w:vAlign w:val="center"/>
          </w:tcPr>
          <w:p>
            <w:pP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投标有效期</w:t>
            </w:r>
          </w:p>
        </w:tc>
        <w:tc>
          <w:tcPr>
            <w:tcW w:w="7723" w:type="dxa"/>
            <w:gridSpan w:val="3"/>
            <w:tcBorders>
              <w:right w:val="double" w:color="auto" w:sz="4" w:space="0"/>
            </w:tcBorders>
            <w:vAlign w:val="center"/>
          </w:tcPr>
          <w:p>
            <w:pP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投标截止日后90天内有效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9" w:hRule="exact"/>
          <w:jc w:val="center"/>
        </w:trPr>
        <w:tc>
          <w:tcPr>
            <w:tcW w:w="1776" w:type="dxa"/>
            <w:tcBorders>
              <w:left w:val="double" w:color="auto" w:sz="4" w:space="0"/>
            </w:tcBorders>
            <w:vAlign w:val="center"/>
          </w:tcPr>
          <w:p>
            <w:pPr>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投标文件份数</w:t>
            </w:r>
          </w:p>
        </w:tc>
        <w:tc>
          <w:tcPr>
            <w:tcW w:w="7723" w:type="dxa"/>
            <w:gridSpan w:val="3"/>
            <w:tcBorders>
              <w:right w:val="double" w:color="auto" w:sz="4" w:space="0"/>
            </w:tcBorders>
            <w:vAlign w:val="center"/>
          </w:tcPr>
          <w:p>
            <w:pPr>
              <w:rPr>
                <w:rFonts w:hint="eastAsia" w:ascii="宋体" w:hAnsi="宋体" w:eastAsia="宋体" w:cs="宋体"/>
                <w:bCs/>
                <w:color w:val="auto"/>
                <w:sz w:val="24"/>
                <w:szCs w:val="24"/>
              </w:rPr>
            </w:pPr>
            <w:r>
              <w:rPr>
                <w:rFonts w:hint="eastAsia" w:ascii="宋体" w:hAnsi="宋体" w:eastAsia="宋体" w:cs="宋体"/>
                <w:b/>
                <w:bCs/>
                <w:snapToGrid w:val="0"/>
                <w:color w:val="auto"/>
                <w:sz w:val="24"/>
                <w:szCs w:val="24"/>
              </w:rPr>
              <w:t>投标文件份数：正本壹份、副本伍份。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1776" w:type="dxa"/>
            <w:tcBorders>
              <w:left w:val="double" w:color="auto" w:sz="4" w:space="0"/>
            </w:tcBorders>
            <w:vAlign w:val="center"/>
          </w:tcPr>
          <w:p>
            <w:pPr>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投标文件</w:t>
            </w:r>
          </w:p>
          <w:p>
            <w:pPr>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递交方式</w:t>
            </w:r>
          </w:p>
        </w:tc>
        <w:tc>
          <w:tcPr>
            <w:tcW w:w="7723" w:type="dxa"/>
            <w:gridSpan w:val="3"/>
            <w:tcBorders>
              <w:right w:val="double" w:color="auto" w:sz="4" w:space="0"/>
            </w:tcBorders>
            <w:vAlign w:val="center"/>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递交投标文件截止时间：</w:t>
            </w:r>
            <w:r>
              <w:rPr>
                <w:rFonts w:hint="eastAsia" w:ascii="宋体" w:hAnsi="宋体" w:cs="宋体"/>
                <w:b/>
                <w:bCs/>
                <w:color w:val="auto"/>
                <w:sz w:val="24"/>
                <w:szCs w:val="24"/>
                <w:lang w:eastAsia="zh-CN"/>
              </w:rPr>
              <w:t>2020年04月10日14:30</w:t>
            </w:r>
            <w:r>
              <w:rPr>
                <w:rFonts w:hint="eastAsia" w:ascii="宋体" w:hAnsi="宋体" w:eastAsia="宋体" w:cs="宋体"/>
                <w:b/>
                <w:bCs/>
                <w:color w:val="auto"/>
                <w:sz w:val="24"/>
                <w:szCs w:val="24"/>
              </w:rPr>
              <w:t>（北京时间）。</w:t>
            </w:r>
          </w:p>
          <w:p>
            <w:pPr>
              <w:pStyle w:val="2"/>
              <w:ind w:left="0" w:leftChars="0" w:firstLine="0" w:firstLineChars="0"/>
              <w:rPr>
                <w:rFonts w:hint="eastAsia"/>
                <w:color w:val="auto"/>
                <w:lang w:eastAsia="zh-CN"/>
              </w:rPr>
            </w:pPr>
            <w:r>
              <w:rPr>
                <w:rFonts w:hint="eastAsia" w:ascii="宋体" w:hAnsi="宋体" w:eastAsia="宋体" w:cs="宋体"/>
                <w:b/>
                <w:bCs/>
                <w:color w:val="auto"/>
                <w:sz w:val="24"/>
                <w:szCs w:val="24"/>
                <w:lang w:val="en-US" w:eastAsia="zh-CN"/>
              </w:rPr>
              <w:t>由于疫情防控需要，本项目不接受投标人上门递交投标文件，</w:t>
            </w:r>
            <w:r>
              <w:rPr>
                <w:rFonts w:hint="eastAsia" w:ascii="宋体" w:hAnsi="宋体" w:eastAsia="宋体" w:cs="宋体"/>
                <w:b/>
                <w:bCs/>
                <w:color w:val="auto"/>
                <w:sz w:val="24"/>
                <w:szCs w:val="24"/>
                <w:lang w:eastAsia="zh-CN"/>
              </w:rPr>
              <w:t>投标文件将通过邮寄快递方式提交，邮寄地址为：龙泉市公共资源交易中心开标室（龙泉市贤良路333号行政中心西副楼四楼），联系电话：</w:t>
            </w:r>
            <w:r>
              <w:rPr>
                <w:rFonts w:hint="eastAsia" w:ascii="宋体" w:hAnsi="宋体" w:cs="宋体"/>
                <w:b/>
                <w:bCs/>
                <w:color w:val="auto"/>
                <w:sz w:val="24"/>
                <w:szCs w:val="24"/>
                <w:lang w:eastAsia="zh-CN"/>
              </w:rPr>
              <w:t>15024645722</w:t>
            </w:r>
            <w:r>
              <w:rPr>
                <w:rFonts w:hint="eastAsia" w:ascii="宋体" w:hAnsi="宋体" w:eastAsia="宋体" w:cs="宋体"/>
                <w:b/>
                <w:bCs/>
                <w:color w:val="auto"/>
                <w:sz w:val="24"/>
                <w:szCs w:val="24"/>
                <w:lang w:eastAsia="zh-CN"/>
              </w:rPr>
              <w:t>，采购代理机构派接收人员负责接收投标文件至开标大厅档案柜封存，在接收记录单上对投标文件快递包裹的相关情况签字确认，待开标会议开始时间后由工作人员和监督人起封。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48" w:hRule="exact"/>
          <w:jc w:val="center"/>
        </w:trPr>
        <w:tc>
          <w:tcPr>
            <w:tcW w:w="1776" w:type="dxa"/>
            <w:tcBorders>
              <w:left w:val="double" w:color="auto" w:sz="4" w:space="0"/>
            </w:tcBorders>
            <w:vAlign w:val="center"/>
          </w:tcPr>
          <w:p>
            <w:pPr>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开标、评标</w:t>
            </w:r>
          </w:p>
        </w:tc>
        <w:tc>
          <w:tcPr>
            <w:tcW w:w="7723" w:type="dxa"/>
            <w:gridSpan w:val="3"/>
            <w:tcBorders>
              <w:right w:val="double" w:color="auto" w:sz="4" w:space="0"/>
            </w:tcBorders>
            <w:vAlign w:val="center"/>
          </w:tcPr>
          <w:p>
            <w:pPr>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时间：</w:t>
            </w:r>
            <w:r>
              <w:rPr>
                <w:rFonts w:hint="eastAsia" w:ascii="宋体" w:hAnsi="宋体" w:cs="宋体"/>
                <w:b/>
                <w:bCs/>
                <w:color w:val="auto"/>
                <w:sz w:val="24"/>
                <w:szCs w:val="24"/>
                <w:u w:val="single"/>
                <w:lang w:eastAsia="zh-CN"/>
              </w:rPr>
              <w:t>2020年04月10日14:30</w:t>
            </w:r>
            <w:r>
              <w:rPr>
                <w:rFonts w:hint="eastAsia" w:ascii="宋体" w:hAnsi="宋体" w:eastAsia="宋体" w:cs="宋体"/>
                <w:b/>
                <w:bCs/>
                <w:color w:val="auto"/>
                <w:sz w:val="24"/>
                <w:szCs w:val="24"/>
                <w:u w:val="single"/>
              </w:rPr>
              <w:t>（北京时间）</w:t>
            </w:r>
            <w:r>
              <w:rPr>
                <w:rFonts w:hint="eastAsia" w:ascii="宋体" w:hAnsi="宋体" w:eastAsia="宋体" w:cs="宋体"/>
                <w:b/>
                <w:bCs/>
                <w:color w:val="auto"/>
                <w:sz w:val="24"/>
                <w:szCs w:val="24"/>
                <w:u w:val="single"/>
                <w:lang w:eastAsia="zh-CN"/>
              </w:rPr>
              <w:t>，</w:t>
            </w:r>
            <w:r>
              <w:rPr>
                <w:rFonts w:hint="eastAsia" w:ascii="宋体" w:hAnsi="宋体" w:eastAsia="宋体" w:cs="宋体"/>
                <w:b/>
                <w:bCs/>
                <w:color w:val="auto"/>
                <w:sz w:val="24"/>
                <w:szCs w:val="24"/>
                <w:u w:val="single"/>
                <w:lang w:val="en-US" w:eastAsia="zh-CN"/>
              </w:rPr>
              <w:t>由于疫情防控需要，按照“不见面、少接触”的原则，本项目采取“不见面”形式进行开评标活动，法定代表人或其授权委托人无须到场，在线响应（通过指定的电子邮箱、微信）</w:t>
            </w:r>
            <w:r>
              <w:rPr>
                <w:rFonts w:hint="eastAsia" w:ascii="宋体" w:hAnsi="宋体" w:eastAsia="宋体" w:cs="宋体"/>
                <w:b/>
                <w:bCs/>
                <w:color w:val="auto"/>
                <w:sz w:val="24"/>
                <w:szCs w:val="24"/>
                <w:u w:val="single"/>
              </w:rPr>
              <w:t>。</w:t>
            </w: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地点：</w:t>
            </w:r>
            <w:r>
              <w:rPr>
                <w:rFonts w:hint="eastAsia" w:ascii="宋体" w:hAnsi="宋体" w:eastAsia="宋体" w:cs="宋体"/>
                <w:color w:val="auto"/>
                <w:sz w:val="24"/>
                <w:szCs w:val="24"/>
                <w:lang w:eastAsia="zh-CN"/>
              </w:rPr>
              <w:t>龙泉市公共资源交易中心开标室</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龙泉市贤良路333号行政中心西副楼四楼</w:t>
            </w:r>
            <w:r>
              <w:rPr>
                <w:rFonts w:hint="eastAsia" w:ascii="宋体" w:hAnsi="宋体" w:eastAsia="宋体" w:cs="宋体"/>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1" w:hRule="exact"/>
          <w:jc w:val="center"/>
        </w:trPr>
        <w:tc>
          <w:tcPr>
            <w:tcW w:w="1776" w:type="dxa"/>
            <w:tcBorders>
              <w:left w:val="double" w:color="auto" w:sz="4" w:space="0"/>
              <w:bottom w:val="double" w:color="auto" w:sz="4" w:space="0"/>
            </w:tcBorders>
            <w:vAlign w:val="center"/>
          </w:tcPr>
          <w:p>
            <w:pPr>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评标办法</w:t>
            </w:r>
          </w:p>
          <w:p>
            <w:pPr>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和细则</w:t>
            </w:r>
          </w:p>
        </w:tc>
        <w:tc>
          <w:tcPr>
            <w:tcW w:w="7723" w:type="dxa"/>
            <w:gridSpan w:val="3"/>
            <w:tcBorders>
              <w:bottom w:val="double" w:color="auto" w:sz="4" w:space="0"/>
              <w:right w:val="double" w:color="auto" w:sz="4" w:space="0"/>
            </w:tcBorders>
            <w:vAlign w:val="center"/>
          </w:tcPr>
          <w:p>
            <w:pPr>
              <w:rPr>
                <w:rFonts w:hint="eastAsia" w:ascii="宋体" w:hAnsi="宋体" w:eastAsia="宋体" w:cs="宋体"/>
                <w:bCs/>
                <w:color w:val="auto"/>
                <w:sz w:val="24"/>
                <w:szCs w:val="24"/>
              </w:rPr>
            </w:pPr>
            <w:r>
              <w:rPr>
                <w:rFonts w:hint="eastAsia" w:ascii="宋体" w:hAnsi="宋体" w:eastAsia="宋体" w:cs="宋体"/>
                <w:bCs/>
                <w:color w:val="auto"/>
                <w:sz w:val="24"/>
                <w:szCs w:val="24"/>
              </w:rPr>
              <w:t>详见本招标文件第六章</w:t>
            </w:r>
          </w:p>
        </w:tc>
      </w:tr>
    </w:tbl>
    <w:p>
      <w:pPr>
        <w:pStyle w:val="6"/>
        <w:ind w:firstLine="0" w:firstLineChars="0"/>
        <w:outlineLvl w:val="1"/>
        <w:rPr>
          <w:rFonts w:hint="eastAsia" w:ascii="宋体" w:hAnsi="宋体" w:eastAsia="宋体" w:cs="宋体"/>
          <w:color w:val="auto"/>
        </w:rPr>
      </w:pPr>
      <w:bookmarkStart w:id="27" w:name="_Toc27648"/>
      <w:bookmarkStart w:id="28" w:name="_Toc441763604"/>
      <w:bookmarkStart w:id="29" w:name="_Toc471825183"/>
      <w:bookmarkStart w:id="30" w:name="_Toc6184"/>
      <w:r>
        <w:rPr>
          <w:rFonts w:hint="eastAsia" w:ascii="宋体" w:hAnsi="宋体" w:eastAsia="宋体" w:cs="宋体"/>
          <w:color w:val="auto"/>
        </w:rPr>
        <w:t>三   招标活动日程安排表</w:t>
      </w:r>
      <w:bookmarkEnd w:id="27"/>
      <w:bookmarkEnd w:id="28"/>
      <w:bookmarkEnd w:id="29"/>
      <w:bookmarkEnd w:id="30"/>
    </w:p>
    <w:tbl>
      <w:tblPr>
        <w:tblStyle w:val="31"/>
        <w:tblW w:w="92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531"/>
        <w:gridCol w:w="2419"/>
        <w:gridCol w:w="45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5" w:type="dxa"/>
            <w:tcBorders>
              <w:top w:val="double" w:color="auto" w:sz="4" w:space="0"/>
            </w:tcBorders>
            <w:vAlign w:val="center"/>
          </w:tcPr>
          <w:p>
            <w:pPr>
              <w:spacing w:line="28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1531" w:type="dxa"/>
            <w:tcBorders>
              <w:top w:val="double" w:color="auto" w:sz="4" w:space="0"/>
            </w:tcBorders>
            <w:vAlign w:val="center"/>
          </w:tcPr>
          <w:p>
            <w:pPr>
              <w:spacing w:line="28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工作内容</w:t>
            </w:r>
          </w:p>
        </w:tc>
        <w:tc>
          <w:tcPr>
            <w:tcW w:w="2419" w:type="dxa"/>
            <w:tcBorders>
              <w:top w:val="double" w:color="auto" w:sz="4" w:space="0"/>
            </w:tcBorders>
            <w:vAlign w:val="center"/>
          </w:tcPr>
          <w:p>
            <w:pPr>
              <w:spacing w:line="28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时间及内容安排</w:t>
            </w:r>
          </w:p>
        </w:tc>
        <w:tc>
          <w:tcPr>
            <w:tcW w:w="4503" w:type="dxa"/>
            <w:tcBorders>
              <w:top w:val="double" w:color="auto" w:sz="4" w:space="0"/>
            </w:tcBorders>
            <w:vAlign w:val="center"/>
          </w:tcPr>
          <w:p>
            <w:pPr>
              <w:spacing w:line="28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说明及注意事项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05"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531"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发布招标公告</w:t>
            </w:r>
          </w:p>
        </w:tc>
        <w:tc>
          <w:tcPr>
            <w:tcW w:w="2419" w:type="dxa"/>
            <w:vAlign w:val="center"/>
          </w:tcPr>
          <w:p>
            <w:pPr>
              <w:spacing w:line="280" w:lineRule="exact"/>
              <w:rPr>
                <w:rFonts w:hint="eastAsia" w:ascii="宋体" w:hAnsi="宋体" w:eastAsia="宋体" w:cs="宋体"/>
                <w:b/>
                <w:color w:val="auto"/>
                <w:sz w:val="28"/>
                <w:szCs w:val="28"/>
                <w:u w:val="single"/>
              </w:rPr>
            </w:pPr>
            <w:r>
              <w:rPr>
                <w:rFonts w:hint="eastAsia" w:ascii="宋体" w:hAnsi="宋体" w:cs="宋体"/>
                <w:b/>
                <w:color w:val="auto"/>
                <w:sz w:val="24"/>
                <w:u w:val="single"/>
                <w:lang w:eastAsia="zh-CN"/>
              </w:rPr>
              <w:t>2020年03月25日</w:t>
            </w:r>
            <w:r>
              <w:rPr>
                <w:rFonts w:hint="eastAsia" w:ascii="宋体" w:hAnsi="宋体" w:eastAsia="宋体" w:cs="宋体"/>
                <w:b/>
                <w:color w:val="auto"/>
                <w:sz w:val="24"/>
                <w:u w:val="single"/>
              </w:rPr>
              <w:t>起</w:t>
            </w:r>
          </w:p>
        </w:tc>
        <w:tc>
          <w:tcPr>
            <w:tcW w:w="4503" w:type="dxa"/>
            <w:vAlign w:val="center"/>
          </w:tcPr>
          <w:p>
            <w:pPr>
              <w:spacing w:line="280" w:lineRule="exact"/>
              <w:rPr>
                <w:rFonts w:hint="eastAsia" w:ascii="宋体" w:hAnsi="宋体" w:eastAsia="宋体" w:cs="宋体"/>
                <w:color w:val="auto"/>
                <w:sz w:val="24"/>
              </w:rPr>
            </w:pPr>
            <w:r>
              <w:rPr>
                <w:rFonts w:hint="eastAsia" w:ascii="宋体" w:hAnsi="宋体" w:eastAsia="宋体" w:cs="宋体"/>
                <w:color w:val="auto"/>
                <w:sz w:val="24"/>
              </w:rPr>
              <w:t>浙江政府采购网（www.zjzfcg.gov.cn）、丽水市公共资源交易网（龙泉）（http://lq.lssggzy.com/lqweb/）等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805"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531"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发放招标文件</w:t>
            </w:r>
          </w:p>
        </w:tc>
        <w:tc>
          <w:tcPr>
            <w:tcW w:w="2419" w:type="dxa"/>
            <w:vAlign w:val="center"/>
          </w:tcPr>
          <w:p>
            <w:pPr>
              <w:spacing w:line="280" w:lineRule="exact"/>
              <w:jc w:val="center"/>
              <w:rPr>
                <w:rFonts w:hint="eastAsia" w:ascii="宋体" w:hAnsi="宋体" w:eastAsia="宋体" w:cs="宋体"/>
                <w:b/>
                <w:color w:val="auto"/>
                <w:sz w:val="24"/>
                <w:u w:val="single"/>
              </w:rPr>
            </w:pPr>
            <w:r>
              <w:rPr>
                <w:rFonts w:hint="eastAsia" w:ascii="宋体" w:hAnsi="宋体" w:eastAsia="宋体" w:cs="宋体"/>
                <w:b/>
                <w:color w:val="auto"/>
                <w:sz w:val="24"/>
                <w:u w:val="single"/>
              </w:rPr>
              <w:t>从公告之日起至</w:t>
            </w:r>
            <w:r>
              <w:rPr>
                <w:rFonts w:hint="eastAsia" w:ascii="宋体" w:hAnsi="宋体" w:cs="宋体"/>
                <w:b/>
                <w:color w:val="auto"/>
                <w:sz w:val="24"/>
                <w:u w:val="single"/>
                <w:lang w:eastAsia="zh-CN"/>
              </w:rPr>
              <w:t>2020年04月09日16：30时</w:t>
            </w:r>
            <w:r>
              <w:rPr>
                <w:rFonts w:hint="eastAsia" w:ascii="宋体" w:hAnsi="宋体" w:eastAsia="宋体" w:cs="宋体"/>
                <w:b/>
                <w:color w:val="auto"/>
                <w:sz w:val="24"/>
                <w:u w:val="single"/>
              </w:rPr>
              <w:t>前止。上午：08：30-12：00；下午：1</w:t>
            </w:r>
            <w:r>
              <w:rPr>
                <w:rFonts w:hint="eastAsia" w:ascii="宋体" w:hAnsi="宋体" w:eastAsia="宋体" w:cs="宋体"/>
                <w:b/>
                <w:color w:val="auto"/>
                <w:sz w:val="24"/>
                <w:u w:val="single"/>
                <w:lang w:val="en-US" w:eastAsia="zh-CN"/>
              </w:rPr>
              <w:t>4</w:t>
            </w:r>
            <w:r>
              <w:rPr>
                <w:rFonts w:hint="eastAsia" w:ascii="宋体" w:hAnsi="宋体" w:eastAsia="宋体" w:cs="宋体"/>
                <w:b/>
                <w:color w:val="auto"/>
                <w:sz w:val="24"/>
                <w:u w:val="single"/>
              </w:rPr>
              <w:t>：</w:t>
            </w:r>
            <w:r>
              <w:rPr>
                <w:rFonts w:hint="eastAsia" w:ascii="宋体" w:hAnsi="宋体" w:eastAsia="宋体" w:cs="宋体"/>
                <w:b/>
                <w:color w:val="auto"/>
                <w:sz w:val="24"/>
                <w:u w:val="single"/>
                <w:lang w:val="en-US" w:eastAsia="zh-CN"/>
              </w:rPr>
              <w:t>0</w:t>
            </w:r>
            <w:r>
              <w:rPr>
                <w:rFonts w:hint="eastAsia" w:ascii="宋体" w:hAnsi="宋体" w:eastAsia="宋体" w:cs="宋体"/>
                <w:b/>
                <w:color w:val="auto"/>
                <w:sz w:val="24"/>
                <w:u w:val="single"/>
              </w:rPr>
              <w:t>0-1</w:t>
            </w:r>
            <w:r>
              <w:rPr>
                <w:rFonts w:hint="eastAsia" w:ascii="宋体" w:hAnsi="宋体" w:eastAsia="宋体" w:cs="宋体"/>
                <w:b/>
                <w:color w:val="auto"/>
                <w:sz w:val="24"/>
                <w:u w:val="single"/>
                <w:lang w:val="en-US" w:eastAsia="zh-CN"/>
              </w:rPr>
              <w:t>7</w:t>
            </w:r>
            <w:r>
              <w:rPr>
                <w:rFonts w:hint="eastAsia" w:ascii="宋体" w:hAnsi="宋体" w:eastAsia="宋体" w:cs="宋体"/>
                <w:b/>
                <w:color w:val="auto"/>
                <w:sz w:val="24"/>
                <w:u w:val="single"/>
              </w:rPr>
              <w:t>：</w:t>
            </w:r>
            <w:r>
              <w:rPr>
                <w:rFonts w:hint="eastAsia" w:ascii="宋体" w:hAnsi="宋体" w:eastAsia="宋体" w:cs="宋体"/>
                <w:b/>
                <w:color w:val="auto"/>
                <w:sz w:val="24"/>
                <w:u w:val="single"/>
                <w:lang w:val="en-US" w:eastAsia="zh-CN"/>
              </w:rPr>
              <w:t>0</w:t>
            </w:r>
            <w:r>
              <w:rPr>
                <w:rFonts w:hint="eastAsia" w:ascii="宋体" w:hAnsi="宋体" w:eastAsia="宋体" w:cs="宋体"/>
                <w:b/>
                <w:color w:val="auto"/>
                <w:sz w:val="24"/>
                <w:u w:val="single"/>
              </w:rPr>
              <w:t xml:space="preserve">0(双休日及法定节假日除外) </w:t>
            </w:r>
          </w:p>
        </w:tc>
        <w:tc>
          <w:tcPr>
            <w:tcW w:w="4503" w:type="dxa"/>
            <w:vAlign w:val="center"/>
          </w:tcPr>
          <w:p>
            <w:pPr>
              <w:spacing w:line="280" w:lineRule="exact"/>
              <w:rPr>
                <w:rFonts w:hint="eastAsia" w:ascii="宋体" w:hAnsi="宋体" w:eastAsia="宋体" w:cs="宋体"/>
                <w:color w:val="auto"/>
                <w:sz w:val="24"/>
              </w:rPr>
            </w:pPr>
            <w:r>
              <w:rPr>
                <w:rFonts w:hint="eastAsia" w:ascii="宋体" w:hAnsi="宋体" w:eastAsia="宋体" w:cs="宋体"/>
                <w:color w:val="auto"/>
                <w:sz w:val="24"/>
              </w:rPr>
              <w:t>获取方式：</w:t>
            </w:r>
            <w:r>
              <w:rPr>
                <w:rFonts w:hint="eastAsia" w:ascii="宋体" w:hAnsi="宋体" w:eastAsia="宋体" w:cs="宋体"/>
                <w:color w:val="auto"/>
                <w:sz w:val="24"/>
                <w:szCs w:val="24"/>
              </w:rPr>
              <w:t>浙江政府采购网（http://www.zjzfcg.gov.cn/）与丽水市公共资源交易网龙泉分网（http://lq.lssggzy.com/lqweb/）自行免费下载</w:t>
            </w:r>
            <w:r>
              <w:rPr>
                <w:rFonts w:hint="eastAsia" w:ascii="宋体" w:hAnsi="宋体" w:eastAsia="宋体" w:cs="宋体"/>
                <w:color w:val="auto"/>
                <w:sz w:val="24"/>
              </w:rPr>
              <w:t>，联系人：</w:t>
            </w:r>
            <w:r>
              <w:rPr>
                <w:rFonts w:hint="eastAsia" w:ascii="宋体" w:hAnsi="宋体" w:eastAsia="宋体" w:cs="宋体"/>
                <w:color w:val="auto"/>
                <w:sz w:val="24"/>
                <w:lang w:eastAsia="zh-CN"/>
              </w:rPr>
              <w:t>兰女士</w:t>
            </w:r>
            <w:r>
              <w:rPr>
                <w:rFonts w:hint="eastAsia" w:ascii="宋体" w:hAnsi="宋体" w:eastAsia="宋体" w:cs="宋体"/>
                <w:color w:val="auto"/>
                <w:sz w:val="24"/>
              </w:rPr>
              <w:t xml:space="preserve"> 联系电话：</w:t>
            </w:r>
            <w:r>
              <w:rPr>
                <w:rFonts w:hint="eastAsia" w:ascii="宋体" w:hAnsi="宋体" w:eastAsia="宋体" w:cs="宋体"/>
                <w:color w:val="auto"/>
                <w:sz w:val="24"/>
                <w:lang w:eastAsia="zh-CN"/>
              </w:rPr>
              <w:t>0578-7128816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05"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531"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投标人澄清时间</w:t>
            </w:r>
          </w:p>
        </w:tc>
        <w:tc>
          <w:tcPr>
            <w:tcW w:w="2419" w:type="dxa"/>
            <w:vAlign w:val="center"/>
          </w:tcPr>
          <w:p>
            <w:pPr>
              <w:spacing w:line="280" w:lineRule="exact"/>
              <w:jc w:val="center"/>
              <w:rPr>
                <w:rFonts w:hint="eastAsia" w:ascii="宋体" w:hAnsi="宋体" w:eastAsia="宋体" w:cs="宋体"/>
                <w:b/>
                <w:color w:val="auto"/>
                <w:sz w:val="24"/>
                <w:u w:val="single"/>
              </w:rPr>
            </w:pPr>
            <w:r>
              <w:rPr>
                <w:rFonts w:hint="eastAsia" w:ascii="宋体" w:hAnsi="宋体" w:eastAsia="宋体" w:cs="宋体"/>
                <w:color w:val="auto"/>
                <w:sz w:val="24"/>
              </w:rPr>
              <w:t>各投标人应于</w:t>
            </w:r>
            <w:r>
              <w:rPr>
                <w:rFonts w:hint="eastAsia" w:ascii="宋体" w:hAnsi="宋体" w:cs="宋体"/>
                <w:b/>
                <w:color w:val="auto"/>
                <w:sz w:val="24"/>
                <w:u w:val="single"/>
                <w:lang w:eastAsia="zh-CN"/>
              </w:rPr>
              <w:t>投标截止日期2天</w:t>
            </w:r>
            <w:r>
              <w:rPr>
                <w:rFonts w:hint="eastAsia" w:ascii="宋体" w:hAnsi="宋体" w:eastAsia="宋体" w:cs="宋体"/>
                <w:color w:val="auto"/>
                <w:sz w:val="24"/>
              </w:rPr>
              <w:t>前向采购代理机构书面（或传真）提出</w:t>
            </w:r>
          </w:p>
        </w:tc>
        <w:tc>
          <w:tcPr>
            <w:tcW w:w="4503" w:type="dxa"/>
            <w:vAlign w:val="center"/>
          </w:tcPr>
          <w:p>
            <w:pPr>
              <w:spacing w:line="280" w:lineRule="exact"/>
              <w:rPr>
                <w:rFonts w:hint="eastAsia" w:ascii="宋体" w:hAnsi="宋体" w:eastAsia="宋体" w:cs="宋体"/>
                <w:color w:val="auto"/>
                <w:sz w:val="24"/>
              </w:rPr>
            </w:pPr>
            <w:r>
              <w:rPr>
                <w:rFonts w:hint="eastAsia" w:ascii="宋体" w:hAnsi="宋体" w:eastAsia="宋体" w:cs="宋体"/>
                <w:color w:val="auto"/>
                <w:sz w:val="24"/>
              </w:rPr>
              <w:t>提交方式：</w:t>
            </w:r>
          </w:p>
          <w:p>
            <w:pPr>
              <w:spacing w:line="280" w:lineRule="exact"/>
              <w:rPr>
                <w:rFonts w:hint="eastAsia" w:ascii="宋体" w:hAnsi="宋体" w:eastAsia="宋体" w:cs="宋体"/>
                <w:color w:val="auto"/>
                <w:sz w:val="24"/>
              </w:rPr>
            </w:pPr>
            <w:r>
              <w:rPr>
                <w:rFonts w:hint="eastAsia" w:ascii="宋体" w:hAnsi="宋体" w:eastAsia="宋体" w:cs="宋体"/>
                <w:color w:val="auto"/>
                <w:sz w:val="24"/>
              </w:rPr>
              <w:t>1、采购代理机构：</w:t>
            </w:r>
            <w:r>
              <w:rPr>
                <w:rFonts w:hint="eastAsia" w:ascii="宋体" w:hAnsi="宋体" w:eastAsia="宋体" w:cs="宋体"/>
                <w:color w:val="auto"/>
                <w:sz w:val="24"/>
                <w:lang w:eastAsia="zh-CN"/>
              </w:rPr>
              <w:t>欧邦工程管理有限公司</w:t>
            </w:r>
            <w:r>
              <w:rPr>
                <w:rFonts w:hint="eastAsia" w:ascii="宋体" w:hAnsi="宋体" w:eastAsia="宋体" w:cs="宋体"/>
                <w:bCs/>
                <w:color w:val="auto"/>
                <w:sz w:val="24"/>
              </w:rPr>
              <w:t>（</w:t>
            </w:r>
            <w:r>
              <w:rPr>
                <w:rFonts w:hint="eastAsia" w:ascii="宋体" w:hAnsi="宋体" w:eastAsia="宋体" w:cs="宋体"/>
                <w:bCs/>
                <w:color w:val="auto"/>
                <w:sz w:val="24"/>
                <w:lang w:eastAsia="zh-CN"/>
              </w:rPr>
              <w:t>龙泉市中山东路79号一单元201室</w:t>
            </w:r>
            <w:r>
              <w:rPr>
                <w:rFonts w:hint="eastAsia" w:ascii="宋体" w:hAnsi="宋体" w:eastAsia="宋体" w:cs="宋体"/>
                <w:bCs/>
                <w:color w:val="auto"/>
                <w:sz w:val="24"/>
              </w:rPr>
              <w:t>，邮编：323700）</w:t>
            </w:r>
          </w:p>
          <w:p>
            <w:pPr>
              <w:spacing w:line="280" w:lineRule="exact"/>
              <w:rPr>
                <w:rFonts w:hint="eastAsia" w:ascii="宋体" w:hAnsi="宋体" w:eastAsia="宋体" w:cs="宋体"/>
                <w:color w:val="auto"/>
                <w:sz w:val="24"/>
                <w:lang w:eastAsia="zh-CN"/>
              </w:rPr>
            </w:pPr>
            <w:r>
              <w:rPr>
                <w:rFonts w:hint="eastAsia" w:ascii="宋体" w:hAnsi="宋体" w:eastAsia="宋体" w:cs="宋体"/>
                <w:color w:val="auto"/>
                <w:sz w:val="24"/>
              </w:rPr>
              <w:t>2、项目联系人：</w:t>
            </w:r>
            <w:r>
              <w:rPr>
                <w:rFonts w:hint="eastAsia" w:ascii="宋体" w:hAnsi="宋体" w:eastAsia="宋体" w:cs="宋体"/>
                <w:color w:val="auto"/>
                <w:sz w:val="24"/>
                <w:lang w:eastAsia="zh-CN"/>
              </w:rPr>
              <w:t>兰女士</w:t>
            </w:r>
          </w:p>
          <w:p>
            <w:pPr>
              <w:spacing w:line="280" w:lineRule="exact"/>
              <w:rPr>
                <w:rFonts w:hint="eastAsia" w:ascii="宋体" w:hAnsi="宋体" w:eastAsia="宋体" w:cs="宋体"/>
                <w:color w:val="auto"/>
                <w:sz w:val="24"/>
                <w:lang w:eastAsia="zh-CN"/>
              </w:rPr>
            </w:pPr>
            <w:r>
              <w:rPr>
                <w:rFonts w:hint="eastAsia" w:ascii="宋体" w:hAnsi="宋体" w:eastAsia="宋体" w:cs="宋体"/>
                <w:color w:val="auto"/>
                <w:sz w:val="24"/>
              </w:rPr>
              <w:t>3、电话：</w:t>
            </w:r>
            <w:r>
              <w:rPr>
                <w:rFonts w:hint="eastAsia" w:ascii="宋体" w:hAnsi="宋体" w:eastAsia="宋体" w:cs="宋体"/>
                <w:color w:val="auto"/>
                <w:sz w:val="24"/>
                <w:lang w:eastAsia="zh-CN"/>
              </w:rPr>
              <w:t>0578-7128816</w:t>
            </w:r>
          </w:p>
          <w:p>
            <w:pPr>
              <w:spacing w:line="280" w:lineRule="exact"/>
              <w:rPr>
                <w:rFonts w:hint="eastAsia" w:ascii="宋体" w:hAnsi="宋体" w:eastAsia="宋体" w:cs="宋体"/>
                <w:color w:val="auto"/>
                <w:sz w:val="24"/>
              </w:rPr>
            </w:pPr>
            <w:r>
              <w:rPr>
                <w:rFonts w:hint="eastAsia" w:ascii="宋体" w:hAnsi="宋体" w:eastAsia="宋体" w:cs="宋体"/>
                <w:color w:val="auto"/>
                <w:sz w:val="24"/>
              </w:rPr>
              <w:t>4、传真：</w:t>
            </w:r>
            <w:r>
              <w:rPr>
                <w:rFonts w:hint="eastAsia" w:ascii="宋体" w:hAnsi="宋体" w:eastAsia="宋体" w:cs="宋体"/>
                <w:color w:val="auto"/>
                <w:sz w:val="24"/>
                <w:lang w:eastAsia="zh-CN"/>
              </w:rPr>
              <w:t>0578-7128816</w:t>
            </w:r>
            <w:r>
              <w:rPr>
                <w:rFonts w:hint="eastAsia" w:ascii="宋体" w:hAnsi="宋体" w:eastAsia="宋体" w:cs="宋体"/>
                <w:color w:val="auto"/>
                <w:sz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05"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531"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招标文件澄清或修改时间</w:t>
            </w:r>
          </w:p>
        </w:tc>
        <w:tc>
          <w:tcPr>
            <w:tcW w:w="2419" w:type="dxa"/>
            <w:vAlign w:val="center"/>
          </w:tcPr>
          <w:p>
            <w:pPr>
              <w:spacing w:line="280" w:lineRule="exact"/>
              <w:jc w:val="center"/>
              <w:rPr>
                <w:rFonts w:hint="eastAsia" w:ascii="宋体" w:hAnsi="宋体" w:eastAsia="宋体" w:cs="宋体"/>
                <w:b/>
                <w:color w:val="auto"/>
                <w:sz w:val="24"/>
                <w:u w:val="single"/>
              </w:rPr>
            </w:pPr>
            <w:r>
              <w:rPr>
                <w:rFonts w:hint="eastAsia" w:ascii="宋体" w:hAnsi="宋体" w:cs="宋体"/>
                <w:b/>
                <w:color w:val="auto"/>
                <w:sz w:val="24"/>
                <w:u w:val="single"/>
                <w:lang w:eastAsia="zh-CN"/>
              </w:rPr>
              <w:t>投标截止日期2天</w:t>
            </w:r>
            <w:r>
              <w:rPr>
                <w:rFonts w:hint="eastAsia" w:ascii="宋体" w:hAnsi="宋体" w:eastAsia="宋体" w:cs="宋体"/>
                <w:b/>
                <w:color w:val="auto"/>
                <w:sz w:val="24"/>
                <w:u w:val="single"/>
              </w:rPr>
              <w:t>前</w:t>
            </w:r>
          </w:p>
        </w:tc>
        <w:tc>
          <w:tcPr>
            <w:tcW w:w="4503" w:type="dxa"/>
            <w:vAlign w:val="center"/>
          </w:tcPr>
          <w:p>
            <w:pPr>
              <w:spacing w:line="280" w:lineRule="exact"/>
              <w:rPr>
                <w:rFonts w:hint="eastAsia" w:ascii="宋体" w:hAnsi="宋体" w:eastAsia="宋体" w:cs="宋体"/>
                <w:color w:val="auto"/>
                <w:sz w:val="24"/>
                <w:lang w:eastAsia="zh-CN"/>
              </w:rPr>
            </w:pPr>
            <w:r>
              <w:rPr>
                <w:rFonts w:hint="eastAsia" w:ascii="宋体" w:hAnsi="宋体" w:eastAsia="宋体" w:cs="宋体"/>
                <w:color w:val="auto"/>
                <w:sz w:val="24"/>
              </w:rPr>
              <w:t>浙江政府采购网（www.zjzfcg.gov.cn）、丽水市公共资源交易网（龙泉）（http://lq.lssggzy.com/lqweb/）等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64" w:hRule="exact"/>
          <w:jc w:val="center"/>
        </w:trPr>
        <w:tc>
          <w:tcPr>
            <w:tcW w:w="805" w:type="dxa"/>
            <w:vAlign w:val="center"/>
          </w:tcPr>
          <w:p>
            <w:pPr>
              <w:spacing w:line="28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531" w:type="dxa"/>
            <w:vAlign w:val="center"/>
          </w:tcPr>
          <w:p>
            <w:pPr>
              <w:spacing w:line="28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投标文件递交截止时间</w:t>
            </w:r>
          </w:p>
        </w:tc>
        <w:tc>
          <w:tcPr>
            <w:tcW w:w="2419" w:type="dxa"/>
            <w:vAlign w:val="center"/>
          </w:tcPr>
          <w:p>
            <w:pPr>
              <w:spacing w:line="280" w:lineRule="exact"/>
              <w:jc w:val="center"/>
              <w:rPr>
                <w:rFonts w:hint="eastAsia" w:ascii="宋体" w:hAnsi="宋体" w:eastAsia="宋体" w:cs="宋体"/>
                <w:color w:val="auto"/>
                <w:sz w:val="24"/>
                <w:lang w:eastAsia="zh-CN"/>
              </w:rPr>
            </w:pPr>
            <w:r>
              <w:rPr>
                <w:rFonts w:hint="eastAsia" w:ascii="宋体" w:hAnsi="宋体" w:cs="宋体"/>
                <w:b/>
                <w:bCs/>
                <w:snapToGrid w:val="0"/>
                <w:color w:val="auto"/>
                <w:sz w:val="24"/>
                <w:u w:val="single"/>
                <w:lang w:eastAsia="zh-CN"/>
              </w:rPr>
              <w:t>2020年04月10日14:30</w:t>
            </w:r>
            <w:r>
              <w:rPr>
                <w:rFonts w:hint="eastAsia" w:ascii="宋体" w:hAnsi="宋体" w:eastAsia="宋体" w:cs="宋体"/>
                <w:b/>
                <w:bCs/>
                <w:snapToGrid w:val="0"/>
                <w:color w:val="auto"/>
                <w:sz w:val="24"/>
                <w:u w:val="single"/>
                <w:lang w:eastAsia="zh-CN"/>
              </w:rPr>
              <w:t>（北京时间）</w:t>
            </w:r>
          </w:p>
        </w:tc>
        <w:tc>
          <w:tcPr>
            <w:tcW w:w="4503" w:type="dxa"/>
            <w:vAlign w:val="center"/>
          </w:tcPr>
          <w:p>
            <w:pPr>
              <w:spacing w:line="280" w:lineRule="exact"/>
              <w:rPr>
                <w:rFonts w:hint="eastAsia" w:ascii="宋体" w:hAnsi="宋体" w:eastAsia="宋体" w:cs="宋体"/>
                <w:color w:val="auto"/>
                <w:sz w:val="24"/>
              </w:rPr>
            </w:pPr>
            <w:r>
              <w:rPr>
                <w:rFonts w:hint="eastAsia" w:ascii="宋体" w:hAnsi="宋体" w:eastAsia="宋体" w:cs="宋体"/>
                <w:b/>
                <w:bCs/>
                <w:color w:val="auto"/>
                <w:sz w:val="24"/>
              </w:rPr>
              <w:t xml:space="preserve">提交地点: </w:t>
            </w:r>
            <w:r>
              <w:rPr>
                <w:rFonts w:hint="eastAsia" w:ascii="宋体" w:hAnsi="宋体" w:eastAsia="宋体" w:cs="宋体"/>
                <w:b/>
                <w:bCs/>
                <w:color w:val="auto"/>
                <w:sz w:val="24"/>
                <w:szCs w:val="24"/>
                <w:lang w:val="en-US" w:eastAsia="zh-CN"/>
              </w:rPr>
              <w:t>由于疫情防控需要，本项目不接受投标人上门递交投标文件，</w:t>
            </w:r>
            <w:r>
              <w:rPr>
                <w:rFonts w:hint="eastAsia" w:ascii="宋体" w:hAnsi="宋体" w:eastAsia="宋体" w:cs="宋体"/>
                <w:b/>
                <w:bCs/>
                <w:color w:val="auto"/>
                <w:sz w:val="24"/>
                <w:szCs w:val="24"/>
                <w:lang w:eastAsia="zh-CN"/>
              </w:rPr>
              <w:t>投标文件将通过邮寄快递方式提交，邮寄地址为：龙泉市公共资源交易中心开标室（龙泉市贤良路333号行政中心西副楼四楼），联系电话：</w:t>
            </w:r>
            <w:r>
              <w:rPr>
                <w:rFonts w:hint="eastAsia" w:ascii="宋体" w:hAnsi="宋体" w:cs="宋体"/>
                <w:b/>
                <w:bCs/>
                <w:color w:val="auto"/>
                <w:sz w:val="24"/>
                <w:szCs w:val="24"/>
                <w:lang w:eastAsia="zh-CN"/>
              </w:rPr>
              <w:t>15024645722</w:t>
            </w:r>
            <w:r>
              <w:rPr>
                <w:rFonts w:hint="eastAsia" w:ascii="宋体" w:hAnsi="宋体" w:eastAsia="宋体" w:cs="宋体"/>
                <w:b/>
                <w:bCs/>
                <w:color w:val="auto"/>
                <w:sz w:val="24"/>
                <w:szCs w:val="24"/>
                <w:lang w:eastAsia="zh-CN"/>
              </w:rPr>
              <w:t>，采购代理机构派接收人员负责接收投标文件至开标大厅档案柜封存，在接收记录单上对投标文件快递包裹的相关情况签字确认，待开标会议开始时间后由工作人员和监督人起封。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805" w:type="dxa"/>
            <w:vAlign w:val="center"/>
          </w:tcPr>
          <w:p>
            <w:pPr>
              <w:spacing w:line="28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1531"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开标时间和地点</w:t>
            </w:r>
          </w:p>
        </w:tc>
        <w:tc>
          <w:tcPr>
            <w:tcW w:w="2419" w:type="dxa"/>
            <w:vAlign w:val="center"/>
          </w:tcPr>
          <w:p>
            <w:pPr>
              <w:spacing w:line="280" w:lineRule="exact"/>
              <w:jc w:val="center"/>
              <w:rPr>
                <w:rFonts w:hint="eastAsia" w:ascii="宋体" w:hAnsi="宋体" w:eastAsia="宋体" w:cs="宋体"/>
                <w:color w:val="auto"/>
                <w:sz w:val="24"/>
              </w:rPr>
            </w:pPr>
            <w:r>
              <w:rPr>
                <w:rFonts w:hint="eastAsia" w:ascii="宋体" w:hAnsi="宋体" w:cs="宋体"/>
                <w:b/>
                <w:bCs/>
                <w:snapToGrid w:val="0"/>
                <w:color w:val="auto"/>
                <w:sz w:val="24"/>
                <w:u w:val="single"/>
                <w:lang w:eastAsia="zh-CN"/>
              </w:rPr>
              <w:t>2020年04月10日14:30</w:t>
            </w:r>
            <w:r>
              <w:rPr>
                <w:rFonts w:hint="eastAsia" w:ascii="宋体" w:hAnsi="宋体" w:eastAsia="宋体" w:cs="宋体"/>
                <w:b/>
                <w:bCs/>
                <w:snapToGrid w:val="0"/>
                <w:color w:val="auto"/>
                <w:sz w:val="24"/>
                <w:u w:val="single"/>
                <w:lang w:eastAsia="zh-CN"/>
              </w:rPr>
              <w:t>（北京时间）</w:t>
            </w:r>
          </w:p>
        </w:tc>
        <w:tc>
          <w:tcPr>
            <w:tcW w:w="4503" w:type="dxa"/>
            <w:vAlign w:val="center"/>
          </w:tcPr>
          <w:p>
            <w:pPr>
              <w:rPr>
                <w:rFonts w:hint="eastAsia" w:ascii="宋体" w:hAnsi="宋体" w:eastAsia="宋体" w:cs="宋体"/>
                <w:color w:val="auto"/>
                <w:sz w:val="24"/>
              </w:rPr>
            </w:pPr>
            <w:r>
              <w:rPr>
                <w:rFonts w:hint="eastAsia" w:ascii="宋体" w:hAnsi="宋体" w:eastAsia="宋体" w:cs="宋体"/>
                <w:color w:val="auto"/>
                <w:sz w:val="24"/>
              </w:rPr>
              <w:t>开标地点:</w:t>
            </w:r>
            <w:r>
              <w:rPr>
                <w:rFonts w:hint="eastAsia" w:ascii="宋体" w:hAnsi="宋体" w:eastAsia="宋体" w:cs="宋体"/>
                <w:bCs/>
                <w:color w:val="auto"/>
                <w:sz w:val="24"/>
              </w:rPr>
              <w:t xml:space="preserve"> </w:t>
            </w:r>
            <w:r>
              <w:rPr>
                <w:rFonts w:hint="eastAsia" w:ascii="宋体" w:hAnsi="宋体" w:eastAsia="宋体" w:cs="宋体"/>
                <w:color w:val="auto"/>
                <w:sz w:val="24"/>
                <w:lang w:eastAsia="zh-CN"/>
              </w:rPr>
              <w:t>龙泉市公共资源交易中心开标室</w:t>
            </w:r>
            <w:r>
              <w:rPr>
                <w:rFonts w:hint="eastAsia" w:ascii="宋体" w:hAnsi="宋体" w:eastAsia="宋体" w:cs="宋体"/>
                <w:color w:val="auto"/>
                <w:sz w:val="24"/>
              </w:rPr>
              <w:t>（</w:t>
            </w:r>
            <w:r>
              <w:rPr>
                <w:rFonts w:hint="eastAsia" w:ascii="宋体" w:hAnsi="宋体" w:eastAsia="宋体" w:cs="宋体"/>
                <w:color w:val="auto"/>
                <w:sz w:val="24"/>
                <w:lang w:eastAsia="zh-CN"/>
              </w:rPr>
              <w:t>龙泉市贤良路333号行政中心西副楼四楼</w:t>
            </w:r>
            <w:r>
              <w:rPr>
                <w:rFonts w:hint="eastAsia" w:ascii="宋体" w:hAnsi="宋体" w:eastAsia="宋体" w:cs="宋体"/>
                <w:color w:val="auto"/>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805" w:type="dxa"/>
            <w:vAlign w:val="center"/>
          </w:tcPr>
          <w:p>
            <w:pPr>
              <w:spacing w:line="28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1531"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中标公告</w:t>
            </w:r>
          </w:p>
        </w:tc>
        <w:tc>
          <w:tcPr>
            <w:tcW w:w="2419"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经采购人确定中标人后2个工作日内</w:t>
            </w:r>
          </w:p>
        </w:tc>
        <w:tc>
          <w:tcPr>
            <w:tcW w:w="4503" w:type="dxa"/>
            <w:vAlign w:val="center"/>
          </w:tcPr>
          <w:p>
            <w:pPr>
              <w:spacing w:line="280" w:lineRule="exact"/>
              <w:rPr>
                <w:rFonts w:hint="eastAsia" w:ascii="宋体" w:hAnsi="宋体" w:eastAsia="宋体" w:cs="宋体"/>
                <w:color w:val="auto"/>
                <w:sz w:val="24"/>
              </w:rPr>
            </w:pPr>
            <w:r>
              <w:rPr>
                <w:rFonts w:hint="eastAsia" w:ascii="宋体" w:hAnsi="宋体" w:eastAsia="宋体" w:cs="宋体"/>
                <w:color w:val="auto"/>
                <w:sz w:val="24"/>
              </w:rPr>
              <w:t>浙江政府采购网（www.zjzfcg.gov.cn）、丽水市公共资源交易网（龙泉）（http://lq.lssggzy.com/lqweb/）等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805" w:type="dxa"/>
            <w:vAlign w:val="center"/>
          </w:tcPr>
          <w:p>
            <w:pPr>
              <w:spacing w:line="28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1531" w:type="dxa"/>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发中标通知书</w:t>
            </w:r>
          </w:p>
        </w:tc>
        <w:tc>
          <w:tcPr>
            <w:tcW w:w="2419"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中标公告届满之日起</w:t>
            </w:r>
          </w:p>
        </w:tc>
        <w:tc>
          <w:tcPr>
            <w:tcW w:w="4503" w:type="dxa"/>
            <w:vAlign w:val="center"/>
          </w:tcPr>
          <w:p>
            <w:pPr>
              <w:rPr>
                <w:rFonts w:hint="eastAsia" w:ascii="宋体" w:hAnsi="宋体" w:eastAsia="宋体" w:cs="宋体"/>
                <w:color w:val="auto"/>
                <w:sz w:val="24"/>
              </w:rPr>
            </w:pPr>
            <w:r>
              <w:rPr>
                <w:rFonts w:hint="eastAsia" w:ascii="宋体" w:hAnsi="宋体" w:eastAsia="宋体" w:cs="宋体"/>
                <w:color w:val="auto"/>
                <w:sz w:val="24"/>
              </w:rPr>
              <w:t>书面发</w:t>
            </w:r>
            <w:r>
              <w:rPr>
                <w:rFonts w:hint="eastAsia" w:ascii="宋体" w:hAnsi="宋体" w:eastAsia="宋体" w:cs="宋体"/>
                <w:color w:val="auto"/>
                <w:sz w:val="24"/>
                <w:lang w:eastAsia="zh-CN"/>
              </w:rPr>
              <w:t>放</w:t>
            </w:r>
            <w:r>
              <w:rPr>
                <w:rFonts w:hint="eastAsia" w:ascii="宋体" w:hAnsi="宋体" w:eastAsia="宋体" w:cs="宋体"/>
                <w:color w:val="auto"/>
                <w:sz w:val="24"/>
              </w:rPr>
              <w:t>给中标人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05" w:type="dxa"/>
            <w:tcBorders>
              <w:bottom w:val="double" w:color="auto" w:sz="4" w:space="0"/>
            </w:tcBorders>
            <w:vAlign w:val="center"/>
          </w:tcPr>
          <w:p>
            <w:pPr>
              <w:spacing w:line="28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1531" w:type="dxa"/>
            <w:tcBorders>
              <w:bottom w:val="double" w:color="auto" w:sz="4" w:space="0"/>
            </w:tcBorders>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签订合同</w:t>
            </w:r>
          </w:p>
        </w:tc>
        <w:tc>
          <w:tcPr>
            <w:tcW w:w="2419" w:type="dxa"/>
            <w:tcBorders>
              <w:bottom w:val="double" w:color="auto" w:sz="4" w:space="0"/>
            </w:tcBorders>
            <w:vAlign w:val="center"/>
          </w:tcPr>
          <w:p>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中标通知书发出之日起10日内</w:t>
            </w:r>
          </w:p>
        </w:tc>
        <w:tc>
          <w:tcPr>
            <w:tcW w:w="4503" w:type="dxa"/>
            <w:tcBorders>
              <w:bottom w:val="double" w:color="auto" w:sz="4" w:space="0"/>
            </w:tcBorders>
            <w:vAlign w:val="center"/>
          </w:tcPr>
          <w:p>
            <w:pPr>
              <w:spacing w:line="280" w:lineRule="exact"/>
              <w:rPr>
                <w:rFonts w:hint="eastAsia" w:ascii="宋体" w:hAnsi="宋体" w:eastAsia="宋体" w:cs="宋体"/>
                <w:b/>
                <w:color w:val="auto"/>
                <w:sz w:val="24"/>
              </w:rPr>
            </w:pPr>
            <w:r>
              <w:rPr>
                <w:rFonts w:hint="eastAsia" w:ascii="宋体" w:hAnsi="宋体" w:eastAsia="宋体" w:cs="宋体"/>
                <w:color w:val="auto"/>
                <w:sz w:val="24"/>
              </w:rPr>
              <w:t>由采购人确定</w:t>
            </w:r>
          </w:p>
        </w:tc>
      </w:tr>
    </w:tbl>
    <w:p>
      <w:pPr>
        <w:pStyle w:val="5"/>
        <w:outlineLvl w:val="0"/>
        <w:rPr>
          <w:rFonts w:hint="eastAsia" w:ascii="宋体" w:hAnsi="宋体" w:eastAsia="宋体" w:cs="宋体"/>
          <w:color w:val="auto"/>
        </w:rPr>
      </w:pPr>
      <w:bookmarkStart w:id="31" w:name="_Toc26111"/>
      <w:bookmarkStart w:id="32" w:name="_Toc21799"/>
      <w:bookmarkStart w:id="33" w:name="_Toc50"/>
      <w:bookmarkStart w:id="34" w:name="_Toc471825184"/>
      <w:bookmarkStart w:id="35" w:name="_Toc471825185"/>
      <w:r>
        <w:rPr>
          <w:rFonts w:hint="eastAsia" w:ascii="宋体" w:hAnsi="宋体" w:eastAsia="宋体" w:cs="宋体"/>
          <w:color w:val="auto"/>
        </w:rPr>
        <w:t>第二章  投标人须知</w:t>
      </w:r>
      <w:bookmarkEnd w:id="31"/>
      <w:bookmarkEnd w:id="32"/>
      <w:bookmarkEnd w:id="33"/>
      <w:bookmarkEnd w:id="34"/>
    </w:p>
    <w:p>
      <w:pPr>
        <w:pStyle w:val="6"/>
        <w:spacing w:line="560" w:lineRule="exact"/>
        <w:outlineLvl w:val="1"/>
        <w:rPr>
          <w:rFonts w:hint="eastAsia" w:ascii="宋体" w:hAnsi="宋体" w:eastAsia="宋体" w:cs="宋体"/>
          <w:color w:val="auto"/>
        </w:rPr>
      </w:pPr>
      <w:bookmarkStart w:id="36" w:name="_Toc32050"/>
      <w:bookmarkStart w:id="37" w:name="_Toc24898"/>
      <w:r>
        <w:rPr>
          <w:rFonts w:hint="eastAsia" w:ascii="宋体" w:hAnsi="宋体" w:eastAsia="宋体" w:cs="宋体"/>
          <w:color w:val="auto"/>
        </w:rPr>
        <w:t>一   说明</w:t>
      </w:r>
      <w:bookmarkEnd w:id="35"/>
      <w:bookmarkEnd w:id="36"/>
      <w:bookmarkEnd w:id="37"/>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1.适用范围</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1.1本招标文件适用于本招标文件所叙述项目的公开招标。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2.定义</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2.1.1 “采购人”系：</w:t>
      </w:r>
      <w:r>
        <w:rPr>
          <w:rFonts w:hint="eastAsia" w:ascii="宋体" w:hAnsi="宋体" w:cs="宋体"/>
          <w:color w:val="auto"/>
          <w:sz w:val="24"/>
          <w:lang w:eastAsia="zh-CN"/>
        </w:rPr>
        <w:t>龙泉市住房改革委员会办公室</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2.1.2 “投标人”系指符合本项目投标人应具备的资格要求的投标人，并报名参与项目投标的投标人。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 “采购代理机构”系</w:t>
      </w:r>
      <w:r>
        <w:rPr>
          <w:rFonts w:hint="eastAsia" w:ascii="宋体" w:hAnsi="宋体" w:eastAsia="宋体" w:cs="宋体"/>
          <w:color w:val="auto"/>
          <w:sz w:val="24"/>
          <w:lang w:eastAsia="zh-CN"/>
        </w:rPr>
        <w:t>欧邦工程管理有限公司</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2.1.4“买方” 系指：</w:t>
      </w:r>
      <w:r>
        <w:rPr>
          <w:rFonts w:hint="eastAsia" w:ascii="宋体" w:hAnsi="宋体" w:cs="宋体"/>
          <w:color w:val="auto"/>
          <w:sz w:val="24"/>
          <w:lang w:eastAsia="zh-CN"/>
        </w:rPr>
        <w:t>龙泉市住房改革委员会办公室</w:t>
      </w:r>
      <w:r>
        <w:rPr>
          <w:rFonts w:hint="eastAsia" w:ascii="宋体" w:hAnsi="宋体" w:eastAsia="宋体" w:cs="宋体"/>
          <w:color w:val="auto"/>
          <w:sz w:val="24"/>
        </w:rPr>
        <w:t>。“卖方” 系指中标人。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2.1.5“合同”系指买卖双方签署的规定买卖双方权利与义务的协议，以及所有的附件、附录和招标文件所提到的构成合同的所有文件。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2.1.6“利率”系指在采购人通过本项目在银行存放资金利率。（整存整取定期存款一年利率）。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2.1.7“近三年”系指在201</w:t>
      </w:r>
      <w:r>
        <w:rPr>
          <w:rFonts w:hint="eastAsia" w:ascii="宋体" w:hAnsi="宋体" w:cs="宋体"/>
          <w:color w:val="auto"/>
          <w:sz w:val="24"/>
          <w:lang w:val="en-US" w:eastAsia="zh-CN"/>
        </w:rPr>
        <w:t>7</w:t>
      </w:r>
      <w:r>
        <w:rPr>
          <w:rFonts w:hint="eastAsia" w:ascii="宋体" w:hAnsi="宋体" w:eastAsia="宋体" w:cs="宋体"/>
          <w:color w:val="auto"/>
          <w:sz w:val="24"/>
        </w:rPr>
        <w:t>年至201</w:t>
      </w:r>
      <w:r>
        <w:rPr>
          <w:rFonts w:hint="eastAsia" w:ascii="宋体" w:hAnsi="宋体" w:cs="宋体"/>
          <w:color w:val="auto"/>
          <w:sz w:val="24"/>
          <w:lang w:val="en-US" w:eastAsia="zh-CN"/>
        </w:rPr>
        <w:t>9</w:t>
      </w:r>
      <w:r>
        <w:rPr>
          <w:rFonts w:hint="eastAsia" w:ascii="宋体" w:hAnsi="宋体" w:eastAsia="宋体" w:cs="宋体"/>
          <w:color w:val="auto"/>
          <w:sz w:val="24"/>
        </w:rPr>
        <w:t>年</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2.1.8“项目”系指投标人按招标文件规定向采购人提供的产品和服务。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2.1.9“附随服务”系指根据本合同规定卖方必须承担与货物有关的辅助服务，如送货上门、免费维护以及合同中规定卖方应承担的义务,以及合同中未规定,但依有利于合同履行原则,应当由卖方承担的其它义务。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3.投标费用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3.1不论投标的结果如何，投标人应承担所有与准备和参加投标有关的费用。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 投标报价统一按人民币报价，包括项目总报价及分项报价。</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4.联合体说明</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4.1本项目不接受联合体投标。    </w:t>
      </w:r>
    </w:p>
    <w:p>
      <w:pPr>
        <w:pStyle w:val="6"/>
        <w:spacing w:line="560" w:lineRule="exact"/>
        <w:outlineLvl w:val="1"/>
        <w:rPr>
          <w:rFonts w:hint="eastAsia" w:ascii="宋体" w:hAnsi="宋体" w:eastAsia="宋体" w:cs="宋体"/>
          <w:color w:val="auto"/>
        </w:rPr>
      </w:pPr>
      <w:bookmarkStart w:id="38" w:name="_Toc471825186"/>
      <w:bookmarkStart w:id="39" w:name="_Toc23271"/>
      <w:bookmarkStart w:id="40" w:name="_Toc30767"/>
      <w:r>
        <w:rPr>
          <w:rFonts w:hint="eastAsia" w:ascii="宋体" w:hAnsi="宋体" w:eastAsia="宋体" w:cs="宋体"/>
          <w:color w:val="auto"/>
        </w:rPr>
        <w:t>二   招标文件说明</w:t>
      </w:r>
      <w:bookmarkEnd w:id="38"/>
      <w:bookmarkEnd w:id="39"/>
      <w:bookmarkEnd w:id="40"/>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.招标文件的构成</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.1招标文件用以阐明所需货物及服务、招标、投标程序和合同条款。招标文件由下述部分组成：</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.1.1综合说明（包括招标公告和投标须知前附表）</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.1.2投标人须知</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.1.3招标货物清单及技术要求</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.1.4合同条款</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.1.5合同格式</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.1.6投标相关文件格式</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.1.7评标办法和细则</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.招标文件的修改</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.1在</w:t>
      </w:r>
      <w:r>
        <w:rPr>
          <w:rFonts w:hint="eastAsia" w:ascii="宋体" w:hAnsi="宋体" w:cs="宋体"/>
          <w:color w:val="auto"/>
          <w:sz w:val="24"/>
          <w:lang w:eastAsia="zh-CN"/>
        </w:rPr>
        <w:t>投标截止日期</w:t>
      </w:r>
      <w:r>
        <w:rPr>
          <w:rFonts w:hint="eastAsia" w:ascii="宋体" w:hAnsi="宋体" w:eastAsia="宋体" w:cs="宋体"/>
          <w:color w:val="auto"/>
          <w:sz w:val="24"/>
        </w:rPr>
        <w:t>2天前,采购代理机构可主动地或在解答投标人提出的澄清问题时对招标文件进行修改。</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.2特殊情形的,采购代理机构可在</w:t>
      </w:r>
      <w:r>
        <w:rPr>
          <w:rFonts w:hint="eastAsia" w:ascii="宋体" w:hAnsi="宋体" w:cs="宋体"/>
          <w:color w:val="auto"/>
          <w:sz w:val="24"/>
          <w:lang w:eastAsia="zh-CN"/>
        </w:rPr>
        <w:t>投标截止日期2天</w:t>
      </w:r>
      <w:r>
        <w:rPr>
          <w:rFonts w:hint="eastAsia" w:ascii="宋体" w:hAnsi="宋体" w:eastAsia="宋体" w:cs="宋体"/>
          <w:color w:val="auto"/>
          <w:sz w:val="24"/>
        </w:rPr>
        <w:t>前对招标文件进行修改和澄清。</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招标文件的修改将以电话的形式通知所有</w:t>
      </w:r>
      <w:r>
        <w:rPr>
          <w:rFonts w:hint="eastAsia" w:ascii="宋体" w:hAnsi="宋体" w:cs="宋体"/>
          <w:color w:val="auto"/>
          <w:sz w:val="24"/>
          <w:lang w:eastAsia="zh-CN"/>
        </w:rPr>
        <w:t>获取招标文件</w:t>
      </w:r>
      <w:r>
        <w:rPr>
          <w:rFonts w:hint="eastAsia" w:ascii="宋体" w:hAnsi="宋体" w:eastAsia="宋体" w:cs="宋体"/>
          <w:color w:val="auto"/>
          <w:sz w:val="24"/>
        </w:rPr>
        <w:t>的投标人,并对其具有约束力。</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为使投标人准备投标时有充分时间对招标文件的修改部分进行研究,采购代理机构可在</w:t>
      </w:r>
      <w:r>
        <w:rPr>
          <w:rFonts w:hint="eastAsia" w:ascii="宋体" w:hAnsi="宋体" w:cs="宋体"/>
          <w:color w:val="auto"/>
          <w:sz w:val="24"/>
          <w:lang w:eastAsia="zh-CN"/>
        </w:rPr>
        <w:t>投标截止日期1天</w:t>
      </w:r>
      <w:r>
        <w:rPr>
          <w:rFonts w:hint="eastAsia" w:ascii="宋体" w:hAnsi="宋体" w:eastAsia="宋体" w:cs="宋体"/>
          <w:color w:val="auto"/>
          <w:sz w:val="24"/>
        </w:rPr>
        <w:t>前通知投标人,适当延长</w:t>
      </w:r>
      <w:r>
        <w:rPr>
          <w:rFonts w:hint="eastAsia" w:ascii="宋体" w:hAnsi="宋体" w:cs="宋体"/>
          <w:color w:val="auto"/>
          <w:sz w:val="24"/>
          <w:lang w:eastAsia="zh-CN"/>
        </w:rPr>
        <w:t>投标截止日期</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招标文件的澄清、答疑、修改、补充文件是招标文件的组成部分,投标人需按照招标文件的澄清、答疑、修改、补充文件的要求参与投标,投标人没有作出实质性响应是投标人的风险,并可能导致其投标被拒绝。</w:t>
      </w:r>
    </w:p>
    <w:p>
      <w:pPr>
        <w:pStyle w:val="6"/>
        <w:ind w:firstLine="200" w:firstLineChars="0"/>
        <w:outlineLvl w:val="1"/>
        <w:rPr>
          <w:rFonts w:hint="eastAsia" w:ascii="宋体" w:hAnsi="宋体" w:eastAsia="宋体" w:cs="宋体"/>
          <w:color w:val="auto"/>
          <w:sz w:val="32"/>
        </w:rPr>
      </w:pPr>
      <w:bookmarkStart w:id="41" w:name="_Toc30255"/>
      <w:bookmarkStart w:id="42" w:name="_Toc15695"/>
      <w:bookmarkStart w:id="43" w:name="_Toc471825187"/>
      <w:r>
        <w:rPr>
          <w:rFonts w:hint="eastAsia" w:ascii="宋体" w:hAnsi="宋体" w:eastAsia="宋体" w:cs="宋体"/>
          <w:color w:val="auto"/>
          <w:sz w:val="32"/>
        </w:rPr>
        <w:t>三   投标文件的编写</w:t>
      </w:r>
      <w:bookmarkEnd w:id="41"/>
      <w:bookmarkEnd w:id="42"/>
      <w:bookmarkEnd w:id="43"/>
    </w:p>
    <w:p>
      <w:pPr>
        <w:spacing w:line="360" w:lineRule="auto"/>
        <w:ind w:firstLine="480" w:firstLineChars="200"/>
        <w:rPr>
          <w:rFonts w:hint="eastAsia" w:ascii="宋体" w:hAnsi="宋体" w:eastAsia="宋体" w:cs="宋体"/>
          <w:b/>
          <w:color w:val="auto"/>
          <w:sz w:val="24"/>
        </w:rPr>
      </w:pPr>
      <w:bookmarkStart w:id="44" w:name="_Toc294520260"/>
      <w:bookmarkStart w:id="45" w:name="_Toc294519419"/>
      <w:bookmarkStart w:id="46" w:name="_Toc294520126"/>
      <w:r>
        <w:rPr>
          <w:rFonts w:hint="eastAsia" w:ascii="宋体" w:hAnsi="宋体" w:eastAsia="宋体" w:cs="宋体"/>
          <w:b/>
          <w:color w:val="auto"/>
          <w:sz w:val="24"/>
        </w:rPr>
        <w:t>（一）投标文件的组成</w:t>
      </w:r>
      <w:bookmarkEnd w:id="44"/>
      <w:bookmarkEnd w:id="45"/>
      <w:bookmarkEnd w:id="46"/>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投标文件应当包括以下主要内容：商务报价文件、商务文件。</w:t>
      </w:r>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1.投标人的商务报价文件应至少包括以下内容</w:t>
      </w:r>
      <w:r>
        <w:rPr>
          <w:rFonts w:hint="eastAsia" w:ascii="宋体" w:hAnsi="宋体" w:eastAsia="宋体" w:cs="宋体"/>
          <w:b/>
          <w:color w:val="auto"/>
          <w:sz w:val="24"/>
        </w:rPr>
        <w:t>（均需加盖公章）</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（1）投标响应函★；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（2）投标（开标）一览表★。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2.投标人的商务文件至少应包括以下内容</w:t>
      </w:r>
      <w:r>
        <w:rPr>
          <w:rFonts w:hint="eastAsia" w:ascii="宋体" w:hAnsi="宋体" w:eastAsia="宋体" w:cs="宋体"/>
          <w:b/>
          <w:color w:val="auto"/>
          <w:sz w:val="24"/>
        </w:rPr>
        <w:t>（均需加盖公章）</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（1）法定代表人授权书，法定代表人及其授权代表的身份证复印件；如法定代表人直接参加投标并对相应文件签字的，只需提供其身份证复印件★；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）投标人近三年内未发生金融风险及重大违约事件声明书；★；</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）通过年检有效的金融企业法人营业执照（副本）或《统一社会信用代码证》★；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）所有资质文件（必须包含人民银行和银监部门监管评级证明；投标人在龙泉市设有分支机构，在投标书中确定1家在龙泉市本级的分支机构作为资金存放银行）★；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）投标人基本情况（必须包含：投标人上门服务承诺。投标人及所在总行财务稳键、资金充足率、不良贷款率、拨备覆盖率、流动性覆盖率、流动性情况）★；</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）关于对招标文件中有关条款的拒绝声明；（如有）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）投标人认为需要的其他商务文件或说明。（如有）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3.投标人的投标文件必须按照招标文件要求制作★。</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b/>
          <w:color w:val="auto"/>
          <w:sz w:val="24"/>
        </w:rPr>
        <w:t>特别提示：本招标文件 “投标文件组成”中加★为投标实质性响应要求，投标人不得缺漏，否则将被评标委员会认定投标无效。</w:t>
      </w:r>
    </w:p>
    <w:p>
      <w:pPr>
        <w:spacing w:line="360" w:lineRule="auto"/>
        <w:ind w:firstLine="480" w:firstLineChars="200"/>
        <w:rPr>
          <w:rFonts w:hint="eastAsia" w:ascii="宋体" w:hAnsi="宋体" w:eastAsia="宋体" w:cs="宋体"/>
          <w:b/>
          <w:color w:val="auto"/>
          <w:sz w:val="24"/>
        </w:rPr>
      </w:pPr>
      <w:bookmarkStart w:id="47" w:name="_Toc107820050"/>
      <w:r>
        <w:rPr>
          <w:rFonts w:hint="eastAsia" w:ascii="宋体" w:hAnsi="宋体" w:eastAsia="宋体" w:cs="宋体"/>
          <w:b/>
          <w:color w:val="auto"/>
          <w:sz w:val="24"/>
        </w:rPr>
        <w:t>（二）投标文件的语言及计量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2.投标计量单位，招标文件已有明确规定的，使用招标文件规定的计量单位；招标文件没有规定的，应采用中华人民共和国法定计量单位（货币单位：人民币元），否则视同未响应。</w:t>
      </w:r>
    </w:p>
    <w:p>
      <w:pPr>
        <w:spacing w:line="360" w:lineRule="auto"/>
        <w:ind w:firstLine="480" w:firstLineChars="200"/>
        <w:rPr>
          <w:rFonts w:hint="eastAsia" w:ascii="宋体" w:hAnsi="宋体" w:eastAsia="宋体" w:cs="宋体"/>
          <w:b/>
          <w:color w:val="auto"/>
          <w:sz w:val="24"/>
        </w:rPr>
      </w:pPr>
      <w:bookmarkStart w:id="48" w:name="_Toc294519421"/>
      <w:bookmarkStart w:id="49" w:name="_Toc294520128"/>
      <w:bookmarkStart w:id="50" w:name="_Toc294520262"/>
      <w:r>
        <w:rPr>
          <w:rFonts w:hint="eastAsia" w:ascii="宋体" w:hAnsi="宋体" w:eastAsia="宋体" w:cs="宋体"/>
          <w:b/>
          <w:color w:val="auto"/>
          <w:sz w:val="24"/>
        </w:rPr>
        <w:t>（三）投标报价</w:t>
      </w:r>
      <w:bookmarkEnd w:id="48"/>
      <w:bookmarkEnd w:id="49"/>
      <w:bookmarkEnd w:id="50"/>
    </w:p>
    <w:p>
      <w:pPr>
        <w:spacing w:line="360" w:lineRule="auto"/>
        <w:ind w:firstLine="480" w:firstLineChars="200"/>
        <w:rPr>
          <w:rFonts w:hint="eastAsia" w:ascii="宋体" w:hAnsi="宋体" w:eastAsia="宋体" w:cs="宋体"/>
          <w:b/>
          <w:color w:val="auto"/>
          <w:sz w:val="24"/>
          <w:u w:val="single"/>
        </w:rPr>
      </w:pPr>
      <w:r>
        <w:rPr>
          <w:rFonts w:hint="eastAsia" w:ascii="宋体" w:hAnsi="宋体" w:eastAsia="宋体" w:cs="宋体"/>
          <w:b/>
          <w:color w:val="auto"/>
          <w:sz w:val="24"/>
        </w:rPr>
        <w:t>1</w:t>
      </w:r>
      <w:r>
        <w:rPr>
          <w:rFonts w:hint="eastAsia" w:ascii="宋体" w:hAnsi="宋体" w:cs="宋体"/>
          <w:b/>
          <w:color w:val="auto"/>
          <w:sz w:val="24"/>
          <w:lang w:eastAsia="zh-CN"/>
        </w:rPr>
        <w:t>.</w:t>
      </w:r>
      <w:r>
        <w:rPr>
          <w:rFonts w:hint="eastAsia" w:ascii="宋体" w:hAnsi="宋体" w:eastAsia="宋体" w:cs="宋体"/>
          <w:b/>
          <w:color w:val="auto"/>
          <w:sz w:val="24"/>
        </w:rPr>
        <w:t>“利率”各投标人须以中国人民银行公布的同期基准利率上浮优惠率的形式进行报价。报价未按</w:t>
      </w:r>
      <w:r>
        <w:rPr>
          <w:rFonts w:hint="eastAsia" w:ascii="宋体" w:hAnsi="宋体" w:eastAsia="宋体" w:cs="宋体"/>
          <w:b/>
          <w:bCs/>
          <w:color w:val="auto"/>
          <w:sz w:val="24"/>
        </w:rPr>
        <w:t>基准利率水平上浮作无效标处理。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2.投标文件只允许有一个报价，有选择的或有条件的报价将不予接受。</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b/>
          <w:color w:val="auto"/>
          <w:sz w:val="24"/>
        </w:rPr>
        <w:t>（四）投标文件的有效期</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1.自投标截止日起</w:t>
      </w:r>
      <w:r>
        <w:rPr>
          <w:rFonts w:hint="eastAsia" w:ascii="宋体" w:hAnsi="宋体" w:eastAsia="宋体" w:cs="宋体"/>
          <w:color w:val="auto"/>
          <w:sz w:val="24"/>
          <w:u w:val="single"/>
        </w:rPr>
        <w:t xml:space="preserve">   90   </w:t>
      </w:r>
      <w:r>
        <w:rPr>
          <w:rFonts w:hint="eastAsia" w:ascii="宋体" w:hAnsi="宋体" w:eastAsia="宋体" w:cs="宋体"/>
          <w:color w:val="auto"/>
          <w:sz w:val="24"/>
        </w:rPr>
        <w:t>天投标文件应保持有效。有效期不足的投标文件将被拒绝。</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2.在特殊情况下，招标人可与投标人协商延长投标书的有效期，这种要求和答复均以书面形式进行。</w:t>
      </w:r>
    </w:p>
    <w:p>
      <w:pPr>
        <w:spacing w:line="360" w:lineRule="auto"/>
        <w:ind w:firstLine="480" w:firstLineChars="200"/>
        <w:rPr>
          <w:rFonts w:hint="eastAsia" w:ascii="宋体" w:hAnsi="宋体" w:eastAsia="宋体" w:cs="宋体"/>
          <w:color w:val="auto"/>
          <w:sz w:val="24"/>
        </w:rPr>
      </w:pPr>
      <w:bookmarkStart w:id="51" w:name="_Toc294520129"/>
      <w:bookmarkStart w:id="52" w:name="_Toc294520263"/>
      <w:bookmarkStart w:id="53" w:name="_Toc294519422"/>
      <w:r>
        <w:rPr>
          <w:rFonts w:hint="eastAsia" w:ascii="宋体" w:hAnsi="宋体" w:eastAsia="宋体" w:cs="宋体"/>
          <w:color w:val="auto"/>
          <w:sz w:val="24"/>
        </w:rPr>
        <w:t>3.投标人可拒绝接受延期要求。同意延长有效期的投标人不能修改投标文件。</w:t>
      </w:r>
      <w:bookmarkEnd w:id="51"/>
      <w:bookmarkEnd w:id="52"/>
      <w:bookmarkEnd w:id="53"/>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bookmarkStart w:id="54" w:name="_Toc294519423"/>
      <w:bookmarkStart w:id="55" w:name="_Toc294520130"/>
      <w:bookmarkStart w:id="56" w:name="_Toc294520264"/>
      <w:r>
        <w:rPr>
          <w:rFonts w:hint="eastAsia" w:ascii="宋体" w:hAnsi="宋体" w:eastAsia="宋体" w:cs="宋体"/>
          <w:color w:val="auto"/>
          <w:sz w:val="24"/>
        </w:rPr>
        <w:t>4.中标人的投标文件自开标之日起至合同履行完毕止均应保持有效。</w:t>
      </w:r>
      <w:bookmarkEnd w:id="54"/>
      <w:bookmarkEnd w:id="55"/>
      <w:bookmarkEnd w:id="56"/>
    </w:p>
    <w:p>
      <w:pPr>
        <w:spacing w:line="360" w:lineRule="auto"/>
        <w:ind w:firstLine="480" w:firstLineChars="200"/>
        <w:rPr>
          <w:rFonts w:hint="eastAsia" w:ascii="宋体" w:hAnsi="宋体" w:eastAsia="宋体" w:cs="宋体"/>
          <w:b/>
          <w:color w:val="auto"/>
          <w:sz w:val="24"/>
        </w:rPr>
      </w:pPr>
      <w:bookmarkStart w:id="57" w:name="_Toc294520132"/>
      <w:bookmarkStart w:id="58" w:name="_Toc294520266"/>
      <w:bookmarkStart w:id="59" w:name="_Toc294519425"/>
      <w:r>
        <w:rPr>
          <w:rFonts w:hint="eastAsia" w:ascii="宋体" w:hAnsi="宋体" w:eastAsia="宋体" w:cs="宋体"/>
          <w:b/>
          <w:color w:val="auto"/>
          <w:sz w:val="24"/>
        </w:rPr>
        <w:t>（</w:t>
      </w:r>
      <w:r>
        <w:rPr>
          <w:rFonts w:hint="eastAsia" w:ascii="宋体" w:hAnsi="宋体" w:cs="宋体"/>
          <w:b/>
          <w:color w:val="auto"/>
          <w:sz w:val="24"/>
          <w:lang w:eastAsia="zh-CN"/>
        </w:rPr>
        <w:t>五</w:t>
      </w:r>
      <w:r>
        <w:rPr>
          <w:rFonts w:hint="eastAsia" w:ascii="宋体" w:hAnsi="宋体" w:eastAsia="宋体" w:cs="宋体"/>
          <w:b/>
          <w:color w:val="auto"/>
          <w:sz w:val="24"/>
        </w:rPr>
        <w:t>）投标文件的签署和份数</w:t>
      </w:r>
      <w:bookmarkEnd w:id="57"/>
      <w:bookmarkEnd w:id="58"/>
      <w:bookmarkEnd w:id="59"/>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1.投标文件中所含的商务报价文件、商务文件二部分按顺序</w:t>
      </w:r>
      <w:r>
        <w:rPr>
          <w:rFonts w:hint="eastAsia" w:ascii="宋体" w:hAnsi="宋体" w:eastAsia="宋体" w:cs="宋体"/>
          <w:bCs/>
          <w:color w:val="auto"/>
          <w:sz w:val="24"/>
        </w:rPr>
        <w:t>一起</w:t>
      </w:r>
      <w:r>
        <w:rPr>
          <w:rFonts w:hint="eastAsia" w:ascii="宋体" w:hAnsi="宋体" w:eastAsia="宋体" w:cs="宋体"/>
          <w:color w:val="auto"/>
          <w:sz w:val="24"/>
        </w:rPr>
        <w:t>装订成册，前设目录。各投标人在编制投标文件时请按照招标文件规定的格式进行，混乱的编排导致投标文件被误读或评标委员会查找不到有效文件是投标人的风险。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2.投标人按前附表规定的份数编制投标文件，并在封面上标明“正本”和“副本”。投标文件正本和副本如有不一致之处，以正本为准。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3.投标文件正本和副本均应使用不能擦去的墨水打印或书写，投标响应函、投标（开标）一览表、</w:t>
      </w:r>
      <w:r>
        <w:rPr>
          <w:rFonts w:hint="eastAsia" w:ascii="宋体" w:hAnsi="宋体" w:eastAsia="宋体" w:cs="宋体"/>
          <w:color w:val="auto"/>
          <w:sz w:val="24"/>
          <w:lang w:val="zh-CN"/>
        </w:rPr>
        <w:t>投标人近三年内未发生金融风险及重大违约事件声明书等</w:t>
      </w:r>
      <w:r>
        <w:rPr>
          <w:rFonts w:hint="eastAsia" w:ascii="宋体" w:hAnsi="宋体" w:eastAsia="宋体" w:cs="宋体"/>
          <w:color w:val="auto"/>
          <w:sz w:val="24"/>
        </w:rPr>
        <w:t>资料必须加盖投标人公章，并由法定代表人或授权委托人签字盖章。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4.全套投标文件应无涂改和行间插字。所修改处应由法定代表人或授权委托人签字盖章予以确认。</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 投标文件采用A4幅面，必须按顺序统一编目编码装订成册。提倡双面打印。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 投标文件须装订成册（如投标文件太厚，可分册装订），不得使用类似合页、文件夹等形式装订，绝不允许有活页(是指用卡条、抽杆夹、订书机等形式装订，使标书可以拆卸或者在翻动过程中易脱落的一种装订方式）、散页，否则，该投标文件将作无效认定。</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b/>
          <w:color w:val="auto"/>
          <w:sz w:val="24"/>
        </w:rPr>
        <w:t>（</w:t>
      </w:r>
      <w:r>
        <w:rPr>
          <w:rFonts w:hint="eastAsia" w:ascii="宋体" w:hAnsi="宋体" w:cs="宋体"/>
          <w:b/>
          <w:color w:val="auto"/>
          <w:sz w:val="24"/>
          <w:lang w:eastAsia="zh-CN"/>
        </w:rPr>
        <w:t>六</w:t>
      </w:r>
      <w:r>
        <w:rPr>
          <w:rFonts w:hint="eastAsia" w:ascii="宋体" w:hAnsi="宋体" w:eastAsia="宋体" w:cs="宋体"/>
          <w:b/>
          <w:color w:val="auto"/>
          <w:sz w:val="24"/>
        </w:rPr>
        <w:t>）投标文件的包装、递交、修改和撤回</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1.</w:t>
      </w:r>
      <w:r>
        <w:rPr>
          <w:rFonts w:hint="eastAsia" w:ascii="宋体" w:hAnsi="宋体" w:eastAsia="宋体" w:cs="宋体"/>
          <w:b/>
          <w:color w:val="auto"/>
          <w:sz w:val="24"/>
        </w:rPr>
        <w:t>投标文件分正本和副本，商务报价文件、商务文件二部分按顺序一起装订成册。其中投标文件正本一本、副本伍本一起密封装，在密封处加盖投标人公章。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 投标文件的包装封面上应注明投标人名称、投标人地址、投标项目名称、项目编号、投标文件开封时间等，并加盖投标人公章和法定代表人印章（详见外包装封面格式）。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3.超过投标截止时间送达或未按规定签字、盖章、密封的投标文件将被拒绝。由投标人标记错误造成投标文件被误投或提前拆封的风险由投标人承担。</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4.投标人在投标截止时间之前，可以对已提交的投标文件进行修改或撤回，并书面通知</w:t>
      </w:r>
      <w:r>
        <w:rPr>
          <w:rFonts w:hint="eastAsia" w:ascii="宋体" w:hAnsi="宋体" w:eastAsia="宋体" w:cs="宋体"/>
          <w:color w:val="auto"/>
          <w:sz w:val="24"/>
          <w:lang w:eastAsia="zh-CN"/>
        </w:rPr>
        <w:t>采购人</w:t>
      </w:r>
      <w:r>
        <w:rPr>
          <w:rFonts w:hint="eastAsia" w:ascii="宋体" w:hAnsi="宋体" w:eastAsia="宋体" w:cs="宋体"/>
          <w:color w:val="auto"/>
          <w:sz w:val="24"/>
        </w:rPr>
        <w:t>；投标截止时间后，投标人不得撤回、修改投标文件。修改后重新递交的投标文件应当按本招标文件的要求签署、盖章和密封。</w:t>
      </w:r>
    </w:p>
    <w:p>
      <w:pPr>
        <w:spacing w:line="360" w:lineRule="auto"/>
        <w:ind w:firstLine="480" w:firstLineChars="200"/>
        <w:rPr>
          <w:rFonts w:hint="eastAsia" w:ascii="宋体" w:hAnsi="宋体" w:eastAsia="宋体" w:cs="宋体"/>
          <w:color w:val="auto"/>
          <w:sz w:val="24"/>
        </w:rPr>
      </w:pPr>
      <w:bookmarkStart w:id="60" w:name="_Toc294519426"/>
      <w:bookmarkStart w:id="61" w:name="_Toc294520133"/>
      <w:bookmarkStart w:id="62" w:name="_Toc294520267"/>
      <w:r>
        <w:rPr>
          <w:rFonts w:hint="eastAsia" w:ascii="宋体" w:hAnsi="宋体" w:eastAsia="宋体" w:cs="宋体"/>
          <w:color w:val="auto"/>
          <w:sz w:val="24"/>
        </w:rPr>
        <w:t>（</w:t>
      </w:r>
      <w:r>
        <w:rPr>
          <w:rFonts w:hint="eastAsia" w:ascii="宋体" w:hAnsi="宋体" w:cs="宋体"/>
          <w:color w:val="auto"/>
          <w:sz w:val="24"/>
          <w:lang w:eastAsia="zh-CN"/>
        </w:rPr>
        <w:t>七</w:t>
      </w:r>
      <w:r>
        <w:rPr>
          <w:rFonts w:hint="eastAsia" w:ascii="宋体" w:hAnsi="宋体" w:eastAsia="宋体" w:cs="宋体"/>
          <w:color w:val="auto"/>
          <w:sz w:val="24"/>
        </w:rPr>
        <w:t>）投标无效的情形</w:t>
      </w:r>
      <w:bookmarkEnd w:id="60"/>
      <w:bookmarkEnd w:id="61"/>
      <w:bookmarkEnd w:id="62"/>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投标文件有下列情况之一的，其投标文件作无效处理：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（1）投标文件未按照招标文件要求签署、盖章的；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（2）投标文件中法定代表人授权书未按照招标文件要求签署、盖章的；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（3）投标文件组成漏项或未按规定的格式编制或投标文件正、副本份数不足，内容不全或内容字迹模糊辨认不清的；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（4）投标人不具备投标资格的；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（5）投标人未按招标文件变更通知更改投标文件的；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（6）《投标（开标）一览表》填写不完整或字迹不能辨认的；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（7）经评标委员会审核，投标人所投内容不符合实质性采购要求的；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（8）投标人拒绝按招标文件相关修正原则对投标文件进行修改的；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（9）投标人提供虚假材料投标的；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（10）经评标委员会审核，投标人的投标文件有类同或有串标嫌疑的；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（11）参与本次招标活动近三年内，投标人在经营活动中有重大违法违纪纪录，或发生金融风险及重大违约事件；</w:t>
      </w:r>
    </w:p>
    <w:p>
      <w:pPr>
        <w:spacing w:line="360" w:lineRule="auto"/>
        <w:ind w:firstLine="480" w:firstLineChars="200"/>
        <w:rPr>
          <w:rFonts w:hint="eastAsia" w:ascii="宋体" w:hAnsi="宋体" w:eastAsia="宋体" w:cs="宋体"/>
          <w:b/>
          <w:color w:val="auto"/>
          <w:sz w:val="24"/>
          <w:u w:val="single"/>
        </w:rPr>
      </w:pPr>
      <w:r>
        <w:rPr>
          <w:rFonts w:hint="eastAsia" w:ascii="宋体" w:hAnsi="宋体" w:eastAsia="宋体" w:cs="宋体"/>
          <w:color w:val="auto"/>
          <w:sz w:val="24"/>
        </w:rPr>
        <w:t>（12）</w:t>
      </w:r>
      <w:r>
        <w:rPr>
          <w:rFonts w:hint="eastAsia" w:ascii="宋体" w:hAnsi="宋体" w:eastAsia="宋体" w:cs="宋体"/>
          <w:b/>
          <w:color w:val="auto"/>
          <w:sz w:val="24"/>
        </w:rPr>
        <w:t>报价未按人民银行同期</w:t>
      </w:r>
      <w:r>
        <w:rPr>
          <w:rFonts w:hint="eastAsia" w:ascii="宋体" w:hAnsi="宋体" w:eastAsia="宋体" w:cs="宋体"/>
          <w:b/>
          <w:bCs/>
          <w:color w:val="auto"/>
          <w:sz w:val="24"/>
        </w:rPr>
        <w:t>基准利率水平上浮的；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r>
        <w:rPr>
          <w:rFonts w:hint="eastAsia" w:ascii="宋体" w:hAnsi="宋体" w:eastAsia="宋体" w:cs="宋体"/>
          <w:color w:val="auto"/>
          <w:sz w:val="24"/>
        </w:rPr>
        <w:t>）不符合招标文件规定的其他实质性要求的。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）被拒绝的投标文件为无效。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eastAsia="zh-CN"/>
        </w:rPr>
        <w:t>八</w:t>
      </w:r>
      <w:r>
        <w:rPr>
          <w:rFonts w:hint="eastAsia" w:ascii="宋体" w:hAnsi="宋体" w:eastAsia="宋体" w:cs="宋体"/>
          <w:color w:val="auto"/>
          <w:sz w:val="24"/>
        </w:rPr>
        <w:t>） 废标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在采购中，出现下列情形之一的，应予废标：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(1)符合专业条件的投标人或者对招标文件作实质响应的投标人不足3家的（隶属于同一法人的多个报标人应按1家认定）；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(2)出现影响采购公正的违法、违规行为的；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(3)因重大变故，采购任务取消的。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废标后，采购人要应当将废标理由通知所有投标人。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eastAsia="zh-CN"/>
        </w:rPr>
        <w:t>九</w:t>
      </w:r>
      <w:r>
        <w:rPr>
          <w:rFonts w:hint="eastAsia" w:ascii="宋体" w:hAnsi="宋体" w:eastAsia="宋体" w:cs="宋体"/>
          <w:color w:val="auto"/>
          <w:sz w:val="24"/>
        </w:rPr>
        <w:t>） 重新组织采购</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在符合资格的投标人不足规定数量或投标人报价等不能满足采购人要求，以及招标过程中出现其他不正常情况时，经批准，采购人重新选择合适的方式进行采购。</w:t>
      </w:r>
    </w:p>
    <w:p>
      <w:pPr>
        <w:pStyle w:val="6"/>
        <w:ind w:firstLine="643"/>
        <w:outlineLvl w:val="1"/>
        <w:rPr>
          <w:rFonts w:hint="eastAsia" w:ascii="宋体" w:hAnsi="宋体" w:eastAsia="宋体" w:cs="宋体"/>
          <w:color w:val="auto"/>
          <w:sz w:val="32"/>
        </w:rPr>
      </w:pPr>
      <w:bookmarkStart w:id="63" w:name="_Toc471825188"/>
      <w:bookmarkStart w:id="64" w:name="_Toc26210"/>
      <w:bookmarkStart w:id="65" w:name="_Toc23892"/>
      <w:r>
        <w:rPr>
          <w:rFonts w:hint="eastAsia" w:ascii="宋体" w:hAnsi="宋体" w:eastAsia="宋体" w:cs="宋体"/>
          <w:color w:val="auto"/>
          <w:sz w:val="32"/>
          <w:lang w:eastAsia="zh-CN"/>
        </w:rPr>
        <w:t>四</w:t>
      </w:r>
      <w:r>
        <w:rPr>
          <w:rFonts w:hint="eastAsia" w:ascii="宋体" w:hAnsi="宋体" w:eastAsia="宋体" w:cs="宋体"/>
          <w:color w:val="auto"/>
          <w:sz w:val="32"/>
        </w:rPr>
        <w:t xml:space="preserve">   开标和评标</w:t>
      </w:r>
      <w:bookmarkEnd w:id="47"/>
      <w:bookmarkEnd w:id="63"/>
      <w:bookmarkEnd w:id="64"/>
      <w:bookmarkEnd w:id="65"/>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.开标</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.1采购代理机构在“投标须知前附表”中规定的日期、时间和地点组织开标</w:t>
      </w:r>
      <w:r>
        <w:rPr>
          <w:rFonts w:hint="eastAsia" w:ascii="宋体" w:hAnsi="宋体" w:cs="宋体"/>
          <w:color w:val="auto"/>
          <w:sz w:val="24"/>
          <w:lang w:eastAsia="zh-CN"/>
        </w:rPr>
        <w:t>，</w:t>
      </w:r>
      <w:r>
        <w:rPr>
          <w:rFonts w:hint="eastAsia" w:ascii="宋体" w:hAnsi="宋体" w:cs="宋体"/>
          <w:b w:val="0"/>
          <w:bCs w:val="0"/>
          <w:color w:val="auto"/>
          <w:sz w:val="24"/>
          <w:lang w:eastAsia="zh-CN"/>
        </w:rPr>
        <w:t>开标会议开始时间后由工作人员和监督人起封</w:t>
      </w:r>
      <w:r>
        <w:rPr>
          <w:rFonts w:hint="eastAsia" w:ascii="宋体" w:hAnsi="宋体" w:cs="宋体"/>
          <w:b w:val="0"/>
          <w:bCs w:val="0"/>
          <w:color w:val="auto"/>
          <w:sz w:val="24"/>
          <w:szCs w:val="24"/>
          <w:lang w:eastAsia="zh-CN"/>
        </w:rPr>
        <w:t>在</w:t>
      </w:r>
      <w:r>
        <w:rPr>
          <w:rFonts w:hint="eastAsia" w:ascii="宋体" w:hAnsi="宋体" w:eastAsia="宋体" w:cs="宋体"/>
          <w:b w:val="0"/>
          <w:bCs w:val="0"/>
          <w:color w:val="auto"/>
          <w:sz w:val="24"/>
          <w:szCs w:val="24"/>
          <w:lang w:eastAsia="zh-CN"/>
        </w:rPr>
        <w:t>开标大厅档案柜封存</w:t>
      </w:r>
      <w:r>
        <w:rPr>
          <w:rFonts w:hint="eastAsia" w:ascii="宋体" w:hAnsi="宋体" w:cs="宋体"/>
          <w:b w:val="0"/>
          <w:bCs w:val="0"/>
          <w:color w:val="auto"/>
          <w:sz w:val="24"/>
          <w:lang w:eastAsia="zh-CN"/>
        </w:rPr>
        <w:t>的各投标人投标文件</w:t>
      </w:r>
      <w:r>
        <w:rPr>
          <w:rFonts w:hint="eastAsia" w:ascii="宋体" w:hAnsi="宋体" w:eastAsia="宋体" w:cs="宋体"/>
          <w:b w:val="0"/>
          <w:bCs w:val="0"/>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.2开标会上，由</w:t>
      </w:r>
      <w:r>
        <w:rPr>
          <w:rFonts w:hint="eastAsia" w:ascii="宋体" w:hAnsi="宋体" w:cs="宋体"/>
          <w:b w:val="0"/>
          <w:bCs w:val="0"/>
          <w:color w:val="auto"/>
          <w:sz w:val="24"/>
          <w:lang w:eastAsia="zh-CN"/>
        </w:rPr>
        <w:t>监督人</w:t>
      </w:r>
      <w:r>
        <w:rPr>
          <w:rFonts w:hint="eastAsia" w:ascii="宋体" w:hAnsi="宋体" w:eastAsia="宋体" w:cs="宋体"/>
          <w:color w:val="auto"/>
          <w:sz w:val="24"/>
        </w:rPr>
        <w:t>检查投标文件的密封情况，经确认无误后，由招标人</w:t>
      </w:r>
      <w:r>
        <w:rPr>
          <w:rFonts w:hint="eastAsia" w:ascii="宋体" w:hAnsi="宋体" w:cs="宋体"/>
          <w:color w:val="auto"/>
          <w:sz w:val="24"/>
          <w:lang w:eastAsia="zh-CN"/>
        </w:rPr>
        <w:t>和</w:t>
      </w:r>
      <w:r>
        <w:rPr>
          <w:rFonts w:hint="eastAsia" w:ascii="宋体" w:hAnsi="宋体" w:eastAsia="宋体" w:cs="宋体"/>
          <w:color w:val="auto"/>
          <w:sz w:val="24"/>
        </w:rPr>
        <w:t>工作人员当众拆封投标文件正副本，采购代理机构将当众宣读投标人名称，唱读结束后，</w:t>
      </w:r>
      <w:r>
        <w:rPr>
          <w:rFonts w:hint="eastAsia" w:ascii="宋体" w:hAnsi="宋体" w:cs="宋体"/>
          <w:b w:val="0"/>
          <w:bCs w:val="0"/>
          <w:color w:val="auto"/>
          <w:sz w:val="24"/>
          <w:lang w:eastAsia="zh-CN"/>
        </w:rPr>
        <w:t>监督人</w:t>
      </w:r>
      <w:r>
        <w:rPr>
          <w:rFonts w:hint="eastAsia" w:ascii="宋体" w:hAnsi="宋体" w:eastAsia="宋体" w:cs="宋体"/>
          <w:color w:val="auto"/>
          <w:sz w:val="24"/>
        </w:rPr>
        <w:t>应对唱读内容及记录结果当场进行校核和签字确认</w:t>
      </w:r>
      <w:r>
        <w:rPr>
          <w:rFonts w:hint="eastAsia" w:ascii="宋体" w:hAnsi="宋体" w:cs="宋体"/>
          <w:color w:val="auto"/>
          <w:sz w:val="24"/>
          <w:lang w:eastAsia="zh-CN"/>
        </w:rPr>
        <w:t>后</w:t>
      </w:r>
      <w:r>
        <w:rPr>
          <w:rFonts w:hint="eastAsia" w:ascii="宋体" w:hAnsi="宋体" w:eastAsia="宋体" w:cs="宋体"/>
          <w:color w:val="auto"/>
          <w:sz w:val="24"/>
        </w:rPr>
        <w:t>其投标文件送到评标室进行评审。</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.3在开标时没有启封和没有读出的投标文件,在评标时将不予考虑。</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.4采购代理机构将做开标记录。</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.评标委员会</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.1采购代理机构和采购人将根据招标采购货物的特点组建评标委员会,其成员由技术、经济等方面的专家和采购人的代表组成。评标委员会对投标文件进行审查、询标、评议和推荐中标候选人。</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.2在评标期间,</w:t>
      </w:r>
      <w:r>
        <w:rPr>
          <w:rFonts w:hint="eastAsia" w:ascii="宋体" w:hAnsi="宋体" w:eastAsia="宋体" w:cs="宋体"/>
          <w:color w:val="auto"/>
          <w:sz w:val="24"/>
          <w:lang w:val="en-US" w:eastAsia="zh-CN"/>
        </w:rPr>
        <w:t>若有需要通过电子邮箱、微信在线</w:t>
      </w:r>
      <w:r>
        <w:rPr>
          <w:rFonts w:hint="eastAsia" w:ascii="宋体" w:hAnsi="宋体" w:cs="宋体"/>
          <w:color w:val="auto"/>
          <w:sz w:val="24"/>
          <w:lang w:val="en-US" w:eastAsia="zh-CN"/>
        </w:rPr>
        <w:t>书面</w:t>
      </w:r>
      <w:r>
        <w:rPr>
          <w:rFonts w:hint="eastAsia" w:ascii="宋体" w:hAnsi="宋体" w:eastAsia="宋体" w:cs="宋体"/>
          <w:color w:val="auto"/>
          <w:sz w:val="24"/>
          <w:lang w:val="en-US" w:eastAsia="zh-CN"/>
        </w:rPr>
        <w:t>询标</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.对投标文件的审查和响应性的确定</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.1采购代理机构和采购人将审查投标文件是否真实、完整,总体编排是否有序,文件签署是否正确,有无计算上的错误等。</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.2算术错误将按以下方法更正：</w:t>
      </w:r>
      <w:r>
        <w:rPr>
          <w:rFonts w:hint="eastAsia" w:ascii="宋体" w:hAnsi="宋体" w:eastAsia="宋体" w:cs="宋体"/>
          <w:b/>
          <w:bCs/>
          <w:color w:val="auto"/>
          <w:sz w:val="24"/>
        </w:rPr>
        <w:t>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更正，其投标将被拒绝。</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.3对于投标文件中不构成实质性偏差的不正规、不一致或不规则,采购代理机构和采购人可以接受,但这种接受不能损害或影响其他投标人的相对排序。</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.4在详细评标之前,根据本须知第</w:t>
      </w:r>
      <w:r>
        <w:rPr>
          <w:rFonts w:hint="eastAsia" w:ascii="宋体" w:hAnsi="宋体" w:cs="宋体"/>
          <w:color w:val="auto"/>
          <w:sz w:val="24"/>
          <w:lang w:val="en-US" w:eastAsia="zh-CN"/>
        </w:rPr>
        <w:t>5</w:t>
      </w:r>
      <w:r>
        <w:rPr>
          <w:rFonts w:hint="eastAsia" w:ascii="宋体" w:hAnsi="宋体" w:eastAsia="宋体" w:cs="宋体"/>
          <w:color w:val="auto"/>
          <w:sz w:val="24"/>
        </w:rPr>
        <w:t>条的规定,评标委员会要审查每份投标文件是否实质上响应了招标文件的要求。实质上响应的投标应该是与招标文件要求的全部条款、条件和规格相符,没有重大负偏离的投标。评标委员会决定投标的响应性只根据投标文件的内容,而不寻求外部的依据。</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.投标文件的澄清</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.1 在评标期间,采购代理机构可要求投标人对其投标文件进行澄清,但不得寻求、提供或允许对投标价格等实质性内容做任何更改。有关澄清的要求和答复均应以书面形式提交。</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5</w:t>
      </w:r>
      <w:r>
        <w:rPr>
          <w:rFonts w:hint="eastAsia" w:ascii="宋体" w:hAnsi="宋体" w:eastAsia="宋体" w:cs="宋体"/>
          <w:color w:val="auto"/>
          <w:sz w:val="24"/>
        </w:rPr>
        <w:t>.对投标文件的评估和比较</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5</w:t>
      </w:r>
      <w:r>
        <w:rPr>
          <w:rFonts w:hint="eastAsia" w:ascii="宋体" w:hAnsi="宋体" w:eastAsia="宋体" w:cs="宋体"/>
          <w:color w:val="auto"/>
          <w:sz w:val="24"/>
        </w:rPr>
        <w:t>.1 由评标委员会对各投标文件的全部内容进行审阅,并确定各投标文件是否合格有效。凡是对招标文件的实质性要约内容不作响应的投标,将被视为不合格的投标,而不予接受。经过审标,对其投标文件中需要进行澄清的问题,将由评标委员会向投标人进行询标,投标人应接受询标、澄清;其记录须经投标人授权代表审阅签字,并应视作投标文件的补充,对投标人具有约束力。</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.2在审标、询标及调查考核的基础上,评标委员会按照平等、客观、公正的原则,根据评标办法进行综合评定,评标采用最低报价法。</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.3评标报告</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.3.1评标委员会完成评标后,向采购人提交经各评标委员会成员签字的评标报告,并推荐中标候选人。</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.保密</w:t>
      </w:r>
    </w:p>
    <w:p>
      <w:pPr>
        <w:spacing w:line="360" w:lineRule="auto"/>
        <w:ind w:firstLine="480" w:firstLineChars="200"/>
        <w:rPr>
          <w:rFonts w:hint="eastAsia" w:ascii="宋体" w:hAnsi="宋体" w:eastAsia="宋体" w:cs="宋体"/>
          <w:b/>
          <w:bCs/>
          <w:color w:val="auto"/>
          <w:sz w:val="24"/>
        </w:rPr>
      </w:pPr>
      <w:r>
        <w:rPr>
          <w:rFonts w:hint="eastAsia" w:ascii="宋体" w:hAnsi="宋体" w:cs="宋体"/>
          <w:b/>
          <w:bCs/>
          <w:color w:val="auto"/>
          <w:sz w:val="24"/>
          <w:lang w:val="en-US" w:eastAsia="zh-CN"/>
        </w:rPr>
        <w:t>6</w:t>
      </w:r>
      <w:r>
        <w:rPr>
          <w:rFonts w:hint="eastAsia" w:ascii="宋体" w:hAnsi="宋体" w:eastAsia="宋体" w:cs="宋体"/>
          <w:b/>
          <w:bCs/>
          <w:color w:val="auto"/>
          <w:sz w:val="24"/>
        </w:rPr>
        <w:t>.1开标后直到宣布授予中标人合同为止,凡属于审查、澄清、评估和比较投标的有关资料且与授予合同有关的信息都不得向任何投标人或与上述评标过程无关的人员透露。</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.2投标人对采购代理机构和采购人的评标、比较或授予合同决定的过程施加影响的企图和行为,都可能导致其投标被拒绝。</w:t>
      </w:r>
    </w:p>
    <w:p>
      <w:pPr>
        <w:pStyle w:val="6"/>
        <w:ind w:firstLine="300" w:firstLineChars="100"/>
        <w:outlineLvl w:val="1"/>
        <w:rPr>
          <w:rFonts w:hint="eastAsia" w:ascii="宋体" w:hAnsi="宋体" w:eastAsia="宋体" w:cs="宋体"/>
          <w:color w:val="auto"/>
        </w:rPr>
      </w:pPr>
      <w:bookmarkStart w:id="66" w:name="_Toc471825189"/>
      <w:bookmarkStart w:id="67" w:name="_Toc32664"/>
      <w:bookmarkStart w:id="68" w:name="_Toc14851"/>
      <w:r>
        <w:rPr>
          <w:rFonts w:hint="eastAsia" w:ascii="宋体" w:hAnsi="宋体" w:eastAsia="宋体" w:cs="宋体"/>
          <w:color w:val="auto"/>
          <w:lang w:eastAsia="zh-CN"/>
        </w:rPr>
        <w:t>五</w:t>
      </w:r>
      <w:r>
        <w:rPr>
          <w:rFonts w:hint="eastAsia" w:ascii="宋体" w:hAnsi="宋体" w:eastAsia="宋体" w:cs="宋体"/>
          <w:color w:val="auto"/>
        </w:rPr>
        <w:t xml:space="preserve">   投标无效的情形</w:t>
      </w:r>
      <w:bookmarkEnd w:id="66"/>
      <w:bookmarkEnd w:id="67"/>
      <w:bookmarkEnd w:id="68"/>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pacing w:val="20"/>
          <w:sz w:val="24"/>
        </w:rPr>
        <w:t>实质上没有响应招标文件要求的投标将被拒绝。投标人不得通过</w:t>
      </w:r>
      <w:r>
        <w:rPr>
          <w:rFonts w:hint="eastAsia" w:ascii="宋体" w:hAnsi="宋体" w:eastAsia="宋体" w:cs="宋体"/>
          <w:color w:val="auto"/>
          <w:sz w:val="24"/>
        </w:rPr>
        <w:t>修正或撤消不合要求的偏离或保留从而使其投标成为实质上响应的投标。如发现下列情况之一的,其投标将被拒绝:</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1</w:t>
      </w:r>
      <w:r>
        <w:rPr>
          <w:rFonts w:hint="eastAsia" w:ascii="宋体" w:hAnsi="宋体" w:eastAsia="宋体" w:cs="宋体"/>
          <w:color w:val="auto"/>
          <w:sz w:val="24"/>
        </w:rPr>
        <w:t>投标人没有按规定时间递交投标文件的;</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2</w:t>
      </w:r>
      <w:r>
        <w:rPr>
          <w:rFonts w:hint="eastAsia" w:ascii="宋体" w:hAnsi="宋体" w:eastAsia="宋体" w:cs="宋体"/>
          <w:color w:val="auto"/>
          <w:sz w:val="24"/>
        </w:rPr>
        <w:t>超出经营范围投标的;</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投标文件无法定代表人签字,或签字但无法定代表人有效授权委托书的;</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投标有效期不足的;</w:t>
      </w:r>
    </w:p>
    <w:p>
      <w:pPr>
        <w:spacing w:line="360" w:lineRule="auto"/>
        <w:ind w:firstLine="480" w:firstLineChars="200"/>
        <w:rPr>
          <w:rFonts w:hint="eastAsia" w:ascii="宋体" w:hAnsi="宋体" w:eastAsia="宋体" w:cs="宋体"/>
          <w:snapToGrid w:val="0"/>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snapToGrid w:val="0"/>
          <w:color w:val="auto"/>
          <w:sz w:val="24"/>
        </w:rPr>
        <w:t>明显不符合技术规格、技术标准的要求；</w:t>
      </w:r>
    </w:p>
    <w:p>
      <w:pPr>
        <w:pStyle w:val="17"/>
        <w:adjustRightInd w:val="0"/>
        <w:snapToGrid w:val="0"/>
        <w:spacing w:line="360" w:lineRule="auto"/>
        <w:ind w:firstLine="480" w:firstLineChars="200"/>
        <w:rPr>
          <w:rFonts w:hint="eastAsia" w:ascii="宋体" w:hAnsi="宋体" w:eastAsia="宋体" w:cs="宋体"/>
          <w:snapToGrid w:val="0"/>
          <w:color w:val="auto"/>
          <w:sz w:val="24"/>
        </w:rPr>
      </w:pPr>
      <w:r>
        <w:rPr>
          <w:rFonts w:hint="eastAsia" w:ascii="宋体" w:hAnsi="宋体" w:cs="宋体"/>
          <w:snapToGrid w:val="0"/>
          <w:color w:val="auto"/>
          <w:sz w:val="24"/>
          <w:lang w:val="en-US" w:eastAsia="zh-CN"/>
        </w:rPr>
        <w:t>1</w:t>
      </w:r>
      <w:r>
        <w:rPr>
          <w:rFonts w:hint="eastAsia" w:ascii="宋体" w:hAnsi="宋体" w:eastAsia="宋体" w:cs="宋体"/>
          <w:snapToGrid w:val="0"/>
          <w:color w:val="auto"/>
          <w:sz w:val="24"/>
        </w:rPr>
        <w:t>.</w:t>
      </w:r>
      <w:r>
        <w:rPr>
          <w:rFonts w:hint="eastAsia" w:ascii="宋体" w:hAnsi="宋体" w:cs="宋体"/>
          <w:snapToGrid w:val="0"/>
          <w:color w:val="auto"/>
          <w:sz w:val="24"/>
          <w:lang w:val="en-US" w:eastAsia="zh-CN"/>
        </w:rPr>
        <w:t>6</w:t>
      </w:r>
      <w:r>
        <w:rPr>
          <w:rFonts w:hint="eastAsia" w:ascii="宋体" w:hAnsi="宋体" w:eastAsia="宋体" w:cs="宋体"/>
          <w:snapToGrid w:val="0"/>
          <w:color w:val="auto"/>
          <w:sz w:val="24"/>
        </w:rPr>
        <w:t>投标文件无法区分正、副本的；</w:t>
      </w:r>
    </w:p>
    <w:p>
      <w:pPr>
        <w:pStyle w:val="17"/>
        <w:adjustRightInd w:val="0"/>
        <w:snapToGrid w:val="0"/>
        <w:spacing w:line="360" w:lineRule="auto"/>
        <w:ind w:firstLine="480" w:firstLineChars="200"/>
        <w:rPr>
          <w:rFonts w:hint="eastAsia" w:ascii="宋体" w:hAnsi="宋体" w:eastAsia="宋体" w:cs="宋体"/>
          <w:snapToGrid w:val="0"/>
          <w:color w:val="auto"/>
          <w:sz w:val="24"/>
        </w:rPr>
      </w:pPr>
      <w:r>
        <w:rPr>
          <w:rFonts w:hint="eastAsia" w:ascii="宋体" w:hAnsi="宋体" w:cs="宋体"/>
          <w:snapToGrid w:val="0"/>
          <w:color w:val="auto"/>
          <w:sz w:val="24"/>
          <w:lang w:val="en-US" w:eastAsia="zh-CN"/>
        </w:rPr>
        <w:t>1</w:t>
      </w:r>
      <w:r>
        <w:rPr>
          <w:rFonts w:hint="eastAsia" w:ascii="宋体" w:hAnsi="宋体" w:eastAsia="宋体" w:cs="宋体"/>
          <w:snapToGrid w:val="0"/>
          <w:color w:val="auto"/>
          <w:sz w:val="24"/>
        </w:rPr>
        <w:t>.</w:t>
      </w:r>
      <w:r>
        <w:rPr>
          <w:rFonts w:hint="eastAsia" w:ascii="宋体" w:hAnsi="宋体" w:cs="宋体"/>
          <w:snapToGrid w:val="0"/>
          <w:color w:val="auto"/>
          <w:sz w:val="24"/>
          <w:lang w:val="en-US" w:eastAsia="zh-CN"/>
        </w:rPr>
        <w:t>7</w:t>
      </w:r>
      <w:r>
        <w:rPr>
          <w:rFonts w:hint="eastAsia" w:ascii="宋体" w:hAnsi="宋体" w:eastAsia="宋体" w:cs="宋体"/>
          <w:snapToGrid w:val="0"/>
          <w:color w:val="auto"/>
          <w:sz w:val="24"/>
        </w:rPr>
        <w:t>投标文件未按招标文件的要求和规定格式填写或内容不全的；</w:t>
      </w:r>
    </w:p>
    <w:p>
      <w:pPr>
        <w:pStyle w:val="17"/>
        <w:adjustRightInd w:val="0"/>
        <w:snapToGrid w:val="0"/>
        <w:spacing w:line="360" w:lineRule="auto"/>
        <w:ind w:firstLine="480" w:firstLineChars="200"/>
        <w:rPr>
          <w:rFonts w:hint="eastAsia" w:ascii="宋体" w:hAnsi="宋体" w:eastAsia="宋体" w:cs="宋体"/>
          <w:snapToGrid w:val="0"/>
          <w:color w:val="auto"/>
          <w:sz w:val="24"/>
        </w:rPr>
      </w:pPr>
      <w:r>
        <w:rPr>
          <w:rFonts w:hint="eastAsia" w:ascii="宋体" w:hAnsi="宋体" w:cs="宋体"/>
          <w:snapToGrid w:val="0"/>
          <w:color w:val="auto"/>
          <w:sz w:val="24"/>
          <w:lang w:val="en-US" w:eastAsia="zh-CN"/>
        </w:rPr>
        <w:t>1</w:t>
      </w:r>
      <w:r>
        <w:rPr>
          <w:rFonts w:hint="eastAsia" w:ascii="宋体" w:hAnsi="宋体" w:eastAsia="宋体" w:cs="宋体"/>
          <w:snapToGrid w:val="0"/>
          <w:color w:val="auto"/>
          <w:sz w:val="24"/>
        </w:rPr>
        <w:t>.</w:t>
      </w:r>
      <w:r>
        <w:rPr>
          <w:rFonts w:hint="eastAsia" w:ascii="宋体" w:hAnsi="宋体" w:cs="宋体"/>
          <w:snapToGrid w:val="0"/>
          <w:color w:val="auto"/>
          <w:sz w:val="24"/>
          <w:lang w:val="en-US" w:eastAsia="zh-CN"/>
        </w:rPr>
        <w:t>8</w:t>
      </w:r>
      <w:r>
        <w:rPr>
          <w:rFonts w:hint="eastAsia" w:ascii="宋体" w:hAnsi="宋体" w:eastAsia="宋体" w:cs="宋体"/>
          <w:snapToGrid w:val="0"/>
          <w:color w:val="auto"/>
          <w:sz w:val="24"/>
        </w:rPr>
        <w:t>投标人已明知采购期间或之后企业将发生兼并改制，或提供的产品将停产、淘汰，或必须有偿使用专供的备品备件和试剂耗材的，及其他应当告知</w:t>
      </w:r>
      <w:r>
        <w:rPr>
          <w:rFonts w:hint="eastAsia" w:ascii="宋体" w:hAnsi="宋体" w:eastAsia="宋体" w:cs="宋体"/>
          <w:snapToGrid w:val="0"/>
          <w:color w:val="auto"/>
          <w:sz w:val="24"/>
          <w:lang w:eastAsia="zh-CN"/>
        </w:rPr>
        <w:t>采购人</w:t>
      </w:r>
      <w:r>
        <w:rPr>
          <w:rFonts w:hint="eastAsia" w:ascii="宋体" w:hAnsi="宋体" w:eastAsia="宋体" w:cs="宋体"/>
          <w:snapToGrid w:val="0"/>
          <w:color w:val="auto"/>
          <w:sz w:val="24"/>
        </w:rPr>
        <w:t>可能影响采购项目实施或损害</w:t>
      </w:r>
      <w:r>
        <w:rPr>
          <w:rFonts w:hint="eastAsia" w:ascii="宋体" w:hAnsi="宋体" w:eastAsia="宋体" w:cs="宋体"/>
          <w:snapToGrid w:val="0"/>
          <w:color w:val="auto"/>
          <w:sz w:val="24"/>
          <w:lang w:eastAsia="zh-CN"/>
        </w:rPr>
        <w:t>采购人</w:t>
      </w:r>
      <w:r>
        <w:rPr>
          <w:rFonts w:hint="eastAsia" w:ascii="宋体" w:hAnsi="宋体" w:eastAsia="宋体" w:cs="宋体"/>
          <w:snapToGrid w:val="0"/>
          <w:color w:val="auto"/>
          <w:sz w:val="24"/>
        </w:rPr>
        <w:t>利益的信息，不在</w:t>
      </w:r>
      <w:r>
        <w:rPr>
          <w:rFonts w:hint="eastAsia" w:ascii="宋体" w:hAnsi="宋体" w:cs="宋体"/>
          <w:snapToGrid w:val="0"/>
          <w:color w:val="auto"/>
          <w:sz w:val="24"/>
          <w:lang w:eastAsia="zh-CN"/>
        </w:rPr>
        <w:t>投标文件</w:t>
      </w:r>
      <w:r>
        <w:rPr>
          <w:rFonts w:hint="eastAsia" w:ascii="宋体" w:hAnsi="宋体" w:eastAsia="宋体" w:cs="宋体"/>
          <w:snapToGrid w:val="0"/>
          <w:color w:val="auto"/>
          <w:sz w:val="24"/>
        </w:rPr>
        <w:t>中予以特别说明的；</w:t>
      </w:r>
    </w:p>
    <w:p>
      <w:pPr>
        <w:pStyle w:val="6"/>
        <w:ind w:firstLine="320" w:firstLineChars="100"/>
        <w:outlineLvl w:val="1"/>
        <w:rPr>
          <w:rFonts w:hint="eastAsia" w:ascii="宋体" w:hAnsi="宋体" w:eastAsia="宋体" w:cs="宋体"/>
          <w:color w:val="auto"/>
          <w:sz w:val="32"/>
        </w:rPr>
      </w:pPr>
      <w:bookmarkStart w:id="69" w:name="_Toc471825190"/>
      <w:bookmarkStart w:id="70" w:name="_Toc9914"/>
      <w:bookmarkStart w:id="71" w:name="_Toc107820051"/>
      <w:bookmarkStart w:id="72" w:name="_Toc3309"/>
      <w:r>
        <w:rPr>
          <w:rFonts w:hint="eastAsia" w:ascii="宋体" w:hAnsi="宋体" w:eastAsia="宋体" w:cs="宋体"/>
          <w:color w:val="auto"/>
          <w:sz w:val="32"/>
          <w:lang w:eastAsia="zh-CN"/>
        </w:rPr>
        <w:t>六</w:t>
      </w:r>
      <w:r>
        <w:rPr>
          <w:rFonts w:hint="eastAsia" w:ascii="宋体" w:hAnsi="宋体" w:eastAsia="宋体" w:cs="宋体"/>
          <w:color w:val="auto"/>
          <w:sz w:val="32"/>
        </w:rPr>
        <w:t xml:space="preserve">   授予合同</w:t>
      </w:r>
      <w:bookmarkEnd w:id="69"/>
      <w:bookmarkEnd w:id="70"/>
      <w:bookmarkEnd w:id="71"/>
      <w:bookmarkEnd w:id="72"/>
    </w:p>
    <w:p>
      <w:pPr>
        <w:numPr>
          <w:ilvl w:val="0"/>
          <w:numId w:val="0"/>
        </w:numPr>
        <w:spacing w:line="360" w:lineRule="auto"/>
        <w:ind w:left="480" w:leftChars="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投标结果</w:t>
      </w:r>
    </w:p>
    <w:p>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.1 评定小组完成评定后，向</w:t>
      </w:r>
      <w:r>
        <w:rPr>
          <w:rFonts w:hint="eastAsia" w:ascii="宋体" w:hAnsi="宋体" w:eastAsia="宋体" w:cs="宋体"/>
          <w:color w:val="auto"/>
          <w:sz w:val="24"/>
          <w:lang w:eastAsia="zh-CN"/>
        </w:rPr>
        <w:t>采购人</w:t>
      </w:r>
      <w:r>
        <w:rPr>
          <w:rFonts w:hint="eastAsia" w:ascii="宋体" w:hAnsi="宋体" w:eastAsia="宋体" w:cs="宋体"/>
          <w:color w:val="auto"/>
          <w:sz w:val="24"/>
        </w:rPr>
        <w:t>提交经各评定小组成员签字的评定结果报告，并按评定标准推荐评定中标候选人。</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1</w:t>
      </w:r>
      <w:r>
        <w:rPr>
          <w:rFonts w:hint="eastAsia" w:ascii="宋体" w:hAnsi="宋体" w:eastAsia="宋体" w:cs="宋体"/>
          <w:color w:val="auto"/>
          <w:sz w:val="24"/>
        </w:rPr>
        <w:t>.2 接受和拒绝任何或所有投标结果的权力：为维护国家利益,采购人在授予合同之前仍有选择或拒绝任何或全部投标结果的权力，并对所采取的行为不作任何解释。</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2</w:t>
      </w:r>
      <w:r>
        <w:rPr>
          <w:rFonts w:hint="eastAsia" w:ascii="宋体" w:hAnsi="宋体" w:eastAsia="宋体" w:cs="宋体"/>
          <w:color w:val="auto"/>
          <w:sz w:val="24"/>
        </w:rPr>
        <w:t>.签订合同</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2</w:t>
      </w:r>
      <w:r>
        <w:rPr>
          <w:rFonts w:hint="eastAsia" w:ascii="宋体" w:hAnsi="宋体" w:eastAsia="宋体" w:cs="宋体"/>
          <w:color w:val="auto"/>
          <w:sz w:val="24"/>
        </w:rPr>
        <w:t xml:space="preserve">.1 </w:t>
      </w:r>
      <w:r>
        <w:rPr>
          <w:rFonts w:hint="eastAsia" w:ascii="宋体" w:hAnsi="宋体" w:eastAsia="宋体" w:cs="宋体"/>
          <w:color w:val="auto"/>
          <w:sz w:val="24"/>
          <w:lang w:eastAsia="zh-CN"/>
        </w:rPr>
        <w:t>中标人</w:t>
      </w:r>
      <w:r>
        <w:rPr>
          <w:rFonts w:hint="eastAsia" w:ascii="宋体" w:hAnsi="宋体" w:eastAsia="宋体" w:cs="宋体"/>
          <w:color w:val="auto"/>
          <w:sz w:val="24"/>
        </w:rPr>
        <w:t>按指定的时间、地点与采购人直接签订合同。</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2</w:t>
      </w:r>
      <w:r>
        <w:rPr>
          <w:rFonts w:hint="eastAsia" w:ascii="宋体" w:hAnsi="宋体" w:eastAsia="宋体" w:cs="宋体"/>
          <w:color w:val="auto"/>
          <w:sz w:val="24"/>
        </w:rPr>
        <w:t>.2 投标文件、中标人的</w:t>
      </w:r>
      <w:r>
        <w:rPr>
          <w:rFonts w:hint="eastAsia" w:ascii="宋体" w:hAnsi="宋体" w:cs="宋体"/>
          <w:color w:val="auto"/>
          <w:sz w:val="24"/>
          <w:lang w:eastAsia="zh-CN"/>
        </w:rPr>
        <w:t>投标文件</w:t>
      </w:r>
      <w:r>
        <w:rPr>
          <w:rFonts w:hint="eastAsia" w:ascii="宋体" w:hAnsi="宋体" w:eastAsia="宋体" w:cs="宋体"/>
          <w:color w:val="auto"/>
          <w:sz w:val="24"/>
        </w:rPr>
        <w:t>及其澄清文件等，均为签订合同的依据。</w:t>
      </w:r>
      <w:r>
        <w:rPr>
          <w:rFonts w:hint="eastAsia" w:ascii="宋体" w:hAnsi="宋体" w:eastAsia="宋体" w:cs="宋体"/>
          <w:color w:val="auto"/>
          <w:sz w:val="24"/>
          <w:lang w:eastAsia="zh-CN"/>
        </w:rPr>
        <w:t>中标人</w:t>
      </w:r>
      <w:r>
        <w:rPr>
          <w:rFonts w:hint="eastAsia" w:ascii="宋体" w:hAnsi="宋体" w:eastAsia="宋体" w:cs="宋体"/>
          <w:color w:val="auto"/>
          <w:sz w:val="24"/>
        </w:rPr>
        <w:t>中标后10天内与</w:t>
      </w:r>
      <w:r>
        <w:rPr>
          <w:rFonts w:hint="eastAsia" w:ascii="宋体" w:hAnsi="宋体" w:eastAsia="宋体" w:cs="宋体"/>
          <w:color w:val="auto"/>
          <w:sz w:val="24"/>
          <w:lang w:eastAsia="zh-CN"/>
        </w:rPr>
        <w:t>采购人</w:t>
      </w:r>
      <w:r>
        <w:rPr>
          <w:rFonts w:hint="eastAsia" w:ascii="宋体" w:hAnsi="宋体" w:eastAsia="宋体" w:cs="宋体"/>
          <w:color w:val="auto"/>
          <w:sz w:val="24"/>
        </w:rPr>
        <w:t>签定合同。</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2</w:t>
      </w:r>
      <w:r>
        <w:rPr>
          <w:rFonts w:hint="eastAsia" w:ascii="宋体" w:hAnsi="宋体" w:eastAsia="宋体" w:cs="宋体"/>
          <w:color w:val="auto"/>
          <w:sz w:val="24"/>
        </w:rPr>
        <w:t xml:space="preserve">.3 </w:t>
      </w:r>
      <w:r>
        <w:rPr>
          <w:rFonts w:hint="eastAsia" w:ascii="宋体" w:hAnsi="宋体" w:eastAsia="宋体" w:cs="宋体"/>
          <w:color w:val="auto"/>
          <w:sz w:val="24"/>
          <w:lang w:eastAsia="zh-CN"/>
        </w:rPr>
        <w:t>中标人</w:t>
      </w:r>
      <w:r>
        <w:rPr>
          <w:rFonts w:hint="eastAsia" w:ascii="宋体" w:hAnsi="宋体" w:eastAsia="宋体" w:cs="宋体"/>
          <w:color w:val="auto"/>
          <w:sz w:val="24"/>
        </w:rPr>
        <w:t>不遵守投标文件的要约、承诺，擅自修改报价或借故拖延、拒签合同者，采购代理机构即可取消该单位的中标人资格。</w:t>
      </w:r>
    </w:p>
    <w:p>
      <w:pPr>
        <w:spacing w:line="360" w:lineRule="auto"/>
        <w:ind w:firstLine="480" w:firstLineChars="200"/>
        <w:rPr>
          <w:rFonts w:hint="eastAsia" w:ascii="宋体" w:hAnsi="宋体" w:eastAsia="宋体" w:cs="宋体"/>
          <w:bCs/>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.解释权：</w:t>
      </w:r>
      <w:r>
        <w:rPr>
          <w:rFonts w:hint="eastAsia" w:ascii="宋体" w:hAnsi="宋体" w:eastAsia="宋体" w:cs="宋体"/>
          <w:bCs/>
          <w:color w:val="auto"/>
          <w:sz w:val="24"/>
        </w:rPr>
        <w:t>本</w:t>
      </w:r>
      <w:r>
        <w:rPr>
          <w:rFonts w:hint="eastAsia" w:ascii="宋体" w:hAnsi="宋体" w:eastAsia="宋体" w:cs="宋体"/>
          <w:color w:val="auto"/>
          <w:sz w:val="24"/>
        </w:rPr>
        <w:t>招标文件</w:t>
      </w:r>
      <w:r>
        <w:rPr>
          <w:rFonts w:hint="eastAsia" w:ascii="宋体" w:hAnsi="宋体" w:eastAsia="宋体" w:cs="宋体"/>
          <w:bCs/>
          <w:color w:val="auto"/>
          <w:sz w:val="24"/>
        </w:rPr>
        <w:t>是根据国家有关法律、法规、规章和有关规定编制的，解释权属采购代理机构。</w:t>
      </w:r>
    </w:p>
    <w:p>
      <w:pPr>
        <w:spacing w:line="360" w:lineRule="auto"/>
        <w:ind w:firstLine="480" w:firstLineChars="200"/>
        <w:rPr>
          <w:rFonts w:hint="eastAsia" w:ascii="宋体" w:hAnsi="宋体" w:eastAsia="宋体" w:cs="宋体"/>
          <w:color w:val="auto"/>
          <w:sz w:val="24"/>
        </w:rPr>
      </w:pPr>
      <w:r>
        <w:rPr>
          <w:rFonts w:hint="eastAsia" w:ascii="宋体" w:hAnsi="宋体" w:cs="宋体"/>
          <w:bCs/>
          <w:color w:val="auto"/>
          <w:sz w:val="24"/>
          <w:lang w:val="en-US" w:eastAsia="zh-CN"/>
        </w:rPr>
        <w:t>4</w:t>
      </w:r>
      <w:r>
        <w:rPr>
          <w:rFonts w:hint="eastAsia" w:ascii="宋体" w:hAnsi="宋体" w:eastAsia="宋体" w:cs="宋体"/>
          <w:bCs/>
          <w:color w:val="auto"/>
          <w:sz w:val="24"/>
        </w:rPr>
        <w:t>.采购代理机构</w:t>
      </w:r>
      <w:r>
        <w:rPr>
          <w:rFonts w:hint="eastAsia" w:ascii="宋体" w:hAnsi="宋体" w:eastAsia="宋体" w:cs="宋体"/>
          <w:color w:val="auto"/>
          <w:sz w:val="24"/>
        </w:rPr>
        <w:t>对决标结果不负责解释。</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.项目监督。</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.1本项目接受监察、财政、审计等部门的监督。</w:t>
      </w: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5"/>
        <w:spacing w:line="560" w:lineRule="exact"/>
        <w:outlineLvl w:val="0"/>
        <w:rPr>
          <w:rFonts w:hint="eastAsia" w:ascii="宋体" w:hAnsi="宋体" w:eastAsia="宋体" w:cs="宋体"/>
          <w:color w:val="auto"/>
        </w:rPr>
      </w:pPr>
      <w:bookmarkStart w:id="73" w:name="_Toc395544876"/>
      <w:bookmarkStart w:id="74" w:name="_Toc2164"/>
      <w:bookmarkStart w:id="75" w:name="_Toc471825191"/>
      <w:bookmarkStart w:id="76" w:name="_Toc9981"/>
      <w:bookmarkStart w:id="77" w:name="_Toc23593"/>
      <w:bookmarkStart w:id="78" w:name="_Toc15294"/>
      <w:r>
        <w:rPr>
          <w:rFonts w:hint="eastAsia" w:ascii="宋体" w:hAnsi="宋体" w:eastAsia="宋体" w:cs="宋体"/>
          <w:color w:val="auto"/>
        </w:rPr>
        <w:t>第三章  招标</w:t>
      </w:r>
      <w:bookmarkEnd w:id="73"/>
      <w:r>
        <w:rPr>
          <w:rFonts w:hint="eastAsia" w:ascii="宋体" w:hAnsi="宋体" w:eastAsia="宋体" w:cs="宋体"/>
          <w:color w:val="auto"/>
        </w:rPr>
        <w:t>内容</w:t>
      </w:r>
      <w:bookmarkEnd w:id="74"/>
      <w:bookmarkEnd w:id="75"/>
      <w:bookmarkEnd w:id="76"/>
      <w:bookmarkEnd w:id="77"/>
      <w:bookmarkEnd w:id="78"/>
    </w:p>
    <w:p>
      <w:pPr>
        <w:pStyle w:val="6"/>
        <w:spacing w:before="120" w:after="120" w:line="360" w:lineRule="auto"/>
        <w:outlineLvl w:val="1"/>
        <w:rPr>
          <w:rFonts w:hint="eastAsia" w:ascii="宋体" w:hAnsi="宋体" w:eastAsia="宋体" w:cs="宋体"/>
          <w:color w:val="auto"/>
          <w:sz w:val="24"/>
          <w:szCs w:val="24"/>
        </w:rPr>
      </w:pPr>
      <w:bookmarkStart w:id="79" w:name="_Toc452985702"/>
      <w:bookmarkStart w:id="80" w:name="_Toc20816"/>
      <w:bookmarkStart w:id="81" w:name="_Toc471825192"/>
      <w:bookmarkStart w:id="82" w:name="_Toc3987"/>
      <w:r>
        <w:rPr>
          <w:rFonts w:hint="eastAsia" w:ascii="宋体" w:hAnsi="宋体" w:eastAsia="宋体" w:cs="宋体"/>
          <w:color w:val="auto"/>
          <w:sz w:val="24"/>
          <w:szCs w:val="24"/>
        </w:rPr>
        <w:t>一</w:t>
      </w:r>
      <w:bookmarkEnd w:id="79"/>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资金对象</w:t>
      </w:r>
      <w:bookmarkEnd w:id="80"/>
      <w:bookmarkEnd w:id="81"/>
      <w:bookmarkEnd w:id="82"/>
    </w:p>
    <w:p>
      <w:pPr>
        <w:spacing w:line="360" w:lineRule="auto"/>
        <w:ind w:left="1"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龙泉市住房改革委员会办公室</w:t>
      </w:r>
      <w:r>
        <w:rPr>
          <w:rFonts w:hint="eastAsia" w:ascii="宋体" w:hAnsi="宋体" w:eastAsia="宋体" w:cs="宋体"/>
          <w:color w:val="auto"/>
          <w:sz w:val="24"/>
          <w:szCs w:val="24"/>
        </w:rPr>
        <w:t>定期存款目标金额为</w:t>
      </w:r>
      <w:r>
        <w:rPr>
          <w:rFonts w:hint="eastAsia" w:ascii="宋体" w:hAnsi="宋体" w:cs="宋体"/>
          <w:color w:val="auto"/>
          <w:sz w:val="24"/>
          <w:szCs w:val="24"/>
          <w:lang w:val="en-US" w:eastAsia="zh-CN"/>
        </w:rPr>
        <w:t>2900</w:t>
      </w:r>
      <w:r>
        <w:rPr>
          <w:rFonts w:hint="eastAsia" w:ascii="宋体" w:hAnsi="宋体" w:eastAsia="宋体" w:cs="宋体"/>
          <w:color w:val="auto"/>
          <w:sz w:val="24"/>
          <w:szCs w:val="24"/>
        </w:rPr>
        <w:t>万元，根据本次招标结果，按约定金额存放中标银行。</w:t>
      </w:r>
    </w:p>
    <w:p>
      <w:pPr>
        <w:spacing w:line="360" w:lineRule="auto"/>
        <w:ind w:left="1"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招标合同期：</w:t>
      </w:r>
      <w:r>
        <w:rPr>
          <w:rFonts w:hint="eastAsia" w:ascii="宋体" w:hAnsi="宋体" w:eastAsia="宋体" w:cs="宋体"/>
          <w:color w:val="auto"/>
          <w:sz w:val="24"/>
          <w:szCs w:val="24"/>
          <w:lang w:eastAsia="zh-CN"/>
        </w:rPr>
        <w:t>12个月</w:t>
      </w:r>
      <w:r>
        <w:rPr>
          <w:rFonts w:hint="eastAsia" w:ascii="宋体" w:hAnsi="宋体" w:eastAsia="宋体" w:cs="宋体"/>
          <w:color w:val="auto"/>
          <w:sz w:val="24"/>
          <w:szCs w:val="24"/>
        </w:rPr>
        <w:t>。</w:t>
      </w:r>
    </w:p>
    <w:p>
      <w:pPr>
        <w:pStyle w:val="6"/>
        <w:spacing w:before="120" w:after="120" w:line="360" w:lineRule="auto"/>
        <w:outlineLvl w:val="1"/>
        <w:rPr>
          <w:rFonts w:hint="eastAsia" w:ascii="宋体" w:hAnsi="宋体" w:eastAsia="宋体" w:cs="宋体"/>
          <w:color w:val="auto"/>
          <w:sz w:val="24"/>
          <w:szCs w:val="24"/>
          <w:lang w:eastAsia="zh-CN"/>
        </w:rPr>
      </w:pPr>
      <w:bookmarkStart w:id="83" w:name="_Toc471825193"/>
      <w:bookmarkStart w:id="84" w:name="_Toc8315"/>
      <w:bookmarkStart w:id="85" w:name="_Toc15198"/>
      <w:bookmarkStart w:id="86" w:name="_Toc471825194"/>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中标原则及存款比例分配</w:t>
      </w:r>
      <w:bookmarkEnd w:id="83"/>
      <w:bookmarkEnd w:id="84"/>
    </w:p>
    <w:p>
      <w:pPr>
        <w:pStyle w:val="6"/>
        <w:spacing w:before="120" w:after="120"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1.中标原则：中标银行数为2家，本次评审方法采取百分制综合评分法，按最终得分由高到低顺序排列。</w:t>
      </w:r>
    </w:p>
    <w:p>
      <w:pPr>
        <w:pStyle w:val="6"/>
        <w:spacing w:before="120" w:after="120"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2.存款分配：资金存款竞争性存放根据中标银行得分排名确定存款比例，中标银行数为2家，按第一名1800万元，第二名1100万元的比例分配存款规模。</w:t>
      </w:r>
    </w:p>
    <w:p>
      <w:pPr>
        <w:pStyle w:val="6"/>
        <w:spacing w:before="120" w:after="120" w:line="360" w:lineRule="auto"/>
        <w:outlineLvl w:val="1"/>
        <w:rPr>
          <w:rFonts w:hint="eastAsia" w:ascii="宋体" w:hAnsi="宋体" w:eastAsia="宋体" w:cs="宋体"/>
          <w:color w:val="auto"/>
          <w:sz w:val="24"/>
          <w:szCs w:val="24"/>
        </w:rPr>
      </w:pPr>
      <w:bookmarkStart w:id="87" w:name="_Toc24963"/>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其他说明</w:t>
      </w:r>
      <w:bookmarkEnd w:id="85"/>
      <w:bookmarkEnd w:id="86"/>
      <w:bookmarkEnd w:id="87"/>
    </w:p>
    <w:p>
      <w:pPr>
        <w:spacing w:line="360" w:lineRule="auto"/>
        <w:ind w:left="1" w:firstLine="480"/>
        <w:rPr>
          <w:rFonts w:hint="eastAsia" w:ascii="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w:t>
      </w:r>
      <w:r>
        <w:rPr>
          <w:rFonts w:hint="eastAsia" w:ascii="宋体" w:hAnsi="宋体" w:cs="宋体"/>
          <w:color w:val="auto"/>
          <w:sz w:val="24"/>
          <w:szCs w:val="24"/>
        </w:rPr>
        <w:t>投标人所提供的投标方案对资金年收益率（即定期存款年利率）须作明确说明，以人民银行公布的同期基准利率基础上上浮30%为竞标点，低于竞标点的作无效标处理。</w:t>
      </w:r>
    </w:p>
    <w:p>
      <w:pPr>
        <w:spacing w:line="360" w:lineRule="auto"/>
        <w:ind w:left="1" w:firstLine="480"/>
        <w:rPr>
          <w:rFonts w:hint="eastAsia" w:ascii="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w:t>
      </w:r>
      <w:r>
        <w:rPr>
          <w:rFonts w:hint="eastAsia" w:ascii="宋体" w:hAnsi="宋体" w:cs="宋体"/>
          <w:color w:val="auto"/>
          <w:sz w:val="24"/>
          <w:szCs w:val="24"/>
        </w:rPr>
        <w:t>定期存款证实书至少应载明：存款单位全称、存款金额、存款期限、存款日期（记息起始日期）、利息率（年利率/月利率）、盖章。并且定期存款证实书必须为机器打印不得手写和涂改。</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lang w:eastAsia="zh-CN"/>
        </w:rPr>
        <w:t>.</w:t>
      </w:r>
      <w:r>
        <w:rPr>
          <w:rFonts w:hint="eastAsia" w:ascii="宋体" w:hAnsi="宋体"/>
          <w:color w:val="auto"/>
          <w:sz w:val="24"/>
        </w:rPr>
        <w:t>定期存款到期后需续存原中标银行的，可不重新组织招投标，但需经领导班子集体研究决定，且续存利率不低于“丽水市公共资源交易网”和“浙江政府采购网”上公布的最近同期限中标利率（就高不就低原则），可继续续签一年。</w:t>
      </w:r>
    </w:p>
    <w:p>
      <w:pPr>
        <w:spacing w:line="360" w:lineRule="auto"/>
        <w:ind w:firstLine="480" w:firstLineChars="200"/>
        <w:rPr>
          <w:rFonts w:hint="eastAsia" w:ascii="宋体" w:hAnsi="宋体" w:eastAsia="宋体" w:cs="宋体"/>
          <w:color w:val="auto"/>
          <w:sz w:val="24"/>
          <w:szCs w:val="24"/>
        </w:rPr>
      </w:pPr>
      <w:r>
        <w:rPr>
          <w:rFonts w:ascii="宋体" w:hAnsi="宋体"/>
          <w:color w:val="auto"/>
          <w:sz w:val="24"/>
        </w:rPr>
        <w:t>4</w:t>
      </w:r>
      <w:r>
        <w:rPr>
          <w:rFonts w:hint="eastAsia" w:ascii="宋体" w:hAnsi="宋体"/>
          <w:color w:val="auto"/>
          <w:sz w:val="24"/>
          <w:lang w:eastAsia="zh-CN"/>
        </w:rPr>
        <w:t>.</w:t>
      </w:r>
      <w:r>
        <w:rPr>
          <w:rFonts w:hint="eastAsia" w:ascii="宋体" w:hAnsi="宋体"/>
          <w:color w:val="auto"/>
          <w:kern w:val="0"/>
          <w:sz w:val="24"/>
        </w:rPr>
        <w:t>甲方有权在到期日前提前支取银行存款，提前支取金额按实际存期、靠档利率计付利息，存续金额仍按原起息日、期限及存款利率计付利息。</w:t>
      </w:r>
    </w:p>
    <w:p>
      <w:pPr>
        <w:widowControl/>
        <w:spacing w:line="360" w:lineRule="auto"/>
        <w:rPr>
          <w:rFonts w:hint="eastAsia" w:ascii="宋体" w:hAnsi="宋体" w:eastAsia="宋体" w:cs="宋体"/>
          <w:color w:val="auto"/>
          <w:kern w:val="0"/>
          <w:sz w:val="24"/>
          <w:szCs w:val="24"/>
        </w:rPr>
      </w:pPr>
    </w:p>
    <w:p>
      <w:pPr>
        <w:pStyle w:val="2"/>
        <w:rPr>
          <w:rFonts w:hint="eastAsia"/>
          <w:color w:val="auto"/>
        </w:rPr>
      </w:pPr>
    </w:p>
    <w:p>
      <w:pPr>
        <w:spacing w:line="440" w:lineRule="exact"/>
        <w:ind w:left="1" w:firstLine="480"/>
        <w:rPr>
          <w:rFonts w:hint="eastAsia" w:ascii="宋体" w:hAnsi="宋体" w:eastAsia="宋体" w:cs="宋体"/>
          <w:color w:val="auto"/>
          <w:sz w:val="24"/>
        </w:rPr>
      </w:pPr>
    </w:p>
    <w:p>
      <w:pPr>
        <w:pStyle w:val="2"/>
        <w:rPr>
          <w:rFonts w:hint="eastAsia"/>
          <w:color w:val="auto"/>
        </w:rPr>
      </w:pPr>
    </w:p>
    <w:p>
      <w:pPr>
        <w:spacing w:line="440" w:lineRule="exact"/>
        <w:ind w:left="1" w:firstLine="480"/>
        <w:rPr>
          <w:rFonts w:hint="eastAsia" w:ascii="宋体" w:hAnsi="宋体" w:eastAsia="宋体" w:cs="宋体"/>
          <w:color w:val="auto"/>
          <w:sz w:val="24"/>
        </w:rPr>
      </w:pPr>
    </w:p>
    <w:p>
      <w:pPr>
        <w:rPr>
          <w:rFonts w:hint="eastAsia" w:ascii="宋体" w:hAnsi="宋体" w:eastAsia="宋体" w:cs="宋体"/>
          <w:bCs/>
          <w:color w:val="auto"/>
          <w:sz w:val="24"/>
          <w:szCs w:val="20"/>
        </w:rPr>
      </w:pPr>
    </w:p>
    <w:p>
      <w:pPr>
        <w:pStyle w:val="5"/>
        <w:spacing w:line="560" w:lineRule="exact"/>
        <w:outlineLvl w:val="0"/>
        <w:rPr>
          <w:rFonts w:hint="eastAsia" w:ascii="宋体" w:hAnsi="宋体" w:eastAsia="宋体" w:cs="宋体"/>
          <w:color w:val="auto"/>
        </w:rPr>
      </w:pPr>
      <w:bookmarkStart w:id="88" w:name="_Toc471825195"/>
      <w:bookmarkStart w:id="89" w:name="_Toc388434493"/>
      <w:bookmarkStart w:id="90" w:name="_Toc395544881"/>
      <w:bookmarkStart w:id="91" w:name="_Toc1297"/>
      <w:bookmarkStart w:id="92" w:name="_Toc2059"/>
      <w:bookmarkStart w:id="93" w:name="_Toc554"/>
      <w:bookmarkStart w:id="94" w:name="_Toc14396"/>
      <w:r>
        <w:rPr>
          <w:rFonts w:hint="eastAsia" w:ascii="宋体" w:hAnsi="宋体" w:eastAsia="宋体" w:cs="宋体"/>
          <w:color w:val="auto"/>
        </w:rPr>
        <w:t>第四章   合同格式</w:t>
      </w:r>
      <w:bookmarkEnd w:id="88"/>
      <w:bookmarkEnd w:id="89"/>
      <w:bookmarkEnd w:id="90"/>
      <w:bookmarkEnd w:id="91"/>
      <w:bookmarkEnd w:id="92"/>
      <w:bookmarkEnd w:id="93"/>
      <w:bookmarkEnd w:id="94"/>
    </w:p>
    <w:p>
      <w:pPr>
        <w:adjustRightInd w:val="0"/>
        <w:snapToGrid w:val="0"/>
        <w:spacing w:line="300" w:lineRule="auto"/>
        <w:rPr>
          <w:rFonts w:hint="eastAsia" w:ascii="宋体" w:hAnsi="宋体" w:eastAsia="宋体" w:cs="宋体"/>
          <w:color w:val="auto"/>
          <w:sz w:val="24"/>
        </w:rPr>
      </w:pPr>
    </w:p>
    <w:p>
      <w:pPr>
        <w:widowControl/>
        <w:spacing w:line="400" w:lineRule="exact"/>
        <w:rPr>
          <w:rFonts w:hint="eastAsia" w:ascii="宋体" w:hAnsi="宋体" w:eastAsia="宋体" w:cs="宋体"/>
          <w:color w:val="auto"/>
          <w:kern w:val="0"/>
          <w:sz w:val="24"/>
          <w:lang w:eastAsia="zh-CN"/>
        </w:rPr>
      </w:pPr>
      <w:r>
        <w:rPr>
          <w:rFonts w:hint="eastAsia" w:ascii="宋体" w:hAnsi="宋体" w:eastAsia="宋体" w:cs="宋体"/>
          <w:color w:val="auto"/>
          <w:kern w:val="0"/>
          <w:sz w:val="24"/>
        </w:rPr>
        <w:t>甲方：</w:t>
      </w:r>
      <w:r>
        <w:rPr>
          <w:rFonts w:hint="eastAsia" w:ascii="宋体" w:hAnsi="宋体" w:cs="宋体"/>
          <w:color w:val="auto"/>
          <w:sz w:val="24"/>
          <w:lang w:eastAsia="zh-CN"/>
        </w:rPr>
        <w:t>龙泉市住房改革委员会办公室</w:t>
      </w:r>
    </w:p>
    <w:p>
      <w:pPr>
        <w:widowControl/>
        <w:spacing w:line="400" w:lineRule="exact"/>
        <w:rPr>
          <w:rFonts w:hint="eastAsia" w:ascii="宋体" w:hAnsi="宋体" w:eastAsia="宋体" w:cs="宋体"/>
          <w:color w:val="auto"/>
          <w:kern w:val="0"/>
          <w:sz w:val="24"/>
        </w:rPr>
      </w:pPr>
      <w:r>
        <w:rPr>
          <w:rFonts w:hint="eastAsia" w:ascii="宋体" w:hAnsi="宋体" w:eastAsia="宋体" w:cs="宋体"/>
          <w:color w:val="auto"/>
          <w:kern w:val="0"/>
          <w:sz w:val="24"/>
        </w:rPr>
        <w:t>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w:t>
      </w:r>
    </w:p>
    <w:p>
      <w:pPr>
        <w:widowControl/>
        <w:spacing w:line="400" w:lineRule="exact"/>
        <w:ind w:firstLine="600"/>
        <w:rPr>
          <w:rFonts w:hint="eastAsia" w:ascii="宋体" w:hAnsi="宋体" w:eastAsia="宋体" w:cs="宋体"/>
          <w:color w:val="auto"/>
          <w:kern w:val="0"/>
          <w:sz w:val="24"/>
        </w:rPr>
      </w:pPr>
      <w:r>
        <w:rPr>
          <w:rFonts w:hint="eastAsia" w:ascii="宋体" w:hAnsi="宋体" w:eastAsia="宋体" w:cs="宋体"/>
          <w:color w:val="auto"/>
          <w:kern w:val="0"/>
          <w:sz w:val="24"/>
        </w:rPr>
        <w:t>为明确双方在</w:t>
      </w:r>
      <w:r>
        <w:rPr>
          <w:rFonts w:hint="eastAsia" w:ascii="宋体" w:hAnsi="宋体" w:cs="宋体"/>
          <w:color w:val="auto"/>
          <w:sz w:val="24"/>
          <w:lang w:eastAsia="zh-CN"/>
        </w:rPr>
        <w:t>龙泉市住房改革委员会办公室</w:t>
      </w:r>
      <w:r>
        <w:rPr>
          <w:rFonts w:hint="eastAsia" w:ascii="宋体" w:hAnsi="宋体" w:eastAsia="宋体" w:cs="宋体"/>
          <w:color w:val="auto"/>
          <w:kern w:val="0"/>
          <w:sz w:val="24"/>
        </w:rPr>
        <w:t>及下属单位、相关单位银行存款开户银行存放（    年  期）业务活动中的权利与义务，甲、乙双方达成本协议。</w:t>
      </w:r>
    </w:p>
    <w:p>
      <w:pPr>
        <w:widowControl/>
        <w:spacing w:line="400" w:lineRule="exact"/>
        <w:ind w:firstLine="480"/>
        <w:rPr>
          <w:rFonts w:hint="eastAsia" w:ascii="宋体" w:hAnsi="宋体" w:eastAsia="宋体" w:cs="宋体"/>
          <w:b/>
          <w:bCs/>
          <w:color w:val="auto"/>
          <w:kern w:val="0"/>
          <w:sz w:val="24"/>
        </w:rPr>
      </w:pPr>
      <w:r>
        <w:rPr>
          <w:rFonts w:hint="eastAsia" w:ascii="宋体" w:hAnsi="宋体" w:eastAsia="宋体" w:cs="宋体"/>
          <w:b/>
          <w:bCs/>
          <w:color w:val="auto"/>
          <w:kern w:val="0"/>
          <w:sz w:val="24"/>
        </w:rPr>
        <w:t>一、总则</w:t>
      </w:r>
    </w:p>
    <w:p>
      <w:pPr>
        <w:widowControl/>
        <w:spacing w:line="400" w:lineRule="exact"/>
        <w:ind w:firstLine="600"/>
        <w:rPr>
          <w:rFonts w:hint="eastAsia" w:ascii="宋体" w:hAnsi="宋体" w:eastAsia="宋体" w:cs="宋体"/>
          <w:color w:val="auto"/>
          <w:kern w:val="0"/>
          <w:sz w:val="24"/>
        </w:rPr>
      </w:pPr>
      <w:r>
        <w:rPr>
          <w:rFonts w:hint="eastAsia" w:ascii="宋体" w:hAnsi="宋体" w:eastAsia="宋体" w:cs="宋体"/>
          <w:color w:val="auto"/>
          <w:kern w:val="0"/>
          <w:sz w:val="24"/>
        </w:rPr>
        <w:t>第一条  根据有关法律法规和</w:t>
      </w:r>
      <w:r>
        <w:rPr>
          <w:rFonts w:hint="eastAsia" w:ascii="宋体" w:hAnsi="宋体" w:cs="宋体"/>
          <w:color w:val="auto"/>
          <w:sz w:val="24"/>
          <w:lang w:eastAsia="zh-CN"/>
        </w:rPr>
        <w:t>龙泉市住房改革委员会办公室</w:t>
      </w:r>
      <w:r>
        <w:rPr>
          <w:rFonts w:hint="eastAsia" w:ascii="宋体" w:hAnsi="宋体" w:eastAsia="宋体" w:cs="宋体"/>
          <w:color w:val="auto"/>
          <w:kern w:val="0"/>
          <w:sz w:val="24"/>
        </w:rPr>
        <w:t>关于资金存放等相关规定和要求，经甲、乙双方平等协商，签订本协议。</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 xml:space="preserve">第二条  </w:t>
      </w:r>
      <w:r>
        <w:rPr>
          <w:rFonts w:hint="eastAsia" w:ascii="宋体" w:hAnsi="宋体" w:cs="宋体"/>
          <w:color w:val="auto"/>
          <w:sz w:val="24"/>
          <w:lang w:eastAsia="zh-CN"/>
        </w:rPr>
        <w:t>龙泉市住房改革委员会办公室</w:t>
      </w:r>
      <w:r>
        <w:rPr>
          <w:rFonts w:hint="eastAsia" w:ascii="宋体" w:hAnsi="宋体" w:eastAsia="宋体" w:cs="宋体"/>
          <w:color w:val="auto"/>
          <w:kern w:val="0"/>
          <w:sz w:val="24"/>
        </w:rPr>
        <w:t>及下属单位、相关单位通过公开招标的方式择优确定资金竞争性存放的存款银行，其存款有关的资金管理、本息收回、银行对口服务等活动适用本协议。</w:t>
      </w:r>
    </w:p>
    <w:p>
      <w:pPr>
        <w:widowControl/>
        <w:spacing w:line="400" w:lineRule="exact"/>
        <w:ind w:left="239" w:leftChars="114" w:firstLine="240" w:firstLineChars="100"/>
        <w:rPr>
          <w:rFonts w:hint="eastAsia" w:ascii="宋体" w:hAnsi="宋体" w:eastAsia="宋体" w:cs="宋体"/>
          <w:color w:val="auto"/>
          <w:kern w:val="0"/>
          <w:sz w:val="24"/>
          <w:u w:val="single"/>
        </w:rPr>
      </w:pPr>
      <w:r>
        <w:rPr>
          <w:rFonts w:hint="eastAsia" w:ascii="宋体" w:hAnsi="宋体" w:eastAsia="宋体" w:cs="宋体"/>
          <w:color w:val="auto"/>
          <w:kern w:val="0"/>
          <w:sz w:val="24"/>
        </w:rPr>
        <w:t>第三条 经确定，甲方在乙方开立的银行存款账户存入</w:t>
      </w:r>
      <w:r>
        <w:rPr>
          <w:rFonts w:hint="eastAsia" w:ascii="宋体" w:hAnsi="宋体" w:eastAsia="宋体" w:cs="宋体"/>
          <w:color w:val="auto"/>
          <w:kern w:val="0"/>
          <w:sz w:val="24"/>
          <w:u w:val="single"/>
        </w:rPr>
        <w:t xml:space="preserve"> 定  </w:t>
      </w:r>
      <w:r>
        <w:rPr>
          <w:rFonts w:hint="eastAsia" w:ascii="宋体" w:hAnsi="宋体" w:eastAsia="宋体" w:cs="宋体"/>
          <w:color w:val="auto"/>
          <w:kern w:val="0"/>
          <w:sz w:val="24"/>
        </w:rPr>
        <w:t>期存款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万元，定期存款年利率</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%。乙方拟派客户经理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widowControl/>
        <w:spacing w:line="400" w:lineRule="exact"/>
        <w:ind w:firstLine="480"/>
        <w:rPr>
          <w:rFonts w:hint="eastAsia" w:ascii="宋体" w:hAnsi="宋体" w:eastAsia="宋体" w:cs="宋体"/>
          <w:b/>
          <w:bCs/>
          <w:color w:val="auto"/>
          <w:kern w:val="0"/>
          <w:sz w:val="24"/>
        </w:rPr>
      </w:pPr>
      <w:r>
        <w:rPr>
          <w:rFonts w:hint="eastAsia" w:ascii="宋体" w:hAnsi="宋体" w:eastAsia="宋体" w:cs="宋体"/>
          <w:b/>
          <w:bCs/>
          <w:color w:val="auto"/>
          <w:kern w:val="0"/>
          <w:sz w:val="24"/>
        </w:rPr>
        <w:t>二、甲方权利与义务。</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（一）甲方权利主要包括：</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1. 要求乙方提供存款证明；；</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2. 对乙方在的银行存款业务实施监督管理。</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（二）甲方义务主要包括：</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1.按规定签发划拨银行存款资金的指令。</w:t>
      </w:r>
    </w:p>
    <w:p>
      <w:pPr>
        <w:widowControl/>
        <w:spacing w:line="400" w:lineRule="exact"/>
        <w:ind w:firstLine="480"/>
        <w:rPr>
          <w:rFonts w:hint="eastAsia" w:ascii="宋体" w:hAnsi="宋体" w:eastAsia="宋体" w:cs="宋体"/>
          <w:b/>
          <w:bCs/>
          <w:color w:val="auto"/>
          <w:kern w:val="0"/>
          <w:sz w:val="24"/>
        </w:rPr>
      </w:pPr>
      <w:r>
        <w:rPr>
          <w:rFonts w:hint="eastAsia" w:ascii="宋体" w:hAnsi="宋体" w:eastAsia="宋体" w:cs="宋体"/>
          <w:b/>
          <w:bCs/>
          <w:color w:val="auto"/>
          <w:kern w:val="0"/>
          <w:sz w:val="24"/>
        </w:rPr>
        <w:t>三、乙方权利与义务。</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（一）乙方权利主要包括：</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1.参与甲方组织的的资金竞争性存放工作；</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2.按规定金额存放甲方银行存款。</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（二）乙方义务主要包括：</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1.按规定向甲方预留印鉴、办理账户信息备案手续；</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2.向甲方提供存款证明；</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3.存款到期及时足额缴清甲方存款本息；</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4.确保甲方银行存款存续期间的资金安全；</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color w:val="auto"/>
          <w:kern w:val="0"/>
          <w:sz w:val="24"/>
        </w:rPr>
        <w:t>5.接受甲方对银行存款业务的监督管理。</w:t>
      </w:r>
    </w:p>
    <w:p>
      <w:pPr>
        <w:widowControl/>
        <w:spacing w:line="400" w:lineRule="exact"/>
        <w:ind w:firstLine="600"/>
        <w:rPr>
          <w:rFonts w:hint="eastAsia" w:ascii="宋体" w:hAnsi="宋体" w:eastAsia="宋体" w:cs="宋体"/>
          <w:b/>
          <w:bCs/>
          <w:color w:val="auto"/>
          <w:kern w:val="0"/>
          <w:sz w:val="24"/>
        </w:rPr>
      </w:pPr>
      <w:r>
        <w:rPr>
          <w:rFonts w:hint="eastAsia" w:ascii="宋体" w:hAnsi="宋体" w:eastAsia="宋体" w:cs="宋体"/>
          <w:b/>
          <w:bCs/>
          <w:color w:val="auto"/>
          <w:kern w:val="0"/>
          <w:sz w:val="24"/>
        </w:rPr>
        <w:t>四、违约责任。</w:t>
      </w:r>
    </w:p>
    <w:p>
      <w:pPr>
        <w:widowControl/>
        <w:spacing w:line="400" w:lineRule="exact"/>
        <w:ind w:firstLine="600"/>
        <w:rPr>
          <w:rFonts w:hint="eastAsia" w:ascii="宋体" w:hAnsi="宋体" w:eastAsia="宋体" w:cs="宋体"/>
          <w:color w:val="auto"/>
          <w:kern w:val="0"/>
          <w:sz w:val="24"/>
        </w:rPr>
      </w:pPr>
      <w:r>
        <w:rPr>
          <w:rFonts w:hint="eastAsia" w:ascii="宋体" w:hAnsi="宋体" w:eastAsia="宋体" w:cs="宋体"/>
          <w:color w:val="auto"/>
          <w:kern w:val="0"/>
          <w:sz w:val="24"/>
        </w:rPr>
        <w:t>除发生不可抗力外，违约责任按以下条款执行：</w:t>
      </w:r>
    </w:p>
    <w:p>
      <w:pPr>
        <w:widowControl/>
        <w:spacing w:line="400" w:lineRule="exact"/>
        <w:ind w:firstLine="600"/>
        <w:rPr>
          <w:rFonts w:hint="eastAsia" w:ascii="宋体" w:hAnsi="宋体" w:eastAsia="宋体" w:cs="宋体"/>
          <w:color w:val="auto"/>
          <w:kern w:val="0"/>
          <w:sz w:val="24"/>
        </w:rPr>
      </w:pPr>
      <w:r>
        <w:rPr>
          <w:rFonts w:hint="eastAsia" w:ascii="宋体" w:hAnsi="宋体" w:eastAsia="宋体" w:cs="宋体"/>
          <w:color w:val="auto"/>
          <w:kern w:val="0"/>
          <w:sz w:val="24"/>
        </w:rPr>
        <w:t>1.乙方未及时向甲方缴清到期存款本息的，应以当期存款协议中对应期限存款利率的两倍折成日利率，按日向甲方支付违约金；</w:t>
      </w:r>
    </w:p>
    <w:p>
      <w:pPr>
        <w:widowControl/>
        <w:spacing w:line="400" w:lineRule="exact"/>
        <w:ind w:firstLine="600"/>
        <w:rPr>
          <w:rFonts w:hint="eastAsia" w:ascii="宋体" w:hAnsi="宋体" w:eastAsia="宋体" w:cs="宋体"/>
          <w:color w:val="auto"/>
        </w:rPr>
      </w:pPr>
      <w:r>
        <w:rPr>
          <w:rFonts w:hint="eastAsia" w:ascii="宋体" w:hAnsi="宋体" w:eastAsia="宋体" w:cs="宋体"/>
          <w:color w:val="auto"/>
          <w:kern w:val="0"/>
          <w:sz w:val="24"/>
        </w:rPr>
        <w:t>2.乙方有下列情形之一的，甲方有权提前收回银行存款，并取消乙方在以后各期的竞争性存放投标资格：</w:t>
      </w:r>
    </w:p>
    <w:p>
      <w:pPr>
        <w:widowControl/>
        <w:spacing w:line="400" w:lineRule="exact"/>
        <w:ind w:firstLine="600"/>
        <w:rPr>
          <w:rFonts w:hint="eastAsia" w:ascii="宋体" w:hAnsi="宋体" w:eastAsia="宋体" w:cs="宋体"/>
          <w:color w:val="auto"/>
          <w:kern w:val="0"/>
          <w:sz w:val="24"/>
        </w:rPr>
      </w:pPr>
      <w:r>
        <w:rPr>
          <w:rFonts w:hint="eastAsia" w:ascii="宋体" w:hAnsi="宋体" w:eastAsia="宋体" w:cs="宋体"/>
          <w:color w:val="auto"/>
          <w:kern w:val="0"/>
          <w:sz w:val="24"/>
        </w:rPr>
        <w:t>⑴出现资金安全事故和重大违法违规情况或财务恶化；</w:t>
      </w:r>
    </w:p>
    <w:p>
      <w:pPr>
        <w:widowControl/>
        <w:spacing w:line="400" w:lineRule="exact"/>
        <w:ind w:firstLine="600"/>
        <w:rPr>
          <w:rFonts w:hint="eastAsia" w:ascii="宋体" w:hAnsi="宋体" w:eastAsia="宋体" w:cs="宋体"/>
          <w:color w:val="auto"/>
          <w:kern w:val="0"/>
          <w:sz w:val="24"/>
        </w:rPr>
      </w:pPr>
      <w:r>
        <w:rPr>
          <w:rFonts w:hint="eastAsia" w:ascii="宋体" w:hAnsi="宋体" w:eastAsia="宋体" w:cs="宋体"/>
          <w:color w:val="auto"/>
          <w:kern w:val="0"/>
          <w:sz w:val="24"/>
        </w:rPr>
        <w:t>⑵监管评级降低，监管部门认为存在较大运营风险；</w:t>
      </w:r>
    </w:p>
    <w:p>
      <w:pPr>
        <w:widowControl/>
        <w:spacing w:line="400" w:lineRule="exact"/>
        <w:ind w:firstLine="600"/>
        <w:rPr>
          <w:rFonts w:hint="eastAsia" w:ascii="宋体" w:hAnsi="宋体" w:eastAsia="宋体" w:cs="宋体"/>
          <w:color w:val="auto"/>
          <w:kern w:val="0"/>
          <w:sz w:val="24"/>
        </w:rPr>
      </w:pPr>
      <w:r>
        <w:rPr>
          <w:rFonts w:hint="eastAsia" w:ascii="宋体" w:hAnsi="宋体" w:eastAsia="宋体" w:cs="宋体"/>
          <w:color w:val="auto"/>
          <w:kern w:val="0"/>
          <w:sz w:val="24"/>
        </w:rPr>
        <w:t>⑶进行严重不正当投标；</w:t>
      </w:r>
    </w:p>
    <w:p>
      <w:pPr>
        <w:widowControl/>
        <w:spacing w:line="400" w:lineRule="exact"/>
        <w:ind w:firstLine="600"/>
        <w:rPr>
          <w:rFonts w:hint="eastAsia" w:ascii="宋体" w:hAnsi="宋体" w:eastAsia="宋体" w:cs="宋体"/>
          <w:color w:val="auto"/>
          <w:kern w:val="0"/>
          <w:sz w:val="24"/>
        </w:rPr>
      </w:pPr>
      <w:r>
        <w:rPr>
          <w:rFonts w:hint="eastAsia" w:ascii="宋体" w:hAnsi="宋体" w:eastAsia="宋体" w:cs="宋体"/>
          <w:color w:val="auto"/>
          <w:kern w:val="0"/>
          <w:sz w:val="24"/>
        </w:rPr>
        <w:t>⑷未按照中标协议承诺履行相应的责任和义务；</w:t>
      </w:r>
    </w:p>
    <w:p>
      <w:pPr>
        <w:widowControl/>
        <w:spacing w:line="400" w:lineRule="exact"/>
        <w:ind w:firstLine="600"/>
        <w:rPr>
          <w:rFonts w:hint="eastAsia" w:ascii="宋体" w:hAnsi="宋体" w:eastAsia="宋体" w:cs="宋体"/>
          <w:color w:val="auto"/>
          <w:kern w:val="0"/>
          <w:sz w:val="24"/>
        </w:rPr>
      </w:pPr>
      <w:r>
        <w:rPr>
          <w:rFonts w:hint="eastAsia" w:ascii="宋体" w:hAnsi="宋体" w:eastAsia="宋体" w:cs="宋体"/>
          <w:color w:val="auto"/>
          <w:kern w:val="0"/>
          <w:sz w:val="24"/>
        </w:rPr>
        <w:t>⑸擅自降低服务条件和服务内容；</w:t>
      </w:r>
    </w:p>
    <w:p>
      <w:pPr>
        <w:widowControl/>
        <w:spacing w:line="400" w:lineRule="exact"/>
        <w:ind w:firstLine="600"/>
        <w:rPr>
          <w:rFonts w:hint="eastAsia" w:ascii="宋体" w:hAnsi="宋体" w:eastAsia="宋体" w:cs="宋体"/>
          <w:color w:val="auto"/>
          <w:kern w:val="0"/>
          <w:sz w:val="24"/>
        </w:rPr>
      </w:pPr>
      <w:r>
        <w:rPr>
          <w:rFonts w:hint="eastAsia" w:ascii="宋体" w:hAnsi="宋体" w:eastAsia="宋体" w:cs="宋体"/>
          <w:color w:val="auto"/>
          <w:kern w:val="0"/>
          <w:sz w:val="24"/>
        </w:rPr>
        <w:t>⑹出现银行挤兑、存款被盗或其他可能妨害资金安全的情形。</w:t>
      </w:r>
    </w:p>
    <w:p>
      <w:pPr>
        <w:widowControl/>
        <w:spacing w:line="400" w:lineRule="exact"/>
        <w:ind w:firstLine="600"/>
        <w:rPr>
          <w:rFonts w:hint="eastAsia" w:ascii="宋体" w:hAnsi="宋体" w:eastAsia="宋体" w:cs="宋体"/>
          <w:color w:val="auto"/>
          <w:kern w:val="0"/>
          <w:sz w:val="24"/>
        </w:rPr>
      </w:pPr>
      <w:r>
        <w:rPr>
          <w:rFonts w:hint="eastAsia" w:ascii="宋体" w:hAnsi="宋体" w:eastAsia="宋体" w:cs="宋体"/>
          <w:b/>
          <w:bCs/>
          <w:color w:val="auto"/>
          <w:kern w:val="0"/>
          <w:sz w:val="24"/>
        </w:rPr>
        <w:t>五、提前支取。</w:t>
      </w:r>
      <w:r>
        <w:rPr>
          <w:rFonts w:hint="eastAsia" w:ascii="宋体" w:hAnsi="宋体" w:eastAsia="宋体" w:cs="宋体"/>
          <w:color w:val="auto"/>
          <w:kern w:val="0"/>
          <w:sz w:val="24"/>
        </w:rPr>
        <w:t>经与乙方协商，甲方有权在到期日前提前支取银行存款，甲方至少应在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个工作日前通知乙方，提前支取金额按</w:t>
      </w:r>
      <w:r>
        <w:rPr>
          <w:rFonts w:hint="eastAsia" w:ascii="宋体" w:hAnsi="宋体" w:cs="宋体"/>
          <w:color w:val="auto"/>
          <w:kern w:val="0"/>
          <w:sz w:val="24"/>
          <w:lang w:eastAsia="zh-CN"/>
        </w:rPr>
        <w:t>国家规定</w:t>
      </w:r>
      <w:r>
        <w:rPr>
          <w:rFonts w:hint="eastAsia" w:ascii="宋体" w:hAnsi="宋体" w:eastAsia="宋体" w:cs="宋体"/>
          <w:color w:val="auto"/>
          <w:kern w:val="0"/>
          <w:sz w:val="24"/>
        </w:rPr>
        <w:t>利率计付利息，存续金额仍按原起息日、期限及存款利率计付利息。</w:t>
      </w:r>
    </w:p>
    <w:p>
      <w:pPr>
        <w:widowControl/>
        <w:spacing w:line="380" w:lineRule="exact"/>
        <w:jc w:val="left"/>
        <w:rPr>
          <w:rFonts w:hint="eastAsia" w:ascii="宋体" w:hAnsi="宋体" w:eastAsia="宋体" w:cs="宋体"/>
          <w:color w:val="auto"/>
          <w:sz w:val="24"/>
          <w:u w:val="single"/>
        </w:rPr>
      </w:pPr>
      <w:r>
        <w:rPr>
          <w:rFonts w:hint="eastAsia" w:ascii="宋体" w:hAnsi="宋体" w:eastAsia="宋体" w:cs="宋体"/>
          <w:color w:val="auto"/>
          <w:sz w:val="24"/>
        </w:rPr>
        <w:t>银行存款提前支取的计息规则：</w:t>
      </w:r>
      <w:r>
        <w:rPr>
          <w:rFonts w:hint="eastAsia" w:ascii="宋体" w:hAnsi="宋体" w:eastAsia="宋体" w:cs="宋体"/>
          <w:color w:val="auto"/>
          <w:sz w:val="24"/>
          <w:u w:val="single"/>
        </w:rPr>
        <w:t xml:space="preserve">                                       </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b/>
          <w:bCs/>
          <w:color w:val="auto"/>
          <w:kern w:val="0"/>
          <w:sz w:val="24"/>
        </w:rPr>
        <w:t>六、协议期限。</w:t>
      </w:r>
      <w:r>
        <w:rPr>
          <w:rFonts w:hint="eastAsia" w:ascii="宋体" w:hAnsi="宋体" w:eastAsia="宋体" w:cs="宋体"/>
          <w:color w:val="auto"/>
          <w:kern w:val="0"/>
          <w:sz w:val="24"/>
        </w:rPr>
        <w:t>本协议期限为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，自</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日起至</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日止。</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b/>
          <w:bCs/>
          <w:color w:val="auto"/>
          <w:sz w:val="24"/>
        </w:rPr>
        <w:t>七、</w:t>
      </w:r>
      <w:r>
        <w:rPr>
          <w:rFonts w:hint="eastAsia" w:ascii="宋体" w:hAnsi="宋体" w:eastAsia="宋体" w:cs="宋体"/>
          <w:color w:val="auto"/>
          <w:sz w:val="24"/>
        </w:rPr>
        <w:t>甲方确定的定期存款到期后需续存原中标银行的，可不重新组织招投标，但需</w:t>
      </w:r>
      <w:r>
        <w:rPr>
          <w:rFonts w:hint="eastAsia" w:ascii="宋体" w:hAnsi="宋体" w:eastAsia="宋体" w:cs="宋体"/>
          <w:color w:val="auto"/>
          <w:sz w:val="24"/>
          <w:lang w:val="en-US" w:eastAsia="zh-CN"/>
        </w:rPr>
        <w:t>达到采购人各项考核要求，服务质量好的，</w:t>
      </w:r>
      <w:r>
        <w:rPr>
          <w:rFonts w:hint="eastAsia" w:ascii="宋体" w:hAnsi="宋体" w:eastAsia="宋体" w:cs="宋体"/>
          <w:color w:val="auto"/>
          <w:sz w:val="24"/>
        </w:rPr>
        <w:t>经领导班子集体研究决定，且续存利率不低于</w:t>
      </w:r>
      <w:r>
        <w:rPr>
          <w:rFonts w:hint="eastAsia" w:ascii="宋体" w:hAnsi="宋体"/>
          <w:color w:val="auto"/>
          <w:sz w:val="24"/>
        </w:rPr>
        <w:t>“丽水市公共资源交易网”和“浙江政府采购网”</w:t>
      </w:r>
      <w:r>
        <w:rPr>
          <w:rFonts w:hint="eastAsia" w:ascii="宋体" w:hAnsi="宋体" w:eastAsia="宋体" w:cs="宋体"/>
          <w:color w:val="auto"/>
          <w:sz w:val="24"/>
        </w:rPr>
        <w:t>上公布的最近同期限中标利率（就高不就低原则），可继续续签一年。</w:t>
      </w:r>
    </w:p>
    <w:p>
      <w:pPr>
        <w:widowControl/>
        <w:spacing w:line="400" w:lineRule="exact"/>
        <w:ind w:firstLine="480"/>
        <w:rPr>
          <w:rFonts w:hint="eastAsia" w:ascii="宋体" w:hAnsi="宋体" w:eastAsia="宋体" w:cs="宋体"/>
          <w:color w:val="auto"/>
          <w:kern w:val="0"/>
          <w:sz w:val="24"/>
        </w:rPr>
      </w:pPr>
      <w:r>
        <w:rPr>
          <w:rFonts w:hint="eastAsia" w:ascii="宋体" w:hAnsi="宋体" w:eastAsia="宋体" w:cs="宋体"/>
          <w:b/>
          <w:bCs/>
          <w:color w:val="auto"/>
          <w:kern w:val="0"/>
          <w:sz w:val="24"/>
        </w:rPr>
        <w:t>八、附件。</w:t>
      </w:r>
      <w:r>
        <w:rPr>
          <w:rFonts w:hint="eastAsia" w:ascii="宋体" w:hAnsi="宋体" w:eastAsia="宋体" w:cs="宋体"/>
          <w:color w:val="auto"/>
          <w:kern w:val="0"/>
          <w:sz w:val="24"/>
        </w:rPr>
        <w:t>附件是本协议不可分割的组成部分，具有同等法律效力。本协议附件包括：甲乙双方签字授权书。</w:t>
      </w:r>
    </w:p>
    <w:p>
      <w:pPr>
        <w:widowControl/>
        <w:spacing w:line="400" w:lineRule="exact"/>
        <w:ind w:firstLine="555"/>
        <w:rPr>
          <w:rFonts w:hint="eastAsia" w:ascii="宋体" w:hAnsi="宋体" w:eastAsia="宋体" w:cs="宋体"/>
          <w:color w:val="auto"/>
          <w:kern w:val="0"/>
          <w:sz w:val="24"/>
        </w:rPr>
      </w:pPr>
      <w:r>
        <w:rPr>
          <w:rFonts w:hint="eastAsia" w:ascii="宋体" w:hAnsi="宋体" w:eastAsia="宋体" w:cs="宋体"/>
          <w:b/>
          <w:bCs/>
          <w:color w:val="auto"/>
          <w:kern w:val="0"/>
          <w:sz w:val="24"/>
        </w:rPr>
        <w:t>九、</w:t>
      </w:r>
      <w:r>
        <w:rPr>
          <w:rFonts w:hint="eastAsia" w:cs="宋体"/>
          <w:color w:val="auto"/>
          <w:kern w:val="0"/>
          <w:sz w:val="24"/>
          <w:szCs w:val="24"/>
        </w:rPr>
        <w:t>本协议一式</w:t>
      </w:r>
      <w:r>
        <w:rPr>
          <w:color w:val="auto"/>
          <w:kern w:val="0"/>
          <w:sz w:val="24"/>
          <w:szCs w:val="24"/>
        </w:rPr>
        <w:t>6</w:t>
      </w:r>
      <w:r>
        <w:rPr>
          <w:rFonts w:hint="eastAsia" w:cs="宋体"/>
          <w:color w:val="auto"/>
          <w:kern w:val="0"/>
          <w:sz w:val="24"/>
          <w:szCs w:val="24"/>
        </w:rPr>
        <w:t>份，甲方执</w:t>
      </w:r>
      <w:r>
        <w:rPr>
          <w:rFonts w:hint="eastAsia"/>
          <w:color w:val="auto"/>
          <w:kern w:val="0"/>
          <w:sz w:val="24"/>
          <w:szCs w:val="24"/>
        </w:rPr>
        <w:t>4</w:t>
      </w:r>
      <w:r>
        <w:rPr>
          <w:rFonts w:hint="eastAsia" w:cs="宋体"/>
          <w:color w:val="auto"/>
          <w:kern w:val="0"/>
          <w:sz w:val="24"/>
          <w:szCs w:val="24"/>
        </w:rPr>
        <w:t>份，乙方执</w:t>
      </w:r>
      <w:r>
        <w:rPr>
          <w:rFonts w:hint="eastAsia"/>
          <w:color w:val="auto"/>
          <w:kern w:val="0"/>
          <w:sz w:val="24"/>
          <w:szCs w:val="24"/>
        </w:rPr>
        <w:t>2</w:t>
      </w:r>
      <w:r>
        <w:rPr>
          <w:rFonts w:hint="eastAsia" w:cs="宋体"/>
          <w:color w:val="auto"/>
          <w:kern w:val="0"/>
          <w:sz w:val="24"/>
          <w:szCs w:val="24"/>
        </w:rPr>
        <w:t>份</w:t>
      </w:r>
      <w:r>
        <w:rPr>
          <w:rFonts w:hint="eastAsia" w:ascii="宋体" w:hAnsi="宋体" w:eastAsia="宋体" w:cs="宋体"/>
          <w:color w:val="auto"/>
          <w:kern w:val="0"/>
          <w:sz w:val="24"/>
        </w:rPr>
        <w:t>，具有同等法律效力。执行中如对本协议产生争议，通过协商解决。</w:t>
      </w:r>
    </w:p>
    <w:p>
      <w:pPr>
        <w:widowControl/>
        <w:spacing w:line="400" w:lineRule="exact"/>
        <w:ind w:firstLine="555"/>
        <w:rPr>
          <w:rFonts w:hint="eastAsia" w:ascii="宋体" w:hAnsi="宋体" w:eastAsia="宋体" w:cs="宋体"/>
          <w:color w:val="auto"/>
          <w:kern w:val="0"/>
          <w:sz w:val="24"/>
        </w:rPr>
      </w:pPr>
    </w:p>
    <w:p>
      <w:pPr>
        <w:widowControl/>
        <w:jc w:val="left"/>
        <w:rPr>
          <w:rFonts w:hint="eastAsia" w:ascii="宋体" w:hAnsi="宋体" w:eastAsia="宋体" w:cs="宋体"/>
          <w:color w:val="auto"/>
        </w:rPr>
      </w:pPr>
    </w:p>
    <w:p>
      <w:pPr>
        <w:widowControl/>
        <w:spacing w:line="400" w:lineRule="exact"/>
        <w:ind w:firstLine="360"/>
        <w:rPr>
          <w:rFonts w:hint="eastAsia" w:ascii="宋体" w:hAnsi="宋体" w:eastAsia="宋体" w:cs="宋体"/>
          <w:color w:val="auto"/>
          <w:kern w:val="0"/>
          <w:sz w:val="24"/>
        </w:rPr>
      </w:pPr>
      <w:r>
        <w:rPr>
          <w:rFonts w:hint="eastAsia" w:ascii="宋体" w:hAnsi="宋体" w:eastAsia="宋体" w:cs="宋体"/>
          <w:color w:val="auto"/>
          <w:kern w:val="0"/>
          <w:sz w:val="24"/>
        </w:rPr>
        <w:t>甲方（盖章）：</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乙方（盖章）：</w:t>
      </w:r>
      <w:r>
        <w:rPr>
          <w:rFonts w:hint="eastAsia" w:ascii="宋体" w:hAnsi="宋体" w:eastAsia="宋体" w:cs="宋体"/>
          <w:color w:val="auto"/>
          <w:kern w:val="0"/>
          <w:sz w:val="24"/>
          <w:u w:val="single"/>
        </w:rPr>
        <w:t xml:space="preserve">           </w:t>
      </w:r>
    </w:p>
    <w:p>
      <w:pPr>
        <w:widowControl/>
        <w:spacing w:line="400" w:lineRule="exact"/>
        <w:ind w:firstLine="360"/>
        <w:rPr>
          <w:rFonts w:hint="eastAsia" w:ascii="宋体" w:hAnsi="宋体" w:eastAsia="宋体" w:cs="宋体"/>
          <w:color w:val="auto"/>
          <w:kern w:val="0"/>
          <w:sz w:val="24"/>
        </w:rPr>
      </w:pPr>
      <w:r>
        <w:rPr>
          <w:rFonts w:hint="eastAsia" w:ascii="宋体" w:hAnsi="宋体" w:eastAsia="宋体" w:cs="宋体"/>
          <w:color w:val="auto"/>
          <w:kern w:val="0"/>
          <w:sz w:val="24"/>
        </w:rPr>
        <w:t>甲方代表（签字）：</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乙方代表（签字）：</w:t>
      </w:r>
      <w:r>
        <w:rPr>
          <w:rFonts w:hint="eastAsia" w:ascii="宋体" w:hAnsi="宋体" w:eastAsia="宋体" w:cs="宋体"/>
          <w:color w:val="auto"/>
          <w:kern w:val="0"/>
          <w:sz w:val="24"/>
          <w:u w:val="single"/>
        </w:rPr>
        <w:t xml:space="preserve">          </w:t>
      </w:r>
    </w:p>
    <w:p>
      <w:pPr>
        <w:widowControl/>
        <w:spacing w:line="400" w:lineRule="exact"/>
        <w:ind w:firstLine="960"/>
        <w:rPr>
          <w:rFonts w:hint="eastAsia" w:ascii="宋体" w:hAnsi="宋体" w:eastAsia="宋体" w:cs="宋体"/>
          <w:color w:val="auto"/>
          <w:kern w:val="0"/>
          <w:sz w:val="24"/>
        </w:rPr>
      </w:pP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日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日 </w:t>
      </w:r>
    </w:p>
    <w:p>
      <w:pPr>
        <w:widowControl/>
        <w:spacing w:line="400" w:lineRule="exact"/>
        <w:rPr>
          <w:rFonts w:hint="eastAsia" w:ascii="宋体" w:hAnsi="宋体" w:eastAsia="宋体" w:cs="宋体"/>
          <w:color w:val="auto"/>
          <w:kern w:val="0"/>
          <w:sz w:val="24"/>
        </w:rPr>
      </w:pPr>
    </w:p>
    <w:p>
      <w:pPr>
        <w:widowControl/>
        <w:spacing w:line="400" w:lineRule="exact"/>
        <w:ind w:firstLine="5640"/>
        <w:rPr>
          <w:rFonts w:hint="eastAsia" w:ascii="宋体" w:hAnsi="宋体" w:eastAsia="宋体" w:cs="宋体"/>
          <w:color w:val="auto"/>
          <w:kern w:val="0"/>
          <w:sz w:val="24"/>
        </w:rPr>
      </w:pPr>
    </w:p>
    <w:p>
      <w:pPr>
        <w:widowControl/>
        <w:spacing w:line="400" w:lineRule="exact"/>
        <w:ind w:firstLine="5640"/>
        <w:rPr>
          <w:rFonts w:hint="eastAsia" w:ascii="宋体" w:hAnsi="宋体" w:eastAsia="宋体" w:cs="宋体"/>
          <w:color w:val="auto"/>
          <w:kern w:val="0"/>
          <w:sz w:val="24"/>
        </w:rPr>
      </w:pPr>
    </w:p>
    <w:p>
      <w:pPr>
        <w:widowControl/>
        <w:spacing w:line="400" w:lineRule="exact"/>
        <w:ind w:firstLine="5640"/>
        <w:rPr>
          <w:rFonts w:hint="eastAsia" w:ascii="宋体" w:hAnsi="宋体" w:eastAsia="宋体" w:cs="宋体"/>
          <w:color w:val="auto"/>
          <w:kern w:val="0"/>
          <w:sz w:val="24"/>
          <w:u w:val="single"/>
        </w:rPr>
      </w:pPr>
    </w:p>
    <w:p>
      <w:pPr>
        <w:snapToGrid w:val="0"/>
        <w:spacing w:before="119" w:line="340" w:lineRule="auto"/>
        <w:rPr>
          <w:rFonts w:hint="eastAsia" w:ascii="宋体" w:hAnsi="宋体" w:eastAsia="宋体" w:cs="宋体"/>
          <w:color w:val="auto"/>
          <w:sz w:val="24"/>
          <w:u w:val="single"/>
        </w:rPr>
      </w:pPr>
      <w:r>
        <w:rPr>
          <w:rFonts w:hint="eastAsia" w:ascii="宋体" w:hAnsi="宋体" w:eastAsia="宋体" w:cs="宋体"/>
          <w:b/>
          <w:color w:val="auto"/>
          <w:sz w:val="28"/>
          <w:szCs w:val="28"/>
        </w:rPr>
        <w:t>注：本合同仅作示范文本，具体以双方签定的正式合同为准，合同内容不得违背本招标文件实质性要求。</w:t>
      </w:r>
    </w:p>
    <w:p>
      <w:pPr>
        <w:spacing w:line="560" w:lineRule="exact"/>
        <w:ind w:left="45" w:firstLine="720" w:firstLineChars="200"/>
        <w:jc w:val="center"/>
        <w:rPr>
          <w:rFonts w:hint="eastAsia" w:ascii="宋体" w:hAnsi="宋体" w:eastAsia="宋体" w:cs="宋体"/>
          <w:b/>
          <w:color w:val="auto"/>
          <w:kern w:val="0"/>
          <w:sz w:val="36"/>
          <w:szCs w:val="20"/>
        </w:rPr>
      </w:pPr>
      <w:r>
        <w:rPr>
          <w:rFonts w:hint="eastAsia" w:ascii="宋体" w:hAnsi="宋体" w:eastAsia="宋体" w:cs="宋体"/>
          <w:b/>
          <w:color w:val="auto"/>
          <w:kern w:val="0"/>
          <w:sz w:val="36"/>
          <w:szCs w:val="20"/>
        </w:rPr>
        <w:t>廉政合同</w:t>
      </w:r>
    </w:p>
    <w:p>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甲方：</w:t>
      </w:r>
      <w:r>
        <w:rPr>
          <w:rFonts w:hint="eastAsia" w:ascii="宋体" w:hAnsi="宋体" w:cs="宋体"/>
          <w:color w:val="auto"/>
          <w:sz w:val="24"/>
          <w:lang w:eastAsia="zh-CN"/>
        </w:rPr>
        <w:t>龙泉市住房改革委员会办公室</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乙方：</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为加强甲、乙双方履行合同和业务往来中的监督，依法规范合同签订和执行中的廉洁纪律，防止违法违纪行为的发生，甲、乙双方签订本合同。</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第一条  双方共同责任</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（一）严格遵守国家的有关法律、法规和廉洁从业各项规定，严禁损害国家、集体及对方利益、违反项目管理规章制度的行为。</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（二）严格执行所有合同文本，自觉按合同行事。</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（三）加强双方人员廉政教育、建立完善的廉政制度，做到不在非公务场所洽谈业务，不一对一洽谈业务，不以任何名义互相宴请。</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（四）双方互相监督并对不廉行为督促纠正，发现重大违规违纪现象时，应及时举报并如实反映情况。</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第二条  甲方的责任</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（一）甲方作为招标单位，认真履行合同规定的甲方责任。</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（二）不得索要或接受乙方及其相关人员赠送的礼品、礼金和各种有价证券及其他支付凭证等；任何形式的好处费及回扣；不得要求或接受乙方报销任何由甲方或个人支付的费用。</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不得参加乙方提供的宴请、健身、娱乐等高消费活动，不得接受乙方提供的通讯工具、交通工具和高档办公用品等；不得要求、暗示或者接受乙方及相关单位为个人住房装修、婚丧嫁娶以及旅游等提供方便。</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（四）不得向乙方介绍配偶子女、亲属参与乙方合同有关的业务等活动。</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第三条  乙方的责任</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（一）乙方应与甲方保持正常业务往来，严格执行财经、金融、党风等有关规定，认真履行合同规定的乙方责任。</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（二）不以任何理由向甲方工作人员赠送礼品、礼金、各种有价证券及其他凭证，不以任何理由为甲方及工作人员报销应由对方或个人支付的费用或到其家里询访。</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（三）不以任何理由邀请或安排甲方工作人员及其亲友参加宴请、娱乐、旅游或其他可能影响项目公正进行的活动或为甲方工作人员及其亲友提供工作等各方面便利。</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（四）不以任何理由为甲方工作人员提供通讯工具、交通工具和高档办公用品等。</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（五）不得安排甲方工作人员的配偶子女、亲属从事与双方合同有关的业务等活动。</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第四条  违约责任</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（一）甲方工作人员违反本合同约定发生不廉行为及重大违规违纪行为的，甲方或甲方主管单位按照党纪政纪对相关人员进行严肃处理。同时，向乙方通报处理结果。</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（二）乙方涉及违反本合同的，甲方有权提前终止合同，并上报省、市有关部门或银监会；触犯刑法的，依法追究刑事责任，并将乙方列为甲方禁止准入的单位。</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第五条  合同生效</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（一）本合同与主合同具有同等的法律效力。</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（二）本合同有效期与主合同一致。</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（三）本合同一式二份，甲、乙双方各执一份，由甲、乙双方法定代表人或委托代理人签字，单位盖章后生效。</w:t>
      </w:r>
    </w:p>
    <w:p>
      <w:pPr>
        <w:spacing w:line="560" w:lineRule="exact"/>
        <w:ind w:firstLine="480" w:firstLineChars="200"/>
        <w:rPr>
          <w:rFonts w:hint="eastAsia" w:ascii="宋体" w:hAnsi="宋体" w:eastAsia="宋体" w:cs="宋体"/>
          <w:bCs/>
          <w:color w:val="auto"/>
          <w:sz w:val="24"/>
        </w:rPr>
      </w:pPr>
    </w:p>
    <w:p>
      <w:pPr>
        <w:spacing w:line="560" w:lineRule="exact"/>
        <w:ind w:firstLine="480" w:firstLineChars="200"/>
        <w:rPr>
          <w:rFonts w:hint="eastAsia" w:ascii="宋体" w:hAnsi="宋体" w:eastAsia="宋体" w:cs="宋体"/>
          <w:bCs/>
          <w:color w:val="auto"/>
          <w:sz w:val="24"/>
        </w:rPr>
      </w:pPr>
    </w:p>
    <w:p>
      <w:pPr>
        <w:spacing w:line="56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甲方（盖章）：             乙方（盖章）：</w:t>
      </w:r>
    </w:p>
    <w:p>
      <w:pPr>
        <w:spacing w:line="56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法定代表人：              法定代表人：</w:t>
      </w:r>
    </w:p>
    <w:p>
      <w:pPr>
        <w:spacing w:line="56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或委托代理人：            或委托代理人：</w:t>
      </w:r>
    </w:p>
    <w:p>
      <w:pPr>
        <w:spacing w:line="56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                              </w:t>
      </w:r>
    </w:p>
    <w:p>
      <w:pPr>
        <w:spacing w:line="56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  </w:t>
      </w:r>
    </w:p>
    <w:p>
      <w:pPr>
        <w:spacing w:line="560" w:lineRule="exact"/>
        <w:ind w:firstLine="1920" w:firstLineChars="800"/>
        <w:rPr>
          <w:rFonts w:hint="eastAsia" w:ascii="宋体" w:hAnsi="宋体" w:eastAsia="宋体" w:cs="宋体"/>
          <w:bCs/>
          <w:color w:val="auto"/>
          <w:sz w:val="24"/>
        </w:rPr>
      </w:pPr>
      <w:r>
        <w:rPr>
          <w:rFonts w:hint="eastAsia" w:ascii="宋体" w:hAnsi="宋体" w:eastAsia="宋体" w:cs="宋体"/>
          <w:bCs/>
          <w:color w:val="auto"/>
          <w:sz w:val="24"/>
        </w:rPr>
        <w:t xml:space="preserve">               签订日期：  年  月  日</w:t>
      </w:r>
    </w:p>
    <w:p>
      <w:pPr>
        <w:spacing w:line="560" w:lineRule="exact"/>
        <w:ind w:firstLine="200"/>
        <w:rPr>
          <w:rFonts w:hint="eastAsia" w:ascii="宋体" w:hAnsi="宋体" w:eastAsia="宋体" w:cs="宋体"/>
          <w:b/>
          <w:bCs/>
          <w:color w:val="auto"/>
          <w:sz w:val="24"/>
        </w:rPr>
      </w:pPr>
    </w:p>
    <w:p>
      <w:pPr>
        <w:snapToGrid w:val="0"/>
        <w:spacing w:line="400" w:lineRule="exact"/>
        <w:rPr>
          <w:rFonts w:hint="eastAsia" w:ascii="宋体" w:hAnsi="宋体" w:eastAsia="宋体" w:cs="宋体"/>
          <w:color w:val="auto"/>
        </w:rPr>
      </w:pPr>
    </w:p>
    <w:p>
      <w:pPr>
        <w:snapToGrid w:val="0"/>
        <w:spacing w:line="400" w:lineRule="exact"/>
        <w:rPr>
          <w:rFonts w:hint="eastAsia" w:ascii="宋体" w:hAnsi="宋体" w:eastAsia="宋体" w:cs="宋体"/>
          <w:color w:val="auto"/>
        </w:rPr>
      </w:pPr>
    </w:p>
    <w:p>
      <w:pPr>
        <w:snapToGrid w:val="0"/>
        <w:spacing w:line="400" w:lineRule="exact"/>
        <w:rPr>
          <w:rFonts w:hint="eastAsia" w:ascii="宋体" w:hAnsi="宋体" w:eastAsia="宋体" w:cs="宋体"/>
          <w:color w:val="auto"/>
        </w:rPr>
      </w:pPr>
    </w:p>
    <w:p>
      <w:pPr>
        <w:snapToGrid w:val="0"/>
        <w:spacing w:line="400" w:lineRule="exact"/>
        <w:rPr>
          <w:rFonts w:hint="eastAsia" w:ascii="宋体" w:hAnsi="宋体" w:eastAsia="宋体" w:cs="宋体"/>
          <w:color w:val="auto"/>
        </w:rPr>
      </w:pPr>
    </w:p>
    <w:p>
      <w:pPr>
        <w:snapToGrid w:val="0"/>
        <w:spacing w:line="400" w:lineRule="exact"/>
        <w:rPr>
          <w:rFonts w:hint="eastAsia" w:ascii="宋体" w:hAnsi="宋体" w:eastAsia="宋体" w:cs="宋体"/>
          <w:color w:val="auto"/>
        </w:rPr>
      </w:pPr>
    </w:p>
    <w:p>
      <w:pPr>
        <w:snapToGrid w:val="0"/>
        <w:spacing w:line="400" w:lineRule="exact"/>
        <w:rPr>
          <w:rFonts w:hint="eastAsia" w:ascii="宋体" w:hAnsi="宋体" w:eastAsia="宋体" w:cs="宋体"/>
          <w:color w:val="auto"/>
        </w:rPr>
      </w:pPr>
    </w:p>
    <w:p>
      <w:pPr>
        <w:snapToGrid w:val="0"/>
        <w:spacing w:line="400" w:lineRule="exact"/>
        <w:rPr>
          <w:rFonts w:hint="eastAsia" w:ascii="宋体" w:hAnsi="宋体" w:eastAsia="宋体" w:cs="宋体"/>
          <w:color w:val="auto"/>
        </w:rPr>
      </w:pPr>
    </w:p>
    <w:p>
      <w:pPr>
        <w:snapToGrid w:val="0"/>
        <w:spacing w:line="400" w:lineRule="exact"/>
        <w:rPr>
          <w:rFonts w:hint="eastAsia" w:ascii="宋体" w:hAnsi="宋体" w:eastAsia="宋体" w:cs="宋体"/>
          <w:color w:val="auto"/>
        </w:rPr>
      </w:pPr>
    </w:p>
    <w:p>
      <w:pPr>
        <w:pStyle w:val="5"/>
        <w:spacing w:line="560" w:lineRule="exact"/>
        <w:outlineLvl w:val="0"/>
        <w:rPr>
          <w:rFonts w:hint="eastAsia" w:ascii="宋体" w:hAnsi="宋体" w:eastAsia="宋体" w:cs="宋体"/>
          <w:color w:val="auto"/>
        </w:rPr>
      </w:pPr>
      <w:bookmarkStart w:id="95" w:name="_Toc15363"/>
      <w:bookmarkStart w:id="96" w:name="_Toc395544884"/>
      <w:bookmarkStart w:id="97" w:name="_Toc3940"/>
      <w:bookmarkStart w:id="98" w:name="_Toc471825196"/>
      <w:bookmarkStart w:id="99" w:name="_Toc6296"/>
      <w:bookmarkStart w:id="100" w:name="_Toc13907"/>
      <w:r>
        <w:rPr>
          <w:rFonts w:hint="eastAsia" w:ascii="宋体" w:hAnsi="宋体" w:eastAsia="宋体" w:cs="宋体"/>
          <w:color w:val="auto"/>
        </w:rPr>
        <w:t>第五章  评标办法和细则</w:t>
      </w:r>
      <w:bookmarkEnd w:id="95"/>
      <w:bookmarkEnd w:id="96"/>
      <w:bookmarkEnd w:id="97"/>
      <w:bookmarkEnd w:id="98"/>
      <w:bookmarkEnd w:id="99"/>
      <w:bookmarkEnd w:id="100"/>
    </w:p>
    <w:p>
      <w:pPr>
        <w:pStyle w:val="21"/>
        <w:keepNext w:val="0"/>
        <w:keepLines w:val="0"/>
        <w:pageBreakBefore w:val="0"/>
        <w:widowControl w:val="0"/>
        <w:kinsoku/>
        <w:wordWrap/>
        <w:overflowPunct/>
        <w:topLinePunct w:val="0"/>
        <w:autoSpaceDE/>
        <w:autoSpaceDN/>
        <w:bidi w:val="0"/>
        <w:adjustRightInd/>
        <w:snapToGrid/>
        <w:spacing w:line="336" w:lineRule="auto"/>
        <w:ind w:firstLineChars="200"/>
        <w:textAlignment w:val="auto"/>
        <w:rPr>
          <w:rFonts w:hint="eastAsia" w:ascii="宋体" w:hAnsi="宋体" w:eastAsia="宋体" w:cs="宋体"/>
          <w:color w:val="auto"/>
        </w:rPr>
      </w:pPr>
      <w:r>
        <w:rPr>
          <w:rFonts w:hint="eastAsia" w:ascii="宋体" w:hAnsi="宋体" w:eastAsia="宋体" w:cs="宋体"/>
          <w:color w:val="auto"/>
        </w:rPr>
        <w:t>根据《龙泉市行政事业单位公款竞争性存放管理暂行办法》（龙政办发【2019】10号）和《龙泉市财政资金竞争性存放实施细则（试行）》（龙财库【2019】115号）文件等有关规定，并结合本项目的实际，按照公正、公平、科学、择优的原则选择中标人，特制定本办法。</w:t>
      </w:r>
    </w:p>
    <w:p>
      <w:pPr>
        <w:pStyle w:val="6"/>
        <w:spacing w:before="0" w:after="0" w:line="240" w:lineRule="auto"/>
        <w:ind w:left="0" w:leftChars="0" w:firstLine="300" w:firstLineChars="100"/>
        <w:outlineLvl w:val="1"/>
        <w:rPr>
          <w:rFonts w:hint="eastAsia" w:ascii="宋体" w:hAnsi="宋体" w:eastAsia="宋体" w:cs="宋体"/>
          <w:b w:val="0"/>
          <w:bCs w:val="0"/>
          <w:color w:val="auto"/>
        </w:rPr>
      </w:pPr>
      <w:bookmarkStart w:id="101" w:name="_Toc20500"/>
      <w:bookmarkStart w:id="102" w:name="_Toc471825197"/>
      <w:bookmarkStart w:id="103" w:name="_Toc452985714"/>
      <w:bookmarkStart w:id="104" w:name="_Toc1599"/>
      <w:r>
        <w:rPr>
          <w:rFonts w:hint="eastAsia" w:ascii="宋体" w:hAnsi="宋体" w:eastAsia="宋体" w:cs="宋体"/>
          <w:b w:val="0"/>
          <w:bCs w:val="0"/>
          <w:color w:val="auto"/>
        </w:rPr>
        <w:t>一   总则</w:t>
      </w:r>
      <w:bookmarkEnd w:id="101"/>
      <w:bookmarkEnd w:id="102"/>
      <w:bookmarkEnd w:id="103"/>
      <w:bookmarkEnd w:id="104"/>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1.评标总则和规定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为最大限度地保护各当事人的权益，评标委员会应严格按照招标文件的技术、资信要求，对投标文件进行综合分析评价，编制评标报告。评标人员必须严格遵守保密规定，不得泄漏评标有关的情况，不得索贿受贿，不得参加影响评标的任何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评审时，评标委员会应当对照招标文件规定的条件和标准，对各投标人投标文件的合规性、完整性和有效性进行审查、比较和评估，其中对投标人的资格条件、主要技术参数、报价和其他评审要素等，评审专家应逐项进行审查、比较，不得漏评少评。如发现与招标文件要求相偏离的，应对其偏离情况进行必要的核实，并在工作底稿中予以说明；如属于实质性偏离或符合无效响应条件的，应当询问投标人，并允许投标人进行陈述申辩，但不允许其对偏离条款进行补充、修正或撤回。</w:t>
      </w:r>
    </w:p>
    <w:p>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color w:val="auto"/>
          <w:sz w:val="24"/>
        </w:rPr>
        <w:t>1.3本次评审方法采取百分制综合评分法，按最终得分由高到低顺序排列。得分相同的，按定期存款年利率由高到低顺序排列。评标委员会根据</w:t>
      </w:r>
      <w:r>
        <w:rPr>
          <w:rFonts w:hint="eastAsia" w:ascii="宋体" w:hAnsi="宋体" w:eastAsia="宋体" w:cs="宋体"/>
          <w:b/>
          <w:color w:val="auto"/>
          <w:sz w:val="24"/>
          <w:lang w:eastAsia="zh-CN"/>
        </w:rPr>
        <w:t>评审</w:t>
      </w:r>
      <w:r>
        <w:rPr>
          <w:rFonts w:hint="eastAsia" w:ascii="宋体" w:hAnsi="宋体" w:eastAsia="宋体" w:cs="宋体"/>
          <w:b/>
          <w:color w:val="auto"/>
          <w:sz w:val="24"/>
        </w:rPr>
        <w:t>情况，按最终得分由高到低顺序推荐</w:t>
      </w:r>
      <w:r>
        <w:rPr>
          <w:rFonts w:hint="eastAsia" w:ascii="宋体" w:hAnsi="宋体" w:cs="宋体"/>
          <w:b/>
          <w:color w:val="auto"/>
          <w:sz w:val="24"/>
          <w:lang w:val="en-US" w:eastAsia="zh-CN"/>
        </w:rPr>
        <w:t>2家</w:t>
      </w:r>
      <w:r>
        <w:rPr>
          <w:rFonts w:hint="eastAsia" w:ascii="宋体" w:hAnsi="宋体" w:eastAsia="宋体" w:cs="宋体"/>
          <w:b/>
          <w:color w:val="auto"/>
          <w:sz w:val="24"/>
          <w:lang w:eastAsia="zh-CN"/>
        </w:rPr>
        <w:t>中标</w:t>
      </w:r>
      <w:r>
        <w:rPr>
          <w:rFonts w:hint="eastAsia" w:ascii="宋体" w:hAnsi="宋体" w:eastAsia="宋体" w:cs="宋体"/>
          <w:b/>
          <w:color w:val="auto"/>
          <w:sz w:val="24"/>
        </w:rPr>
        <w:t>银行。（得分保留小数点后两位数）</w:t>
      </w:r>
    </w:p>
    <w:p>
      <w:pPr>
        <w:pStyle w:val="6"/>
        <w:spacing w:before="0" w:after="0" w:line="360" w:lineRule="auto"/>
        <w:ind w:left="0" w:leftChars="0" w:firstLine="480" w:firstLineChars="200"/>
        <w:rPr>
          <w:rFonts w:hint="eastAsia" w:ascii="宋体" w:hAnsi="宋体" w:eastAsia="宋体" w:cs="宋体"/>
          <w:b/>
          <w:bCs/>
          <w:color w:val="auto"/>
        </w:rPr>
      </w:pPr>
      <w:bookmarkStart w:id="105" w:name="_Toc471825198"/>
      <w:bookmarkStart w:id="106" w:name="_Toc27960"/>
      <w:bookmarkStart w:id="107" w:name="_Toc452985715"/>
      <w:r>
        <w:rPr>
          <w:rFonts w:hint="eastAsia" w:ascii="宋体" w:hAnsi="宋体" w:eastAsia="宋体" w:cs="宋体"/>
          <w:b/>
          <w:bCs/>
          <w:color w:val="auto"/>
          <w:sz w:val="24"/>
          <w:szCs w:val="24"/>
          <w:lang w:val="en-US" w:eastAsia="zh-CN"/>
        </w:rPr>
        <w:t>1.4</w:t>
      </w:r>
      <w:r>
        <w:rPr>
          <w:rFonts w:hint="eastAsia" w:ascii="宋体" w:hAnsi="宋体" w:eastAsia="宋体" w:cs="宋体"/>
          <w:b/>
          <w:bCs/>
          <w:color w:val="auto"/>
          <w:sz w:val="24"/>
          <w:szCs w:val="24"/>
          <w:lang w:eastAsia="zh-CN"/>
        </w:rPr>
        <w:t>存款分配：资金存款竞争性存放根据中标银行得分排名确定存款比例，中标银行数为2家，按第一名1800万元，第二名1100万元的比例分配存款规模。</w:t>
      </w:r>
    </w:p>
    <w:p>
      <w:pPr>
        <w:pStyle w:val="6"/>
        <w:spacing w:before="0" w:after="0" w:line="240" w:lineRule="auto"/>
        <w:ind w:left="0" w:leftChars="0" w:firstLine="300" w:firstLineChars="100"/>
        <w:outlineLvl w:val="1"/>
        <w:rPr>
          <w:rFonts w:hint="eastAsia" w:ascii="宋体" w:hAnsi="宋体" w:eastAsia="宋体" w:cs="宋体"/>
          <w:b w:val="0"/>
          <w:bCs w:val="0"/>
          <w:color w:val="auto"/>
        </w:rPr>
      </w:pPr>
      <w:bookmarkStart w:id="108" w:name="_Toc1300"/>
      <w:r>
        <w:rPr>
          <w:rFonts w:hint="eastAsia" w:ascii="宋体" w:hAnsi="宋体" w:eastAsia="宋体" w:cs="宋体"/>
          <w:b w:val="0"/>
          <w:bCs w:val="0"/>
          <w:color w:val="auto"/>
        </w:rPr>
        <w:t>二   评审委员会</w:t>
      </w:r>
      <w:bookmarkEnd w:id="105"/>
      <w:bookmarkEnd w:id="106"/>
      <w:bookmarkEnd w:id="107"/>
      <w:bookmarkEnd w:id="108"/>
    </w:p>
    <w:p>
      <w:pPr>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rPr>
        <w:t>2.1评审委员会</w:t>
      </w:r>
    </w:p>
    <w:p>
      <w:pPr>
        <w:pStyle w:val="19"/>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2.1.1成员：招标单位依法组建由5人及以上单数组成的评标委员会，负责对投标文件进行审查、询问、评审和比较等。评标委员会成员严格执行利益回避的相关规定，成员名单在中标结果确定前应当保密。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2.1.2职责：严格按政府采购法律法规的有关规定执行，评审专家应按招标文件规定的评审要求、评审程序、评审内容、评审方法和评审标准进行评审，对评审意见承担个人责任。</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pStyle w:val="6"/>
        <w:spacing w:line="560" w:lineRule="exact"/>
        <w:ind w:firstLine="300" w:firstLineChars="100"/>
        <w:outlineLvl w:val="1"/>
        <w:rPr>
          <w:rFonts w:hint="eastAsia" w:ascii="宋体" w:hAnsi="宋体" w:eastAsia="宋体" w:cs="宋体"/>
          <w:b w:val="0"/>
          <w:bCs w:val="0"/>
          <w:color w:val="auto"/>
        </w:rPr>
      </w:pPr>
      <w:bookmarkStart w:id="109" w:name="_Toc452985716"/>
      <w:bookmarkStart w:id="110" w:name="_Toc471825199"/>
      <w:bookmarkStart w:id="111" w:name="_Toc15780"/>
      <w:bookmarkStart w:id="112" w:name="_Toc5428"/>
      <w:r>
        <w:rPr>
          <w:rFonts w:hint="eastAsia" w:ascii="宋体" w:hAnsi="宋体" w:eastAsia="宋体" w:cs="宋体"/>
          <w:b w:val="0"/>
          <w:bCs w:val="0"/>
          <w:color w:val="auto"/>
        </w:rPr>
        <w:t>三   评标主要内容</w:t>
      </w:r>
      <w:bookmarkEnd w:id="109"/>
      <w:bookmarkEnd w:id="110"/>
      <w:bookmarkEnd w:id="111"/>
      <w:bookmarkEnd w:id="112"/>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3.本项目评标将综合考虑以下因素：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3.1资信技术文件的完整性、符合性和响应性；</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3.1.1投标方提出的优惠条件和承诺；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3.1.2投标方的后续技术支持和维护能力；</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3.2报价文件的完整性、符合性和合理性。</w:t>
      </w:r>
    </w:p>
    <w:p>
      <w:pPr>
        <w:pStyle w:val="6"/>
        <w:spacing w:line="560" w:lineRule="exact"/>
        <w:ind w:firstLine="300" w:firstLineChars="100"/>
        <w:outlineLvl w:val="1"/>
        <w:rPr>
          <w:rFonts w:hint="eastAsia" w:ascii="宋体" w:hAnsi="宋体" w:eastAsia="宋体" w:cs="宋体"/>
          <w:b w:val="0"/>
          <w:bCs w:val="0"/>
          <w:color w:val="auto"/>
        </w:rPr>
      </w:pPr>
      <w:bookmarkStart w:id="113" w:name="_Toc452985718"/>
      <w:bookmarkStart w:id="114" w:name="_Toc17542"/>
      <w:bookmarkStart w:id="115" w:name="_Toc471825200"/>
      <w:bookmarkStart w:id="116" w:name="_Toc30124"/>
      <w:r>
        <w:rPr>
          <w:rFonts w:hint="eastAsia" w:ascii="宋体" w:hAnsi="宋体" w:eastAsia="宋体" w:cs="宋体"/>
          <w:b w:val="0"/>
          <w:bCs w:val="0"/>
          <w:color w:val="auto"/>
        </w:rPr>
        <w:t>四  评标程序</w:t>
      </w:r>
      <w:bookmarkEnd w:id="113"/>
      <w:bookmarkEnd w:id="114"/>
      <w:bookmarkEnd w:id="115"/>
      <w:bookmarkEnd w:id="116"/>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.评标程序和规定</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.1评标委员会首先对投标文件进行符合性审查,凡投标文件的实质性内容和关键格式严重不符合招标文件规定或不响应招标文件要求的,经评标委员会认定作为无效投标,予以废除。</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评标委员会将根据投标人的资信技术标书进行审查、核对,如有疑问,将对投标人进行询标,投标人要向评标委员会澄清有关问题,并最终以书面形式进行答复。评委对资信技术分进行独立打分，各投标人的资信技术得分为各评委有效打分的算数平均值。</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.4当场开启合格投标人的报价文件。</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.5评标委员会将根据投标人的报价标书进行审查、核对、打分,如有疑问,将对投标人进行询标,投标人要向评标委员会澄清有关问题,并最终以书面形式进行答复。</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.6评标委员会将根据投标人的报价,计算各投标人的报价最终得分。</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.7评标委员会完成评标后,得出本项目最终得分,评标委员会按评标原则推荐中标候选人。</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.8评标由评标委员会负责,评标报告由采购人确认，中标通知书由采购代理机构发出。</w:t>
      </w:r>
    </w:p>
    <w:p>
      <w:pPr>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.9评标结果于开标当日在开标大厅宣布。</w:t>
      </w:r>
      <w:bookmarkStart w:id="117" w:name="_Toc452985719"/>
      <w:bookmarkStart w:id="118" w:name="_Toc471825201"/>
      <w:bookmarkStart w:id="119" w:name="_Toc452985720"/>
    </w:p>
    <w:p>
      <w:pPr>
        <w:pStyle w:val="6"/>
        <w:spacing w:line="240" w:lineRule="auto"/>
        <w:ind w:firstLine="600"/>
        <w:outlineLvl w:val="1"/>
        <w:rPr>
          <w:rFonts w:hint="eastAsia" w:ascii="宋体" w:hAnsi="宋体" w:eastAsia="宋体" w:cs="宋体"/>
          <w:b w:val="0"/>
          <w:bCs w:val="0"/>
          <w:color w:val="auto"/>
        </w:rPr>
      </w:pPr>
      <w:bookmarkStart w:id="120" w:name="_Toc14426"/>
      <w:bookmarkStart w:id="121" w:name="_Toc15793"/>
      <w:r>
        <w:rPr>
          <w:rFonts w:hint="eastAsia" w:ascii="宋体" w:hAnsi="宋体" w:eastAsia="宋体" w:cs="宋体"/>
          <w:b w:val="0"/>
          <w:bCs w:val="0"/>
          <w:color w:val="auto"/>
        </w:rPr>
        <w:t xml:space="preserve">五  </w:t>
      </w:r>
      <w:bookmarkEnd w:id="117"/>
      <w:r>
        <w:rPr>
          <w:rFonts w:hint="eastAsia" w:ascii="宋体" w:hAnsi="宋体" w:eastAsia="宋体" w:cs="宋体"/>
          <w:b w:val="0"/>
          <w:bCs w:val="0"/>
          <w:color w:val="auto"/>
        </w:rPr>
        <w:t>评标办法和细则</w:t>
      </w:r>
      <w:bookmarkEnd w:id="118"/>
      <w:bookmarkEnd w:id="120"/>
      <w:bookmarkEnd w:id="121"/>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根据有关法律法规，结合本项目的实际情况，按照公平、公正、科学、择优的原则，制定本评标办法。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采用综合评分法，评标委员会将对各投标人的定期存款年利率指标、经济发展贡献指标、服务水平指标等方面进行综合评审。评标委员会各成员应当独立对每个有效投标人的投标文件进行评价、打分（经济发展贡献指标评分原则由采购人计算，评标委员会审核）。评标委员会根据投标（开标）一览表确定的投标报价即投标人提供的定期存款年利率指标得分，加上投标人的经济发展贡献和服务水平指标得分，按最终综合得分由高到低顺序排列。</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各投标人的综合得分为：定期存款年利率指标得分+经济发展贡献指标得分+服务水平指标得分之和，其中：</w:t>
      </w:r>
      <w:r>
        <w:rPr>
          <w:rFonts w:hint="eastAsia" w:ascii="宋体" w:hAnsi="宋体" w:eastAsia="宋体" w:cs="宋体"/>
          <w:color w:val="auto"/>
          <w:sz w:val="24"/>
          <w:lang w:eastAsia="zh-CN"/>
        </w:rPr>
        <w:t>定期存款年利率指标20分，经济发展贡献指标</w:t>
      </w:r>
      <w:r>
        <w:rPr>
          <w:rFonts w:hint="eastAsia" w:ascii="宋体" w:hAnsi="宋体" w:cs="宋体"/>
          <w:color w:val="auto"/>
          <w:sz w:val="24"/>
          <w:lang w:eastAsia="zh-CN"/>
        </w:rPr>
        <w:t>67分</w:t>
      </w:r>
      <w:r>
        <w:rPr>
          <w:rFonts w:hint="eastAsia" w:ascii="宋体" w:hAnsi="宋体" w:eastAsia="宋体" w:cs="宋体"/>
          <w:color w:val="auto"/>
          <w:sz w:val="24"/>
          <w:lang w:eastAsia="zh-CN"/>
        </w:rPr>
        <w:t>，服务水平指标</w:t>
      </w:r>
      <w:r>
        <w:rPr>
          <w:rFonts w:hint="eastAsia" w:ascii="宋体" w:hAnsi="宋体" w:cs="宋体"/>
          <w:color w:val="auto"/>
          <w:sz w:val="24"/>
          <w:lang w:val="en-US" w:eastAsia="zh-CN"/>
        </w:rPr>
        <w:t>13</w:t>
      </w:r>
      <w:r>
        <w:rPr>
          <w:rFonts w:hint="eastAsia" w:ascii="宋体" w:hAnsi="宋体" w:eastAsia="宋体" w:cs="宋体"/>
          <w:color w:val="auto"/>
          <w:sz w:val="24"/>
          <w:lang w:eastAsia="zh-CN"/>
        </w:rPr>
        <w:t>分。各投标人总分为综合得分（满分100分）</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（一）根据上述评标原则，分值安排如下：</w:t>
      </w:r>
    </w:p>
    <w:tbl>
      <w:tblPr>
        <w:tblStyle w:val="31"/>
        <w:tblW w:w="95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60"/>
        <w:gridCol w:w="1080"/>
        <w:gridCol w:w="2660"/>
        <w:gridCol w:w="44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1360" w:type="dxa"/>
            <w:tcBorders>
              <w:tl2br w:val="nil"/>
              <w:tr2bl w:val="nil"/>
            </w:tcBorders>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指标</w:t>
            </w:r>
          </w:p>
        </w:tc>
        <w:tc>
          <w:tcPr>
            <w:tcW w:w="1080" w:type="dxa"/>
            <w:tcBorders>
              <w:tl2br w:val="nil"/>
              <w:tr2bl w:val="nil"/>
            </w:tcBorders>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大类指标分值</w:t>
            </w:r>
          </w:p>
        </w:tc>
        <w:tc>
          <w:tcPr>
            <w:tcW w:w="2660" w:type="dxa"/>
            <w:tcBorders>
              <w:tl2br w:val="nil"/>
              <w:tr2bl w:val="nil"/>
            </w:tcBorders>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小类指标</w:t>
            </w:r>
          </w:p>
        </w:tc>
        <w:tc>
          <w:tcPr>
            <w:tcW w:w="4480" w:type="dxa"/>
            <w:tcBorders>
              <w:tl2br w:val="nil"/>
              <w:tr2bl w:val="nil"/>
            </w:tcBorders>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指标说明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jc w:val="center"/>
        </w:trPr>
        <w:tc>
          <w:tcPr>
            <w:tcW w:w="1360" w:type="dxa"/>
            <w:vMerge w:val="restart"/>
            <w:tcBorders>
              <w:tl2br w:val="nil"/>
              <w:tr2bl w:val="nil"/>
            </w:tcBorders>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szCs w:val="24"/>
              </w:rPr>
              <w:t>利率</w:t>
            </w:r>
          </w:p>
        </w:tc>
        <w:tc>
          <w:tcPr>
            <w:tcW w:w="1080" w:type="dxa"/>
            <w:vMerge w:val="restart"/>
            <w:tcBorders>
              <w:tl2br w:val="nil"/>
              <w:tr2bl w:val="nil"/>
            </w:tcBorders>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szCs w:val="24"/>
              </w:rPr>
              <w:t>20</w:t>
            </w:r>
          </w:p>
        </w:tc>
        <w:tc>
          <w:tcPr>
            <w:tcW w:w="2660" w:type="dxa"/>
            <w:vMerge w:val="restart"/>
            <w:tcBorders>
              <w:tl2br w:val="nil"/>
              <w:tr2bl w:val="nil"/>
            </w:tcBorders>
            <w:vAlign w:val="center"/>
          </w:tcPr>
          <w:p>
            <w:pPr>
              <w:rPr>
                <w:rFonts w:hint="eastAsia" w:ascii="宋体" w:hAnsi="宋体" w:eastAsia="宋体" w:cs="宋体"/>
                <w:color w:val="auto"/>
                <w:sz w:val="24"/>
                <w:lang w:eastAsia="zh-CN"/>
              </w:rPr>
            </w:pPr>
            <w:r>
              <w:rPr>
                <w:rFonts w:hint="eastAsia" w:ascii="宋体" w:hAnsi="宋体" w:eastAsia="宋体" w:cs="宋体"/>
                <w:color w:val="auto"/>
                <w:sz w:val="24"/>
                <w:szCs w:val="24"/>
              </w:rPr>
              <w:t>定期存款年利率指标(20分)</w:t>
            </w:r>
          </w:p>
        </w:tc>
        <w:tc>
          <w:tcPr>
            <w:tcW w:w="4480" w:type="dxa"/>
            <w:vMerge w:val="restart"/>
            <w:tcBorders>
              <w:tl2br w:val="nil"/>
              <w:tr2bl w:val="nil"/>
            </w:tcBorders>
            <w:vAlign w:val="center"/>
          </w:tcPr>
          <w:p>
            <w:pPr>
              <w:rPr>
                <w:rFonts w:hint="eastAsia" w:ascii="宋体" w:hAnsi="宋体" w:eastAsia="宋体" w:cs="宋体"/>
                <w:color w:val="auto"/>
                <w:sz w:val="24"/>
              </w:rPr>
            </w:pPr>
            <w:r>
              <w:rPr>
                <w:rFonts w:hint="eastAsia" w:ascii="宋体" w:hAnsi="宋体" w:eastAsia="宋体" w:cs="宋体"/>
                <w:color w:val="auto"/>
                <w:sz w:val="24"/>
                <w:szCs w:val="24"/>
              </w:rPr>
              <w:t>定期存款年利率，指国家利率政策规定范围内的相应期限的存款利率。考虑到四大国有银行和邮储银行在对实体经济贷款利率方面相较其他金融机构有更大的优惠支持力度，四大国有银行和邮储银行的定期存款年利率如分别达到上浮38%、40%的，得20分，其他银行定期存款年利率如达到上浮43%的，得20分；达不到的相应减分。最高得分不超过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9" w:hRule="atLeast"/>
          <w:jc w:val="center"/>
        </w:trPr>
        <w:tc>
          <w:tcPr>
            <w:tcW w:w="1360" w:type="dxa"/>
            <w:vMerge w:val="continue"/>
            <w:tcBorders>
              <w:tl2br w:val="nil"/>
              <w:tr2bl w:val="nil"/>
            </w:tcBorders>
            <w:vAlign w:val="center"/>
          </w:tcPr>
          <w:p>
            <w:pPr>
              <w:rPr>
                <w:rFonts w:hint="eastAsia" w:ascii="宋体" w:hAnsi="宋体" w:eastAsia="宋体" w:cs="宋体"/>
                <w:b/>
                <w:bCs/>
                <w:color w:val="auto"/>
                <w:sz w:val="24"/>
              </w:rPr>
            </w:pPr>
          </w:p>
        </w:tc>
        <w:tc>
          <w:tcPr>
            <w:tcW w:w="1080" w:type="dxa"/>
            <w:vMerge w:val="continue"/>
            <w:tcBorders>
              <w:tl2br w:val="nil"/>
              <w:tr2bl w:val="nil"/>
            </w:tcBorders>
            <w:vAlign w:val="center"/>
          </w:tcPr>
          <w:p>
            <w:pPr>
              <w:rPr>
                <w:rFonts w:hint="eastAsia" w:ascii="宋体" w:hAnsi="宋体" w:eastAsia="宋体" w:cs="宋体"/>
                <w:b/>
                <w:bCs/>
                <w:color w:val="auto"/>
                <w:sz w:val="24"/>
              </w:rPr>
            </w:pPr>
          </w:p>
        </w:tc>
        <w:tc>
          <w:tcPr>
            <w:tcW w:w="2660" w:type="dxa"/>
            <w:vMerge w:val="continue"/>
            <w:tcBorders>
              <w:tl2br w:val="nil"/>
              <w:tr2bl w:val="nil"/>
            </w:tcBorders>
            <w:vAlign w:val="center"/>
          </w:tcPr>
          <w:p>
            <w:pPr>
              <w:rPr>
                <w:rFonts w:hint="eastAsia" w:ascii="宋体" w:hAnsi="宋体" w:eastAsia="宋体" w:cs="宋体"/>
                <w:color w:val="auto"/>
                <w:sz w:val="24"/>
              </w:rPr>
            </w:pPr>
          </w:p>
        </w:tc>
        <w:tc>
          <w:tcPr>
            <w:tcW w:w="4480" w:type="dxa"/>
            <w:vMerge w:val="continue"/>
            <w:tcBorders>
              <w:tl2br w:val="nil"/>
              <w:tr2bl w:val="nil"/>
            </w:tcBorders>
            <w:vAlign w:val="center"/>
          </w:tcPr>
          <w:p>
            <w:pPr>
              <w:rPr>
                <w:rFonts w:hint="eastAsia" w:ascii="宋体" w:hAnsi="宋体" w:eastAsia="宋体" w:cs="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jc w:val="center"/>
        </w:trPr>
        <w:tc>
          <w:tcPr>
            <w:tcW w:w="1360" w:type="dxa"/>
            <w:vMerge w:val="restart"/>
            <w:tcBorders>
              <w:tl2br w:val="nil"/>
              <w:tr2bl w:val="nil"/>
            </w:tcBorders>
            <w:vAlign w:val="center"/>
          </w:tcPr>
          <w:p>
            <w:pPr>
              <w:jc w:val="center"/>
              <w:rPr>
                <w:rFonts w:hint="eastAsia" w:ascii="宋体" w:hAnsi="宋体" w:eastAsia="宋体" w:cs="宋体"/>
                <w:b/>
                <w:bCs/>
                <w:color w:val="auto"/>
                <w:sz w:val="24"/>
              </w:rPr>
            </w:pPr>
            <w:r>
              <w:rPr>
                <w:rFonts w:hint="eastAsia" w:ascii="宋体" w:hAnsi="宋体" w:cs="宋体"/>
                <w:b/>
                <w:bCs/>
                <w:color w:val="auto"/>
                <w:sz w:val="24"/>
                <w:szCs w:val="24"/>
                <w:lang w:eastAsia="zh-CN"/>
              </w:rPr>
              <w:t>经济</w:t>
            </w:r>
            <w:r>
              <w:rPr>
                <w:rFonts w:hint="eastAsia" w:ascii="宋体" w:hAnsi="宋体" w:eastAsia="宋体" w:cs="宋体"/>
                <w:b/>
                <w:bCs/>
                <w:color w:val="auto"/>
                <w:sz w:val="24"/>
                <w:szCs w:val="24"/>
              </w:rPr>
              <w:t>贡献度指标</w:t>
            </w:r>
          </w:p>
        </w:tc>
        <w:tc>
          <w:tcPr>
            <w:tcW w:w="1080" w:type="dxa"/>
            <w:vMerge w:val="restart"/>
            <w:tcBorders>
              <w:tl2br w:val="nil"/>
              <w:tr2bl w:val="nil"/>
            </w:tcBorders>
            <w:vAlign w:val="center"/>
          </w:tcPr>
          <w:p>
            <w:pPr>
              <w:jc w:val="center"/>
              <w:rPr>
                <w:rFonts w:hint="default" w:ascii="宋体" w:hAnsi="宋体" w:eastAsia="宋体" w:cs="宋体"/>
                <w:b/>
                <w:bCs/>
                <w:color w:val="auto"/>
                <w:sz w:val="24"/>
                <w:lang w:val="en-US" w:eastAsia="zh-CN"/>
              </w:rPr>
            </w:pPr>
            <w:r>
              <w:rPr>
                <w:rFonts w:hint="eastAsia" w:ascii="宋体" w:hAnsi="宋体" w:cs="宋体"/>
                <w:b/>
                <w:bCs/>
                <w:color w:val="auto"/>
                <w:sz w:val="24"/>
                <w:szCs w:val="24"/>
                <w:lang w:val="en-US" w:eastAsia="zh-CN"/>
              </w:rPr>
              <w:t>69</w:t>
            </w:r>
          </w:p>
        </w:tc>
        <w:tc>
          <w:tcPr>
            <w:tcW w:w="2660" w:type="dxa"/>
            <w:tcBorders>
              <w:tl2br w:val="nil"/>
              <w:tr2bl w:val="nil"/>
            </w:tcBorders>
            <w:vAlign w:val="center"/>
          </w:tcPr>
          <w:p>
            <w:pPr>
              <w:jc w:val="center"/>
              <w:rPr>
                <w:rFonts w:hint="eastAsia" w:ascii="宋体" w:hAnsi="宋体" w:eastAsia="宋体" w:cs="宋体"/>
                <w:color w:val="auto"/>
                <w:sz w:val="24"/>
              </w:rPr>
            </w:pPr>
            <w:r>
              <w:rPr>
                <w:rFonts w:hint="eastAsia" w:ascii="宋体" w:hAnsi="宋体" w:eastAsia="宋体" w:cs="宋体"/>
                <w:color w:val="auto"/>
                <w:sz w:val="24"/>
                <w:szCs w:val="24"/>
              </w:rPr>
              <w:t>总贷款余额指标（</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4480" w:type="dxa"/>
            <w:tcBorders>
              <w:tl2br w:val="nil"/>
              <w:tr2bl w:val="nil"/>
            </w:tcBorders>
            <w:vAlign w:val="center"/>
          </w:tcPr>
          <w:p>
            <w:pPr>
              <w:rPr>
                <w:rFonts w:hint="eastAsia" w:ascii="宋体" w:hAnsi="宋体" w:eastAsia="宋体" w:cs="宋体"/>
                <w:color w:val="auto"/>
                <w:sz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分×竞标银行的总贷款余额/最高竞标银行的总贷款余额,最高得分不超过</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分。（截止到2019年</w:t>
            </w:r>
            <w:r>
              <w:rPr>
                <w:rFonts w:hint="eastAsia" w:ascii="宋体" w:hAnsi="宋体" w:cs="宋体"/>
                <w:color w:val="auto"/>
                <w:sz w:val="24"/>
                <w:szCs w:val="24"/>
                <w:lang w:eastAsia="zh-CN"/>
              </w:rPr>
              <w:t>第四季度</w:t>
            </w:r>
            <w:r>
              <w:rPr>
                <w:rFonts w:hint="eastAsia" w:ascii="宋体" w:hAnsi="宋体" w:eastAsia="宋体" w:cs="宋体"/>
                <w:color w:val="auto"/>
                <w:sz w:val="24"/>
                <w:szCs w:val="24"/>
              </w:rPr>
              <w:t>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jc w:val="center"/>
        </w:trPr>
        <w:tc>
          <w:tcPr>
            <w:tcW w:w="1360" w:type="dxa"/>
            <w:vMerge w:val="continue"/>
            <w:tcBorders>
              <w:tl2br w:val="nil"/>
              <w:tr2bl w:val="nil"/>
            </w:tcBorders>
            <w:vAlign w:val="center"/>
          </w:tcPr>
          <w:p>
            <w:pPr>
              <w:rPr>
                <w:rFonts w:hint="eastAsia" w:ascii="宋体" w:hAnsi="宋体" w:eastAsia="宋体" w:cs="宋体"/>
                <w:b/>
                <w:bCs/>
                <w:color w:val="auto"/>
                <w:sz w:val="24"/>
              </w:rPr>
            </w:pPr>
          </w:p>
        </w:tc>
        <w:tc>
          <w:tcPr>
            <w:tcW w:w="1080" w:type="dxa"/>
            <w:vMerge w:val="continue"/>
            <w:tcBorders>
              <w:tl2br w:val="nil"/>
              <w:tr2bl w:val="nil"/>
            </w:tcBorders>
            <w:vAlign w:val="center"/>
          </w:tcPr>
          <w:p>
            <w:pPr>
              <w:rPr>
                <w:rFonts w:hint="eastAsia" w:ascii="宋体" w:hAnsi="宋体" w:eastAsia="宋体" w:cs="宋体"/>
                <w:b/>
                <w:bCs/>
                <w:color w:val="auto"/>
                <w:sz w:val="24"/>
              </w:rPr>
            </w:pPr>
          </w:p>
        </w:tc>
        <w:tc>
          <w:tcPr>
            <w:tcW w:w="2660" w:type="dxa"/>
            <w:tcBorders>
              <w:tl2br w:val="nil"/>
              <w:tr2bl w:val="nil"/>
            </w:tcBorders>
            <w:vAlign w:val="center"/>
          </w:tcPr>
          <w:p>
            <w:pPr>
              <w:jc w:val="center"/>
              <w:rPr>
                <w:rFonts w:hint="eastAsia" w:ascii="宋体" w:hAnsi="宋体" w:eastAsia="宋体" w:cs="宋体"/>
                <w:color w:val="auto"/>
                <w:sz w:val="24"/>
              </w:rPr>
            </w:pPr>
            <w:r>
              <w:rPr>
                <w:rFonts w:hint="eastAsia" w:ascii="宋体" w:hAnsi="宋体" w:cs="宋体"/>
                <w:color w:val="auto"/>
                <w:sz w:val="24"/>
                <w:szCs w:val="24"/>
                <w:lang w:eastAsia="zh-CN"/>
              </w:rPr>
              <w:t>总贷款增速指标</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4480" w:type="dxa"/>
            <w:tcBorders>
              <w:tl2br w:val="nil"/>
              <w:tr2bl w:val="nil"/>
            </w:tcBorders>
            <w:vAlign w:val="center"/>
          </w:tcPr>
          <w:p>
            <w:pPr>
              <w:rPr>
                <w:rFonts w:hint="eastAsia" w:ascii="宋体" w:hAnsi="宋体" w:eastAsia="宋体" w:cs="宋体"/>
                <w:color w:val="auto"/>
                <w:sz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分×竞标银行的</w:t>
            </w:r>
            <w:r>
              <w:rPr>
                <w:rFonts w:hint="eastAsia" w:ascii="宋体" w:hAnsi="宋体" w:cs="宋体"/>
                <w:color w:val="auto"/>
                <w:sz w:val="24"/>
                <w:szCs w:val="24"/>
                <w:lang w:eastAsia="zh-CN"/>
              </w:rPr>
              <w:t>总贷款增速</w:t>
            </w:r>
            <w:r>
              <w:rPr>
                <w:rFonts w:hint="eastAsia" w:ascii="宋体" w:hAnsi="宋体" w:eastAsia="宋体" w:cs="宋体"/>
                <w:color w:val="auto"/>
                <w:sz w:val="24"/>
                <w:szCs w:val="24"/>
              </w:rPr>
              <w:t>/最高竞标银行的</w:t>
            </w:r>
            <w:r>
              <w:rPr>
                <w:rFonts w:hint="eastAsia" w:ascii="宋体" w:hAnsi="宋体" w:cs="宋体"/>
                <w:color w:val="auto"/>
                <w:sz w:val="24"/>
                <w:szCs w:val="24"/>
                <w:lang w:eastAsia="zh-CN"/>
              </w:rPr>
              <w:t>总贷款增速</w:t>
            </w:r>
            <w:r>
              <w:rPr>
                <w:rFonts w:hint="eastAsia" w:ascii="宋体" w:hAnsi="宋体" w:eastAsia="宋体" w:cs="宋体"/>
                <w:color w:val="auto"/>
                <w:sz w:val="24"/>
                <w:szCs w:val="24"/>
              </w:rPr>
              <w:t>,最高得分不超过</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分。负数得0分。（截止到2019年</w:t>
            </w:r>
            <w:r>
              <w:rPr>
                <w:rFonts w:hint="eastAsia" w:ascii="宋体" w:hAnsi="宋体" w:cs="宋体"/>
                <w:color w:val="auto"/>
                <w:sz w:val="24"/>
                <w:szCs w:val="24"/>
                <w:lang w:eastAsia="zh-CN"/>
              </w:rPr>
              <w:t>第四季度</w:t>
            </w:r>
            <w:r>
              <w:rPr>
                <w:rFonts w:hint="eastAsia" w:ascii="宋体" w:hAnsi="宋体" w:eastAsia="宋体" w:cs="宋体"/>
                <w:color w:val="auto"/>
                <w:sz w:val="24"/>
                <w:szCs w:val="24"/>
              </w:rPr>
              <w:t>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jc w:val="center"/>
        </w:trPr>
        <w:tc>
          <w:tcPr>
            <w:tcW w:w="1360" w:type="dxa"/>
            <w:vMerge w:val="continue"/>
            <w:tcBorders>
              <w:tl2br w:val="nil"/>
              <w:tr2bl w:val="nil"/>
            </w:tcBorders>
            <w:vAlign w:val="center"/>
          </w:tcPr>
          <w:p>
            <w:pPr>
              <w:rPr>
                <w:rFonts w:hint="eastAsia" w:ascii="宋体" w:hAnsi="宋体" w:eastAsia="宋体" w:cs="宋体"/>
                <w:b/>
                <w:bCs/>
                <w:color w:val="auto"/>
                <w:sz w:val="24"/>
              </w:rPr>
            </w:pPr>
          </w:p>
        </w:tc>
        <w:tc>
          <w:tcPr>
            <w:tcW w:w="1080" w:type="dxa"/>
            <w:vMerge w:val="continue"/>
            <w:tcBorders>
              <w:tl2br w:val="nil"/>
              <w:tr2bl w:val="nil"/>
            </w:tcBorders>
            <w:vAlign w:val="center"/>
          </w:tcPr>
          <w:p>
            <w:pPr>
              <w:rPr>
                <w:rFonts w:hint="eastAsia" w:ascii="宋体" w:hAnsi="宋体" w:eastAsia="宋体" w:cs="宋体"/>
                <w:b/>
                <w:bCs/>
                <w:color w:val="auto"/>
                <w:sz w:val="24"/>
              </w:rPr>
            </w:pPr>
          </w:p>
        </w:tc>
        <w:tc>
          <w:tcPr>
            <w:tcW w:w="2660" w:type="dxa"/>
            <w:tcBorders>
              <w:tl2br w:val="nil"/>
              <w:tr2bl w:val="nil"/>
            </w:tcBorders>
            <w:vAlign w:val="center"/>
          </w:tcPr>
          <w:p>
            <w:pPr>
              <w:rPr>
                <w:rFonts w:hint="eastAsia" w:ascii="宋体" w:hAnsi="宋体" w:eastAsia="宋体" w:cs="宋体"/>
                <w:color w:val="auto"/>
                <w:sz w:val="24"/>
              </w:rPr>
            </w:pPr>
            <w:r>
              <w:rPr>
                <w:rFonts w:hint="eastAsia" w:ascii="宋体" w:hAnsi="宋体" w:eastAsia="宋体" w:cs="宋体"/>
                <w:color w:val="auto"/>
                <w:sz w:val="24"/>
                <w:szCs w:val="24"/>
              </w:rPr>
              <w:t>总贷款余额存贷比（</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p>
        </w:tc>
        <w:tc>
          <w:tcPr>
            <w:tcW w:w="4480" w:type="dxa"/>
            <w:tcBorders>
              <w:tl2br w:val="nil"/>
              <w:tr2bl w:val="nil"/>
            </w:tcBorders>
            <w:vAlign w:val="center"/>
          </w:tcPr>
          <w:p>
            <w:pPr>
              <w:rPr>
                <w:rFonts w:hint="eastAsia" w:ascii="宋体" w:hAnsi="宋体" w:eastAsia="宋体" w:cs="宋体"/>
                <w:color w:val="auto"/>
                <w:sz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分×竞标银行的贷款余额存贷比/最高竞标银行的贷款余额存贷比,最高得分不超过</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分。（截止到2019年</w:t>
            </w:r>
            <w:r>
              <w:rPr>
                <w:rFonts w:hint="eastAsia" w:ascii="宋体" w:hAnsi="宋体" w:cs="宋体"/>
                <w:color w:val="auto"/>
                <w:sz w:val="24"/>
                <w:szCs w:val="24"/>
                <w:lang w:eastAsia="zh-CN"/>
              </w:rPr>
              <w:t>第四季度</w:t>
            </w:r>
            <w:r>
              <w:rPr>
                <w:rFonts w:hint="eastAsia" w:ascii="宋体" w:hAnsi="宋体" w:eastAsia="宋体" w:cs="宋体"/>
                <w:color w:val="auto"/>
                <w:sz w:val="24"/>
                <w:szCs w:val="24"/>
              </w:rPr>
              <w:t>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jc w:val="center"/>
        </w:trPr>
        <w:tc>
          <w:tcPr>
            <w:tcW w:w="1360" w:type="dxa"/>
            <w:vMerge w:val="continue"/>
            <w:tcBorders>
              <w:tl2br w:val="nil"/>
              <w:tr2bl w:val="nil"/>
            </w:tcBorders>
            <w:vAlign w:val="center"/>
          </w:tcPr>
          <w:p>
            <w:pPr>
              <w:rPr>
                <w:rFonts w:hint="eastAsia" w:ascii="宋体" w:hAnsi="宋体" w:eastAsia="宋体" w:cs="宋体"/>
                <w:b/>
                <w:bCs/>
                <w:color w:val="auto"/>
                <w:sz w:val="24"/>
              </w:rPr>
            </w:pPr>
          </w:p>
        </w:tc>
        <w:tc>
          <w:tcPr>
            <w:tcW w:w="1080" w:type="dxa"/>
            <w:vMerge w:val="continue"/>
            <w:tcBorders>
              <w:tl2br w:val="nil"/>
              <w:tr2bl w:val="nil"/>
            </w:tcBorders>
            <w:vAlign w:val="center"/>
          </w:tcPr>
          <w:p>
            <w:pPr>
              <w:rPr>
                <w:rFonts w:hint="eastAsia" w:ascii="宋体" w:hAnsi="宋体" w:eastAsia="宋体" w:cs="宋体"/>
                <w:b/>
                <w:bCs/>
                <w:color w:val="auto"/>
                <w:sz w:val="24"/>
              </w:rPr>
            </w:pPr>
          </w:p>
        </w:tc>
        <w:tc>
          <w:tcPr>
            <w:tcW w:w="2660" w:type="dxa"/>
            <w:tcBorders>
              <w:tl2br w:val="nil"/>
              <w:tr2bl w:val="nil"/>
            </w:tcBorders>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szCs w:val="24"/>
              </w:rPr>
              <w:t>税收指标（</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4480" w:type="dxa"/>
            <w:tcBorders>
              <w:tl2br w:val="nil"/>
              <w:tr2bl w:val="nil"/>
            </w:tcBorders>
            <w:vAlign w:val="center"/>
          </w:tcPr>
          <w:p>
            <w:pPr>
              <w:rPr>
                <w:rFonts w:hint="eastAsia" w:ascii="宋体" w:hAnsi="宋体" w:eastAsia="宋体" w:cs="宋体"/>
                <w:color w:val="auto"/>
                <w:sz w:val="24"/>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分×竞标银行的税收归属当地部分/最高竞标银行的税收归属当地部分,最高得分不超过</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分。（截止到2019年</w:t>
            </w:r>
            <w:r>
              <w:rPr>
                <w:rFonts w:hint="eastAsia" w:ascii="宋体" w:hAnsi="宋体" w:cs="宋体"/>
                <w:color w:val="auto"/>
                <w:sz w:val="24"/>
                <w:szCs w:val="24"/>
                <w:lang w:eastAsia="zh-CN"/>
              </w:rPr>
              <w:t>第四季度</w:t>
            </w:r>
            <w:r>
              <w:rPr>
                <w:rFonts w:hint="eastAsia" w:ascii="宋体" w:hAnsi="宋体" w:eastAsia="宋体" w:cs="宋体"/>
                <w:color w:val="auto"/>
                <w:sz w:val="24"/>
                <w:szCs w:val="24"/>
              </w:rPr>
              <w:t>税务部门入库的税收地方部分数据作为计分依据）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jc w:val="center"/>
        </w:trPr>
        <w:tc>
          <w:tcPr>
            <w:tcW w:w="1360" w:type="dxa"/>
            <w:vMerge w:val="continue"/>
            <w:tcBorders>
              <w:tl2br w:val="nil"/>
              <w:tr2bl w:val="nil"/>
            </w:tcBorders>
            <w:vAlign w:val="center"/>
          </w:tcPr>
          <w:p>
            <w:pPr>
              <w:rPr>
                <w:rFonts w:hint="eastAsia" w:ascii="宋体" w:hAnsi="宋体" w:eastAsia="宋体" w:cs="宋体"/>
                <w:b/>
                <w:bCs/>
                <w:color w:val="auto"/>
                <w:sz w:val="24"/>
              </w:rPr>
            </w:pPr>
          </w:p>
        </w:tc>
        <w:tc>
          <w:tcPr>
            <w:tcW w:w="1080" w:type="dxa"/>
            <w:vMerge w:val="continue"/>
            <w:tcBorders>
              <w:tl2br w:val="nil"/>
              <w:tr2bl w:val="nil"/>
            </w:tcBorders>
            <w:vAlign w:val="center"/>
          </w:tcPr>
          <w:p>
            <w:pPr>
              <w:rPr>
                <w:rFonts w:hint="eastAsia" w:ascii="宋体" w:hAnsi="宋体" w:eastAsia="宋体" w:cs="宋体"/>
                <w:b/>
                <w:bCs/>
                <w:color w:val="auto"/>
                <w:sz w:val="24"/>
              </w:rPr>
            </w:pPr>
          </w:p>
        </w:tc>
        <w:tc>
          <w:tcPr>
            <w:tcW w:w="2660" w:type="dxa"/>
            <w:tcBorders>
              <w:tl2br w:val="nil"/>
              <w:tr2bl w:val="nil"/>
            </w:tcBorders>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三权抵押贷款增量指标（</w:t>
            </w:r>
            <w:r>
              <w:rPr>
                <w:rFonts w:hint="eastAsia" w:ascii="宋体" w:hAnsi="宋体" w:cs="宋体"/>
                <w:color w:val="auto"/>
                <w:sz w:val="24"/>
                <w:lang w:val="en-US" w:eastAsia="zh-CN"/>
              </w:rPr>
              <w:t>7</w:t>
            </w:r>
            <w:r>
              <w:rPr>
                <w:rFonts w:hint="eastAsia" w:ascii="宋体" w:hAnsi="宋体" w:eastAsia="宋体" w:cs="宋体"/>
                <w:color w:val="auto"/>
                <w:sz w:val="24"/>
              </w:rPr>
              <w:t>分）</w:t>
            </w:r>
          </w:p>
        </w:tc>
        <w:tc>
          <w:tcPr>
            <w:tcW w:w="4480" w:type="dxa"/>
            <w:tcBorders>
              <w:tl2br w:val="nil"/>
              <w:tr2bl w:val="nil"/>
            </w:tcBorders>
            <w:vAlign w:val="center"/>
          </w:tcPr>
          <w:p>
            <w:pPr>
              <w:jc w:val="center"/>
              <w:rPr>
                <w:rFonts w:hint="eastAsia"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分×竞标银行的三权抵押贷款增量/最高竞标银行的三权抵押贷款增量,最高得分不超过</w:t>
            </w:r>
            <w:r>
              <w:rPr>
                <w:rFonts w:hint="eastAsia" w:ascii="宋体" w:hAnsi="宋体" w:cs="宋体"/>
                <w:color w:val="auto"/>
                <w:sz w:val="24"/>
                <w:lang w:val="en-US" w:eastAsia="zh-CN"/>
              </w:rPr>
              <w:t>7</w:t>
            </w:r>
            <w:r>
              <w:rPr>
                <w:rFonts w:hint="eastAsia" w:ascii="宋体" w:hAnsi="宋体" w:eastAsia="宋体" w:cs="宋体"/>
                <w:color w:val="auto"/>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jc w:val="center"/>
        </w:trPr>
        <w:tc>
          <w:tcPr>
            <w:tcW w:w="1360" w:type="dxa"/>
            <w:vMerge w:val="continue"/>
            <w:tcBorders>
              <w:tl2br w:val="nil"/>
              <w:tr2bl w:val="nil"/>
            </w:tcBorders>
            <w:vAlign w:val="center"/>
          </w:tcPr>
          <w:p>
            <w:pPr>
              <w:rPr>
                <w:rFonts w:hint="eastAsia" w:ascii="宋体" w:hAnsi="宋体" w:eastAsia="宋体" w:cs="宋体"/>
                <w:b/>
                <w:bCs/>
                <w:color w:val="auto"/>
                <w:sz w:val="24"/>
              </w:rPr>
            </w:pPr>
          </w:p>
        </w:tc>
        <w:tc>
          <w:tcPr>
            <w:tcW w:w="1080" w:type="dxa"/>
            <w:vMerge w:val="continue"/>
            <w:tcBorders>
              <w:tl2br w:val="nil"/>
              <w:tr2bl w:val="nil"/>
            </w:tcBorders>
            <w:vAlign w:val="center"/>
          </w:tcPr>
          <w:p>
            <w:pPr>
              <w:rPr>
                <w:rFonts w:hint="eastAsia" w:ascii="宋体" w:hAnsi="宋体" w:eastAsia="宋体" w:cs="宋体"/>
                <w:b/>
                <w:bCs/>
                <w:color w:val="auto"/>
                <w:sz w:val="24"/>
              </w:rPr>
            </w:pPr>
          </w:p>
        </w:tc>
        <w:tc>
          <w:tcPr>
            <w:tcW w:w="2660" w:type="dxa"/>
            <w:tcBorders>
              <w:tl2br w:val="nil"/>
              <w:tr2bl w:val="nil"/>
            </w:tcBorders>
            <w:vAlign w:val="center"/>
          </w:tcPr>
          <w:p>
            <w:pPr>
              <w:jc w:val="center"/>
              <w:rPr>
                <w:rFonts w:hint="eastAsia" w:ascii="宋体" w:hAnsi="宋体" w:eastAsia="宋体" w:cs="宋体"/>
                <w:color w:val="auto"/>
                <w:sz w:val="24"/>
              </w:rPr>
            </w:pPr>
            <w:r>
              <w:rPr>
                <w:rFonts w:hint="eastAsia" w:ascii="宋体" w:hAnsi="宋体" w:eastAsia="宋体" w:cs="宋体"/>
                <w:color w:val="auto"/>
                <w:sz w:val="24"/>
                <w:szCs w:val="24"/>
              </w:rPr>
              <w:t>制造业综合评价指标（</w:t>
            </w:r>
            <w:r>
              <w:rPr>
                <w:rFonts w:hint="eastAsia" w:ascii="宋体" w:hAnsi="宋体" w:cs="宋体"/>
                <w:color w:val="auto"/>
                <w:sz w:val="24"/>
                <w:szCs w:val="24"/>
                <w:lang w:val="en-US" w:eastAsia="zh-CN"/>
              </w:rPr>
              <w:t>36</w:t>
            </w:r>
            <w:r>
              <w:rPr>
                <w:rFonts w:hint="eastAsia" w:ascii="宋体" w:hAnsi="宋体" w:eastAsia="宋体" w:cs="宋体"/>
                <w:color w:val="auto"/>
                <w:sz w:val="24"/>
                <w:szCs w:val="24"/>
              </w:rPr>
              <w:t>分）</w:t>
            </w:r>
          </w:p>
        </w:tc>
        <w:tc>
          <w:tcPr>
            <w:tcW w:w="4480" w:type="dxa"/>
            <w:tcBorders>
              <w:tl2br w:val="nil"/>
              <w:tr2bl w:val="nil"/>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反映竞标银行对龙泉经济发展的支持情况，以市金融办提供的</w:t>
            </w:r>
            <w:r>
              <w:rPr>
                <w:rFonts w:hint="eastAsia" w:ascii="宋体" w:hAnsi="宋体" w:eastAsia="宋体" w:cs="宋体"/>
                <w:color w:val="auto"/>
                <w:sz w:val="24"/>
                <w:szCs w:val="24"/>
                <w:lang w:eastAsia="zh-CN"/>
              </w:rPr>
              <w:t>2019年四季度</w:t>
            </w:r>
            <w:r>
              <w:rPr>
                <w:rFonts w:hint="eastAsia" w:ascii="宋体" w:hAnsi="宋体" w:eastAsia="宋体" w:cs="宋体"/>
                <w:color w:val="auto"/>
                <w:sz w:val="24"/>
                <w:szCs w:val="24"/>
              </w:rPr>
              <w:t>末制造业贷款综合评价指标数据为准。</w:t>
            </w:r>
          </w:p>
          <w:p>
            <w:pPr>
              <w:rPr>
                <w:rFonts w:hint="eastAsia" w:ascii="宋体" w:hAnsi="宋体" w:eastAsia="宋体" w:cs="宋体"/>
                <w:color w:val="auto"/>
                <w:sz w:val="24"/>
              </w:rPr>
            </w:pPr>
            <w:r>
              <w:rPr>
                <w:rFonts w:hint="eastAsia" w:ascii="宋体" w:hAnsi="宋体" w:eastAsia="宋体" w:cs="宋体"/>
                <w:color w:val="auto"/>
                <w:sz w:val="24"/>
                <w:szCs w:val="24"/>
              </w:rPr>
              <w:t>竞标银行制造业贷款综合评价指标最高者得满分，各竞标银行制造业贷款综合评价指标得分=</w:t>
            </w:r>
            <w:r>
              <w:rPr>
                <w:rFonts w:hint="eastAsia" w:ascii="宋体" w:hAnsi="宋体" w:cs="宋体"/>
                <w:color w:val="auto"/>
                <w:sz w:val="24"/>
                <w:szCs w:val="24"/>
                <w:lang w:val="en-US" w:eastAsia="zh-CN"/>
              </w:rPr>
              <w:t>36</w:t>
            </w:r>
            <w:r>
              <w:rPr>
                <w:rFonts w:hint="eastAsia" w:ascii="宋体" w:hAnsi="宋体" w:eastAsia="宋体" w:cs="宋体"/>
                <w:color w:val="auto"/>
                <w:sz w:val="24"/>
                <w:szCs w:val="24"/>
              </w:rPr>
              <w:t>分×竞标银行制造业贷款综合评价指标/最高竞标银行制造业贷款综合评价指标，最高得分不超过</w:t>
            </w:r>
            <w:r>
              <w:rPr>
                <w:rFonts w:hint="eastAsia" w:ascii="宋体" w:hAnsi="宋体" w:cs="宋体"/>
                <w:color w:val="auto"/>
                <w:sz w:val="24"/>
                <w:szCs w:val="24"/>
                <w:lang w:val="en-US" w:eastAsia="zh-CN"/>
              </w:rPr>
              <w:t>36</w:t>
            </w:r>
            <w:r>
              <w:rPr>
                <w:rFonts w:hint="eastAsia" w:ascii="宋体" w:hAnsi="宋体" w:eastAsia="宋体" w:cs="宋体"/>
                <w:color w:val="auto"/>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1360" w:type="dxa"/>
            <w:vMerge w:val="restart"/>
            <w:tcBorders>
              <w:tl2br w:val="nil"/>
              <w:tr2bl w:val="nil"/>
            </w:tcBorders>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服务水平指标</w:t>
            </w:r>
          </w:p>
        </w:tc>
        <w:tc>
          <w:tcPr>
            <w:tcW w:w="1080" w:type="dxa"/>
            <w:vMerge w:val="restart"/>
            <w:tcBorders>
              <w:tl2br w:val="nil"/>
              <w:tr2bl w:val="nil"/>
            </w:tcBorders>
            <w:vAlign w:val="center"/>
          </w:tcPr>
          <w:p>
            <w:pPr>
              <w:jc w:val="center"/>
              <w:rPr>
                <w:rFonts w:hint="default" w:ascii="宋体" w:hAnsi="宋体" w:eastAsia="宋体" w:cs="宋体"/>
                <w:b/>
                <w:bCs/>
                <w:color w:val="auto"/>
                <w:sz w:val="24"/>
                <w:lang w:val="en-US" w:eastAsia="zh-CN"/>
              </w:rPr>
            </w:pPr>
            <w:r>
              <w:rPr>
                <w:rFonts w:hint="eastAsia" w:ascii="宋体" w:hAnsi="宋体" w:cs="宋体"/>
                <w:b/>
                <w:bCs/>
                <w:color w:val="auto"/>
                <w:sz w:val="24"/>
                <w:szCs w:val="24"/>
                <w:lang w:val="en-US" w:eastAsia="zh-CN"/>
              </w:rPr>
              <w:t>11</w:t>
            </w:r>
          </w:p>
        </w:tc>
        <w:tc>
          <w:tcPr>
            <w:tcW w:w="2660" w:type="dxa"/>
            <w:tcBorders>
              <w:tl2br w:val="nil"/>
              <w:tr2bl w:val="nil"/>
            </w:tcBorders>
            <w:vAlign w:val="center"/>
          </w:tcPr>
          <w:p>
            <w:pPr>
              <w:jc w:val="center"/>
              <w:rPr>
                <w:rFonts w:hint="eastAsia" w:ascii="宋体" w:hAnsi="宋体" w:eastAsia="宋体" w:cs="宋体"/>
                <w:color w:val="auto"/>
                <w:sz w:val="24"/>
              </w:rPr>
            </w:pPr>
            <w:r>
              <w:rPr>
                <w:rFonts w:hint="eastAsia" w:ascii="宋体" w:hAnsi="宋体" w:eastAsia="宋体" w:cs="宋体"/>
                <w:color w:val="auto"/>
                <w:sz w:val="24"/>
                <w:szCs w:val="24"/>
              </w:rPr>
              <w:t>银行结构指标（5分）</w:t>
            </w:r>
          </w:p>
        </w:tc>
        <w:tc>
          <w:tcPr>
            <w:tcW w:w="4480" w:type="dxa"/>
            <w:tcBorders>
              <w:tl2br w:val="nil"/>
              <w:tr2bl w:val="nil"/>
            </w:tcBorders>
            <w:vAlign w:val="center"/>
          </w:tcPr>
          <w:p>
            <w:pPr>
              <w:rPr>
                <w:rFonts w:hint="eastAsia" w:ascii="宋体" w:hAnsi="宋体" w:eastAsia="宋体" w:cs="宋体"/>
                <w:color w:val="auto"/>
                <w:sz w:val="24"/>
              </w:rPr>
            </w:pPr>
            <w:r>
              <w:rPr>
                <w:rFonts w:hint="eastAsia" w:ascii="宋体" w:hAnsi="宋体" w:eastAsia="宋体" w:cs="宋体"/>
                <w:color w:val="auto"/>
                <w:sz w:val="24"/>
                <w:szCs w:val="24"/>
              </w:rPr>
              <w:t>竞标银行所属银行机构为国有性质银行（国有控股）的得5分，不属国有性质（国有控投）银行的得2分。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1360" w:type="dxa"/>
            <w:vMerge w:val="continue"/>
            <w:tcBorders>
              <w:tl2br w:val="nil"/>
              <w:tr2bl w:val="nil"/>
            </w:tcBorders>
            <w:vAlign w:val="center"/>
          </w:tcPr>
          <w:p>
            <w:pPr>
              <w:jc w:val="center"/>
              <w:rPr>
                <w:rFonts w:hint="eastAsia" w:ascii="宋体" w:hAnsi="宋体" w:eastAsia="宋体" w:cs="宋体"/>
                <w:b/>
                <w:bCs/>
                <w:color w:val="auto"/>
                <w:sz w:val="24"/>
              </w:rPr>
            </w:pPr>
          </w:p>
        </w:tc>
        <w:tc>
          <w:tcPr>
            <w:tcW w:w="1080" w:type="dxa"/>
            <w:vMerge w:val="continue"/>
            <w:tcBorders>
              <w:tl2br w:val="nil"/>
              <w:tr2bl w:val="nil"/>
            </w:tcBorders>
            <w:vAlign w:val="center"/>
          </w:tcPr>
          <w:p>
            <w:pPr>
              <w:jc w:val="center"/>
              <w:rPr>
                <w:rFonts w:hint="eastAsia" w:ascii="宋体" w:hAnsi="宋体" w:cs="宋体"/>
                <w:b/>
                <w:bCs/>
                <w:color w:val="auto"/>
                <w:sz w:val="24"/>
                <w:szCs w:val="24"/>
                <w:lang w:val="en-US" w:eastAsia="zh-CN"/>
              </w:rPr>
            </w:pPr>
          </w:p>
        </w:tc>
        <w:tc>
          <w:tcPr>
            <w:tcW w:w="2660" w:type="dxa"/>
            <w:tcBorders>
              <w:tl2br w:val="nil"/>
              <w:tr2bl w:val="nil"/>
            </w:tcBorders>
            <w:vAlign w:val="center"/>
          </w:tcPr>
          <w:p>
            <w:pPr>
              <w:rPr>
                <w:rFonts w:hint="eastAsia" w:ascii="宋体" w:hAnsi="宋体" w:eastAsia="宋体" w:cs="宋体"/>
                <w:color w:val="auto"/>
                <w:sz w:val="24"/>
                <w:szCs w:val="24"/>
              </w:rPr>
            </w:pPr>
            <w:r>
              <w:rPr>
                <w:rFonts w:hint="eastAsia"/>
                <w:color w:val="auto"/>
                <w:sz w:val="24"/>
                <w:szCs w:val="24"/>
              </w:rPr>
              <w:t>房地产业及建筑业合作关系指标（</w:t>
            </w:r>
            <w:r>
              <w:rPr>
                <w:rFonts w:hint="eastAsia"/>
                <w:color w:val="auto"/>
                <w:sz w:val="24"/>
                <w:szCs w:val="24"/>
                <w:lang w:val="en-US" w:eastAsia="zh-CN"/>
              </w:rPr>
              <w:t>3</w:t>
            </w:r>
            <w:r>
              <w:rPr>
                <w:rFonts w:hint="eastAsia"/>
                <w:color w:val="auto"/>
                <w:sz w:val="24"/>
                <w:szCs w:val="24"/>
              </w:rPr>
              <w:t>分）</w:t>
            </w:r>
          </w:p>
        </w:tc>
        <w:tc>
          <w:tcPr>
            <w:tcW w:w="4480" w:type="dxa"/>
            <w:tcBorders>
              <w:tl2br w:val="nil"/>
              <w:tr2bl w:val="nil"/>
            </w:tcBorders>
            <w:vAlign w:val="center"/>
          </w:tcPr>
          <w:p>
            <w:pPr>
              <w:rPr>
                <w:rFonts w:hint="eastAsia" w:ascii="宋体" w:hAnsi="宋体" w:eastAsia="宋体" w:cs="宋体"/>
                <w:color w:val="auto"/>
                <w:sz w:val="24"/>
                <w:szCs w:val="24"/>
              </w:rPr>
            </w:pPr>
            <w:r>
              <w:rPr>
                <w:rFonts w:hint="eastAsia"/>
                <w:color w:val="auto"/>
                <w:sz w:val="24"/>
                <w:szCs w:val="24"/>
              </w:rPr>
              <w:t>近五年内竞标银行与当地房地产公司每合作一个房产按揭贷款项目的得1分，累计得分。最高</w:t>
            </w:r>
            <w:r>
              <w:rPr>
                <w:rFonts w:hint="eastAsia"/>
                <w:color w:val="auto"/>
                <w:sz w:val="24"/>
                <w:szCs w:val="24"/>
                <w:lang w:val="en-US" w:eastAsia="zh-CN"/>
              </w:rPr>
              <w:t>3</w:t>
            </w:r>
            <w:r>
              <w:rPr>
                <w:rFonts w:hint="eastAsia"/>
                <w:color w:val="auto"/>
                <w:sz w:val="24"/>
                <w:szCs w:val="24"/>
              </w:rPr>
              <w:t>分；或支持我市建筑业企业贷款500万元以上（含500万元），得</w:t>
            </w:r>
            <w:r>
              <w:rPr>
                <w:rFonts w:hint="eastAsia"/>
                <w:color w:val="auto"/>
                <w:sz w:val="24"/>
                <w:szCs w:val="24"/>
                <w:lang w:val="en-US" w:eastAsia="zh-CN"/>
              </w:rPr>
              <w:t>3</w:t>
            </w:r>
            <w:r>
              <w:rPr>
                <w:rFonts w:hint="eastAsia"/>
                <w:color w:val="auto"/>
                <w:sz w:val="24"/>
                <w:szCs w:val="24"/>
              </w:rPr>
              <w:t>分。两项取其最高分值项。（开标时提供合同或相关证明原件，否则不得分）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 w:hRule="atLeast"/>
          <w:jc w:val="center"/>
        </w:trPr>
        <w:tc>
          <w:tcPr>
            <w:tcW w:w="1360" w:type="dxa"/>
            <w:vMerge w:val="continue"/>
            <w:tcBorders>
              <w:tl2br w:val="nil"/>
              <w:tr2bl w:val="nil"/>
            </w:tcBorders>
            <w:vAlign w:val="center"/>
          </w:tcPr>
          <w:p>
            <w:pPr>
              <w:jc w:val="center"/>
              <w:rPr>
                <w:rFonts w:hint="eastAsia" w:ascii="宋体" w:hAnsi="宋体" w:eastAsia="宋体" w:cs="宋体"/>
                <w:b/>
                <w:bCs/>
                <w:color w:val="auto"/>
                <w:sz w:val="24"/>
              </w:rPr>
            </w:pPr>
          </w:p>
        </w:tc>
        <w:tc>
          <w:tcPr>
            <w:tcW w:w="1080" w:type="dxa"/>
            <w:vMerge w:val="continue"/>
            <w:tcBorders>
              <w:tl2br w:val="nil"/>
              <w:tr2bl w:val="nil"/>
            </w:tcBorders>
            <w:vAlign w:val="center"/>
          </w:tcPr>
          <w:p>
            <w:pPr>
              <w:jc w:val="center"/>
              <w:rPr>
                <w:rFonts w:hint="eastAsia" w:ascii="宋体" w:hAnsi="宋体" w:eastAsia="宋体" w:cs="宋体"/>
                <w:b/>
                <w:bCs/>
                <w:color w:val="auto"/>
                <w:sz w:val="24"/>
                <w:szCs w:val="24"/>
              </w:rPr>
            </w:pPr>
          </w:p>
        </w:tc>
        <w:tc>
          <w:tcPr>
            <w:tcW w:w="2660" w:type="dxa"/>
            <w:tcBorders>
              <w:tl2br w:val="nil"/>
              <w:tr2bl w:val="nil"/>
            </w:tcBorders>
            <w:vAlign w:val="center"/>
          </w:tcPr>
          <w:p>
            <w:pPr>
              <w:rPr>
                <w:rFonts w:hint="eastAsia" w:ascii="宋体" w:hAnsi="宋体" w:eastAsia="宋体" w:cs="宋体"/>
                <w:color w:val="auto"/>
                <w:sz w:val="24"/>
              </w:rPr>
            </w:pPr>
            <w:r>
              <w:rPr>
                <w:rFonts w:hint="eastAsia" w:ascii="宋体" w:hAnsi="宋体" w:eastAsia="宋体" w:cs="宋体"/>
                <w:color w:val="auto"/>
                <w:sz w:val="24"/>
              </w:rPr>
              <w:t>服务相关收费指标</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4480" w:type="dxa"/>
            <w:tcBorders>
              <w:tl2br w:val="nil"/>
              <w:tr2bl w:val="nil"/>
            </w:tcBorders>
            <w:vAlign w:val="center"/>
          </w:tcPr>
          <w:p>
            <w:pPr>
              <w:rPr>
                <w:rFonts w:hint="eastAsia" w:ascii="宋体" w:hAnsi="宋体" w:eastAsia="宋体" w:cs="宋体"/>
                <w:color w:val="auto"/>
                <w:sz w:val="24"/>
              </w:rPr>
            </w:pPr>
            <w:r>
              <w:rPr>
                <w:rFonts w:hint="eastAsia" w:ascii="宋体" w:hAnsi="宋体" w:eastAsia="宋体" w:cs="宋体"/>
                <w:color w:val="auto"/>
                <w:sz w:val="24"/>
                <w:szCs w:val="24"/>
              </w:rPr>
              <w:t>竞标</w:t>
            </w:r>
            <w:r>
              <w:rPr>
                <w:rFonts w:hint="eastAsia" w:ascii="宋体" w:hAnsi="宋体" w:eastAsia="宋体" w:cs="宋体"/>
                <w:color w:val="auto"/>
                <w:sz w:val="24"/>
              </w:rPr>
              <w:t>银行承诺本项目服务相关收费情况为免费，且能提供VIP及优先办理服务，服务得到认可的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rPr>
              <w:t>，有收费及服务不满意的不得分。</w:t>
            </w:r>
          </w:p>
        </w:tc>
      </w:tr>
    </w:tbl>
    <w:p>
      <w:pPr>
        <w:spacing w:line="55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整理和核实评标资料。由</w:t>
      </w:r>
      <w:r>
        <w:rPr>
          <w:rFonts w:hint="eastAsia" w:ascii="宋体" w:hAnsi="宋体" w:cs="宋体"/>
          <w:color w:val="auto"/>
          <w:sz w:val="24"/>
          <w:szCs w:val="24"/>
          <w:lang w:eastAsia="zh-CN"/>
        </w:rPr>
        <w:t>龙泉市住房改革委员会办公室</w:t>
      </w:r>
      <w:r>
        <w:rPr>
          <w:rFonts w:hint="eastAsia" w:ascii="宋体" w:hAnsi="宋体" w:eastAsia="宋体" w:cs="宋体"/>
          <w:color w:val="auto"/>
          <w:sz w:val="24"/>
          <w:szCs w:val="24"/>
        </w:rPr>
        <w:t>提前收集、整理、核实各竞标银行的相关基础资料，供评标参考。</w:t>
      </w:r>
    </w:p>
    <w:p>
      <w:pPr>
        <w:spacing w:line="360" w:lineRule="auto"/>
        <w:ind w:left="478" w:leftChars="228"/>
        <w:rPr>
          <w:rFonts w:hint="eastAsia" w:ascii="宋体" w:hAnsi="宋体" w:eastAsia="宋体" w:cs="宋体"/>
          <w:color w:val="auto"/>
          <w:sz w:val="24"/>
          <w:szCs w:val="24"/>
        </w:rPr>
      </w:pPr>
      <w:r>
        <w:rPr>
          <w:rFonts w:hint="eastAsia" w:ascii="宋体" w:hAnsi="宋体" w:eastAsia="宋体" w:cs="宋体"/>
          <w:color w:val="auto"/>
          <w:sz w:val="24"/>
          <w:szCs w:val="24"/>
        </w:rPr>
        <w:t xml:space="preserve">★总分=定期存款年利率指标+经济贡献度指标+服务水平指标        </w:t>
      </w:r>
    </w:p>
    <w:p>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★计算评分值时保留小数点后两位数。</w:t>
      </w:r>
    </w:p>
    <w:p>
      <w:pPr>
        <w:spacing w:line="360" w:lineRule="auto"/>
        <w:ind w:left="478" w:leftChars="228"/>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b/>
          <w:bCs/>
          <w:color w:val="auto"/>
          <w:sz w:val="24"/>
          <w:szCs w:val="24"/>
          <w:lang w:eastAsia="zh-CN"/>
        </w:rPr>
        <w:t>经济贡献度指标</w:t>
      </w:r>
      <w:r>
        <w:rPr>
          <w:rFonts w:hint="eastAsia" w:ascii="宋体" w:hAnsi="宋体" w:eastAsia="宋体" w:cs="宋体"/>
          <w:color w:val="auto"/>
          <w:sz w:val="24"/>
          <w:szCs w:val="24"/>
        </w:rPr>
        <w:t>以龙泉市金融办提供的</w:t>
      </w:r>
      <w:r>
        <w:rPr>
          <w:rFonts w:hint="eastAsia" w:ascii="宋体" w:hAnsi="宋体" w:cs="宋体"/>
          <w:color w:val="auto"/>
          <w:sz w:val="24"/>
          <w:szCs w:val="24"/>
          <w:lang w:eastAsia="zh-CN"/>
        </w:rPr>
        <w:t>2019年12月底</w:t>
      </w:r>
      <w:r>
        <w:rPr>
          <w:rFonts w:hint="eastAsia" w:ascii="宋体" w:hAnsi="宋体" w:eastAsia="宋体" w:cs="宋体"/>
          <w:color w:val="auto"/>
          <w:sz w:val="24"/>
          <w:szCs w:val="24"/>
        </w:rPr>
        <w:t>数据、人民银行龙泉市支行提供的</w:t>
      </w:r>
      <w:r>
        <w:rPr>
          <w:rFonts w:hint="eastAsia" w:ascii="宋体" w:hAnsi="宋体" w:cs="宋体"/>
          <w:color w:val="auto"/>
          <w:sz w:val="24"/>
          <w:szCs w:val="24"/>
          <w:lang w:eastAsia="zh-CN"/>
        </w:rPr>
        <w:t>2019年12月底</w:t>
      </w:r>
      <w:r>
        <w:rPr>
          <w:rFonts w:hint="eastAsia" w:ascii="宋体" w:hAnsi="宋体" w:eastAsia="宋体" w:cs="宋体"/>
          <w:color w:val="auto"/>
          <w:sz w:val="24"/>
          <w:szCs w:val="24"/>
        </w:rPr>
        <w:t>数据和</w:t>
      </w:r>
      <w:r>
        <w:rPr>
          <w:rFonts w:hint="eastAsia" w:ascii="宋体" w:hAnsi="宋体" w:cs="宋体"/>
          <w:color w:val="auto"/>
          <w:sz w:val="24"/>
          <w:szCs w:val="24"/>
          <w:lang w:eastAsia="zh-CN"/>
        </w:rPr>
        <w:t>2019年12月底</w:t>
      </w:r>
      <w:r>
        <w:rPr>
          <w:rFonts w:hint="eastAsia" w:ascii="宋体" w:hAnsi="宋体" w:eastAsia="宋体" w:cs="宋体"/>
          <w:color w:val="auto"/>
          <w:sz w:val="24"/>
          <w:szCs w:val="24"/>
        </w:rPr>
        <w:t>税务部门入库的税收地方部分数据为准。</w:t>
      </w:r>
    </w:p>
    <w:p>
      <w:pPr>
        <w:spacing w:line="360" w:lineRule="auto"/>
        <w:ind w:left="478" w:leftChars="228"/>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bCs/>
          <w:color w:val="auto"/>
          <w:sz w:val="24"/>
          <w:szCs w:val="24"/>
        </w:rPr>
        <w:t>服务水平指标</w:t>
      </w:r>
      <w:r>
        <w:rPr>
          <w:rFonts w:hint="eastAsia" w:ascii="宋体" w:hAnsi="宋体" w:eastAsia="宋体" w:cs="宋体"/>
          <w:color w:val="auto"/>
          <w:sz w:val="24"/>
          <w:szCs w:val="24"/>
        </w:rPr>
        <w:t>以投标文件为依据。</w:t>
      </w:r>
    </w:p>
    <w:p>
      <w:pPr>
        <w:pStyle w:val="2"/>
        <w:rPr>
          <w:rFonts w:hint="eastAsia"/>
          <w:color w:val="auto"/>
        </w:rPr>
      </w:pPr>
    </w:p>
    <w:bookmarkEnd w:id="119"/>
    <w:p>
      <w:pPr>
        <w:pStyle w:val="5"/>
        <w:spacing w:before="0" w:after="0" w:line="240" w:lineRule="auto"/>
        <w:rPr>
          <w:rFonts w:hint="eastAsia" w:ascii="宋体" w:hAnsi="宋体" w:eastAsia="宋体" w:cs="宋体"/>
          <w:color w:val="auto"/>
          <w:sz w:val="28"/>
          <w:szCs w:val="21"/>
        </w:rPr>
      </w:pPr>
      <w:bookmarkStart w:id="122" w:name="_Toc471825202"/>
      <w:bookmarkStart w:id="123" w:name="_Toc5513"/>
      <w:bookmarkStart w:id="124" w:name="_Toc404586168"/>
      <w:bookmarkStart w:id="125" w:name="_Toc469928406"/>
      <w:bookmarkStart w:id="126" w:name="_Toc12450"/>
      <w:bookmarkStart w:id="127" w:name="_Toc395544882"/>
      <w:r>
        <w:rPr>
          <w:rFonts w:hint="eastAsia" w:ascii="宋体" w:hAnsi="宋体" w:eastAsia="宋体" w:cs="宋体"/>
          <w:color w:val="auto"/>
        </w:rPr>
        <w:t>投标文件封面格式</w:t>
      </w:r>
      <w:bookmarkEnd w:id="122"/>
      <w:bookmarkEnd w:id="123"/>
      <w:bookmarkEnd w:id="124"/>
      <w:bookmarkEnd w:id="125"/>
      <w:bookmarkEnd w:id="126"/>
    </w:p>
    <w:p>
      <w:pPr>
        <w:jc w:val="center"/>
        <w:outlineLvl w:val="1"/>
        <w:rPr>
          <w:rFonts w:hint="eastAsia" w:ascii="宋体" w:hAnsi="宋体" w:eastAsia="宋体" w:cs="宋体"/>
          <w:color w:val="auto"/>
          <w:sz w:val="36"/>
        </w:rPr>
      </w:pPr>
      <w:bookmarkStart w:id="128" w:name="_Toc31160"/>
      <w:r>
        <w:rPr>
          <w:rFonts w:hint="eastAsia" w:ascii="宋体" w:hAnsi="宋体" w:eastAsia="宋体" w:cs="宋体"/>
          <w:color w:val="auto"/>
          <w:sz w:val="44"/>
        </w:rPr>
        <w:t>外包装封面格式（不可缺）</w:t>
      </w:r>
      <w:bookmarkEnd w:id="128"/>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0" w:hRule="atLeast"/>
          <w:jc w:val="center"/>
        </w:trPr>
        <w:tc>
          <w:tcPr>
            <w:tcW w:w="9261" w:type="dxa"/>
            <w:gridSpan w:val="2"/>
            <w:tcBorders>
              <w:top w:val="single" w:color="auto" w:sz="18" w:space="0"/>
              <w:left w:val="single" w:color="auto" w:sz="18" w:space="0"/>
              <w:right w:val="single" w:color="auto" w:sz="18" w:space="0"/>
            </w:tcBorders>
          </w:tcPr>
          <w:p>
            <w:pPr>
              <w:rPr>
                <w:rFonts w:hint="eastAsia" w:ascii="宋体" w:hAnsi="宋体" w:eastAsia="宋体" w:cs="宋体"/>
                <w:color w:val="auto"/>
                <w:sz w:val="36"/>
              </w:rPr>
            </w:pPr>
            <w:r>
              <w:rPr>
                <w:rFonts w:hint="eastAsia" w:ascii="宋体" w:hAnsi="宋体" w:eastAsia="宋体" w:cs="宋体"/>
                <w:color w:val="auto"/>
                <w:sz w:val="36"/>
                <w:lang w:eastAsia="zh-CN"/>
              </w:rPr>
              <w:t>采购编号</w:t>
            </w:r>
            <w:r>
              <w:rPr>
                <w:rFonts w:hint="eastAsia" w:ascii="宋体" w:hAnsi="宋体" w:eastAsia="宋体" w:cs="宋体"/>
                <w:color w:val="auto"/>
                <w:sz w:val="36"/>
              </w:rPr>
              <w:t>：</w:t>
            </w:r>
            <w:r>
              <w:rPr>
                <w:rFonts w:hint="eastAsia" w:ascii="宋体" w:hAnsi="宋体" w:eastAsia="宋体" w:cs="宋体"/>
                <w:color w:val="auto"/>
                <w:sz w:val="36"/>
                <w:u w:val="single"/>
              </w:rPr>
              <w:t xml:space="preserve">                                        </w:t>
            </w:r>
          </w:p>
          <w:p>
            <w:pPr>
              <w:rPr>
                <w:rFonts w:hint="eastAsia" w:ascii="宋体" w:hAnsi="宋体" w:eastAsia="宋体" w:cs="宋体"/>
                <w:color w:val="auto"/>
                <w:sz w:val="36"/>
              </w:rPr>
            </w:pPr>
          </w:p>
          <w:p>
            <w:pPr>
              <w:rPr>
                <w:rFonts w:hint="eastAsia" w:ascii="宋体" w:hAnsi="宋体" w:eastAsia="宋体" w:cs="宋体"/>
                <w:color w:val="auto"/>
                <w:sz w:val="36"/>
                <w:u w:val="single"/>
              </w:rPr>
            </w:pPr>
            <w:r>
              <w:rPr>
                <w:rFonts w:hint="eastAsia" w:ascii="宋体" w:hAnsi="宋体" w:eastAsia="宋体" w:cs="宋体"/>
                <w:color w:val="auto"/>
                <w:sz w:val="36"/>
              </w:rPr>
              <w:t>投标项目名称：</w:t>
            </w:r>
            <w:r>
              <w:rPr>
                <w:rFonts w:hint="eastAsia" w:ascii="宋体" w:hAnsi="宋体" w:eastAsia="宋体" w:cs="宋体"/>
                <w:color w:val="auto"/>
                <w:sz w:val="36"/>
                <w:u w:val="single"/>
              </w:rPr>
              <w:t xml:space="preserve">                                      </w:t>
            </w:r>
          </w:p>
          <w:p>
            <w:pPr>
              <w:rPr>
                <w:rFonts w:hint="eastAsia" w:ascii="宋体" w:hAnsi="宋体" w:eastAsia="宋体" w:cs="宋体"/>
                <w:color w:val="auto"/>
                <w:sz w:val="36"/>
              </w:rPr>
            </w:pPr>
          </w:p>
          <w:p>
            <w:pPr>
              <w:rPr>
                <w:rFonts w:hint="eastAsia" w:ascii="宋体" w:hAnsi="宋体" w:eastAsia="宋体" w:cs="宋体"/>
                <w:color w:val="auto"/>
                <w:sz w:val="36"/>
                <w:u w:val="single"/>
              </w:rPr>
            </w:pPr>
            <w:r>
              <w:rPr>
                <w:rFonts w:hint="eastAsia" w:ascii="宋体" w:hAnsi="宋体" w:eastAsia="宋体" w:cs="宋体"/>
                <w:color w:val="auto"/>
                <w:sz w:val="36"/>
              </w:rPr>
              <w:t xml:space="preserve">投标人全称（公章）：            </w:t>
            </w:r>
          </w:p>
          <w:p>
            <w:pPr>
              <w:rPr>
                <w:rFonts w:hint="eastAsia" w:ascii="宋体" w:hAnsi="宋体" w:eastAsia="宋体" w:cs="宋体"/>
                <w:color w:val="auto"/>
                <w:sz w:val="36"/>
                <w:u w:val="single"/>
              </w:rPr>
            </w:pPr>
          </w:p>
          <w:p>
            <w:pPr>
              <w:rPr>
                <w:rFonts w:hint="eastAsia" w:ascii="宋体" w:hAnsi="宋体" w:eastAsia="宋体" w:cs="宋体"/>
                <w:color w:val="auto"/>
                <w:sz w:val="36"/>
                <w:u w:val="single"/>
              </w:rPr>
            </w:pPr>
            <w:r>
              <w:rPr>
                <w:rFonts w:hint="eastAsia" w:ascii="宋体" w:hAnsi="宋体" w:eastAsia="宋体" w:cs="宋体"/>
                <w:color w:val="auto"/>
                <w:sz w:val="36"/>
              </w:rPr>
              <w:t>法定代表人或授权代表（签字或盖章）：</w:t>
            </w:r>
            <w:r>
              <w:rPr>
                <w:rFonts w:hint="eastAsia" w:ascii="宋体" w:hAnsi="宋体" w:eastAsia="宋体" w:cs="宋体"/>
                <w:color w:val="auto"/>
                <w:sz w:val="36"/>
                <w:u w:val="thick"/>
              </w:rPr>
              <w:t xml:space="preserve">               </w:t>
            </w:r>
            <w:r>
              <w:rPr>
                <w:rFonts w:hint="eastAsia" w:ascii="宋体" w:hAnsi="宋体" w:eastAsia="宋体" w:cs="宋体"/>
                <w:color w:val="auto"/>
                <w:sz w:val="36"/>
                <w:u w:val="single"/>
              </w:rPr>
              <w:t xml:space="preserve">        </w:t>
            </w:r>
          </w:p>
          <w:p>
            <w:pPr>
              <w:rPr>
                <w:rFonts w:hint="eastAsia" w:ascii="宋体" w:hAnsi="宋体" w:eastAsia="宋体" w:cs="宋体"/>
                <w:color w:val="auto"/>
                <w:sz w:val="36"/>
                <w:u w:val="single"/>
              </w:rPr>
            </w:pPr>
            <w:r>
              <w:rPr>
                <w:rFonts w:hint="eastAsia" w:ascii="宋体" w:hAnsi="宋体" w:eastAsia="宋体" w:cs="宋体"/>
                <w:color w:val="auto"/>
                <w:sz w:val="36"/>
              </w:rPr>
              <w:t xml:space="preserve"> </w:t>
            </w:r>
          </w:p>
          <w:p>
            <w:pPr>
              <w:rPr>
                <w:rFonts w:hint="eastAsia" w:ascii="宋体" w:hAnsi="宋体" w:eastAsia="宋体" w:cs="宋体"/>
                <w:color w:val="auto"/>
                <w:sz w:val="36"/>
                <w:u w:val="thick"/>
              </w:rPr>
            </w:pPr>
            <w:r>
              <w:rPr>
                <w:rFonts w:hint="eastAsia" w:ascii="宋体" w:hAnsi="宋体" w:eastAsia="宋体" w:cs="宋体"/>
                <w:color w:val="auto"/>
                <w:sz w:val="36"/>
              </w:rPr>
              <w:t>投标人地址：</w:t>
            </w:r>
            <w:r>
              <w:rPr>
                <w:rFonts w:hint="eastAsia" w:ascii="宋体" w:hAnsi="宋体" w:eastAsia="宋体" w:cs="宋体"/>
                <w:color w:val="auto"/>
                <w:sz w:val="36"/>
                <w:u w:val="thick"/>
              </w:rPr>
              <w:t xml:space="preserve">                     </w:t>
            </w:r>
            <w:r>
              <w:rPr>
                <w:rFonts w:hint="eastAsia" w:ascii="宋体" w:hAnsi="宋体" w:eastAsia="宋体" w:cs="宋体"/>
                <w:color w:val="auto"/>
                <w:sz w:val="36"/>
              </w:rPr>
              <w:t>邮编</w:t>
            </w:r>
            <w:r>
              <w:rPr>
                <w:rFonts w:hint="eastAsia" w:ascii="宋体" w:hAnsi="宋体" w:eastAsia="宋体" w:cs="宋体"/>
                <w:color w:val="auto"/>
                <w:sz w:val="36"/>
                <w:u w:val="thick"/>
              </w:rPr>
              <w:t xml:space="preserve">：             </w:t>
            </w:r>
          </w:p>
          <w:p>
            <w:pPr>
              <w:rPr>
                <w:rFonts w:hint="eastAsia" w:ascii="宋体" w:hAnsi="宋体" w:eastAsia="宋体" w:cs="宋体"/>
                <w:color w:val="auto"/>
                <w:sz w:val="36"/>
                <w:u w:val="thick"/>
              </w:rPr>
            </w:pPr>
          </w:p>
          <w:p>
            <w:pPr>
              <w:rPr>
                <w:rFonts w:hint="eastAsia" w:ascii="宋体" w:hAnsi="宋体" w:eastAsia="宋体" w:cs="宋体"/>
                <w:color w:val="auto"/>
                <w:sz w:val="36"/>
                <w:u w:val="thick"/>
              </w:rPr>
            </w:pPr>
            <w:r>
              <w:rPr>
                <w:rFonts w:hint="eastAsia" w:ascii="宋体" w:hAnsi="宋体" w:eastAsia="宋体" w:cs="宋体"/>
                <w:color w:val="auto"/>
                <w:sz w:val="36"/>
              </w:rPr>
              <w:t>投标联系人：</w:t>
            </w:r>
            <w:r>
              <w:rPr>
                <w:rFonts w:hint="eastAsia" w:ascii="宋体" w:hAnsi="宋体" w:eastAsia="宋体" w:cs="宋体"/>
                <w:color w:val="auto"/>
                <w:sz w:val="36"/>
                <w:u w:val="thick"/>
              </w:rPr>
              <w:t xml:space="preserve">                     </w:t>
            </w:r>
            <w:r>
              <w:rPr>
                <w:rFonts w:hint="eastAsia" w:ascii="宋体" w:hAnsi="宋体" w:eastAsia="宋体" w:cs="宋体"/>
                <w:color w:val="auto"/>
                <w:sz w:val="36"/>
              </w:rPr>
              <w:t>电话</w:t>
            </w:r>
            <w:r>
              <w:rPr>
                <w:rFonts w:hint="eastAsia" w:ascii="宋体" w:hAnsi="宋体" w:eastAsia="宋体" w:cs="宋体"/>
                <w:color w:val="auto"/>
                <w:sz w:val="36"/>
                <w:u w:val="thick"/>
              </w:rPr>
              <w:t xml:space="preserve">:              </w:t>
            </w:r>
          </w:p>
          <w:p>
            <w:pPr>
              <w:rPr>
                <w:rFonts w:hint="eastAsia" w:ascii="宋体" w:hAnsi="宋体" w:eastAsia="宋体" w:cs="宋体"/>
                <w:color w:val="auto"/>
                <w:sz w:val="36"/>
                <w:u w:val="thick"/>
              </w:rPr>
            </w:pPr>
          </w:p>
          <w:p>
            <w:pPr>
              <w:rPr>
                <w:rFonts w:hint="eastAsia" w:ascii="宋体" w:hAnsi="宋体" w:eastAsia="宋体" w:cs="宋体"/>
                <w:color w:val="auto"/>
                <w:sz w:val="36"/>
                <w:u w:val="thick"/>
              </w:rPr>
            </w:pPr>
            <w:r>
              <w:rPr>
                <w:rFonts w:hint="eastAsia" w:ascii="宋体" w:hAnsi="宋体" w:eastAsia="宋体" w:cs="宋体"/>
                <w:color w:val="auto"/>
                <w:sz w:val="36"/>
              </w:rPr>
              <w:t>文件密封时：</w:t>
            </w:r>
            <w:r>
              <w:rPr>
                <w:rFonts w:hint="eastAsia" w:ascii="宋体" w:hAnsi="宋体" w:eastAsia="宋体" w:cs="宋体"/>
                <w:color w:val="auto"/>
                <w:sz w:val="36"/>
                <w:u w:val="thick"/>
              </w:rPr>
              <w:t xml:space="preserve">        年   月   日   时   分          </w:t>
            </w:r>
          </w:p>
          <w:p>
            <w:pPr>
              <w:rPr>
                <w:rFonts w:hint="eastAsia" w:ascii="宋体" w:hAnsi="宋体" w:eastAsia="宋体" w:cs="宋体"/>
                <w:color w:val="auto"/>
                <w:sz w:val="36"/>
                <w:u w:val="thick"/>
              </w:rPr>
            </w:pPr>
          </w:p>
          <w:p>
            <w:pPr>
              <w:rPr>
                <w:rFonts w:hint="eastAsia" w:ascii="宋体" w:hAnsi="宋体" w:eastAsia="宋体" w:cs="宋体"/>
                <w:color w:val="auto"/>
                <w:sz w:val="36"/>
                <w:u w:val="thick"/>
              </w:rPr>
            </w:pPr>
            <w:r>
              <w:rPr>
                <w:rFonts w:hint="eastAsia" w:ascii="宋体" w:hAnsi="宋体" w:eastAsia="宋体" w:cs="宋体"/>
                <w:color w:val="auto"/>
                <w:sz w:val="36"/>
              </w:rPr>
              <w:t>文件开封时：</w:t>
            </w:r>
            <w:r>
              <w:rPr>
                <w:rFonts w:hint="eastAsia" w:ascii="宋体" w:hAnsi="宋体" w:eastAsia="宋体" w:cs="宋体"/>
                <w:color w:val="auto"/>
                <w:sz w:val="36"/>
                <w:u w:val="thick"/>
              </w:rPr>
              <w:t xml:space="preserve">     年   月   日   时   分前不得开封 </w:t>
            </w:r>
          </w:p>
          <w:p>
            <w:pPr>
              <w:spacing w:line="360" w:lineRule="auto"/>
              <w:ind w:firstLine="480" w:firstLineChars="200"/>
              <w:jc w:val="left"/>
              <w:rPr>
                <w:rFonts w:hint="eastAsia" w:ascii="宋体" w:hAnsi="宋体" w:eastAsia="宋体" w:cs="宋体"/>
                <w:color w:val="auto"/>
                <w:sz w:val="24"/>
              </w:rPr>
            </w:pP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b/>
                <w:color w:val="auto"/>
                <w:sz w:val="24"/>
              </w:rPr>
              <w:t>投标文件</w:t>
            </w:r>
            <w:r>
              <w:rPr>
                <w:rFonts w:hint="eastAsia" w:ascii="宋体" w:hAnsi="宋体" w:eastAsia="宋体" w:cs="宋体"/>
                <w:color w:val="auto"/>
                <w:sz w:val="24"/>
              </w:rPr>
              <w:t>，正本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份，副本</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份；</w:t>
            </w:r>
          </w:p>
          <w:p>
            <w:pPr>
              <w:spacing w:line="360" w:lineRule="auto"/>
              <w:ind w:firstLine="1040" w:firstLineChars="200"/>
              <w:jc w:val="left"/>
              <w:rPr>
                <w:rFonts w:hint="eastAsia" w:ascii="宋体" w:hAnsi="宋体" w:eastAsia="宋体" w:cs="宋体"/>
                <w:color w:val="auto"/>
                <w:sz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921" w:type="dxa"/>
            <w:tcBorders>
              <w:left w:val="single" w:color="auto" w:sz="18" w:space="0"/>
              <w:bottom w:val="single" w:color="auto" w:sz="12" w:space="0"/>
            </w:tcBorders>
            <w:vAlign w:val="center"/>
          </w:tcPr>
          <w:p>
            <w:pPr>
              <w:jc w:val="center"/>
              <w:rPr>
                <w:rFonts w:hint="eastAsia" w:ascii="宋体" w:hAnsi="宋体" w:eastAsia="宋体" w:cs="宋体"/>
                <w:color w:val="auto"/>
                <w:sz w:val="36"/>
              </w:rPr>
            </w:pPr>
            <w:r>
              <w:rPr>
                <w:rFonts w:hint="eastAsia" w:ascii="宋体" w:hAnsi="宋体" w:eastAsia="宋体" w:cs="宋体"/>
                <w:color w:val="auto"/>
                <w:sz w:val="36"/>
              </w:rPr>
              <w:t>说</w:t>
            </w:r>
          </w:p>
          <w:p>
            <w:pPr>
              <w:jc w:val="center"/>
              <w:rPr>
                <w:rFonts w:hint="eastAsia" w:ascii="宋体" w:hAnsi="宋体" w:eastAsia="宋体" w:cs="宋体"/>
                <w:color w:val="auto"/>
                <w:sz w:val="36"/>
              </w:rPr>
            </w:pPr>
            <w:r>
              <w:rPr>
                <w:rFonts w:hint="eastAsia" w:ascii="宋体" w:hAnsi="宋体" w:eastAsia="宋体" w:cs="宋体"/>
                <w:color w:val="auto"/>
                <w:sz w:val="36"/>
              </w:rPr>
              <w:t>明</w:t>
            </w:r>
          </w:p>
        </w:tc>
        <w:tc>
          <w:tcPr>
            <w:tcW w:w="8340" w:type="dxa"/>
            <w:tcBorders>
              <w:bottom w:val="single" w:color="auto" w:sz="12" w:space="0"/>
              <w:right w:val="single" w:color="auto" w:sz="18" w:space="0"/>
            </w:tcBorders>
            <w:vAlign w:val="center"/>
          </w:tcPr>
          <w:p>
            <w:pPr>
              <w:widowControl/>
              <w:rPr>
                <w:rFonts w:hint="eastAsia" w:ascii="宋体" w:hAnsi="宋体" w:eastAsia="宋体" w:cs="宋体"/>
                <w:color w:val="auto"/>
              </w:rPr>
            </w:pPr>
            <w:r>
              <w:rPr>
                <w:rFonts w:hint="eastAsia" w:ascii="宋体" w:hAnsi="宋体" w:eastAsia="宋体" w:cs="宋体"/>
                <w:color w:val="auto"/>
              </w:rPr>
              <w:t>1.投标文件密封封面必须用永久性笔迹详细填写或打印；</w:t>
            </w:r>
          </w:p>
          <w:p>
            <w:pPr>
              <w:widowControl/>
              <w:rPr>
                <w:rFonts w:hint="eastAsia" w:ascii="宋体" w:hAnsi="宋体" w:eastAsia="宋体" w:cs="宋体"/>
                <w:color w:val="auto"/>
                <w:sz w:val="24"/>
              </w:rPr>
            </w:pPr>
            <w:r>
              <w:rPr>
                <w:rFonts w:hint="eastAsia" w:ascii="宋体" w:hAnsi="宋体" w:eastAsia="宋体" w:cs="宋体"/>
                <w:color w:val="auto"/>
              </w:rPr>
              <w:t xml:space="preserve">2. </w:t>
            </w:r>
            <w:r>
              <w:rPr>
                <w:rStyle w:val="34"/>
                <w:rFonts w:hint="eastAsia" w:ascii="宋体" w:hAnsi="宋体" w:eastAsia="宋体" w:cs="宋体"/>
                <w:b w:val="0"/>
                <w:color w:val="auto"/>
              </w:rPr>
              <w:t>在密封口处加盖投标单位的公章和法定代表人印章</w:t>
            </w:r>
            <w:r>
              <w:rPr>
                <w:rFonts w:hint="eastAsia" w:ascii="宋体" w:hAnsi="宋体" w:eastAsia="宋体" w:cs="宋体"/>
                <w:color w:val="auto"/>
              </w:rPr>
              <w:t>。</w:t>
            </w:r>
          </w:p>
        </w:tc>
      </w:tr>
    </w:tbl>
    <w:p>
      <w:pPr>
        <w:pStyle w:val="3"/>
        <w:ind w:right="140"/>
        <w:jc w:val="right"/>
        <w:rPr>
          <w:rFonts w:hint="eastAsia" w:ascii="宋体" w:hAnsi="宋体" w:eastAsia="宋体" w:cs="宋体"/>
          <w:bCs/>
          <w:color w:val="auto"/>
        </w:rPr>
      </w:pPr>
    </w:p>
    <w:p>
      <w:pPr>
        <w:pStyle w:val="3"/>
        <w:ind w:right="140"/>
        <w:jc w:val="right"/>
        <w:outlineLvl w:val="1"/>
        <w:rPr>
          <w:rFonts w:hint="eastAsia" w:ascii="宋体" w:hAnsi="宋体" w:eastAsia="宋体" w:cs="宋体"/>
          <w:color w:val="auto"/>
          <w:sz w:val="21"/>
          <w:szCs w:val="21"/>
        </w:rPr>
      </w:pPr>
      <w:bookmarkStart w:id="129" w:name="_Toc22453"/>
      <w:r>
        <w:rPr>
          <w:rFonts w:hint="eastAsia" w:ascii="宋体" w:hAnsi="宋体" w:eastAsia="宋体" w:cs="宋体"/>
          <w:bCs/>
          <w:color w:val="auto"/>
        </w:rPr>
        <w:t>正本/或副本</w:t>
      </w:r>
      <w:bookmarkEnd w:id="129"/>
    </w:p>
    <w:p>
      <w:pPr>
        <w:pStyle w:val="3"/>
        <w:rPr>
          <w:rFonts w:hint="eastAsia" w:ascii="宋体" w:hAnsi="宋体" w:eastAsia="宋体" w:cs="宋体"/>
          <w:color w:val="auto"/>
          <w:sz w:val="48"/>
          <w:szCs w:val="48"/>
        </w:rPr>
      </w:pPr>
    </w:p>
    <w:p>
      <w:pPr>
        <w:pStyle w:val="3"/>
        <w:jc w:val="center"/>
        <w:outlineLvl w:val="1"/>
        <w:rPr>
          <w:rFonts w:hint="eastAsia" w:ascii="宋体" w:hAnsi="宋体" w:eastAsia="宋体" w:cs="宋体"/>
          <w:color w:val="auto"/>
          <w:sz w:val="40"/>
          <w:szCs w:val="48"/>
          <w:lang w:eastAsia="zh-CN"/>
        </w:rPr>
      </w:pPr>
      <w:bookmarkStart w:id="130" w:name="_Toc29971"/>
      <w:r>
        <w:rPr>
          <w:rFonts w:hint="eastAsia" w:ascii="宋体" w:hAnsi="宋体" w:eastAsia="宋体" w:cs="宋体"/>
          <w:b/>
          <w:color w:val="auto"/>
          <w:sz w:val="40"/>
          <w:szCs w:val="48"/>
          <w:lang w:eastAsia="zh-CN"/>
        </w:rPr>
        <w:t>龙泉市房改资金竞争性存放项目</w:t>
      </w:r>
      <w:bookmarkEnd w:id="130"/>
    </w:p>
    <w:p>
      <w:pPr>
        <w:rPr>
          <w:rFonts w:hint="eastAsia" w:ascii="宋体" w:hAnsi="宋体" w:eastAsia="宋体" w:cs="宋体"/>
          <w:b/>
          <w:color w:val="auto"/>
          <w:sz w:val="30"/>
          <w:szCs w:val="30"/>
        </w:rPr>
      </w:pPr>
    </w:p>
    <w:p>
      <w:pPr>
        <w:pStyle w:val="29"/>
        <w:widowControl w:val="0"/>
        <w:jc w:val="center"/>
        <w:outlineLvl w:val="1"/>
        <w:rPr>
          <w:rFonts w:hint="eastAsia" w:ascii="宋体" w:hAnsi="宋体" w:eastAsia="宋体" w:cs="宋体"/>
          <w:b/>
          <w:bCs/>
          <w:color w:val="auto"/>
          <w:spacing w:val="120"/>
          <w:sz w:val="48"/>
          <w:szCs w:val="52"/>
        </w:rPr>
      </w:pPr>
      <w:bookmarkStart w:id="131" w:name="_Toc12841"/>
      <w:r>
        <w:rPr>
          <w:rFonts w:hint="eastAsia" w:ascii="宋体" w:hAnsi="宋体" w:eastAsia="宋体" w:cs="宋体"/>
          <w:b/>
          <w:bCs/>
          <w:color w:val="auto"/>
          <w:spacing w:val="120"/>
          <w:sz w:val="48"/>
          <w:szCs w:val="52"/>
        </w:rPr>
        <w:t>投标文件</w:t>
      </w:r>
      <w:bookmarkEnd w:id="131"/>
    </w:p>
    <w:p>
      <w:pPr>
        <w:pStyle w:val="29"/>
        <w:widowControl w:val="0"/>
        <w:ind w:firstLine="640" w:firstLineChars="200"/>
        <w:rPr>
          <w:rFonts w:hint="eastAsia" w:ascii="宋体" w:hAnsi="宋体" w:eastAsia="宋体" w:cs="宋体"/>
          <w:color w:val="auto"/>
          <w:sz w:val="32"/>
        </w:rPr>
      </w:pPr>
    </w:p>
    <w:p>
      <w:pPr>
        <w:pStyle w:val="29"/>
        <w:widowControl w:val="0"/>
        <w:ind w:firstLine="640" w:firstLineChars="200"/>
        <w:outlineLvl w:val="1"/>
        <w:rPr>
          <w:rFonts w:hint="eastAsia" w:ascii="宋体" w:hAnsi="宋体" w:eastAsia="宋体" w:cs="宋体"/>
          <w:b w:val="0"/>
          <w:bCs w:val="0"/>
          <w:color w:val="auto"/>
          <w:sz w:val="32"/>
          <w:u w:val="single"/>
        </w:rPr>
      </w:pPr>
      <w:bookmarkStart w:id="132" w:name="_Toc18886"/>
      <w:r>
        <w:rPr>
          <w:rFonts w:hint="eastAsia" w:ascii="宋体" w:hAnsi="宋体" w:eastAsia="宋体" w:cs="宋体"/>
          <w:b w:val="0"/>
          <w:bCs w:val="0"/>
          <w:color w:val="auto"/>
          <w:sz w:val="32"/>
          <w:lang w:eastAsia="zh-CN"/>
        </w:rPr>
        <w:t>采购编号</w:t>
      </w:r>
      <w:r>
        <w:rPr>
          <w:rFonts w:hint="eastAsia" w:ascii="宋体" w:hAnsi="宋体" w:eastAsia="宋体" w:cs="宋体"/>
          <w:b w:val="0"/>
          <w:bCs w:val="0"/>
          <w:color w:val="auto"/>
          <w:sz w:val="32"/>
        </w:rPr>
        <w:t>：</w:t>
      </w:r>
      <w:bookmarkEnd w:id="132"/>
      <w:r>
        <w:rPr>
          <w:rFonts w:hint="eastAsia" w:ascii="宋体" w:hAnsi="宋体" w:eastAsia="宋体" w:cs="宋体"/>
          <w:b w:val="0"/>
          <w:bCs w:val="0"/>
          <w:color w:val="auto"/>
          <w:sz w:val="32"/>
          <w:u w:val="single"/>
        </w:rPr>
        <w:t xml:space="preserve">                                    </w:t>
      </w:r>
    </w:p>
    <w:p>
      <w:pPr>
        <w:pStyle w:val="29"/>
        <w:widowControl w:val="0"/>
        <w:ind w:firstLine="640" w:firstLineChars="200"/>
        <w:rPr>
          <w:rFonts w:hint="eastAsia" w:ascii="宋体" w:hAnsi="宋体" w:eastAsia="宋体" w:cs="宋体"/>
          <w:b w:val="0"/>
          <w:bCs w:val="0"/>
          <w:color w:val="auto"/>
          <w:sz w:val="32"/>
        </w:rPr>
      </w:pPr>
    </w:p>
    <w:p>
      <w:pPr>
        <w:pStyle w:val="29"/>
        <w:widowControl w:val="0"/>
        <w:ind w:firstLine="640" w:firstLineChars="200"/>
        <w:outlineLvl w:val="1"/>
        <w:rPr>
          <w:rFonts w:hint="eastAsia" w:ascii="宋体" w:hAnsi="宋体" w:eastAsia="宋体" w:cs="宋体"/>
          <w:b w:val="0"/>
          <w:bCs w:val="0"/>
          <w:color w:val="auto"/>
          <w:sz w:val="32"/>
          <w:u w:val="single"/>
        </w:rPr>
      </w:pPr>
      <w:bookmarkStart w:id="133" w:name="_Toc11014"/>
      <w:r>
        <w:rPr>
          <w:rFonts w:hint="eastAsia" w:ascii="宋体" w:hAnsi="宋体" w:eastAsia="宋体" w:cs="宋体"/>
          <w:b w:val="0"/>
          <w:bCs w:val="0"/>
          <w:color w:val="auto"/>
          <w:sz w:val="32"/>
        </w:rPr>
        <w:t>项目名称：</w:t>
      </w:r>
      <w:bookmarkEnd w:id="133"/>
      <w:r>
        <w:rPr>
          <w:rFonts w:hint="eastAsia" w:ascii="宋体" w:hAnsi="宋体" w:eastAsia="宋体" w:cs="宋体"/>
          <w:b w:val="0"/>
          <w:bCs w:val="0"/>
          <w:color w:val="auto"/>
          <w:sz w:val="32"/>
          <w:u w:val="single"/>
        </w:rPr>
        <w:t xml:space="preserve">                                    </w:t>
      </w:r>
    </w:p>
    <w:p>
      <w:pPr>
        <w:pStyle w:val="29"/>
        <w:widowControl w:val="0"/>
        <w:ind w:firstLine="640" w:firstLineChars="200"/>
        <w:rPr>
          <w:rStyle w:val="34"/>
          <w:rFonts w:hint="eastAsia" w:ascii="宋体" w:hAnsi="宋体" w:eastAsia="宋体" w:cs="宋体"/>
          <w:b w:val="0"/>
          <w:bCs w:val="0"/>
          <w:color w:val="auto"/>
          <w:sz w:val="32"/>
        </w:rPr>
      </w:pPr>
    </w:p>
    <w:p>
      <w:pPr>
        <w:pStyle w:val="29"/>
        <w:widowControl w:val="0"/>
        <w:ind w:firstLine="640" w:firstLineChars="200"/>
        <w:outlineLvl w:val="1"/>
        <w:rPr>
          <w:rFonts w:hint="eastAsia" w:ascii="宋体" w:hAnsi="宋体" w:eastAsia="宋体" w:cs="宋体"/>
          <w:b w:val="0"/>
          <w:bCs w:val="0"/>
          <w:color w:val="auto"/>
          <w:sz w:val="32"/>
        </w:rPr>
      </w:pPr>
      <w:bookmarkStart w:id="134" w:name="_Toc4335"/>
      <w:r>
        <w:rPr>
          <w:rStyle w:val="34"/>
          <w:rFonts w:hint="eastAsia" w:ascii="宋体" w:hAnsi="宋体" w:eastAsia="宋体" w:cs="宋体"/>
          <w:b w:val="0"/>
          <w:bCs w:val="0"/>
          <w:color w:val="auto"/>
          <w:sz w:val="32"/>
        </w:rPr>
        <w:t>投 标 人（公章）：</w:t>
      </w:r>
      <w:bookmarkEnd w:id="134"/>
      <w:r>
        <w:rPr>
          <w:rStyle w:val="34"/>
          <w:rFonts w:hint="eastAsia" w:ascii="宋体" w:hAnsi="宋体" w:eastAsia="宋体" w:cs="宋体"/>
          <w:b w:val="0"/>
          <w:bCs w:val="0"/>
          <w:color w:val="auto"/>
          <w:sz w:val="32"/>
        </w:rPr>
        <w:t xml:space="preserve">                </w:t>
      </w:r>
      <w:r>
        <w:rPr>
          <w:rFonts w:hint="eastAsia" w:ascii="宋体" w:hAnsi="宋体" w:eastAsia="宋体" w:cs="宋体"/>
          <w:b w:val="0"/>
          <w:bCs w:val="0"/>
          <w:color w:val="auto"/>
        </w:rPr>
        <w:t xml:space="preserve">            </w:t>
      </w:r>
    </w:p>
    <w:p>
      <w:pPr>
        <w:pStyle w:val="29"/>
        <w:widowControl w:val="0"/>
        <w:ind w:firstLine="640" w:firstLineChars="200"/>
        <w:rPr>
          <w:rStyle w:val="34"/>
          <w:rFonts w:hint="eastAsia" w:ascii="宋体" w:hAnsi="宋体" w:eastAsia="宋体" w:cs="宋体"/>
          <w:b w:val="0"/>
          <w:bCs w:val="0"/>
          <w:color w:val="auto"/>
          <w:sz w:val="32"/>
        </w:rPr>
      </w:pPr>
    </w:p>
    <w:p>
      <w:pPr>
        <w:pStyle w:val="29"/>
        <w:widowControl w:val="0"/>
        <w:ind w:firstLine="640" w:firstLineChars="200"/>
        <w:outlineLvl w:val="1"/>
        <w:rPr>
          <w:rStyle w:val="34"/>
          <w:rFonts w:hint="eastAsia" w:ascii="宋体" w:hAnsi="宋体" w:eastAsia="宋体" w:cs="宋体"/>
          <w:b w:val="0"/>
          <w:bCs w:val="0"/>
          <w:color w:val="auto"/>
          <w:sz w:val="32"/>
        </w:rPr>
      </w:pPr>
      <w:bookmarkStart w:id="135" w:name="_Toc31849"/>
      <w:r>
        <w:rPr>
          <w:rStyle w:val="34"/>
          <w:rFonts w:hint="eastAsia" w:ascii="宋体" w:hAnsi="宋体" w:eastAsia="宋体" w:cs="宋体"/>
          <w:b w:val="0"/>
          <w:bCs w:val="0"/>
          <w:color w:val="auto"/>
          <w:sz w:val="32"/>
        </w:rPr>
        <w:t>法定代表人或授权代表（签字或盖章）：</w:t>
      </w:r>
      <w:bookmarkEnd w:id="135"/>
      <w:r>
        <w:rPr>
          <w:rStyle w:val="34"/>
          <w:rFonts w:hint="eastAsia" w:ascii="宋体" w:hAnsi="宋体" w:eastAsia="宋体" w:cs="宋体"/>
          <w:b w:val="0"/>
          <w:bCs w:val="0"/>
          <w:color w:val="auto"/>
          <w:sz w:val="32"/>
          <w:u w:val="single"/>
        </w:rPr>
        <w:t xml:space="preserve">              </w:t>
      </w:r>
    </w:p>
    <w:p>
      <w:pPr>
        <w:pStyle w:val="29"/>
        <w:widowControl w:val="0"/>
        <w:ind w:firstLine="640" w:firstLineChars="200"/>
        <w:rPr>
          <w:rStyle w:val="34"/>
          <w:rFonts w:hint="eastAsia" w:ascii="宋体" w:hAnsi="宋体" w:eastAsia="宋体" w:cs="宋体"/>
          <w:b w:val="0"/>
          <w:bCs w:val="0"/>
          <w:color w:val="auto"/>
          <w:sz w:val="32"/>
        </w:rPr>
      </w:pPr>
    </w:p>
    <w:p>
      <w:pPr>
        <w:pStyle w:val="29"/>
        <w:widowControl w:val="0"/>
        <w:ind w:firstLine="640" w:firstLineChars="200"/>
        <w:outlineLvl w:val="1"/>
        <w:rPr>
          <w:rStyle w:val="34"/>
          <w:rFonts w:hint="eastAsia" w:ascii="宋体" w:hAnsi="宋体" w:eastAsia="宋体" w:cs="宋体"/>
          <w:b w:val="0"/>
          <w:bCs w:val="0"/>
          <w:color w:val="auto"/>
          <w:sz w:val="32"/>
          <w:u w:val="single"/>
        </w:rPr>
      </w:pPr>
      <w:bookmarkStart w:id="136" w:name="_Toc29642"/>
      <w:r>
        <w:rPr>
          <w:rStyle w:val="34"/>
          <w:rFonts w:hint="eastAsia" w:ascii="宋体" w:hAnsi="宋体" w:eastAsia="宋体" w:cs="宋体"/>
          <w:b w:val="0"/>
          <w:bCs w:val="0"/>
          <w:color w:val="auto"/>
          <w:sz w:val="32"/>
        </w:rPr>
        <w:t>联 系 人：</w:t>
      </w:r>
      <w:r>
        <w:rPr>
          <w:rStyle w:val="34"/>
          <w:rFonts w:hint="eastAsia" w:ascii="宋体" w:hAnsi="宋体" w:eastAsia="宋体" w:cs="宋体"/>
          <w:b w:val="0"/>
          <w:bCs w:val="0"/>
          <w:color w:val="auto"/>
          <w:sz w:val="32"/>
          <w:u w:val="single"/>
        </w:rPr>
        <w:t xml:space="preserve">          </w:t>
      </w:r>
      <w:r>
        <w:rPr>
          <w:rStyle w:val="34"/>
          <w:rFonts w:hint="eastAsia" w:ascii="宋体" w:hAnsi="宋体" w:eastAsia="宋体" w:cs="宋体"/>
          <w:b w:val="0"/>
          <w:bCs w:val="0"/>
          <w:color w:val="auto"/>
          <w:sz w:val="32"/>
        </w:rPr>
        <w:t>电话：</w:t>
      </w:r>
      <w:r>
        <w:rPr>
          <w:rStyle w:val="34"/>
          <w:rFonts w:hint="eastAsia" w:ascii="宋体" w:hAnsi="宋体" w:eastAsia="宋体" w:cs="宋体"/>
          <w:b w:val="0"/>
          <w:bCs w:val="0"/>
          <w:color w:val="auto"/>
          <w:sz w:val="32"/>
          <w:u w:val="single"/>
        </w:rPr>
        <w:t xml:space="preserve">      </w:t>
      </w:r>
      <w:r>
        <w:rPr>
          <w:rStyle w:val="34"/>
          <w:rFonts w:hint="eastAsia" w:ascii="宋体" w:hAnsi="宋体" w:eastAsia="宋体" w:cs="宋体"/>
          <w:b w:val="0"/>
          <w:bCs w:val="0"/>
          <w:color w:val="auto"/>
          <w:sz w:val="32"/>
        </w:rPr>
        <w:t>手机：</w:t>
      </w:r>
      <w:bookmarkEnd w:id="136"/>
      <w:r>
        <w:rPr>
          <w:rStyle w:val="34"/>
          <w:rFonts w:hint="eastAsia" w:ascii="宋体" w:hAnsi="宋体" w:eastAsia="宋体" w:cs="宋体"/>
          <w:b w:val="0"/>
          <w:bCs w:val="0"/>
          <w:color w:val="auto"/>
          <w:sz w:val="32"/>
          <w:u w:val="single"/>
        </w:rPr>
        <w:t xml:space="preserve">        </w:t>
      </w:r>
    </w:p>
    <w:p>
      <w:pPr>
        <w:pStyle w:val="5"/>
        <w:spacing w:before="0" w:after="0" w:line="240" w:lineRule="auto"/>
        <w:outlineLvl w:val="0"/>
        <w:rPr>
          <w:rFonts w:hint="eastAsia" w:ascii="宋体" w:hAnsi="宋体" w:eastAsia="宋体" w:cs="宋体"/>
          <w:color w:val="auto"/>
        </w:rPr>
      </w:pPr>
      <w:bookmarkStart w:id="137" w:name="_Toc27625"/>
      <w:bookmarkStart w:id="138" w:name="_Toc471825203"/>
      <w:bookmarkStart w:id="139" w:name="_Toc17649"/>
      <w:bookmarkStart w:id="140" w:name="_Toc21603"/>
      <w:bookmarkStart w:id="141" w:name="_Toc5676"/>
      <w:r>
        <w:rPr>
          <w:rFonts w:hint="eastAsia" w:ascii="宋体" w:hAnsi="宋体" w:eastAsia="宋体" w:cs="宋体"/>
          <w:color w:val="auto"/>
        </w:rPr>
        <w:t>第六章　</w:t>
      </w:r>
      <w:bookmarkEnd w:id="127"/>
      <w:r>
        <w:rPr>
          <w:rFonts w:hint="eastAsia" w:ascii="宋体" w:hAnsi="宋体" w:eastAsia="宋体" w:cs="宋体"/>
          <w:color w:val="auto"/>
        </w:rPr>
        <w:t>投标文件格式</w:t>
      </w:r>
      <w:bookmarkEnd w:id="137"/>
      <w:bookmarkEnd w:id="138"/>
      <w:bookmarkEnd w:id="139"/>
      <w:bookmarkEnd w:id="140"/>
      <w:bookmarkEnd w:id="141"/>
    </w:p>
    <w:p>
      <w:pPr>
        <w:tabs>
          <w:tab w:val="left" w:pos="3270"/>
          <w:tab w:val="center" w:pos="4156"/>
        </w:tabs>
        <w:snapToGrid w:val="0"/>
        <w:spacing w:beforeLines="50" w:after="50"/>
        <w:jc w:val="left"/>
        <w:rPr>
          <w:rFonts w:hint="eastAsia" w:ascii="宋体" w:hAnsi="宋体" w:eastAsia="宋体" w:cs="宋体"/>
          <w:b/>
          <w:color w:val="auto"/>
          <w:sz w:val="30"/>
          <w:szCs w:val="30"/>
        </w:rPr>
      </w:pPr>
      <w:r>
        <w:rPr>
          <w:rFonts w:hint="eastAsia" w:ascii="宋体" w:hAnsi="宋体" w:eastAsia="宋体" w:cs="宋体"/>
          <w:b/>
          <w:color w:val="auto"/>
          <w:sz w:val="30"/>
          <w:szCs w:val="30"/>
        </w:rPr>
        <w:tab/>
      </w:r>
    </w:p>
    <w:p>
      <w:pPr>
        <w:spacing w:line="360" w:lineRule="auto"/>
        <w:ind w:firstLine="470" w:firstLineChars="196"/>
        <w:rPr>
          <w:rFonts w:hint="eastAsia" w:ascii="宋体" w:hAnsi="宋体" w:eastAsia="宋体" w:cs="宋体"/>
          <w:color w:val="auto"/>
          <w:sz w:val="24"/>
        </w:rPr>
      </w:pPr>
      <w:bookmarkStart w:id="142" w:name="_Toc404586167"/>
      <w:bookmarkStart w:id="143" w:name="_Toc377716731"/>
      <w:r>
        <w:rPr>
          <w:rFonts w:hint="eastAsia" w:ascii="宋体" w:hAnsi="宋体" w:eastAsia="宋体" w:cs="宋体"/>
          <w:color w:val="auto"/>
          <w:sz w:val="24"/>
        </w:rPr>
        <w:t>一、投标人提交投标文件须知：</w:t>
      </w:r>
    </w:p>
    <w:p>
      <w:pPr>
        <w:spacing w:line="360" w:lineRule="auto"/>
        <w:ind w:left="2"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2、所附表格中要求回答的全部问题或信息都必须正面回答。</w:t>
      </w:r>
    </w:p>
    <w:p>
      <w:pPr>
        <w:spacing w:line="360" w:lineRule="auto"/>
        <w:ind w:left="2"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pPr>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pPr>
        <w:spacing w:line="360" w:lineRule="auto"/>
        <w:ind w:firstLine="480" w:firstLineChars="200"/>
        <w:outlineLvl w:val="0"/>
        <w:rPr>
          <w:rFonts w:hint="eastAsia" w:ascii="宋体" w:hAnsi="宋体" w:eastAsia="宋体" w:cs="宋体"/>
          <w:color w:val="auto"/>
          <w:kern w:val="0"/>
          <w:sz w:val="24"/>
        </w:rPr>
      </w:pPr>
      <w:bookmarkStart w:id="144" w:name="_Toc469928278"/>
      <w:bookmarkStart w:id="145" w:name="_Toc26432"/>
      <w:bookmarkStart w:id="146" w:name="_Toc469928385"/>
      <w:bookmarkStart w:id="147" w:name="_Toc348"/>
      <w:bookmarkStart w:id="148" w:name="_Toc3144"/>
      <w:bookmarkStart w:id="149" w:name="_Toc1462"/>
      <w:r>
        <w:rPr>
          <w:rFonts w:hint="eastAsia" w:ascii="宋体" w:hAnsi="宋体" w:eastAsia="宋体" w:cs="宋体"/>
          <w:color w:val="auto"/>
          <w:sz w:val="24"/>
        </w:rPr>
        <w:t>6、全部文件应按投标人须知中规定的语言和份数提交。投标文件组成漏项或未按规定的格式编制或投标文件正、副本份数不足，内容不全或内容字迹模糊辨认不清的情况，将有可能被评标委员会认定为投标无效。</w:t>
      </w:r>
      <w:bookmarkEnd w:id="144"/>
      <w:bookmarkEnd w:id="145"/>
      <w:bookmarkEnd w:id="146"/>
      <w:bookmarkEnd w:id="147"/>
      <w:bookmarkEnd w:id="148"/>
      <w:bookmarkEnd w:id="149"/>
    </w:p>
    <w:p>
      <w:pPr>
        <w:spacing w:line="360" w:lineRule="auto"/>
        <w:ind w:firstLine="480" w:firstLineChars="200"/>
        <w:outlineLvl w:val="0"/>
        <w:rPr>
          <w:rFonts w:hint="eastAsia" w:ascii="宋体" w:hAnsi="宋体" w:eastAsia="宋体" w:cs="宋体"/>
          <w:color w:val="auto"/>
          <w:sz w:val="24"/>
          <w:lang w:val="zh-CN"/>
        </w:rPr>
      </w:pPr>
      <w:bookmarkStart w:id="150" w:name="_Toc7818"/>
      <w:bookmarkStart w:id="151" w:name="_Toc469928101"/>
      <w:bookmarkStart w:id="152" w:name="_Toc469928279"/>
      <w:bookmarkStart w:id="153" w:name="_Toc469928386"/>
      <w:bookmarkStart w:id="154" w:name="_Toc8025"/>
      <w:bookmarkStart w:id="155" w:name="_Toc2333"/>
      <w:bookmarkStart w:id="156" w:name="_Toc6917"/>
      <w:r>
        <w:rPr>
          <w:rFonts w:hint="eastAsia" w:ascii="宋体" w:hAnsi="宋体" w:eastAsia="宋体" w:cs="宋体"/>
          <w:color w:val="auto"/>
          <w:sz w:val="24"/>
          <w:lang w:val="zh-CN"/>
        </w:rPr>
        <w:t>二、投标文件编制格式及规范要求：</w:t>
      </w:r>
      <w:bookmarkEnd w:id="150"/>
      <w:bookmarkEnd w:id="151"/>
      <w:bookmarkEnd w:id="152"/>
      <w:bookmarkEnd w:id="153"/>
      <w:bookmarkEnd w:id="154"/>
      <w:bookmarkEnd w:id="155"/>
      <w:bookmarkEnd w:id="156"/>
    </w:p>
    <w:p>
      <w:pPr>
        <w:spacing w:line="360" w:lineRule="auto"/>
        <w:ind w:firstLine="480" w:firstLineChars="200"/>
        <w:outlineLvl w:val="0"/>
        <w:rPr>
          <w:rFonts w:hint="eastAsia" w:ascii="宋体" w:hAnsi="宋体" w:eastAsia="宋体" w:cs="宋体"/>
          <w:color w:val="auto"/>
          <w:sz w:val="24"/>
        </w:rPr>
      </w:pPr>
      <w:bookmarkStart w:id="157" w:name="_Toc14181"/>
      <w:bookmarkStart w:id="158" w:name="_Toc10813"/>
      <w:bookmarkStart w:id="159" w:name="_Toc469928102"/>
      <w:bookmarkStart w:id="160" w:name="_Toc469928280"/>
      <w:bookmarkStart w:id="161" w:name="_Toc469928387"/>
      <w:bookmarkStart w:id="162" w:name="_Toc282"/>
      <w:bookmarkStart w:id="163" w:name="_Toc12814"/>
      <w:r>
        <w:rPr>
          <w:rFonts w:hint="eastAsia" w:ascii="宋体" w:hAnsi="宋体" w:eastAsia="宋体" w:cs="宋体"/>
          <w:b/>
          <w:color w:val="auto"/>
          <w:sz w:val="24"/>
        </w:rPr>
        <w:t>商务报价文件</w:t>
      </w:r>
      <w:r>
        <w:rPr>
          <w:rFonts w:hint="eastAsia" w:ascii="宋体" w:hAnsi="宋体" w:eastAsia="宋体" w:cs="宋体"/>
          <w:color w:val="auto"/>
          <w:sz w:val="24"/>
        </w:rPr>
        <w:t>（</w:t>
      </w:r>
      <w:r>
        <w:rPr>
          <w:rFonts w:hint="eastAsia" w:ascii="宋体" w:hAnsi="宋体" w:eastAsia="宋体" w:cs="宋体"/>
          <w:color w:val="auto"/>
          <w:kern w:val="0"/>
          <w:sz w:val="24"/>
        </w:rPr>
        <w:t>投标响应函、</w:t>
      </w:r>
      <w:r>
        <w:rPr>
          <w:rFonts w:hint="eastAsia" w:ascii="宋体" w:hAnsi="宋体" w:eastAsia="宋体" w:cs="宋体"/>
          <w:color w:val="auto"/>
          <w:sz w:val="24"/>
        </w:rPr>
        <w:t>投标（开标）一览表）、</w:t>
      </w:r>
      <w:r>
        <w:rPr>
          <w:rFonts w:hint="eastAsia" w:ascii="宋体" w:hAnsi="宋体" w:eastAsia="宋体" w:cs="宋体"/>
          <w:b/>
          <w:color w:val="auto"/>
          <w:sz w:val="24"/>
        </w:rPr>
        <w:t>商务文件</w:t>
      </w:r>
      <w:r>
        <w:rPr>
          <w:rFonts w:hint="eastAsia" w:ascii="宋体" w:hAnsi="宋体" w:eastAsia="宋体" w:cs="宋体"/>
          <w:color w:val="auto"/>
          <w:sz w:val="24"/>
        </w:rPr>
        <w:t>（商务资格等）二部分。各投标人在编制投标文件时请按照以下格式进行，</w:t>
      </w:r>
      <w:r>
        <w:rPr>
          <w:rFonts w:hint="eastAsia" w:ascii="宋体" w:hAnsi="宋体" w:eastAsia="宋体" w:cs="宋体"/>
          <w:color w:val="auto"/>
          <w:sz w:val="24"/>
          <w:lang w:val="zh-CN"/>
        </w:rPr>
        <w:t>封面注明投标标项，</w:t>
      </w:r>
      <w:r>
        <w:rPr>
          <w:rFonts w:hint="eastAsia" w:ascii="宋体" w:hAnsi="宋体" w:eastAsia="宋体" w:cs="宋体"/>
          <w:color w:val="auto"/>
          <w:sz w:val="24"/>
        </w:rPr>
        <w:t>并按顺序一起装订成册。</w:t>
      </w:r>
      <w:bookmarkEnd w:id="157"/>
      <w:bookmarkEnd w:id="158"/>
      <w:bookmarkEnd w:id="159"/>
      <w:bookmarkEnd w:id="160"/>
      <w:bookmarkEnd w:id="161"/>
      <w:bookmarkEnd w:id="162"/>
      <w:bookmarkEnd w:id="163"/>
    </w:p>
    <w:p>
      <w:pPr>
        <w:spacing w:line="360" w:lineRule="auto"/>
        <w:ind w:firstLine="705" w:firstLineChars="196"/>
        <w:jc w:val="center"/>
        <w:outlineLvl w:val="9"/>
        <w:rPr>
          <w:rFonts w:hint="eastAsia" w:ascii="宋体" w:hAnsi="宋体" w:eastAsia="宋体" w:cs="宋体"/>
          <w:color w:val="auto"/>
          <w:kern w:val="0"/>
          <w:sz w:val="36"/>
          <w:szCs w:val="36"/>
        </w:rPr>
        <w:sectPr>
          <w:headerReference r:id="rId8" w:type="first"/>
          <w:footerReference r:id="rId10" w:type="first"/>
          <w:headerReference r:id="rId7" w:type="default"/>
          <w:footerReference r:id="rId9"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type="linesAndChars" w:linePitch="312" w:charSpace="0"/>
        </w:sectPr>
      </w:pPr>
    </w:p>
    <w:p>
      <w:pPr>
        <w:spacing w:line="360" w:lineRule="auto"/>
        <w:ind w:firstLine="705" w:firstLineChars="196"/>
        <w:jc w:val="center"/>
        <w:outlineLvl w:val="0"/>
        <w:rPr>
          <w:rFonts w:hint="eastAsia" w:ascii="宋体" w:hAnsi="宋体" w:eastAsia="宋体" w:cs="宋体"/>
          <w:color w:val="auto"/>
          <w:kern w:val="0"/>
          <w:sz w:val="36"/>
          <w:szCs w:val="36"/>
        </w:rPr>
      </w:pPr>
      <w:bookmarkStart w:id="164" w:name="_Toc469928103"/>
      <w:bookmarkStart w:id="165" w:name="_Toc25114"/>
      <w:bookmarkStart w:id="166" w:name="_Toc469928388"/>
      <w:bookmarkStart w:id="167" w:name="_Toc14"/>
      <w:bookmarkStart w:id="168" w:name="_Toc26972"/>
      <w:bookmarkStart w:id="169" w:name="_Toc3554"/>
      <w:bookmarkStart w:id="170" w:name="_Toc469928281"/>
      <w:r>
        <w:rPr>
          <w:rFonts w:hint="eastAsia" w:ascii="宋体" w:hAnsi="宋体" w:eastAsia="宋体" w:cs="宋体"/>
          <w:color w:val="auto"/>
          <w:kern w:val="0"/>
          <w:sz w:val="36"/>
          <w:szCs w:val="36"/>
        </w:rPr>
        <w:t>★商务报价部分</w:t>
      </w:r>
      <w:bookmarkEnd w:id="164"/>
      <w:bookmarkEnd w:id="165"/>
      <w:bookmarkEnd w:id="166"/>
      <w:bookmarkEnd w:id="167"/>
      <w:bookmarkEnd w:id="168"/>
      <w:bookmarkEnd w:id="169"/>
      <w:bookmarkEnd w:id="170"/>
    </w:p>
    <w:p>
      <w:pPr>
        <w:spacing w:line="360" w:lineRule="auto"/>
        <w:jc w:val="center"/>
        <w:outlineLvl w:val="0"/>
        <w:rPr>
          <w:rFonts w:hint="eastAsia" w:ascii="宋体" w:hAnsi="宋体" w:eastAsia="宋体" w:cs="宋体"/>
          <w:color w:val="auto"/>
          <w:kern w:val="0"/>
          <w:sz w:val="24"/>
        </w:rPr>
      </w:pPr>
      <w:bookmarkStart w:id="171" w:name="_Toc469928104"/>
      <w:bookmarkStart w:id="172" w:name="_Toc1524"/>
      <w:bookmarkStart w:id="173" w:name="_Toc469928389"/>
      <w:bookmarkStart w:id="174" w:name="_Toc29863"/>
      <w:bookmarkStart w:id="175" w:name="_Toc469928282"/>
      <w:bookmarkStart w:id="176" w:name="_Toc15459"/>
      <w:bookmarkStart w:id="177" w:name="_Toc30157"/>
      <w:r>
        <w:rPr>
          <w:rFonts w:hint="eastAsia" w:ascii="宋体" w:hAnsi="宋体" w:eastAsia="宋体" w:cs="宋体"/>
          <w:color w:val="auto"/>
          <w:kern w:val="0"/>
          <w:sz w:val="24"/>
        </w:rPr>
        <w:t>目录</w:t>
      </w:r>
      <w:bookmarkEnd w:id="171"/>
      <w:bookmarkEnd w:id="172"/>
      <w:bookmarkEnd w:id="173"/>
      <w:bookmarkEnd w:id="174"/>
      <w:bookmarkEnd w:id="175"/>
      <w:bookmarkEnd w:id="176"/>
      <w:bookmarkEnd w:id="177"/>
    </w:p>
    <w:p>
      <w:pPr>
        <w:spacing w:line="360" w:lineRule="auto"/>
        <w:ind w:firstLine="960" w:firstLineChars="400"/>
        <w:outlineLvl w:val="0"/>
        <w:rPr>
          <w:rFonts w:hint="eastAsia" w:ascii="宋体" w:hAnsi="宋体" w:eastAsia="宋体" w:cs="宋体"/>
          <w:color w:val="auto"/>
          <w:kern w:val="0"/>
          <w:sz w:val="24"/>
        </w:rPr>
      </w:pPr>
      <w:bookmarkStart w:id="178" w:name="_Toc29519"/>
      <w:bookmarkStart w:id="179" w:name="_Toc469928390"/>
      <w:bookmarkStart w:id="180" w:name="_Toc30280"/>
      <w:bookmarkStart w:id="181" w:name="_Toc7037"/>
      <w:bookmarkStart w:id="182" w:name="_Toc469928105"/>
      <w:bookmarkStart w:id="183" w:name="_Toc469928283"/>
      <w:bookmarkStart w:id="184" w:name="_Toc8676"/>
      <w:r>
        <w:rPr>
          <w:rFonts w:hint="eastAsia" w:ascii="宋体" w:hAnsi="宋体" w:eastAsia="宋体" w:cs="宋体"/>
          <w:color w:val="auto"/>
          <w:kern w:val="0"/>
          <w:sz w:val="24"/>
        </w:rPr>
        <w:t>一、投标响应函……………………………………………………（页码）</w:t>
      </w:r>
      <w:bookmarkEnd w:id="178"/>
      <w:bookmarkEnd w:id="179"/>
      <w:bookmarkEnd w:id="180"/>
      <w:bookmarkEnd w:id="181"/>
      <w:bookmarkEnd w:id="182"/>
      <w:bookmarkEnd w:id="183"/>
      <w:bookmarkEnd w:id="184"/>
    </w:p>
    <w:p>
      <w:pPr>
        <w:spacing w:line="360" w:lineRule="auto"/>
        <w:ind w:firstLine="960" w:firstLineChars="400"/>
        <w:outlineLvl w:val="0"/>
        <w:rPr>
          <w:rFonts w:hint="eastAsia" w:ascii="宋体" w:hAnsi="宋体" w:eastAsia="宋体" w:cs="宋体"/>
          <w:color w:val="auto"/>
          <w:kern w:val="0"/>
          <w:sz w:val="24"/>
        </w:rPr>
      </w:pPr>
      <w:bookmarkStart w:id="185" w:name="_Toc469928106"/>
      <w:bookmarkStart w:id="186" w:name="_Toc12282"/>
      <w:bookmarkStart w:id="187" w:name="_Toc469928391"/>
      <w:bookmarkStart w:id="188" w:name="_Toc6536"/>
      <w:bookmarkStart w:id="189" w:name="_Toc18797"/>
      <w:bookmarkStart w:id="190" w:name="_Toc469928284"/>
      <w:bookmarkStart w:id="191" w:name="_Toc16486"/>
      <w:r>
        <w:rPr>
          <w:rFonts w:hint="eastAsia" w:ascii="宋体" w:hAnsi="宋体" w:eastAsia="宋体" w:cs="宋体"/>
          <w:color w:val="auto"/>
          <w:kern w:val="0"/>
          <w:sz w:val="24"/>
        </w:rPr>
        <w:t>二、投标（开标）一览表…………………………………………（页码）</w:t>
      </w:r>
      <w:bookmarkEnd w:id="185"/>
      <w:bookmarkEnd w:id="186"/>
      <w:bookmarkEnd w:id="187"/>
      <w:bookmarkEnd w:id="188"/>
      <w:bookmarkEnd w:id="189"/>
      <w:bookmarkEnd w:id="190"/>
      <w:bookmarkEnd w:id="191"/>
    </w:p>
    <w:p>
      <w:pPr>
        <w:spacing w:line="360" w:lineRule="auto"/>
        <w:ind w:firstLine="960" w:firstLineChars="400"/>
        <w:outlineLvl w:val="9"/>
        <w:rPr>
          <w:rFonts w:hint="eastAsia" w:ascii="宋体" w:hAnsi="宋体" w:eastAsia="宋体" w:cs="宋体"/>
          <w:color w:val="auto"/>
          <w:kern w:val="0"/>
          <w:sz w:val="24"/>
        </w:rPr>
      </w:pPr>
    </w:p>
    <w:p>
      <w:pPr>
        <w:spacing w:line="360" w:lineRule="auto"/>
        <w:jc w:val="center"/>
        <w:outlineLvl w:val="0"/>
        <w:rPr>
          <w:rFonts w:hint="eastAsia" w:ascii="宋体" w:hAnsi="宋体" w:eastAsia="宋体" w:cs="宋体"/>
          <w:bCs/>
          <w:color w:val="auto"/>
          <w:sz w:val="24"/>
        </w:rPr>
      </w:pPr>
      <w:bookmarkStart w:id="192" w:name="_Toc469928107"/>
      <w:bookmarkStart w:id="193" w:name="_Toc23168"/>
      <w:bookmarkStart w:id="194" w:name="_Toc469928285"/>
      <w:bookmarkStart w:id="195" w:name="_Toc2155"/>
      <w:bookmarkStart w:id="196" w:name="_Toc469928392"/>
      <w:bookmarkStart w:id="197" w:name="_Toc31692"/>
      <w:bookmarkStart w:id="198" w:name="_Toc14035"/>
      <w:r>
        <w:rPr>
          <w:rFonts w:hint="eastAsia" w:ascii="宋体" w:hAnsi="宋体" w:eastAsia="宋体" w:cs="宋体"/>
          <w:color w:val="auto"/>
          <w:kern w:val="0"/>
          <w:sz w:val="24"/>
        </w:rPr>
        <w:t>一、投标响应</w:t>
      </w:r>
      <w:r>
        <w:rPr>
          <w:rFonts w:hint="eastAsia" w:ascii="宋体" w:hAnsi="宋体" w:eastAsia="宋体" w:cs="宋体"/>
          <w:color w:val="auto"/>
          <w:sz w:val="24"/>
        </w:rPr>
        <w:t>函</w:t>
      </w:r>
      <w:bookmarkEnd w:id="192"/>
      <w:bookmarkEnd w:id="193"/>
      <w:bookmarkEnd w:id="194"/>
      <w:bookmarkEnd w:id="195"/>
      <w:bookmarkEnd w:id="196"/>
      <w:bookmarkEnd w:id="197"/>
      <w:bookmarkEnd w:id="198"/>
    </w:p>
    <w:p>
      <w:pPr>
        <w:adjustRightInd w:val="0"/>
        <w:snapToGrid w:val="0"/>
        <w:spacing w:line="336"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adjustRightInd w:val="0"/>
        <w:snapToGrid w:val="0"/>
        <w:spacing w:line="336"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(全权代表姓名)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(职务、职称)为全权代表，参加贵方组织的</w:t>
      </w:r>
      <w:r>
        <w:rPr>
          <w:rFonts w:hint="eastAsia" w:ascii="宋体" w:hAnsi="宋体" w:cs="宋体"/>
          <w:color w:val="auto"/>
          <w:sz w:val="24"/>
          <w:lang w:eastAsia="zh-CN"/>
        </w:rPr>
        <w:t>龙泉市房改资金竞争性存放项目</w:t>
      </w:r>
      <w:r>
        <w:rPr>
          <w:rFonts w:hint="eastAsia" w:ascii="宋体" w:hAnsi="宋体" w:eastAsia="宋体" w:cs="宋体"/>
          <w:color w:val="auto"/>
          <w:sz w:val="24"/>
        </w:rPr>
        <w:t>招标文件（编号：       ）招标的有关活动，并对此项目进行投标。为此：</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1、我方同意在投标人</w:t>
      </w:r>
      <w:r>
        <w:rPr>
          <w:rFonts w:hint="eastAsia" w:ascii="宋体" w:hAnsi="宋体" w:eastAsia="宋体" w:cs="宋体"/>
          <w:bCs/>
          <w:color w:val="auto"/>
          <w:kern w:val="44"/>
          <w:sz w:val="24"/>
        </w:rPr>
        <w:t>编制和提交</w:t>
      </w:r>
      <w:r>
        <w:rPr>
          <w:rFonts w:hint="eastAsia" w:ascii="宋体" w:hAnsi="宋体" w:cs="宋体"/>
          <w:bCs/>
          <w:color w:val="auto"/>
          <w:kern w:val="44"/>
          <w:sz w:val="24"/>
          <w:lang w:eastAsia="zh-CN"/>
        </w:rPr>
        <w:t>投标文件</w:t>
      </w:r>
      <w:r>
        <w:rPr>
          <w:rFonts w:hint="eastAsia" w:ascii="宋体" w:hAnsi="宋体" w:eastAsia="宋体" w:cs="宋体"/>
          <w:bCs/>
          <w:color w:val="auto"/>
          <w:kern w:val="44"/>
          <w:sz w:val="24"/>
        </w:rPr>
        <w:t>须知</w:t>
      </w:r>
      <w:r>
        <w:rPr>
          <w:rFonts w:hint="eastAsia" w:ascii="宋体" w:hAnsi="宋体" w:eastAsia="宋体" w:cs="宋体"/>
          <w:color w:val="auto"/>
          <w:sz w:val="24"/>
        </w:rPr>
        <w:t>规定的开标日期起遵守本投标文件中的承诺且在投标有效期满之前均具有约束力。</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2、我方承诺已经具备投标条件：</w:t>
      </w:r>
    </w:p>
    <w:p>
      <w:pPr>
        <w:spacing w:line="336" w:lineRule="auto"/>
        <w:rPr>
          <w:rFonts w:hint="eastAsia" w:ascii="宋体" w:hAnsi="宋体" w:eastAsia="宋体" w:cs="宋体"/>
          <w:color w:val="auto"/>
          <w:sz w:val="24"/>
        </w:rPr>
      </w:pPr>
      <w:r>
        <w:rPr>
          <w:rFonts w:hint="eastAsia" w:ascii="宋体" w:hAnsi="宋体" w:eastAsia="宋体" w:cs="宋体"/>
          <w:color w:val="auto"/>
          <w:sz w:val="24"/>
        </w:rPr>
        <w:t xml:space="preserve">    （1）在龙泉市设有分支机构，依法开展经营活动，近3年内在经营活动中无重大违法违规记录。</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（2）监管评级达到一定标准。人民银行上年度综合评价B级以上、银监部门上年度监管评级2级以上。对地方经济有特殊贡献的可适当放宽，但须持市政府有关职能部门批文。</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（3）财务稳健，资本充足率、不良贷款率、拨备覆盖率、流动性覆盖率、流动性比例等指标达到监管标准；</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（4）内部管理机制健全，具有较强的风险控制能力，近3年内未发生金融风险及重大违约事件。</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3、提供</w:t>
      </w:r>
      <w:r>
        <w:rPr>
          <w:rFonts w:hint="eastAsia" w:ascii="宋体" w:hAnsi="宋体" w:eastAsia="宋体" w:cs="宋体"/>
          <w:bCs/>
          <w:color w:val="auto"/>
          <w:kern w:val="44"/>
          <w:sz w:val="24"/>
        </w:rPr>
        <w:t>编制和提交</w:t>
      </w:r>
      <w:r>
        <w:rPr>
          <w:rFonts w:hint="eastAsia" w:ascii="宋体" w:hAnsi="宋体" w:cs="宋体"/>
          <w:bCs/>
          <w:color w:val="auto"/>
          <w:kern w:val="44"/>
          <w:sz w:val="24"/>
          <w:lang w:eastAsia="zh-CN"/>
        </w:rPr>
        <w:t>投标文件</w:t>
      </w:r>
      <w:r>
        <w:rPr>
          <w:rFonts w:hint="eastAsia" w:ascii="宋体" w:hAnsi="宋体" w:eastAsia="宋体" w:cs="宋体"/>
          <w:bCs/>
          <w:color w:val="auto"/>
          <w:kern w:val="44"/>
          <w:sz w:val="24"/>
        </w:rPr>
        <w:t>须知</w:t>
      </w:r>
      <w:r>
        <w:rPr>
          <w:rFonts w:hint="eastAsia" w:ascii="宋体" w:hAnsi="宋体" w:eastAsia="宋体" w:cs="宋体"/>
          <w:color w:val="auto"/>
          <w:sz w:val="24"/>
        </w:rPr>
        <w:t>规定的全部投标文件，包括投标文件正本1份，副本5份。</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具体内容为：</w:t>
      </w:r>
    </w:p>
    <w:p>
      <w:pPr>
        <w:numPr>
          <w:ilvl w:val="0"/>
          <w:numId w:val="2"/>
        </w:numPr>
        <w:spacing w:line="336" w:lineRule="auto"/>
        <w:rPr>
          <w:rFonts w:hint="eastAsia" w:ascii="宋体" w:hAnsi="宋体" w:eastAsia="宋体" w:cs="宋体"/>
          <w:color w:val="auto"/>
          <w:sz w:val="24"/>
        </w:rPr>
      </w:pPr>
      <w:r>
        <w:rPr>
          <w:rFonts w:hint="eastAsia" w:ascii="宋体" w:hAnsi="宋体" w:eastAsia="宋体" w:cs="宋体"/>
          <w:color w:val="auto"/>
          <w:sz w:val="24"/>
        </w:rPr>
        <w:t>投标（开标）一览表及投标报价明细清单；</w:t>
      </w:r>
    </w:p>
    <w:p>
      <w:pPr>
        <w:numPr>
          <w:ilvl w:val="0"/>
          <w:numId w:val="2"/>
        </w:numPr>
        <w:spacing w:line="336" w:lineRule="auto"/>
        <w:rPr>
          <w:rFonts w:hint="eastAsia" w:ascii="宋体" w:hAnsi="宋体" w:eastAsia="宋体" w:cs="宋体"/>
          <w:color w:val="auto"/>
          <w:sz w:val="24"/>
        </w:rPr>
      </w:pPr>
      <w:r>
        <w:rPr>
          <w:rFonts w:hint="eastAsia" w:ascii="宋体" w:hAnsi="宋体" w:eastAsia="宋体" w:cs="宋体"/>
          <w:color w:val="auto"/>
          <w:sz w:val="24"/>
        </w:rPr>
        <w:t>投标</w:t>
      </w:r>
      <w:r>
        <w:rPr>
          <w:rFonts w:hint="eastAsia" w:ascii="宋体" w:hAnsi="宋体" w:eastAsia="宋体" w:cs="宋体"/>
          <w:color w:val="auto"/>
          <w:sz w:val="24"/>
          <w:lang w:val="zh-CN"/>
        </w:rPr>
        <w:t>商务文件</w:t>
      </w:r>
      <w:r>
        <w:rPr>
          <w:rFonts w:hint="eastAsia" w:ascii="宋体" w:hAnsi="宋体" w:eastAsia="宋体" w:cs="宋体"/>
          <w:color w:val="auto"/>
          <w:sz w:val="24"/>
        </w:rPr>
        <w:t>；</w:t>
      </w:r>
    </w:p>
    <w:p>
      <w:pPr>
        <w:numPr>
          <w:ilvl w:val="0"/>
          <w:numId w:val="2"/>
        </w:numPr>
        <w:spacing w:line="336" w:lineRule="auto"/>
        <w:rPr>
          <w:rFonts w:hint="eastAsia" w:ascii="宋体" w:hAnsi="宋体" w:eastAsia="宋体" w:cs="宋体"/>
          <w:color w:val="auto"/>
          <w:sz w:val="24"/>
        </w:rPr>
      </w:pPr>
      <w:r>
        <w:rPr>
          <w:rFonts w:hint="eastAsia" w:ascii="宋体" w:hAnsi="宋体" w:eastAsia="宋体" w:cs="宋体"/>
          <w:bCs/>
          <w:color w:val="auto"/>
          <w:kern w:val="44"/>
          <w:sz w:val="24"/>
        </w:rPr>
        <w:t>编制和提交</w:t>
      </w:r>
      <w:r>
        <w:rPr>
          <w:rFonts w:hint="eastAsia" w:ascii="宋体" w:hAnsi="宋体" w:cs="宋体"/>
          <w:bCs/>
          <w:color w:val="auto"/>
          <w:kern w:val="44"/>
          <w:sz w:val="24"/>
          <w:lang w:eastAsia="zh-CN"/>
        </w:rPr>
        <w:t>投标文件</w:t>
      </w:r>
      <w:r>
        <w:rPr>
          <w:rFonts w:hint="eastAsia" w:ascii="宋体" w:hAnsi="宋体" w:eastAsia="宋体" w:cs="宋体"/>
          <w:bCs/>
          <w:color w:val="auto"/>
          <w:kern w:val="44"/>
          <w:sz w:val="24"/>
        </w:rPr>
        <w:t>须知</w:t>
      </w:r>
      <w:r>
        <w:rPr>
          <w:rFonts w:hint="eastAsia" w:ascii="宋体" w:hAnsi="宋体" w:eastAsia="宋体" w:cs="宋体"/>
          <w:color w:val="auto"/>
          <w:sz w:val="24"/>
        </w:rPr>
        <w:t>要求投标人提交的全部文件。</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4、按招标文件要求提供的投标报价详见开标一览表。</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、保证忠实地执行双方所签订的合同，并承担合同规定的责任和义务。</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、保证遵守招标文件中的其他有关规定。</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、如果在开标后规定的投标有效期内我方撤回投标，贵方有权将我方不良行为报请监管部门，并根据有关条例及文件给予处理。</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8、我方愿意向贵方提供任何与该项投标有关的数据、情况和技术资料。若贵方需要，我方愿意提供我方作出的一切承诺的证明材料。</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9、我方已详细审核全部招标文件，包括招标文件修改书（如果有）、参考资料及有关附件，确认无误。</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我方将严格遵守《中华人民共和国政府采购法》第七十七条规定，投标人有下列情形之一的，列入不良行为记录名单，在一至三年内禁止参加政府采购活动；有违法所得的，并处没收违法所得；情节严重的，由行政管理机关吊销营业执照；构成犯罪的，依法追究刑事责任：</w:t>
      </w:r>
    </w:p>
    <w:p>
      <w:pPr>
        <w:adjustRightInd w:val="0"/>
        <w:snapToGrid w:val="0"/>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（1)提供虚假材料谋取中标、成交的；</w:t>
      </w:r>
    </w:p>
    <w:p>
      <w:pPr>
        <w:adjustRightInd w:val="0"/>
        <w:snapToGrid w:val="0"/>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（2)采取不正当手段诋毁、排挤其他投标人的；</w:t>
      </w:r>
    </w:p>
    <w:p>
      <w:pPr>
        <w:adjustRightInd w:val="0"/>
        <w:snapToGrid w:val="0"/>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（3)与采购人、其它投标人恶意串通的；</w:t>
      </w:r>
    </w:p>
    <w:p>
      <w:pPr>
        <w:adjustRightInd w:val="0"/>
        <w:snapToGrid w:val="0"/>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（4)向采购人提供其他不正当利益的；</w:t>
      </w:r>
    </w:p>
    <w:p>
      <w:pPr>
        <w:adjustRightInd w:val="0"/>
        <w:snapToGrid w:val="0"/>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（5)在招标采购过程中与采购人进行协商谈判的；</w:t>
      </w:r>
    </w:p>
    <w:p>
      <w:pPr>
        <w:adjustRightInd w:val="0"/>
        <w:snapToGrid w:val="0"/>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（6)拒绝有关部门监督检查或提供虚假情况的。</w:t>
      </w:r>
    </w:p>
    <w:p>
      <w:pPr>
        <w:adjustRightInd w:val="0"/>
        <w:snapToGrid w:val="0"/>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投标人有前款第（1)至（5）项情形之一的，中标、成交无效。</w:t>
      </w:r>
    </w:p>
    <w:p>
      <w:pPr>
        <w:autoSpaceDE w:val="0"/>
        <w:autoSpaceDN w:val="0"/>
        <w:adjustRightInd w:val="0"/>
        <w:spacing w:line="336" w:lineRule="auto"/>
        <w:ind w:firstLine="4680" w:firstLineChars="1950"/>
        <w:rPr>
          <w:rFonts w:hint="eastAsia" w:ascii="宋体" w:hAnsi="宋体" w:eastAsia="宋体" w:cs="宋体"/>
          <w:color w:val="auto"/>
          <w:kern w:val="0"/>
          <w:sz w:val="24"/>
          <w:lang w:val="zh-CN"/>
        </w:rPr>
      </w:pPr>
    </w:p>
    <w:p>
      <w:pPr>
        <w:autoSpaceDE w:val="0"/>
        <w:autoSpaceDN w:val="0"/>
        <w:adjustRightInd w:val="0"/>
        <w:spacing w:line="336" w:lineRule="auto"/>
        <w:ind w:firstLine="4440" w:firstLineChars="1850"/>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法定代表人签字：  </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rPr>
        <w:tab/>
      </w:r>
    </w:p>
    <w:p>
      <w:pPr>
        <w:autoSpaceDE w:val="0"/>
        <w:autoSpaceDN w:val="0"/>
        <w:adjustRightInd w:val="0"/>
        <w:spacing w:line="336" w:lineRule="auto"/>
        <w:ind w:firstLine="4440" w:firstLineChars="1850"/>
        <w:rPr>
          <w:rFonts w:hint="eastAsia" w:ascii="宋体" w:hAnsi="宋体" w:eastAsia="宋体" w:cs="宋体"/>
          <w:color w:val="auto"/>
          <w:kern w:val="0"/>
          <w:sz w:val="24"/>
          <w:u w:val="single"/>
          <w:lang w:val="zh-CN"/>
        </w:rPr>
      </w:pPr>
      <w:r>
        <w:rPr>
          <w:rFonts w:hint="eastAsia" w:ascii="宋体" w:hAnsi="宋体" w:eastAsia="宋体" w:cs="宋体"/>
          <w:color w:val="auto"/>
          <w:kern w:val="0"/>
          <w:sz w:val="24"/>
          <w:lang w:val="zh-CN"/>
        </w:rPr>
        <w:t>授权委托人签字：</w:t>
      </w:r>
      <w:r>
        <w:rPr>
          <w:rFonts w:hint="eastAsia" w:ascii="宋体" w:hAnsi="宋体" w:eastAsia="宋体" w:cs="宋体"/>
          <w:color w:val="auto"/>
          <w:kern w:val="0"/>
          <w:sz w:val="24"/>
          <w:u w:val="single"/>
          <w:lang w:val="zh-CN"/>
        </w:rPr>
        <w:t xml:space="preserve">                   </w:t>
      </w:r>
    </w:p>
    <w:p>
      <w:pPr>
        <w:autoSpaceDE w:val="0"/>
        <w:autoSpaceDN w:val="0"/>
        <w:adjustRightInd w:val="0"/>
        <w:spacing w:line="336" w:lineRule="auto"/>
        <w:ind w:firstLine="4440" w:firstLineChars="1850"/>
        <w:rPr>
          <w:rFonts w:hint="eastAsia" w:ascii="宋体" w:hAnsi="宋体" w:eastAsia="宋体" w:cs="宋体"/>
          <w:color w:val="auto"/>
          <w:kern w:val="0"/>
          <w:sz w:val="24"/>
          <w:u w:val="single"/>
          <w:lang w:val="zh-CN"/>
        </w:rPr>
      </w:pPr>
      <w:r>
        <w:rPr>
          <w:rFonts w:hint="eastAsia" w:ascii="宋体" w:hAnsi="宋体" w:eastAsia="宋体" w:cs="宋体"/>
          <w:color w:val="auto"/>
          <w:kern w:val="0"/>
          <w:sz w:val="24"/>
          <w:lang w:val="zh-CN"/>
        </w:rPr>
        <w:t xml:space="preserve">投标人盖章:  </w:t>
      </w:r>
      <w:r>
        <w:rPr>
          <w:rFonts w:hint="eastAsia" w:ascii="宋体" w:hAnsi="宋体" w:eastAsia="宋体" w:cs="宋体"/>
          <w:color w:val="auto"/>
          <w:kern w:val="0"/>
          <w:sz w:val="24"/>
          <w:u w:val="single"/>
          <w:lang w:val="zh-CN"/>
        </w:rPr>
        <w:t xml:space="preserve">                     </w:t>
      </w:r>
    </w:p>
    <w:p>
      <w:pPr>
        <w:autoSpaceDE w:val="0"/>
        <w:autoSpaceDN w:val="0"/>
        <w:adjustRightInd w:val="0"/>
        <w:spacing w:line="336" w:lineRule="auto"/>
        <w:ind w:firstLine="4680" w:firstLineChars="1950"/>
        <w:rPr>
          <w:rFonts w:hint="eastAsia" w:ascii="宋体" w:hAnsi="宋体" w:eastAsia="宋体" w:cs="宋体"/>
          <w:color w:val="auto"/>
          <w:kern w:val="0"/>
          <w:sz w:val="24"/>
          <w:u w:val="single"/>
          <w:lang w:val="zh-CN"/>
        </w:rPr>
      </w:pPr>
    </w:p>
    <w:p>
      <w:pPr>
        <w:autoSpaceDE w:val="0"/>
        <w:autoSpaceDN w:val="0"/>
        <w:adjustRightInd w:val="0"/>
        <w:spacing w:line="336"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联系人：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 xml:space="preserve">联系电话: </w:t>
      </w:r>
      <w:r>
        <w:rPr>
          <w:rFonts w:hint="eastAsia" w:ascii="宋体" w:hAnsi="宋体" w:eastAsia="宋体" w:cs="宋体"/>
          <w:color w:val="auto"/>
          <w:kern w:val="0"/>
          <w:sz w:val="24"/>
          <w:u w:val="single"/>
          <w:lang w:val="zh-CN"/>
        </w:rPr>
        <w:t xml:space="preserve">                </w:t>
      </w:r>
    </w:p>
    <w:p>
      <w:pPr>
        <w:autoSpaceDE w:val="0"/>
        <w:autoSpaceDN w:val="0"/>
        <w:adjustRightInd w:val="0"/>
        <w:spacing w:line="336"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联系地址：</w:t>
      </w:r>
      <w:r>
        <w:rPr>
          <w:rFonts w:hint="eastAsia" w:ascii="宋体" w:hAnsi="宋体" w:eastAsia="宋体" w:cs="宋体"/>
          <w:color w:val="auto"/>
          <w:kern w:val="0"/>
          <w:sz w:val="24"/>
          <w:u w:val="single"/>
          <w:lang w:val="zh-CN"/>
        </w:rPr>
        <w:t xml:space="preserve">                                                        </w:t>
      </w:r>
    </w:p>
    <w:p>
      <w:pPr>
        <w:autoSpaceDE w:val="0"/>
        <w:autoSpaceDN w:val="0"/>
        <w:adjustRightInd w:val="0"/>
        <w:spacing w:line="336" w:lineRule="auto"/>
        <w:rPr>
          <w:rFonts w:hint="eastAsia" w:ascii="宋体" w:hAnsi="宋体" w:eastAsia="宋体" w:cs="宋体"/>
          <w:color w:val="auto"/>
          <w:kern w:val="0"/>
          <w:sz w:val="24"/>
          <w:u w:val="single"/>
          <w:lang w:val="zh-CN"/>
        </w:rPr>
      </w:pPr>
      <w:r>
        <w:rPr>
          <w:rFonts w:hint="eastAsia" w:ascii="宋体" w:hAnsi="宋体" w:eastAsia="宋体" w:cs="宋体"/>
          <w:color w:val="auto"/>
          <w:kern w:val="0"/>
          <w:sz w:val="24"/>
          <w:lang w:val="zh-CN"/>
        </w:rPr>
        <w:t>邮政编码：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传真号码：</w:t>
      </w:r>
      <w:r>
        <w:rPr>
          <w:rFonts w:hint="eastAsia" w:ascii="宋体" w:hAnsi="宋体" w:eastAsia="宋体" w:cs="宋体"/>
          <w:color w:val="auto"/>
          <w:kern w:val="0"/>
          <w:sz w:val="24"/>
          <w:u w:val="single"/>
          <w:lang w:val="zh-CN"/>
        </w:rPr>
        <w:t xml:space="preserve">                         </w:t>
      </w:r>
    </w:p>
    <w:p>
      <w:pPr>
        <w:spacing w:line="336" w:lineRule="auto"/>
        <w:rPr>
          <w:rFonts w:hint="eastAsia" w:ascii="宋体" w:hAnsi="宋体" w:eastAsia="宋体" w:cs="宋体"/>
          <w:color w:val="auto"/>
          <w:sz w:val="24"/>
        </w:rPr>
      </w:pPr>
      <w:r>
        <w:rPr>
          <w:rFonts w:hint="eastAsia" w:ascii="宋体" w:hAnsi="宋体" w:eastAsia="宋体" w:cs="宋体"/>
          <w:color w:val="auto"/>
          <w:kern w:val="0"/>
          <w:sz w:val="24"/>
          <w:lang w:val="zh-CN"/>
        </w:rPr>
        <w:t>日</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期</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rPr>
        <w:tab/>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rPr>
        <w:tab/>
      </w:r>
      <w:r>
        <w:rPr>
          <w:rFonts w:hint="eastAsia" w:ascii="宋体" w:hAnsi="宋体" w:eastAsia="宋体" w:cs="宋体"/>
          <w:color w:val="auto"/>
          <w:kern w:val="0"/>
          <w:sz w:val="24"/>
          <w:u w:val="single"/>
        </w:rPr>
        <w:tab/>
      </w:r>
      <w:r>
        <w:rPr>
          <w:rFonts w:hint="eastAsia" w:ascii="宋体" w:hAnsi="宋体" w:eastAsia="宋体" w:cs="宋体"/>
          <w:color w:val="auto"/>
          <w:kern w:val="0"/>
          <w:sz w:val="24"/>
          <w:lang w:val="zh-CN"/>
        </w:rPr>
        <w:t>日</w:t>
      </w:r>
      <w:r>
        <w:rPr>
          <w:rFonts w:hint="eastAsia" w:ascii="宋体" w:hAnsi="宋体" w:eastAsia="宋体" w:cs="宋体"/>
          <w:color w:val="auto"/>
          <w:kern w:val="0"/>
          <w:sz w:val="24"/>
        </w:rPr>
        <w:t xml:space="preserve"> </w:t>
      </w:r>
    </w:p>
    <w:p>
      <w:pPr>
        <w:spacing w:line="336" w:lineRule="auto"/>
        <w:rPr>
          <w:rFonts w:hint="eastAsia" w:ascii="宋体" w:hAnsi="宋体" w:eastAsia="宋体" w:cs="宋体"/>
          <w:color w:val="auto"/>
          <w:sz w:val="24"/>
        </w:rPr>
      </w:pPr>
      <w:r>
        <w:rPr>
          <w:rFonts w:hint="eastAsia" w:ascii="宋体" w:hAnsi="宋体" w:eastAsia="宋体" w:cs="宋体"/>
          <w:color w:val="auto"/>
          <w:sz w:val="24"/>
        </w:rPr>
        <w:t>注：未按照本投标</w:t>
      </w:r>
      <w:r>
        <w:rPr>
          <w:rFonts w:hint="eastAsia" w:ascii="宋体" w:hAnsi="宋体" w:eastAsia="宋体" w:cs="宋体"/>
          <w:color w:val="auto"/>
          <w:kern w:val="0"/>
          <w:sz w:val="24"/>
        </w:rPr>
        <w:t>响应</w:t>
      </w:r>
      <w:r>
        <w:rPr>
          <w:rFonts w:hint="eastAsia" w:ascii="宋体" w:hAnsi="宋体" w:eastAsia="宋体" w:cs="宋体"/>
          <w:color w:val="auto"/>
          <w:sz w:val="24"/>
        </w:rPr>
        <w:t>函要求填报的将被视为非实质性响应投标，从而可能导致该投标被拒绝。</w:t>
      </w:r>
    </w:p>
    <w:p>
      <w:pPr>
        <w:spacing w:line="360" w:lineRule="auto"/>
        <w:jc w:val="center"/>
        <w:rPr>
          <w:rFonts w:hint="eastAsia" w:ascii="宋体" w:hAnsi="宋体" w:eastAsia="宋体" w:cs="宋体"/>
          <w:color w:val="auto"/>
          <w:sz w:val="24"/>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type="linesAndChars" w:linePitch="312" w:charSpace="0"/>
        </w:sectPr>
      </w:pPr>
    </w:p>
    <w:p>
      <w:pPr>
        <w:spacing w:line="360" w:lineRule="auto"/>
        <w:jc w:val="center"/>
        <w:outlineLvl w:val="0"/>
        <w:rPr>
          <w:rFonts w:hint="eastAsia" w:ascii="宋体" w:hAnsi="宋体" w:eastAsia="宋体" w:cs="宋体"/>
          <w:color w:val="auto"/>
          <w:sz w:val="24"/>
        </w:rPr>
      </w:pPr>
      <w:bookmarkStart w:id="199" w:name="_Toc5672"/>
      <w:bookmarkStart w:id="200" w:name="_Toc5734"/>
      <w:bookmarkStart w:id="201" w:name="_Toc4082"/>
      <w:r>
        <w:rPr>
          <w:rFonts w:hint="eastAsia" w:ascii="宋体" w:hAnsi="宋体" w:eastAsia="宋体" w:cs="宋体"/>
          <w:color w:val="auto"/>
          <w:sz w:val="24"/>
        </w:rPr>
        <w:t>二、投标（开标）一览表</w:t>
      </w:r>
      <w:bookmarkEnd w:id="199"/>
      <w:bookmarkEnd w:id="200"/>
      <w:bookmarkEnd w:id="201"/>
    </w:p>
    <w:p>
      <w:pPr>
        <w:adjustRightInd w:val="0"/>
        <w:snapToGrid w:val="0"/>
        <w:spacing w:line="560" w:lineRule="exact"/>
        <w:jc w:val="center"/>
        <w:rPr>
          <w:rFonts w:hint="eastAsia" w:ascii="宋体" w:hAnsi="宋体" w:eastAsia="宋体" w:cs="宋体"/>
          <w:b/>
          <w:color w:val="auto"/>
          <w:sz w:val="24"/>
        </w:rPr>
      </w:pPr>
      <w:r>
        <w:rPr>
          <w:rFonts w:hint="eastAsia" w:ascii="宋体" w:hAnsi="宋体" w:eastAsia="宋体" w:cs="宋体"/>
          <w:b/>
          <w:color w:val="auto"/>
          <w:kern w:val="0"/>
          <w:sz w:val="24"/>
        </w:rPr>
        <w:t xml:space="preserve"> </w:t>
      </w:r>
    </w:p>
    <w:p>
      <w:pPr>
        <w:adjustRightInd w:val="0"/>
        <w:snapToGrid w:val="0"/>
        <w:spacing w:line="240" w:lineRule="exact"/>
        <w:jc w:val="center"/>
        <w:rPr>
          <w:rFonts w:hint="eastAsia" w:ascii="宋体" w:hAnsi="宋体" w:eastAsia="宋体" w:cs="宋体"/>
          <w:color w:val="auto"/>
          <w:sz w:val="24"/>
        </w:rPr>
      </w:pPr>
    </w:p>
    <w:p>
      <w:pPr>
        <w:adjustRightInd w:val="0"/>
        <w:snapToGrid w:val="0"/>
        <w:spacing w:line="560" w:lineRule="exact"/>
        <w:ind w:firstLine="105" w:firstLineChars="50"/>
        <w:outlineLvl w:val="0"/>
        <w:rPr>
          <w:rFonts w:hint="eastAsia" w:ascii="宋体" w:hAnsi="宋体" w:eastAsia="宋体" w:cs="宋体"/>
          <w:color w:val="auto"/>
          <w:szCs w:val="21"/>
        </w:rPr>
      </w:pPr>
      <w:r>
        <w:rPr>
          <w:rFonts w:hint="eastAsia" w:ascii="宋体" w:hAnsi="宋体" w:eastAsia="宋体" w:cs="宋体"/>
          <w:color w:val="auto"/>
          <w:szCs w:val="21"/>
          <w:u w:val="single"/>
        </w:rPr>
        <w:t xml:space="preserve">                   </w:t>
      </w:r>
      <w:bookmarkStart w:id="202" w:name="_Toc17666"/>
      <w:bookmarkStart w:id="203" w:name="_Toc28864"/>
      <w:bookmarkStart w:id="204" w:name="_Toc3271"/>
      <w:r>
        <w:rPr>
          <w:rFonts w:hint="eastAsia" w:ascii="宋体" w:hAnsi="宋体" w:eastAsia="宋体" w:cs="宋体"/>
          <w:color w:val="auto"/>
          <w:szCs w:val="21"/>
        </w:rPr>
        <w:t>：</w:t>
      </w:r>
      <w:bookmarkEnd w:id="202"/>
      <w:bookmarkEnd w:id="203"/>
      <w:bookmarkEnd w:id="204"/>
      <w:r>
        <w:rPr>
          <w:rFonts w:hint="eastAsia" w:ascii="宋体" w:hAnsi="宋体" w:eastAsia="宋体" w:cs="宋体"/>
          <w:color w:val="auto"/>
          <w:szCs w:val="21"/>
        </w:rPr>
        <w:t xml:space="preserve"> </w:t>
      </w:r>
    </w:p>
    <w:p>
      <w:pPr>
        <w:adjustRightInd w:val="0"/>
        <w:snapToGrid w:val="0"/>
        <w:spacing w:line="560" w:lineRule="exact"/>
        <w:ind w:firstLine="640"/>
        <w:rPr>
          <w:rFonts w:hint="eastAsia" w:ascii="宋体" w:hAnsi="宋体" w:eastAsia="宋体" w:cs="宋体"/>
          <w:color w:val="auto"/>
          <w:sz w:val="24"/>
        </w:rPr>
      </w:pPr>
      <w:r>
        <w:rPr>
          <w:rFonts w:hint="eastAsia" w:ascii="宋体" w:hAnsi="宋体" w:eastAsia="宋体" w:cs="宋体"/>
          <w:color w:val="auto"/>
          <w:sz w:val="24"/>
        </w:rPr>
        <w:t xml:space="preserve">我单位承诺：本投标书由我单位授权经办人填写，内容真实、准确、完整。 </w:t>
      </w:r>
    </w:p>
    <w:p>
      <w:pPr>
        <w:adjustRightInd w:val="0"/>
        <w:snapToGrid w:val="0"/>
        <w:spacing w:line="560" w:lineRule="exact"/>
        <w:ind w:firstLine="640"/>
        <w:rPr>
          <w:rFonts w:hint="eastAsia" w:ascii="宋体" w:hAnsi="宋体" w:eastAsia="宋体" w:cs="宋体"/>
          <w:color w:val="auto"/>
          <w:sz w:val="24"/>
        </w:rPr>
      </w:pPr>
      <w:r>
        <w:rPr>
          <w:rFonts w:hint="eastAsia" w:ascii="宋体" w:hAnsi="宋体" w:eastAsia="宋体" w:cs="宋体"/>
          <w:color w:val="auto"/>
          <w:sz w:val="24"/>
        </w:rPr>
        <w:t>投标方名称：</w:t>
      </w:r>
      <w:r>
        <w:rPr>
          <w:rFonts w:hint="eastAsia" w:ascii="宋体" w:hAnsi="宋体" w:eastAsia="宋体" w:cs="宋体"/>
          <w:color w:val="auto"/>
          <w:sz w:val="24"/>
          <w:u w:val="single"/>
        </w:rPr>
        <w:t>　　　　　　　　　　　　　　　　　　　　　</w:t>
      </w:r>
      <w:r>
        <w:rPr>
          <w:rFonts w:hint="eastAsia" w:ascii="宋体" w:hAnsi="宋体" w:eastAsia="宋体" w:cs="宋体"/>
          <w:color w:val="auto"/>
          <w:sz w:val="24"/>
        </w:rPr>
        <w:t xml:space="preserve"> </w:t>
      </w:r>
    </w:p>
    <w:p>
      <w:pPr>
        <w:adjustRightInd w:val="0"/>
        <w:snapToGrid w:val="0"/>
        <w:spacing w:line="560" w:lineRule="exact"/>
        <w:ind w:firstLine="640"/>
        <w:rPr>
          <w:rFonts w:hint="eastAsia" w:ascii="宋体" w:hAnsi="宋体" w:eastAsia="宋体" w:cs="宋体"/>
          <w:color w:val="auto"/>
          <w:sz w:val="24"/>
        </w:rPr>
      </w:pPr>
      <w:r>
        <w:rPr>
          <w:rFonts w:hint="eastAsia" w:ascii="宋体" w:hAnsi="宋体" w:eastAsia="宋体" w:cs="宋体"/>
          <w:color w:val="auto"/>
          <w:sz w:val="24"/>
        </w:rPr>
        <w:t>联系地址：</w:t>
      </w:r>
      <w:r>
        <w:rPr>
          <w:rFonts w:hint="eastAsia" w:ascii="宋体" w:hAnsi="宋体" w:eastAsia="宋体" w:cs="宋体"/>
          <w:color w:val="auto"/>
          <w:sz w:val="24"/>
          <w:u w:val="single"/>
        </w:rPr>
        <w:t>　　　　　　　　　　　　　</w:t>
      </w:r>
      <w:r>
        <w:rPr>
          <w:rFonts w:hint="eastAsia" w:ascii="宋体" w:hAnsi="宋体" w:eastAsia="宋体" w:cs="宋体"/>
          <w:color w:val="auto"/>
          <w:sz w:val="24"/>
        </w:rPr>
        <w:t>邮编：</w:t>
      </w:r>
      <w:r>
        <w:rPr>
          <w:rFonts w:hint="eastAsia" w:ascii="宋体" w:hAnsi="宋体" w:eastAsia="宋体" w:cs="宋体"/>
          <w:color w:val="auto"/>
          <w:sz w:val="24"/>
          <w:u w:val="single"/>
        </w:rPr>
        <w:t>　　　　　　</w:t>
      </w:r>
      <w:r>
        <w:rPr>
          <w:rFonts w:hint="eastAsia" w:ascii="宋体" w:hAnsi="宋体" w:eastAsia="宋体" w:cs="宋体"/>
          <w:color w:val="auto"/>
          <w:sz w:val="24"/>
        </w:rPr>
        <w:t xml:space="preserve"> </w:t>
      </w:r>
    </w:p>
    <w:p>
      <w:pPr>
        <w:adjustRightInd w:val="0"/>
        <w:snapToGrid w:val="0"/>
        <w:spacing w:line="560" w:lineRule="exact"/>
        <w:ind w:firstLine="640"/>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single"/>
        </w:rPr>
        <w:t>　　　　　　　　　　</w:t>
      </w:r>
      <w:r>
        <w:rPr>
          <w:rFonts w:hint="eastAsia" w:ascii="宋体" w:hAnsi="宋体" w:eastAsia="宋体" w:cs="宋体"/>
          <w:color w:val="auto"/>
          <w:sz w:val="24"/>
        </w:rPr>
        <w:t>联系电话：</w:t>
      </w:r>
      <w:r>
        <w:rPr>
          <w:rFonts w:hint="eastAsia" w:ascii="宋体" w:hAnsi="宋体" w:eastAsia="宋体" w:cs="宋体"/>
          <w:color w:val="auto"/>
          <w:sz w:val="24"/>
          <w:u w:val="single"/>
        </w:rPr>
        <w:t>　　　　　　　　</w:t>
      </w:r>
      <w:r>
        <w:rPr>
          <w:rFonts w:hint="eastAsia" w:ascii="宋体" w:hAnsi="宋体" w:eastAsia="宋体" w:cs="宋体"/>
          <w:color w:val="auto"/>
          <w:sz w:val="24"/>
        </w:rPr>
        <w:t xml:space="preserve"> </w:t>
      </w:r>
    </w:p>
    <w:p>
      <w:pPr>
        <w:adjustRightInd w:val="0"/>
        <w:snapToGrid w:val="0"/>
        <w:spacing w:line="560" w:lineRule="exact"/>
        <w:ind w:firstLine="640"/>
        <w:rPr>
          <w:rFonts w:hint="eastAsia" w:ascii="宋体" w:hAnsi="宋体" w:eastAsia="宋体" w:cs="宋体"/>
          <w:color w:val="auto"/>
          <w:szCs w:val="21"/>
        </w:rPr>
      </w:pPr>
    </w:p>
    <w:p>
      <w:pPr>
        <w:adjustRightInd w:val="0"/>
        <w:snapToGrid w:val="0"/>
        <w:spacing w:line="560" w:lineRule="exact"/>
        <w:ind w:firstLine="640"/>
        <w:rPr>
          <w:rFonts w:hint="eastAsia" w:ascii="宋体" w:hAnsi="宋体" w:eastAsia="宋体" w:cs="宋体"/>
          <w:color w:val="auto"/>
          <w:szCs w:val="21"/>
        </w:rPr>
      </w:pPr>
    </w:p>
    <w:tbl>
      <w:tblPr>
        <w:tblStyle w:val="31"/>
        <w:tblW w:w="0" w:type="auto"/>
        <w:tblInd w:w="0" w:type="dxa"/>
        <w:tblLayout w:type="fixed"/>
        <w:tblCellMar>
          <w:top w:w="0" w:type="dxa"/>
          <w:left w:w="108" w:type="dxa"/>
          <w:bottom w:w="0" w:type="dxa"/>
          <w:right w:w="108" w:type="dxa"/>
        </w:tblCellMar>
      </w:tblPr>
      <w:tblGrid>
        <w:gridCol w:w="2344"/>
        <w:gridCol w:w="3301"/>
        <w:gridCol w:w="3301"/>
      </w:tblGrid>
      <w:tr>
        <w:tblPrEx>
          <w:tblCellMar>
            <w:top w:w="0" w:type="dxa"/>
            <w:left w:w="108" w:type="dxa"/>
            <w:bottom w:w="0" w:type="dxa"/>
            <w:right w:w="108" w:type="dxa"/>
          </w:tblCellMar>
        </w:tblPrEx>
        <w:trPr>
          <w:cantSplit/>
          <w:trHeight w:val="865" w:hRule="atLeast"/>
        </w:trPr>
        <w:tc>
          <w:tcPr>
            <w:tcW w:w="2344" w:type="dxa"/>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580" w:lineRule="exact"/>
              <w:jc w:val="center"/>
              <w:rPr>
                <w:rFonts w:hint="eastAsia" w:ascii="宋体" w:hAnsi="宋体" w:eastAsia="宋体" w:cs="宋体"/>
                <w:color w:val="auto"/>
                <w:kern w:val="0"/>
                <w:szCs w:val="21"/>
              </w:rPr>
            </w:pPr>
            <w:r>
              <w:rPr>
                <w:rFonts w:hint="eastAsia" w:ascii="宋体" w:hAnsi="宋体" w:eastAsia="宋体" w:cs="宋体"/>
                <w:b/>
                <w:bCs/>
                <w:color w:val="auto"/>
                <w:szCs w:val="21"/>
                <w:lang w:val="zh-CN"/>
              </w:rPr>
              <w:t>项目名称</w:t>
            </w:r>
          </w:p>
        </w:tc>
        <w:tc>
          <w:tcPr>
            <w:tcW w:w="3301" w:type="dxa"/>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580" w:lineRule="exact"/>
              <w:jc w:val="center"/>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定期存款年利率（%）</w:t>
            </w:r>
          </w:p>
        </w:tc>
        <w:tc>
          <w:tcPr>
            <w:tcW w:w="33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80" w:lineRule="exact"/>
              <w:jc w:val="center"/>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基准利率上浮比例（%）</w:t>
            </w:r>
          </w:p>
        </w:tc>
      </w:tr>
      <w:tr>
        <w:tblPrEx>
          <w:tblCellMar>
            <w:top w:w="0" w:type="dxa"/>
            <w:left w:w="108" w:type="dxa"/>
            <w:bottom w:w="0" w:type="dxa"/>
            <w:right w:w="108" w:type="dxa"/>
          </w:tblCellMar>
        </w:tblPrEx>
        <w:trPr>
          <w:trHeight w:val="239" w:hRule="atLeast"/>
        </w:trPr>
        <w:tc>
          <w:tcPr>
            <w:tcW w:w="2344" w:type="dxa"/>
            <w:tcBorders>
              <w:top w:val="nil"/>
              <w:left w:val="single" w:color="auto" w:sz="4" w:space="0"/>
              <w:bottom w:val="single" w:color="auto" w:sz="4" w:space="0"/>
              <w:right w:val="single" w:color="auto" w:sz="4" w:space="0"/>
            </w:tcBorders>
            <w:vAlign w:val="center"/>
          </w:tcPr>
          <w:p>
            <w:pPr>
              <w:widowControl/>
              <w:adjustRightInd w:val="0"/>
              <w:snapToGrid w:val="0"/>
              <w:spacing w:line="580" w:lineRule="exact"/>
              <w:ind w:firstLine="640"/>
              <w:jc w:val="center"/>
              <w:rPr>
                <w:rFonts w:hint="eastAsia" w:ascii="宋体" w:hAnsi="宋体" w:eastAsia="宋体" w:cs="宋体"/>
                <w:color w:val="auto"/>
                <w:kern w:val="0"/>
                <w:szCs w:val="21"/>
              </w:rPr>
            </w:pPr>
          </w:p>
        </w:tc>
        <w:tc>
          <w:tcPr>
            <w:tcW w:w="3301" w:type="dxa"/>
            <w:tcBorders>
              <w:top w:val="nil"/>
              <w:left w:val="nil"/>
              <w:bottom w:val="single" w:color="auto" w:sz="4" w:space="0"/>
              <w:right w:val="single" w:color="auto" w:sz="4" w:space="0"/>
            </w:tcBorders>
            <w:vAlign w:val="center"/>
          </w:tcPr>
          <w:p>
            <w:pPr>
              <w:widowControl/>
              <w:adjustRightInd w:val="0"/>
              <w:snapToGrid w:val="0"/>
              <w:spacing w:line="580" w:lineRule="exact"/>
              <w:ind w:firstLine="640"/>
              <w:jc w:val="center"/>
              <w:rPr>
                <w:rFonts w:hint="eastAsia" w:ascii="宋体" w:hAnsi="宋体" w:eastAsia="宋体" w:cs="宋体"/>
                <w:color w:val="auto"/>
                <w:kern w:val="0"/>
                <w:szCs w:val="21"/>
              </w:rPr>
            </w:pPr>
          </w:p>
        </w:tc>
        <w:tc>
          <w:tcPr>
            <w:tcW w:w="3301" w:type="dxa"/>
            <w:tcBorders>
              <w:top w:val="single" w:color="auto" w:sz="4" w:space="0"/>
              <w:left w:val="nil"/>
              <w:bottom w:val="single" w:color="auto" w:sz="4" w:space="0"/>
              <w:right w:val="single" w:color="auto" w:sz="4" w:space="0"/>
            </w:tcBorders>
            <w:vAlign w:val="center"/>
          </w:tcPr>
          <w:p>
            <w:pPr>
              <w:widowControl/>
              <w:adjustRightInd w:val="0"/>
              <w:snapToGrid w:val="0"/>
              <w:spacing w:line="580" w:lineRule="exact"/>
              <w:ind w:firstLine="640"/>
              <w:jc w:val="center"/>
              <w:rPr>
                <w:rFonts w:hint="eastAsia" w:ascii="宋体" w:hAnsi="宋体" w:eastAsia="宋体" w:cs="宋体"/>
                <w:color w:val="auto"/>
                <w:kern w:val="0"/>
                <w:szCs w:val="21"/>
              </w:rPr>
            </w:pPr>
          </w:p>
        </w:tc>
      </w:tr>
      <w:tr>
        <w:tblPrEx>
          <w:tblCellMar>
            <w:top w:w="0" w:type="dxa"/>
            <w:left w:w="108" w:type="dxa"/>
            <w:bottom w:w="0" w:type="dxa"/>
            <w:right w:w="108" w:type="dxa"/>
          </w:tblCellMar>
        </w:tblPrEx>
        <w:trPr>
          <w:trHeight w:val="239" w:hRule="atLeast"/>
        </w:trPr>
        <w:tc>
          <w:tcPr>
            <w:tcW w:w="2344" w:type="dxa"/>
            <w:tcBorders>
              <w:top w:val="nil"/>
              <w:left w:val="single" w:color="auto" w:sz="4" w:space="0"/>
              <w:bottom w:val="single" w:color="auto" w:sz="4" w:space="0"/>
              <w:right w:val="single" w:color="auto" w:sz="4" w:space="0"/>
            </w:tcBorders>
            <w:vAlign w:val="center"/>
          </w:tcPr>
          <w:p>
            <w:pPr>
              <w:widowControl/>
              <w:adjustRightInd w:val="0"/>
              <w:snapToGrid w:val="0"/>
              <w:spacing w:line="580" w:lineRule="exact"/>
              <w:ind w:firstLine="640"/>
              <w:jc w:val="center"/>
              <w:rPr>
                <w:rFonts w:hint="eastAsia" w:ascii="宋体" w:hAnsi="宋体" w:eastAsia="宋体" w:cs="宋体"/>
                <w:color w:val="auto"/>
                <w:kern w:val="0"/>
                <w:szCs w:val="21"/>
              </w:rPr>
            </w:pPr>
          </w:p>
        </w:tc>
        <w:tc>
          <w:tcPr>
            <w:tcW w:w="3301" w:type="dxa"/>
            <w:tcBorders>
              <w:top w:val="nil"/>
              <w:left w:val="nil"/>
              <w:bottom w:val="single" w:color="auto" w:sz="4" w:space="0"/>
              <w:right w:val="single" w:color="auto" w:sz="4" w:space="0"/>
            </w:tcBorders>
            <w:vAlign w:val="center"/>
          </w:tcPr>
          <w:p>
            <w:pPr>
              <w:widowControl/>
              <w:adjustRightInd w:val="0"/>
              <w:snapToGrid w:val="0"/>
              <w:spacing w:line="580" w:lineRule="exact"/>
              <w:ind w:firstLine="640"/>
              <w:jc w:val="center"/>
              <w:rPr>
                <w:rFonts w:hint="eastAsia" w:ascii="宋体" w:hAnsi="宋体" w:eastAsia="宋体" w:cs="宋体"/>
                <w:color w:val="auto"/>
                <w:kern w:val="0"/>
                <w:szCs w:val="21"/>
              </w:rPr>
            </w:pPr>
          </w:p>
        </w:tc>
        <w:tc>
          <w:tcPr>
            <w:tcW w:w="3301" w:type="dxa"/>
            <w:tcBorders>
              <w:top w:val="nil"/>
              <w:left w:val="nil"/>
              <w:bottom w:val="single" w:color="auto" w:sz="4" w:space="0"/>
              <w:right w:val="single" w:color="auto" w:sz="4" w:space="0"/>
            </w:tcBorders>
            <w:vAlign w:val="center"/>
          </w:tcPr>
          <w:p>
            <w:pPr>
              <w:widowControl/>
              <w:adjustRightInd w:val="0"/>
              <w:snapToGrid w:val="0"/>
              <w:spacing w:line="580" w:lineRule="exact"/>
              <w:ind w:firstLine="640"/>
              <w:jc w:val="center"/>
              <w:rPr>
                <w:rFonts w:hint="eastAsia" w:ascii="宋体" w:hAnsi="宋体" w:eastAsia="宋体" w:cs="宋体"/>
                <w:color w:val="auto"/>
                <w:kern w:val="0"/>
                <w:szCs w:val="21"/>
              </w:rPr>
            </w:pPr>
          </w:p>
        </w:tc>
      </w:tr>
    </w:tbl>
    <w:p>
      <w:pPr>
        <w:adjustRightInd w:val="0"/>
        <w:snapToGrid w:val="0"/>
        <w:spacing w:line="560" w:lineRule="exact"/>
        <w:rPr>
          <w:rFonts w:hint="eastAsia" w:ascii="宋体" w:hAnsi="宋体" w:eastAsia="宋体" w:cs="宋体"/>
          <w:color w:val="auto"/>
          <w:sz w:val="24"/>
        </w:rPr>
      </w:pPr>
      <w:r>
        <w:rPr>
          <w:rFonts w:hint="eastAsia" w:ascii="宋体" w:hAnsi="宋体" w:eastAsia="宋体" w:cs="宋体"/>
          <w:color w:val="auto"/>
          <w:sz w:val="24"/>
        </w:rPr>
        <w:t>备注：</w:t>
      </w:r>
    </w:p>
    <w:p>
      <w:pPr>
        <w:adjustRightInd w:val="0"/>
        <w:snapToGrid w:val="0"/>
        <w:spacing w:line="560" w:lineRule="exact"/>
        <w:ind w:firstLine="720" w:firstLineChars="300"/>
        <w:outlineLvl w:val="0"/>
        <w:rPr>
          <w:rFonts w:hint="eastAsia" w:ascii="宋体" w:hAnsi="宋体" w:eastAsia="宋体" w:cs="宋体"/>
          <w:color w:val="auto"/>
          <w:sz w:val="24"/>
        </w:rPr>
      </w:pPr>
      <w:bookmarkStart w:id="205" w:name="_Toc31029"/>
      <w:bookmarkStart w:id="206" w:name="_Toc30208"/>
      <w:bookmarkStart w:id="207" w:name="_Toc5156"/>
      <w:r>
        <w:rPr>
          <w:rFonts w:hint="eastAsia" w:ascii="宋体" w:hAnsi="宋体" w:eastAsia="宋体" w:cs="宋体"/>
          <w:color w:val="auto"/>
          <w:sz w:val="24"/>
        </w:rPr>
        <w:t>1. 定期存款年利率不得违反国家利率政策，否则视为无效投标；</w:t>
      </w:r>
      <w:bookmarkEnd w:id="205"/>
      <w:bookmarkEnd w:id="206"/>
      <w:bookmarkEnd w:id="207"/>
      <w:r>
        <w:rPr>
          <w:rFonts w:hint="eastAsia" w:ascii="宋体" w:hAnsi="宋体" w:eastAsia="宋体" w:cs="宋体"/>
          <w:color w:val="auto"/>
          <w:sz w:val="24"/>
        </w:rPr>
        <w:t xml:space="preserve"> </w:t>
      </w:r>
    </w:p>
    <w:p>
      <w:pPr>
        <w:adjustRightInd w:val="0"/>
        <w:snapToGrid w:val="0"/>
        <w:spacing w:line="560" w:lineRule="exact"/>
        <w:ind w:firstLine="720" w:firstLineChars="300"/>
        <w:outlineLvl w:val="0"/>
        <w:rPr>
          <w:rFonts w:hint="eastAsia" w:ascii="宋体" w:hAnsi="宋体" w:eastAsia="宋体" w:cs="宋体"/>
          <w:color w:val="auto"/>
          <w:sz w:val="24"/>
        </w:rPr>
      </w:pPr>
      <w:bookmarkStart w:id="208" w:name="_Toc7128"/>
      <w:bookmarkStart w:id="209" w:name="_Toc3345"/>
      <w:bookmarkStart w:id="210" w:name="_Toc1496"/>
      <w:r>
        <w:rPr>
          <w:rFonts w:hint="eastAsia" w:ascii="宋体" w:hAnsi="宋体" w:eastAsia="宋体" w:cs="宋体"/>
          <w:color w:val="auto"/>
          <w:sz w:val="24"/>
        </w:rPr>
        <w:t>2. 年利率、上浮比例按四舍五入保留小数点后三位数（0.000%）；</w:t>
      </w:r>
      <w:bookmarkEnd w:id="208"/>
      <w:bookmarkEnd w:id="209"/>
      <w:bookmarkEnd w:id="210"/>
    </w:p>
    <w:p>
      <w:pPr>
        <w:adjustRightInd w:val="0"/>
        <w:snapToGrid w:val="0"/>
        <w:spacing w:line="560" w:lineRule="exact"/>
        <w:ind w:firstLine="720" w:firstLineChars="300"/>
        <w:outlineLvl w:val="0"/>
        <w:rPr>
          <w:rFonts w:hint="eastAsia" w:ascii="宋体" w:hAnsi="宋体" w:eastAsia="宋体" w:cs="宋体"/>
          <w:color w:val="auto"/>
          <w:sz w:val="24"/>
        </w:rPr>
      </w:pPr>
      <w:bookmarkStart w:id="211" w:name="_Toc2590"/>
      <w:bookmarkStart w:id="212" w:name="_Toc18879"/>
      <w:bookmarkStart w:id="213" w:name="_Toc7032"/>
      <w:r>
        <w:rPr>
          <w:rFonts w:hint="eastAsia" w:ascii="宋体" w:hAnsi="宋体" w:eastAsia="宋体" w:cs="宋体"/>
          <w:color w:val="auto"/>
          <w:sz w:val="24"/>
        </w:rPr>
        <w:t>3. 本投标书填写须清晰，不得涂改。</w:t>
      </w:r>
      <w:bookmarkEnd w:id="211"/>
      <w:bookmarkEnd w:id="212"/>
      <w:bookmarkEnd w:id="213"/>
      <w:r>
        <w:rPr>
          <w:rFonts w:hint="eastAsia" w:ascii="宋体" w:hAnsi="宋体" w:eastAsia="宋体" w:cs="宋体"/>
          <w:color w:val="auto"/>
          <w:sz w:val="24"/>
        </w:rPr>
        <w:t xml:space="preserve">                          </w:t>
      </w:r>
    </w:p>
    <w:p>
      <w:pPr>
        <w:adjustRightInd w:val="0"/>
        <w:snapToGrid w:val="0"/>
        <w:spacing w:line="560" w:lineRule="exact"/>
        <w:ind w:firstLine="720" w:firstLineChars="300"/>
        <w:rPr>
          <w:rFonts w:hint="eastAsia" w:ascii="宋体" w:hAnsi="宋体" w:eastAsia="宋体" w:cs="宋体"/>
          <w:color w:val="auto"/>
          <w:sz w:val="24"/>
        </w:rPr>
      </w:pPr>
    </w:p>
    <w:p>
      <w:pPr>
        <w:adjustRightInd w:val="0"/>
        <w:snapToGrid w:val="0"/>
        <w:spacing w:line="560" w:lineRule="exact"/>
        <w:ind w:firstLine="5565"/>
        <w:rPr>
          <w:rFonts w:hint="eastAsia" w:ascii="宋体" w:hAnsi="宋体" w:eastAsia="宋体" w:cs="宋体"/>
          <w:color w:val="auto"/>
          <w:sz w:val="24"/>
        </w:rPr>
      </w:pPr>
      <w:r>
        <w:rPr>
          <w:rFonts w:hint="eastAsia" w:ascii="宋体" w:hAnsi="宋体" w:eastAsia="宋体" w:cs="宋体"/>
          <w:color w:val="auto"/>
          <w:sz w:val="24"/>
        </w:rPr>
        <w:t>（单位公章）</w:t>
      </w:r>
    </w:p>
    <w:p>
      <w:pPr>
        <w:adjustRightInd w:val="0"/>
        <w:snapToGrid w:val="0"/>
        <w:spacing w:line="560" w:lineRule="exact"/>
        <w:ind w:firstLine="5565"/>
        <w:rPr>
          <w:rFonts w:hint="eastAsia" w:ascii="宋体" w:hAnsi="宋体" w:eastAsia="宋体" w:cs="宋体"/>
          <w:color w:val="auto"/>
          <w:sz w:val="24"/>
        </w:rPr>
      </w:pPr>
      <w:r>
        <w:rPr>
          <w:rFonts w:hint="eastAsia" w:ascii="宋体" w:hAnsi="宋体" w:eastAsia="宋体" w:cs="宋体"/>
          <w:color w:val="auto"/>
          <w:sz w:val="24"/>
        </w:rPr>
        <w:t>投标方代表（签字）：</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adjustRightInd w:val="0"/>
        <w:snapToGrid w:val="0"/>
        <w:spacing w:line="580" w:lineRule="exact"/>
        <w:ind w:firstLine="5040" w:firstLineChars="2100"/>
        <w:rPr>
          <w:rFonts w:hint="eastAsia" w:ascii="宋体" w:hAnsi="宋体" w:eastAsia="宋体" w:cs="宋体"/>
          <w:color w:val="auto"/>
          <w:sz w:val="24"/>
        </w:rPr>
      </w:pPr>
      <w:r>
        <w:rPr>
          <w:rFonts w:hint="eastAsia" w:ascii="宋体" w:hAnsi="宋体" w:eastAsia="宋体" w:cs="宋体"/>
          <w:color w:val="auto"/>
          <w:sz w:val="24"/>
        </w:rPr>
        <w:t>投标日期：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autoSpaceDE w:val="0"/>
        <w:autoSpaceDN w:val="0"/>
        <w:adjustRightInd w:val="0"/>
        <w:spacing w:line="360" w:lineRule="auto"/>
        <w:ind w:firstLine="480"/>
        <w:rPr>
          <w:rFonts w:hint="eastAsia" w:ascii="宋体" w:hAnsi="宋体" w:eastAsia="宋体" w:cs="宋体"/>
          <w:color w:val="auto"/>
          <w:kern w:val="0"/>
          <w:sz w:val="24"/>
          <w:lang w:val="zh-CN"/>
        </w:rPr>
      </w:pPr>
    </w:p>
    <w:p>
      <w:pPr>
        <w:autoSpaceDE w:val="0"/>
        <w:autoSpaceDN w:val="0"/>
        <w:adjustRightInd w:val="0"/>
        <w:spacing w:line="360" w:lineRule="auto"/>
        <w:ind w:firstLine="480"/>
        <w:rPr>
          <w:rFonts w:hint="eastAsia" w:ascii="宋体" w:hAnsi="宋体" w:eastAsia="宋体" w:cs="宋体"/>
          <w:color w:val="auto"/>
          <w:kern w:val="0"/>
          <w:sz w:val="24"/>
          <w:lang w:val="zh-CN"/>
        </w:rPr>
      </w:pPr>
    </w:p>
    <w:p>
      <w:pPr>
        <w:autoSpaceDE w:val="0"/>
        <w:autoSpaceDN w:val="0"/>
        <w:adjustRightInd w:val="0"/>
        <w:spacing w:line="360" w:lineRule="auto"/>
        <w:ind w:firstLine="480"/>
        <w:rPr>
          <w:rFonts w:hint="eastAsia" w:ascii="宋体" w:hAnsi="宋体" w:eastAsia="宋体" w:cs="宋体"/>
          <w:color w:val="auto"/>
          <w:kern w:val="0"/>
          <w:sz w:val="24"/>
          <w:lang w:val="zh-CN"/>
        </w:rPr>
      </w:pPr>
    </w:p>
    <w:p>
      <w:pPr>
        <w:autoSpaceDE w:val="0"/>
        <w:autoSpaceDN w:val="0"/>
        <w:adjustRightInd w:val="0"/>
        <w:spacing w:line="360" w:lineRule="auto"/>
        <w:ind w:firstLine="480"/>
        <w:rPr>
          <w:rFonts w:hint="eastAsia" w:ascii="宋体" w:hAnsi="宋体" w:eastAsia="宋体" w:cs="宋体"/>
          <w:color w:val="auto"/>
          <w:kern w:val="0"/>
          <w:sz w:val="24"/>
          <w:lang w:val="zh-CN"/>
        </w:rPr>
      </w:pPr>
    </w:p>
    <w:p>
      <w:pPr>
        <w:spacing w:line="360" w:lineRule="auto"/>
        <w:jc w:val="center"/>
        <w:rPr>
          <w:rFonts w:hint="eastAsia" w:ascii="宋体" w:hAnsi="宋体" w:eastAsia="宋体" w:cs="宋体"/>
          <w:color w:val="auto"/>
          <w:kern w:val="0"/>
          <w:sz w:val="36"/>
          <w:szCs w:val="36"/>
        </w:rPr>
      </w:pPr>
    </w:p>
    <w:p>
      <w:pPr>
        <w:spacing w:line="360" w:lineRule="auto"/>
        <w:jc w:val="center"/>
        <w:outlineLvl w:val="0"/>
        <w:rPr>
          <w:rFonts w:hint="eastAsia" w:ascii="宋体" w:hAnsi="宋体" w:eastAsia="宋体" w:cs="宋体"/>
          <w:bCs/>
          <w:color w:val="auto"/>
          <w:sz w:val="36"/>
          <w:szCs w:val="36"/>
        </w:rPr>
      </w:pPr>
      <w:bookmarkStart w:id="214" w:name="_Toc24401"/>
      <w:bookmarkStart w:id="215" w:name="_Toc21229"/>
      <w:bookmarkStart w:id="216" w:name="_Toc19974"/>
      <w:r>
        <w:rPr>
          <w:rFonts w:hint="eastAsia" w:ascii="宋体" w:hAnsi="宋体" w:eastAsia="宋体" w:cs="宋体"/>
          <w:color w:val="auto"/>
          <w:kern w:val="0"/>
          <w:sz w:val="36"/>
          <w:szCs w:val="36"/>
        </w:rPr>
        <w:t>★商</w:t>
      </w:r>
      <w:r>
        <w:rPr>
          <w:rFonts w:hint="eastAsia" w:ascii="宋体" w:hAnsi="宋体" w:eastAsia="宋体" w:cs="宋体"/>
          <w:bCs/>
          <w:color w:val="auto"/>
          <w:sz w:val="36"/>
          <w:szCs w:val="36"/>
        </w:rPr>
        <w:t>务文件部分</w:t>
      </w:r>
      <w:bookmarkEnd w:id="214"/>
      <w:bookmarkEnd w:id="215"/>
      <w:bookmarkEnd w:id="216"/>
    </w:p>
    <w:p>
      <w:pPr>
        <w:spacing w:line="360" w:lineRule="auto"/>
        <w:jc w:val="center"/>
        <w:rPr>
          <w:rFonts w:hint="eastAsia" w:ascii="宋体" w:hAnsi="宋体" w:eastAsia="宋体" w:cs="宋体"/>
          <w:bCs/>
          <w:color w:val="auto"/>
          <w:sz w:val="30"/>
          <w:szCs w:val="30"/>
        </w:rPr>
      </w:pPr>
    </w:p>
    <w:p>
      <w:pPr>
        <w:spacing w:line="360" w:lineRule="auto"/>
        <w:jc w:val="center"/>
        <w:outlineLvl w:val="0"/>
        <w:rPr>
          <w:rFonts w:hint="eastAsia" w:ascii="宋体" w:hAnsi="宋体" w:eastAsia="宋体" w:cs="宋体"/>
          <w:bCs/>
          <w:color w:val="auto"/>
          <w:sz w:val="30"/>
          <w:szCs w:val="30"/>
        </w:rPr>
      </w:pPr>
      <w:bookmarkStart w:id="217" w:name="_Toc15118"/>
      <w:bookmarkStart w:id="218" w:name="_Toc18695"/>
      <w:bookmarkStart w:id="219" w:name="_Toc16425"/>
      <w:r>
        <w:rPr>
          <w:rFonts w:hint="eastAsia" w:ascii="宋体" w:hAnsi="宋体" w:eastAsia="宋体" w:cs="宋体"/>
          <w:bCs/>
          <w:color w:val="auto"/>
          <w:sz w:val="30"/>
          <w:szCs w:val="30"/>
        </w:rPr>
        <w:t>目录</w:t>
      </w:r>
      <w:bookmarkEnd w:id="217"/>
      <w:bookmarkEnd w:id="218"/>
      <w:bookmarkEnd w:id="219"/>
    </w:p>
    <w:p>
      <w:pPr>
        <w:spacing w:line="360" w:lineRule="auto"/>
        <w:ind w:firstLine="336" w:firstLineChars="140"/>
        <w:outlineLvl w:val="0"/>
        <w:rPr>
          <w:rFonts w:hint="eastAsia" w:ascii="宋体" w:hAnsi="宋体" w:eastAsia="宋体" w:cs="宋体"/>
          <w:color w:val="auto"/>
          <w:kern w:val="0"/>
          <w:sz w:val="24"/>
        </w:rPr>
      </w:pPr>
      <w:bookmarkStart w:id="220" w:name="_Toc469928393"/>
      <w:bookmarkStart w:id="221" w:name="_Toc8968"/>
      <w:bookmarkStart w:id="222" w:name="_Toc29824"/>
      <w:bookmarkStart w:id="223" w:name="_Toc689"/>
      <w:bookmarkStart w:id="224" w:name="_Toc25040"/>
      <w:bookmarkStart w:id="225" w:name="_Toc469928286"/>
      <w:bookmarkStart w:id="226" w:name="_Toc469928108"/>
      <w:r>
        <w:rPr>
          <w:rFonts w:hint="eastAsia" w:ascii="宋体" w:hAnsi="宋体" w:eastAsia="宋体" w:cs="宋体"/>
          <w:color w:val="auto"/>
          <w:kern w:val="0"/>
          <w:sz w:val="24"/>
        </w:rPr>
        <w:t>一、法定代表人授权书，法定代表人及其授权代表的身份证复印件…（页码）</w:t>
      </w:r>
      <w:bookmarkEnd w:id="220"/>
      <w:bookmarkEnd w:id="221"/>
      <w:bookmarkEnd w:id="222"/>
      <w:bookmarkEnd w:id="223"/>
      <w:bookmarkEnd w:id="224"/>
      <w:bookmarkEnd w:id="225"/>
      <w:bookmarkEnd w:id="226"/>
    </w:p>
    <w:p>
      <w:pPr>
        <w:spacing w:line="360" w:lineRule="auto"/>
        <w:ind w:firstLine="336" w:firstLineChars="140"/>
        <w:outlineLvl w:val="0"/>
        <w:rPr>
          <w:rFonts w:hint="eastAsia" w:ascii="宋体" w:hAnsi="宋体" w:eastAsia="宋体" w:cs="宋体"/>
          <w:color w:val="auto"/>
          <w:sz w:val="24"/>
        </w:rPr>
      </w:pPr>
      <w:bookmarkStart w:id="227" w:name="_Toc5288"/>
      <w:bookmarkStart w:id="228" w:name="_Toc27649"/>
      <w:bookmarkStart w:id="229" w:name="_Toc29861"/>
      <w:bookmarkStart w:id="230" w:name="_Toc469928397"/>
      <w:bookmarkStart w:id="231" w:name="_Toc469928290"/>
      <w:bookmarkStart w:id="232" w:name="_Toc20914"/>
      <w:bookmarkStart w:id="233" w:name="_Toc469928112"/>
      <w:r>
        <w:rPr>
          <w:rFonts w:hint="eastAsia" w:ascii="宋体" w:hAnsi="宋体" w:eastAsia="宋体" w:cs="宋体"/>
          <w:color w:val="auto"/>
          <w:sz w:val="24"/>
          <w:lang w:eastAsia="zh-CN"/>
        </w:rPr>
        <w:t>二</w:t>
      </w:r>
      <w:r>
        <w:rPr>
          <w:rFonts w:hint="eastAsia" w:ascii="宋体" w:hAnsi="宋体" w:eastAsia="宋体" w:cs="宋体"/>
          <w:color w:val="auto"/>
          <w:sz w:val="24"/>
        </w:rPr>
        <w:t>、声明书…………………………………………………（页码）</w:t>
      </w:r>
      <w:bookmarkEnd w:id="227"/>
      <w:bookmarkEnd w:id="228"/>
      <w:bookmarkEnd w:id="229"/>
      <w:bookmarkEnd w:id="230"/>
      <w:bookmarkEnd w:id="231"/>
      <w:bookmarkEnd w:id="232"/>
      <w:bookmarkEnd w:id="233"/>
    </w:p>
    <w:p>
      <w:pPr>
        <w:spacing w:line="360" w:lineRule="auto"/>
        <w:ind w:firstLine="336" w:firstLineChars="140"/>
        <w:outlineLvl w:val="0"/>
        <w:rPr>
          <w:rFonts w:hint="eastAsia" w:ascii="宋体" w:hAnsi="宋体" w:eastAsia="宋体" w:cs="宋体"/>
          <w:color w:val="auto"/>
          <w:sz w:val="24"/>
        </w:rPr>
      </w:pPr>
      <w:bookmarkStart w:id="234" w:name="_Toc469928113"/>
      <w:bookmarkStart w:id="235" w:name="_Toc469928291"/>
      <w:bookmarkStart w:id="236" w:name="_Toc469928398"/>
      <w:bookmarkStart w:id="237" w:name="_Toc18420"/>
      <w:bookmarkStart w:id="238" w:name="_Toc18376"/>
      <w:bookmarkStart w:id="239" w:name="_Toc9221"/>
      <w:bookmarkStart w:id="240" w:name="_Toc10579"/>
      <w:r>
        <w:rPr>
          <w:rFonts w:hint="eastAsia" w:ascii="宋体" w:hAnsi="宋体" w:eastAsia="宋体" w:cs="宋体"/>
          <w:color w:val="auto"/>
          <w:sz w:val="24"/>
          <w:lang w:eastAsia="zh-CN"/>
        </w:rPr>
        <w:t>三</w:t>
      </w:r>
      <w:r>
        <w:rPr>
          <w:rFonts w:hint="eastAsia" w:ascii="宋体" w:hAnsi="宋体" w:eastAsia="宋体" w:cs="宋体"/>
          <w:color w:val="auto"/>
          <w:sz w:val="24"/>
        </w:rPr>
        <w:t>、有效的营业执照（副本复印件）或《统一社会信用代码证》……（页码）</w:t>
      </w:r>
      <w:bookmarkEnd w:id="234"/>
      <w:bookmarkEnd w:id="235"/>
      <w:bookmarkEnd w:id="236"/>
      <w:bookmarkEnd w:id="237"/>
      <w:bookmarkEnd w:id="238"/>
      <w:bookmarkEnd w:id="239"/>
      <w:bookmarkEnd w:id="240"/>
    </w:p>
    <w:p>
      <w:pPr>
        <w:spacing w:line="360" w:lineRule="auto"/>
        <w:ind w:firstLine="336" w:firstLineChars="140"/>
        <w:outlineLvl w:val="0"/>
        <w:rPr>
          <w:rFonts w:hint="eastAsia" w:ascii="宋体" w:hAnsi="宋体" w:eastAsia="宋体" w:cs="宋体"/>
          <w:color w:val="auto"/>
          <w:sz w:val="24"/>
        </w:rPr>
      </w:pPr>
      <w:bookmarkStart w:id="241" w:name="_Toc469928114"/>
      <w:bookmarkStart w:id="242" w:name="_Toc469928292"/>
      <w:bookmarkStart w:id="243" w:name="_Toc469928399"/>
      <w:bookmarkStart w:id="244" w:name="_Toc2904"/>
      <w:bookmarkStart w:id="245" w:name="_Toc488"/>
      <w:bookmarkStart w:id="246" w:name="_Toc19489"/>
      <w:bookmarkStart w:id="247" w:name="_Toc15373"/>
      <w:r>
        <w:rPr>
          <w:rFonts w:hint="eastAsia" w:ascii="宋体" w:hAnsi="宋体" w:eastAsia="宋体" w:cs="宋体"/>
          <w:color w:val="auto"/>
          <w:sz w:val="24"/>
          <w:lang w:eastAsia="zh-CN"/>
        </w:rPr>
        <w:t>四</w:t>
      </w:r>
      <w:r>
        <w:rPr>
          <w:rFonts w:hint="eastAsia" w:ascii="宋体" w:hAnsi="宋体" w:eastAsia="宋体" w:cs="宋体"/>
          <w:color w:val="auto"/>
          <w:sz w:val="24"/>
        </w:rPr>
        <w:t>、所有资质文件（复印件）……………………………（页码）</w:t>
      </w:r>
      <w:bookmarkEnd w:id="241"/>
      <w:bookmarkEnd w:id="242"/>
      <w:bookmarkEnd w:id="243"/>
      <w:bookmarkEnd w:id="244"/>
      <w:bookmarkEnd w:id="245"/>
      <w:bookmarkEnd w:id="246"/>
      <w:bookmarkEnd w:id="247"/>
    </w:p>
    <w:p>
      <w:pPr>
        <w:spacing w:line="360" w:lineRule="auto"/>
        <w:ind w:firstLine="336" w:firstLineChars="140"/>
        <w:outlineLvl w:val="0"/>
        <w:rPr>
          <w:rFonts w:hint="eastAsia" w:ascii="宋体" w:hAnsi="宋体" w:eastAsia="宋体" w:cs="宋体"/>
          <w:color w:val="auto"/>
          <w:sz w:val="24"/>
        </w:rPr>
      </w:pPr>
      <w:bookmarkStart w:id="248" w:name="_Toc469928115"/>
      <w:bookmarkStart w:id="249" w:name="_Toc469928293"/>
      <w:bookmarkStart w:id="250" w:name="_Toc469928400"/>
      <w:bookmarkStart w:id="251" w:name="_Toc2973"/>
      <w:bookmarkStart w:id="252" w:name="_Toc30114"/>
      <w:bookmarkStart w:id="253" w:name="_Toc2183"/>
      <w:bookmarkStart w:id="254" w:name="_Toc16475"/>
      <w:r>
        <w:rPr>
          <w:rFonts w:hint="eastAsia" w:ascii="宋体" w:hAnsi="宋体" w:eastAsia="宋体" w:cs="宋体"/>
          <w:color w:val="auto"/>
          <w:sz w:val="24"/>
          <w:lang w:eastAsia="zh-CN"/>
        </w:rPr>
        <w:t>五</w:t>
      </w:r>
      <w:r>
        <w:rPr>
          <w:rFonts w:hint="eastAsia" w:ascii="宋体" w:hAnsi="宋体" w:eastAsia="宋体" w:cs="宋体"/>
          <w:color w:val="auto"/>
          <w:sz w:val="24"/>
        </w:rPr>
        <w:t>、投标人基本情况………………………………………（页码）</w:t>
      </w:r>
      <w:bookmarkEnd w:id="248"/>
      <w:bookmarkEnd w:id="249"/>
      <w:bookmarkEnd w:id="250"/>
      <w:bookmarkEnd w:id="251"/>
      <w:bookmarkEnd w:id="252"/>
      <w:bookmarkEnd w:id="253"/>
      <w:bookmarkEnd w:id="254"/>
    </w:p>
    <w:p>
      <w:pPr>
        <w:spacing w:line="360" w:lineRule="auto"/>
        <w:ind w:firstLine="336" w:firstLineChars="140"/>
        <w:outlineLvl w:val="0"/>
        <w:rPr>
          <w:rFonts w:hint="eastAsia" w:ascii="宋体" w:hAnsi="宋体" w:eastAsia="宋体" w:cs="宋体"/>
          <w:color w:val="auto"/>
          <w:sz w:val="24"/>
        </w:rPr>
      </w:pPr>
      <w:bookmarkStart w:id="255" w:name="_Toc469928116"/>
      <w:bookmarkStart w:id="256" w:name="_Toc469928294"/>
      <w:bookmarkStart w:id="257" w:name="_Toc469928401"/>
      <w:bookmarkStart w:id="258" w:name="_Toc13485"/>
      <w:bookmarkStart w:id="259" w:name="_Toc15894"/>
      <w:bookmarkStart w:id="260" w:name="_Toc1433"/>
      <w:bookmarkStart w:id="261" w:name="_Toc12781"/>
      <w:r>
        <w:rPr>
          <w:rFonts w:hint="eastAsia" w:ascii="宋体" w:hAnsi="宋体" w:eastAsia="宋体" w:cs="宋体"/>
          <w:color w:val="auto"/>
          <w:sz w:val="24"/>
          <w:lang w:eastAsia="zh-CN"/>
        </w:rPr>
        <w:t>六</w:t>
      </w:r>
      <w:r>
        <w:rPr>
          <w:rFonts w:hint="eastAsia" w:ascii="宋体" w:hAnsi="宋体" w:eastAsia="宋体" w:cs="宋体"/>
          <w:color w:val="auto"/>
          <w:sz w:val="24"/>
        </w:rPr>
        <w:t>、关于对招标文件中有关条款的拒绝声明……………（页码）</w:t>
      </w:r>
      <w:bookmarkEnd w:id="255"/>
      <w:bookmarkEnd w:id="256"/>
      <w:bookmarkEnd w:id="257"/>
      <w:bookmarkEnd w:id="258"/>
      <w:bookmarkEnd w:id="259"/>
      <w:bookmarkEnd w:id="260"/>
      <w:bookmarkEnd w:id="261"/>
    </w:p>
    <w:p>
      <w:pPr>
        <w:spacing w:line="360" w:lineRule="auto"/>
        <w:ind w:firstLine="336" w:firstLineChars="140"/>
        <w:outlineLvl w:val="0"/>
        <w:rPr>
          <w:rFonts w:hint="eastAsia" w:ascii="宋体" w:hAnsi="宋体" w:eastAsia="宋体" w:cs="宋体"/>
          <w:color w:val="auto"/>
          <w:sz w:val="24"/>
        </w:rPr>
      </w:pPr>
      <w:bookmarkStart w:id="262" w:name="_Toc469928117"/>
      <w:bookmarkStart w:id="263" w:name="_Toc469928295"/>
      <w:bookmarkStart w:id="264" w:name="_Toc469928402"/>
      <w:bookmarkStart w:id="265" w:name="_Toc24658"/>
      <w:bookmarkStart w:id="266" w:name="_Toc7168"/>
      <w:bookmarkStart w:id="267" w:name="_Toc17991"/>
      <w:bookmarkStart w:id="268" w:name="_Toc1526"/>
      <w:r>
        <w:rPr>
          <w:rFonts w:hint="eastAsia" w:ascii="宋体" w:hAnsi="宋体" w:eastAsia="宋体" w:cs="宋体"/>
          <w:color w:val="auto"/>
          <w:sz w:val="24"/>
          <w:lang w:eastAsia="zh-CN"/>
        </w:rPr>
        <w:t>七</w:t>
      </w:r>
      <w:r>
        <w:rPr>
          <w:rFonts w:hint="eastAsia" w:ascii="宋体" w:hAnsi="宋体" w:eastAsia="宋体" w:cs="宋体"/>
          <w:color w:val="auto"/>
          <w:sz w:val="24"/>
        </w:rPr>
        <w:t>、投标人认为需要的其他商务文件或说明……………（页码）</w:t>
      </w:r>
      <w:bookmarkEnd w:id="262"/>
      <w:bookmarkEnd w:id="263"/>
      <w:bookmarkEnd w:id="264"/>
      <w:bookmarkEnd w:id="265"/>
      <w:bookmarkEnd w:id="266"/>
      <w:bookmarkEnd w:id="267"/>
      <w:bookmarkEnd w:id="268"/>
    </w:p>
    <w:p>
      <w:pPr>
        <w:spacing w:line="360" w:lineRule="auto"/>
        <w:ind w:firstLine="456" w:firstLineChars="190"/>
        <w:rPr>
          <w:rFonts w:hint="eastAsia" w:ascii="宋体" w:hAnsi="宋体" w:eastAsia="宋体" w:cs="宋体"/>
          <w:bCs/>
          <w:color w:val="auto"/>
          <w:sz w:val="24"/>
        </w:rPr>
      </w:pPr>
      <w:r>
        <w:rPr>
          <w:rFonts w:hint="eastAsia" w:ascii="宋体" w:hAnsi="宋体" w:eastAsia="宋体" w:cs="宋体"/>
          <w:bCs/>
          <w:color w:val="auto"/>
          <w:sz w:val="24"/>
        </w:rPr>
        <w:t>注：以上目录是编制投标商务文件的基本格式要求，各投标人可根据自身情况进一步细化。</w:t>
      </w:r>
    </w:p>
    <w:p>
      <w:pPr>
        <w:spacing w:line="360" w:lineRule="auto"/>
        <w:rPr>
          <w:rFonts w:hint="eastAsia" w:ascii="宋体" w:hAnsi="宋体" w:eastAsia="宋体" w:cs="宋体"/>
          <w:bCs/>
          <w:color w:val="auto"/>
          <w:sz w:val="24"/>
        </w:rPr>
      </w:pPr>
      <w:r>
        <w:rPr>
          <w:rFonts w:hint="eastAsia" w:ascii="宋体" w:hAnsi="宋体" w:eastAsia="宋体" w:cs="宋体"/>
          <w:bCs/>
          <w:color w:val="auto"/>
          <w:sz w:val="24"/>
        </w:rPr>
        <w:br w:type="page"/>
      </w:r>
    </w:p>
    <w:p>
      <w:pPr>
        <w:spacing w:line="360" w:lineRule="auto"/>
        <w:jc w:val="center"/>
        <w:outlineLvl w:val="0"/>
        <w:rPr>
          <w:rFonts w:hint="eastAsia" w:ascii="宋体" w:hAnsi="宋体" w:eastAsia="宋体" w:cs="宋体"/>
          <w:color w:val="auto"/>
          <w:sz w:val="36"/>
          <w:szCs w:val="36"/>
        </w:rPr>
      </w:pPr>
      <w:bookmarkStart w:id="269" w:name="_Toc13788"/>
      <w:bookmarkStart w:id="270" w:name="_Toc12414"/>
      <w:bookmarkStart w:id="271" w:name="_Toc25359"/>
      <w:r>
        <w:rPr>
          <w:rFonts w:hint="eastAsia" w:ascii="宋体" w:hAnsi="宋体" w:eastAsia="宋体" w:cs="宋体"/>
          <w:color w:val="auto"/>
          <w:sz w:val="36"/>
          <w:szCs w:val="36"/>
        </w:rPr>
        <w:t>一、授权委托书</w:t>
      </w:r>
      <w:bookmarkEnd w:id="269"/>
      <w:bookmarkEnd w:id="270"/>
      <w:bookmarkEnd w:id="271"/>
    </w:p>
    <w:p>
      <w:pPr>
        <w:spacing w:line="360" w:lineRule="auto"/>
        <w:jc w:val="center"/>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兹委派我公司</w:t>
      </w:r>
      <w:r>
        <w:rPr>
          <w:rFonts w:hint="eastAsia" w:ascii="宋体" w:hAnsi="宋体" w:eastAsia="宋体" w:cs="宋体"/>
          <w:color w:val="auto"/>
          <w:sz w:val="24"/>
          <w:u w:val="single"/>
        </w:rPr>
        <w:t xml:space="preserve">        </w:t>
      </w:r>
      <w:r>
        <w:rPr>
          <w:rFonts w:hint="eastAsia" w:ascii="宋体" w:hAnsi="宋体" w:eastAsia="宋体" w:cs="宋体"/>
          <w:color w:val="auto"/>
          <w:sz w:val="24"/>
        </w:rPr>
        <w:t>先生/女士（其在本公司的职务是：</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，联系电话：         手机：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传真：</w:t>
      </w:r>
      <w:r>
        <w:rPr>
          <w:rFonts w:hint="eastAsia" w:ascii="宋体" w:hAnsi="宋体" w:eastAsia="宋体" w:cs="宋体"/>
          <w:color w:val="auto"/>
          <w:sz w:val="24"/>
          <w:u w:val="single"/>
        </w:rPr>
        <w:t xml:space="preserve">           </w:t>
      </w:r>
      <w:r>
        <w:rPr>
          <w:rFonts w:hint="eastAsia" w:ascii="宋体" w:hAnsi="宋体" w:eastAsia="宋体" w:cs="宋体"/>
          <w:color w:val="auto"/>
          <w:sz w:val="24"/>
        </w:rPr>
        <w:t>身份证号：</w:t>
      </w:r>
      <w:r>
        <w:rPr>
          <w:rFonts w:hint="eastAsia" w:ascii="宋体" w:hAnsi="宋体" w:eastAsia="宋体" w:cs="宋体"/>
          <w:color w:val="auto"/>
          <w:sz w:val="24"/>
          <w:u w:val="single"/>
        </w:rPr>
        <w:t xml:space="preserve">               </w:t>
      </w:r>
      <w:r>
        <w:rPr>
          <w:rFonts w:hint="eastAsia" w:ascii="宋体" w:hAnsi="宋体" w:eastAsia="宋体" w:cs="宋体"/>
          <w:color w:val="auto"/>
          <w:sz w:val="24"/>
        </w:rPr>
        <w:t>）代表我公司全权处理</w:t>
      </w:r>
      <w:r>
        <w:rPr>
          <w:rFonts w:hint="eastAsia" w:ascii="宋体" w:hAnsi="宋体" w:cs="宋体"/>
          <w:color w:val="auto"/>
          <w:sz w:val="24"/>
          <w:lang w:eastAsia="zh-CN"/>
        </w:rPr>
        <w:t>龙泉市房改资金竞争性存放项目</w:t>
      </w:r>
      <w:r>
        <w:rPr>
          <w:rFonts w:hint="eastAsia" w:ascii="宋体" w:hAnsi="宋体" w:eastAsia="宋体" w:cs="宋体"/>
          <w:color w:val="auto"/>
          <w:sz w:val="24"/>
        </w:rPr>
        <w:t>（编号：          ）投标的一切事项。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本委托书有效期：自  年 月  日起至   年  月  日止。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特此告知。</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firstLine="4800" w:firstLineChars="2000"/>
        <w:rPr>
          <w:rFonts w:hint="eastAsia" w:ascii="宋体" w:hAnsi="宋体" w:eastAsia="宋体" w:cs="宋体"/>
          <w:color w:val="auto"/>
          <w:sz w:val="24"/>
        </w:rPr>
      </w:pPr>
      <w:r>
        <w:rPr>
          <w:rFonts w:hint="eastAsia" w:ascii="宋体" w:hAnsi="宋体" w:eastAsia="宋体" w:cs="宋体"/>
          <w:color w:val="auto"/>
          <w:sz w:val="24"/>
        </w:rPr>
        <w:t xml:space="preserve">投标人名称（公章）：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法定代表人（签字）：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签发日期：   年  月   日</w:t>
      </w:r>
    </w:p>
    <w:p>
      <w:pPr>
        <w:spacing w:line="360" w:lineRule="auto"/>
        <w:rPr>
          <w:rFonts w:hint="eastAsia" w:ascii="宋体" w:hAnsi="宋体" w:eastAsia="宋体" w:cs="宋体"/>
          <w:bCs/>
          <w:color w:val="auto"/>
          <w:sz w:val="24"/>
        </w:rPr>
      </w:pPr>
    </w:p>
    <w:p>
      <w:pPr>
        <w:spacing w:line="360" w:lineRule="auto"/>
        <w:jc w:val="center"/>
        <w:rPr>
          <w:rFonts w:hint="eastAsia" w:ascii="宋体" w:hAnsi="宋体" w:eastAsia="宋体" w:cs="宋体"/>
          <w:color w:val="auto"/>
          <w:sz w:val="36"/>
          <w:szCs w:val="36"/>
        </w:rPr>
      </w:pPr>
      <w:r>
        <w:rPr>
          <w:rFonts w:hint="eastAsia" w:ascii="宋体" w:hAnsi="宋体" w:eastAsia="宋体" w:cs="宋体"/>
          <w:color w:val="auto"/>
        </w:rPr>
        <w:pict>
          <v:shape id="Text Box 8" o:spid="_x0000_s1026" o:spt="202" type="#_x0000_t202" style="position:absolute;left:0pt;margin-left:252pt;margin-top:25.15pt;height:139.5pt;width:210pt;z-index:1024;mso-width-relative:page;mso-height-relative:page;" coordsize="21600,2160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w:t>
                  </w:r>
                </w:p>
                <w:p>
                  <w:pPr>
                    <w:jc w:val="center"/>
                    <w:rPr>
                      <w:rFonts w:ascii="黑体" w:eastAsia="黑体"/>
                      <w:sz w:val="32"/>
                      <w:szCs w:val="32"/>
                    </w:rPr>
                  </w:pPr>
                </w:p>
              </w:txbxContent>
            </v:textbox>
          </v:shape>
        </w:pict>
      </w:r>
      <w:r>
        <w:rPr>
          <w:rFonts w:hint="eastAsia" w:ascii="宋体" w:hAnsi="宋体" w:eastAsia="宋体" w:cs="宋体"/>
          <w:color w:val="auto"/>
        </w:rPr>
        <w:pict>
          <v:shape id="Text Box 7" o:spid="_x0000_s1027" o:spt="202" type="#_x0000_t202" style="position:absolute;left:0pt;margin-left:9pt;margin-top:25.15pt;height:139.5pt;width:222pt;z-index:1024;mso-width-relative:page;mso-height-relative:page;" coordsize="21600,2160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w:t>
                  </w:r>
                </w:p>
                <w:p>
                  <w:pPr>
                    <w:jc w:val="center"/>
                    <w:rPr>
                      <w:rFonts w:ascii="黑体" w:eastAsia="黑体"/>
                      <w:sz w:val="32"/>
                      <w:szCs w:val="32"/>
                    </w:rPr>
                  </w:pPr>
                </w:p>
              </w:txbxContent>
            </v:textbox>
          </v:shape>
        </w:pict>
      </w:r>
      <w:r>
        <w:rPr>
          <w:rFonts w:hint="eastAsia" w:ascii="宋体" w:hAnsi="宋体" w:eastAsia="宋体" w:cs="宋体"/>
          <w:color w:val="auto"/>
          <w:sz w:val="36"/>
          <w:szCs w:val="36"/>
        </w:rPr>
        <w:t>法定代表人及授权委托人的身份证（复印件）</w:t>
      </w: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ind w:right="-126" w:rightChars="-60"/>
        <w:jc w:val="center"/>
        <w:rPr>
          <w:rFonts w:hint="eastAsia" w:ascii="宋体" w:hAnsi="宋体" w:eastAsia="宋体" w:cs="宋体"/>
          <w:color w:val="auto"/>
          <w:sz w:val="24"/>
        </w:rPr>
      </w:pPr>
      <w:r>
        <w:rPr>
          <w:rFonts w:hint="eastAsia" w:ascii="宋体" w:hAnsi="宋体" w:eastAsia="宋体" w:cs="宋体"/>
          <w:b/>
          <w:color w:val="auto"/>
          <w:kern w:val="0"/>
          <w:sz w:val="28"/>
          <w:szCs w:val="28"/>
        </w:rPr>
        <w:t>（如法定代表人直接参加投标并对相应文件签字的，只需提供其身份证复印件。</w:t>
      </w:r>
      <w:r>
        <w:rPr>
          <w:rFonts w:hint="eastAsia" w:ascii="宋体" w:hAnsi="宋体" w:eastAsia="宋体" w:cs="宋体"/>
          <w:color w:val="auto"/>
          <w:kern w:val="0"/>
          <w:sz w:val="28"/>
          <w:szCs w:val="28"/>
        </w:rPr>
        <w:t>）</w:t>
      </w: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36"/>
          <w:szCs w:val="36"/>
        </w:rPr>
      </w:pPr>
    </w:p>
    <w:p>
      <w:pPr>
        <w:spacing w:line="360" w:lineRule="auto"/>
        <w:jc w:val="center"/>
        <w:outlineLvl w:val="0"/>
        <w:rPr>
          <w:rFonts w:hint="eastAsia" w:ascii="宋体" w:hAnsi="宋体" w:eastAsia="宋体" w:cs="宋体"/>
          <w:color w:val="auto"/>
          <w:sz w:val="36"/>
          <w:szCs w:val="36"/>
        </w:rPr>
      </w:pPr>
      <w:bookmarkStart w:id="272" w:name="_Toc302"/>
      <w:bookmarkStart w:id="273" w:name="_Toc12607"/>
      <w:bookmarkStart w:id="274" w:name="_Toc1492"/>
      <w:r>
        <w:rPr>
          <w:rFonts w:hint="eastAsia" w:ascii="宋体" w:hAnsi="宋体" w:eastAsia="宋体" w:cs="宋体"/>
          <w:color w:val="auto"/>
          <w:sz w:val="36"/>
          <w:szCs w:val="36"/>
          <w:lang w:eastAsia="zh-CN"/>
        </w:rPr>
        <w:t>二</w:t>
      </w:r>
      <w:r>
        <w:rPr>
          <w:rFonts w:hint="eastAsia" w:ascii="宋体" w:hAnsi="宋体" w:eastAsia="宋体" w:cs="宋体"/>
          <w:color w:val="auto"/>
          <w:sz w:val="36"/>
          <w:szCs w:val="36"/>
        </w:rPr>
        <w:t>、声明书</w:t>
      </w:r>
      <w:bookmarkEnd w:id="272"/>
      <w:bookmarkEnd w:id="273"/>
      <w:bookmarkEnd w:id="274"/>
    </w:p>
    <w:p>
      <w:pPr>
        <w:spacing w:line="360" w:lineRule="auto"/>
        <w:rPr>
          <w:rFonts w:hint="eastAsia" w:ascii="宋体" w:hAnsi="宋体" w:eastAsia="宋体" w:cs="宋体"/>
          <w:color w:val="auto"/>
          <w:kern w:val="0"/>
          <w:sz w:val="24"/>
          <w:lang w:val="zh-CN"/>
        </w:rPr>
      </w:pPr>
    </w:p>
    <w:p>
      <w:pPr>
        <w:spacing w:line="360" w:lineRule="auto"/>
        <w:ind w:firstLine="105" w:firstLineChars="50"/>
        <w:outlineLvl w:val="0"/>
        <w:rPr>
          <w:rFonts w:hint="eastAsia" w:ascii="宋体" w:hAnsi="宋体" w:eastAsia="宋体" w:cs="宋体"/>
          <w:color w:val="auto"/>
          <w:szCs w:val="21"/>
        </w:rPr>
      </w:pPr>
      <w:r>
        <w:rPr>
          <w:rFonts w:hint="eastAsia" w:ascii="宋体" w:hAnsi="宋体" w:eastAsia="宋体" w:cs="宋体"/>
          <w:color w:val="auto"/>
          <w:kern w:val="0"/>
          <w:szCs w:val="21"/>
          <w:u w:val="single"/>
          <w:lang w:val="zh-CN"/>
        </w:rPr>
        <w:t xml:space="preserve">                      </w:t>
      </w:r>
      <w:r>
        <w:rPr>
          <w:rFonts w:hint="eastAsia" w:ascii="宋体" w:hAnsi="宋体" w:eastAsia="宋体" w:cs="宋体"/>
          <w:color w:val="auto"/>
          <w:kern w:val="0"/>
          <w:szCs w:val="21"/>
          <w:lang w:val="zh-CN"/>
        </w:rPr>
        <w:t xml:space="preserve"> </w:t>
      </w:r>
      <w:bookmarkStart w:id="275" w:name="_Toc31099"/>
      <w:bookmarkStart w:id="276" w:name="_Toc25658"/>
      <w:bookmarkStart w:id="277" w:name="_Toc24137"/>
      <w:r>
        <w:rPr>
          <w:rFonts w:hint="eastAsia" w:ascii="宋体" w:hAnsi="宋体" w:eastAsia="宋体" w:cs="宋体"/>
          <w:color w:val="auto"/>
          <w:szCs w:val="21"/>
        </w:rPr>
        <w:t>：</w:t>
      </w:r>
      <w:bookmarkEnd w:id="275"/>
      <w:bookmarkEnd w:id="276"/>
      <w:bookmarkEnd w:id="277"/>
    </w:p>
    <w:p>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我公司</w:t>
      </w:r>
      <w:r>
        <w:rPr>
          <w:rFonts w:hint="eastAsia" w:ascii="宋体" w:hAnsi="宋体" w:eastAsia="宋体" w:cs="宋体"/>
          <w:color w:val="auto"/>
          <w:sz w:val="24"/>
        </w:rPr>
        <w:t>声明截止投标时间近三年以来，在经营活动中无重大违法违纪记录，未发生金融风险及重大违约事件</w:t>
      </w:r>
      <w:r>
        <w:rPr>
          <w:rFonts w:hint="eastAsia" w:ascii="宋体" w:hAnsi="宋体" w:eastAsia="宋体" w:cs="宋体"/>
          <w:color w:val="auto"/>
          <w:kern w:val="0"/>
          <w:sz w:val="24"/>
          <w:lang w:val="zh-CN"/>
        </w:rPr>
        <w:t>。</w:t>
      </w:r>
    </w:p>
    <w:p>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sz w:val="24"/>
          <w:lang w:val="zh-CN"/>
        </w:rPr>
        <w:t>我公司自愿参加</w:t>
      </w:r>
      <w:r>
        <w:rPr>
          <w:rFonts w:hint="eastAsia" w:ascii="宋体" w:hAnsi="宋体" w:cs="宋体"/>
          <w:color w:val="auto"/>
          <w:sz w:val="24"/>
          <w:lang w:eastAsia="zh-CN"/>
        </w:rPr>
        <w:t>龙泉市房改资金竞争性存放项目</w:t>
      </w:r>
      <w:r>
        <w:rPr>
          <w:rFonts w:hint="eastAsia" w:ascii="宋体" w:hAnsi="宋体" w:eastAsia="宋体" w:cs="宋体"/>
          <w:color w:val="auto"/>
          <w:sz w:val="24"/>
        </w:rPr>
        <w:t>招标文件（编号：      ）</w:t>
      </w:r>
      <w:r>
        <w:rPr>
          <w:rFonts w:hint="eastAsia" w:ascii="宋体" w:hAnsi="宋体" w:eastAsia="宋体" w:cs="宋体"/>
          <w:color w:val="auto"/>
          <w:sz w:val="24"/>
          <w:lang w:val="zh-CN"/>
        </w:rPr>
        <w:t>的投标，</w:t>
      </w:r>
      <w:r>
        <w:rPr>
          <w:rFonts w:hint="eastAsia" w:ascii="宋体" w:hAnsi="宋体" w:eastAsia="宋体" w:cs="宋体"/>
          <w:color w:val="auto"/>
          <w:kern w:val="0"/>
          <w:sz w:val="24"/>
          <w:lang w:val="zh-CN"/>
        </w:rPr>
        <w:t>并保证投标文件中所列举的投标报价文件及相关资料和公司基本情况资料是真实的、合法的。</w:t>
      </w:r>
    </w:p>
    <w:p>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我公司已详细阅读全部“招标文件”，包括修改文件（如果有）以及全部招标资料和相关附件，并已了解我公司在招投标过程中的权利和义务。</w:t>
      </w:r>
    </w:p>
    <w:p>
      <w:pPr>
        <w:snapToGrid w:val="0"/>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lang w:val="zh-CN"/>
        </w:rPr>
        <w:t>我公司理解并接受招标文件的各项规定和要求，同意此次招标文件中的各项内容，</w:t>
      </w:r>
      <w:r>
        <w:rPr>
          <w:rFonts w:hint="eastAsia" w:ascii="宋体" w:hAnsi="宋体" w:eastAsia="宋体" w:cs="宋体"/>
          <w:color w:val="auto"/>
          <w:kern w:val="0"/>
          <w:sz w:val="24"/>
        </w:rPr>
        <w:t>并</w:t>
      </w:r>
      <w:r>
        <w:rPr>
          <w:rFonts w:hint="eastAsia" w:ascii="宋体" w:hAnsi="宋体" w:eastAsia="宋体" w:cs="宋体"/>
          <w:color w:val="auto"/>
          <w:kern w:val="0"/>
          <w:sz w:val="24"/>
          <w:lang w:val="zh-CN"/>
        </w:rPr>
        <w:t>同意提供按照贵方可能要求的与投标有关的一切数据或资料等。</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本公司如中标，保证按照投标文件的承诺与贵方签订合同，保证履行合同、合同条款。</w:t>
      </w:r>
    </w:p>
    <w:p>
      <w:pPr>
        <w:spacing w:line="360" w:lineRule="auto"/>
        <w:ind w:firstLine="480" w:firstLineChars="200"/>
        <w:rPr>
          <w:rFonts w:hint="eastAsia" w:ascii="宋体" w:hAnsi="宋体" w:eastAsia="宋体" w:cs="宋体"/>
          <w:color w:val="auto"/>
          <w:sz w:val="24"/>
        </w:rPr>
      </w:pPr>
    </w:p>
    <w:p>
      <w:pPr>
        <w:spacing w:line="360" w:lineRule="auto"/>
        <w:ind w:firstLine="5040" w:firstLineChars="2100"/>
        <w:rPr>
          <w:rFonts w:hint="eastAsia" w:ascii="宋体" w:hAnsi="宋体" w:eastAsia="宋体" w:cs="宋体"/>
          <w:color w:val="auto"/>
          <w:sz w:val="24"/>
        </w:rPr>
      </w:pPr>
      <w:r>
        <w:rPr>
          <w:rFonts w:hint="eastAsia" w:ascii="宋体" w:hAnsi="宋体" w:eastAsia="宋体" w:cs="宋体"/>
          <w:color w:val="auto"/>
          <w:sz w:val="24"/>
        </w:rPr>
        <w:t xml:space="preserve">投标人名称（公章）：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法定代表人或授权委托人（签字）：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w:t>
      </w:r>
      <w:r>
        <w:rPr>
          <w:rFonts w:hint="eastAsia" w:ascii="宋体" w:hAnsi="宋体" w:eastAsia="宋体" w:cs="宋体"/>
          <w:color w:val="auto"/>
          <w:kern w:val="0"/>
          <w:sz w:val="24"/>
        </w:rPr>
        <w:t xml:space="preserve">  年  月   日</w:t>
      </w:r>
    </w:p>
    <w:p>
      <w:pPr>
        <w:spacing w:line="360" w:lineRule="auto"/>
        <w:jc w:val="center"/>
        <w:rPr>
          <w:rFonts w:hint="eastAsia" w:ascii="宋体" w:hAnsi="宋体" w:eastAsia="宋体" w:cs="宋体"/>
          <w:color w:val="auto"/>
          <w:kern w:val="0"/>
          <w:sz w:val="24"/>
          <w:lang w:val="zh-CN"/>
        </w:rPr>
      </w:pPr>
    </w:p>
    <w:p>
      <w:pPr>
        <w:adjustRightInd w:val="0"/>
        <w:snapToGrid w:val="0"/>
        <w:spacing w:line="44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pacing w:line="360" w:lineRule="auto"/>
        <w:jc w:val="center"/>
        <w:outlineLvl w:val="0"/>
        <w:rPr>
          <w:rFonts w:hint="eastAsia" w:ascii="宋体" w:hAnsi="宋体" w:eastAsia="宋体" w:cs="宋体"/>
          <w:color w:val="auto"/>
          <w:sz w:val="36"/>
          <w:szCs w:val="36"/>
        </w:rPr>
      </w:pPr>
      <w:bookmarkStart w:id="278" w:name="_Toc21243"/>
      <w:bookmarkStart w:id="279" w:name="_Toc4417"/>
      <w:bookmarkStart w:id="280" w:name="_Toc1486"/>
      <w:r>
        <w:rPr>
          <w:rFonts w:hint="eastAsia" w:ascii="宋体" w:hAnsi="宋体" w:eastAsia="宋体" w:cs="宋体"/>
          <w:bCs/>
          <w:color w:val="auto"/>
          <w:sz w:val="36"/>
          <w:szCs w:val="36"/>
          <w:lang w:eastAsia="zh-CN"/>
        </w:rPr>
        <w:t>三</w:t>
      </w:r>
      <w:r>
        <w:rPr>
          <w:rFonts w:hint="eastAsia" w:ascii="宋体" w:hAnsi="宋体" w:eastAsia="宋体" w:cs="宋体"/>
          <w:bCs/>
          <w:color w:val="auto"/>
          <w:sz w:val="36"/>
          <w:szCs w:val="36"/>
        </w:rPr>
        <w:t>、</w:t>
      </w:r>
      <w:r>
        <w:rPr>
          <w:rFonts w:hint="eastAsia" w:ascii="宋体" w:hAnsi="宋体" w:eastAsia="宋体" w:cs="宋体"/>
          <w:color w:val="auto"/>
          <w:sz w:val="36"/>
          <w:szCs w:val="36"/>
        </w:rPr>
        <w:t>有效的营业执照（副本）或《统一社会信用代码证》（复印件）</w:t>
      </w:r>
      <w:bookmarkEnd w:id="278"/>
      <w:bookmarkEnd w:id="279"/>
      <w:bookmarkEnd w:id="280"/>
    </w:p>
    <w:p>
      <w:pPr>
        <w:spacing w:line="360" w:lineRule="auto"/>
        <w:rPr>
          <w:rFonts w:hint="eastAsia" w:ascii="宋体" w:hAnsi="宋体" w:eastAsia="宋体" w:cs="宋体"/>
          <w:color w:val="auto"/>
          <w:sz w:val="36"/>
          <w:szCs w:val="36"/>
        </w:rPr>
      </w:pPr>
    </w:p>
    <w:p>
      <w:pPr>
        <w:spacing w:line="360" w:lineRule="auto"/>
        <w:jc w:val="center"/>
        <w:outlineLvl w:val="0"/>
        <w:rPr>
          <w:rFonts w:hint="eastAsia" w:ascii="宋体" w:hAnsi="宋体" w:eastAsia="宋体" w:cs="宋体"/>
          <w:color w:val="auto"/>
          <w:sz w:val="36"/>
          <w:szCs w:val="36"/>
        </w:rPr>
      </w:pPr>
      <w:bookmarkStart w:id="281" w:name="_Toc19378"/>
      <w:bookmarkStart w:id="282" w:name="_Toc18231"/>
      <w:bookmarkStart w:id="283" w:name="_Toc25339"/>
      <w:r>
        <w:rPr>
          <w:rFonts w:hint="eastAsia" w:ascii="宋体" w:hAnsi="宋体" w:eastAsia="宋体" w:cs="宋体"/>
          <w:color w:val="auto"/>
          <w:sz w:val="36"/>
          <w:szCs w:val="36"/>
          <w:lang w:eastAsia="zh-CN"/>
        </w:rPr>
        <w:t>四</w:t>
      </w:r>
      <w:r>
        <w:rPr>
          <w:rFonts w:hint="eastAsia" w:ascii="宋体" w:hAnsi="宋体" w:eastAsia="宋体" w:cs="宋体"/>
          <w:color w:val="auto"/>
          <w:sz w:val="36"/>
          <w:szCs w:val="36"/>
        </w:rPr>
        <w:t>、所有资质文件（复印件）</w:t>
      </w:r>
      <w:bookmarkEnd w:id="281"/>
      <w:bookmarkEnd w:id="282"/>
      <w:bookmarkEnd w:id="283"/>
    </w:p>
    <w:p>
      <w:pPr>
        <w:spacing w:line="360" w:lineRule="auto"/>
        <w:rPr>
          <w:rFonts w:hint="eastAsia" w:ascii="宋体" w:hAnsi="宋体" w:eastAsia="宋体" w:cs="宋体"/>
          <w:color w:val="auto"/>
          <w:sz w:val="24"/>
        </w:rPr>
      </w:pPr>
      <w:r>
        <w:rPr>
          <w:rFonts w:hint="eastAsia" w:ascii="宋体" w:hAnsi="宋体" w:eastAsia="宋体" w:cs="宋体"/>
          <w:color w:val="auto"/>
          <w:sz w:val="36"/>
          <w:szCs w:val="36"/>
        </w:rPr>
        <w:t xml:space="preserve">    </w:t>
      </w:r>
      <w:r>
        <w:rPr>
          <w:rFonts w:hint="eastAsia" w:ascii="宋体" w:hAnsi="宋体" w:eastAsia="宋体" w:cs="宋体"/>
          <w:color w:val="auto"/>
          <w:sz w:val="24"/>
        </w:rPr>
        <w:t>（由投标人根据采购需求及招标文件要求编制，必须包含</w:t>
      </w:r>
      <w:r>
        <w:rPr>
          <w:rFonts w:hint="eastAsia" w:ascii="宋体" w:hAnsi="宋体" w:eastAsia="宋体" w:cs="宋体"/>
          <w:color w:val="auto"/>
          <w:kern w:val="0"/>
          <w:sz w:val="24"/>
          <w:lang w:val="zh-CN"/>
        </w:rPr>
        <w:t>人民银行和银监部门监管评级证明，</w:t>
      </w:r>
      <w:r>
        <w:rPr>
          <w:rFonts w:hint="eastAsia" w:ascii="宋体" w:hAnsi="宋体" w:eastAsia="宋体" w:cs="宋体"/>
          <w:color w:val="auto"/>
          <w:kern w:val="0"/>
          <w:sz w:val="24"/>
        </w:rPr>
        <w:t>投标人在龙泉市设有分支机构，在投标书中确定1家在龙泉市本级的分支机构作为资金存放银行</w:t>
      </w:r>
      <w:r>
        <w:rPr>
          <w:rFonts w:hint="eastAsia" w:ascii="宋体" w:hAnsi="宋体" w:eastAsia="宋体" w:cs="宋体"/>
          <w:color w:val="auto"/>
          <w:kern w:val="0"/>
          <w:sz w:val="24"/>
          <w:lang w:val="zh-CN"/>
        </w:rPr>
        <w:t>。）</w:t>
      </w:r>
      <w:bookmarkStart w:id="284" w:name="_Toc469928118"/>
      <w:bookmarkStart w:id="285" w:name="_Toc469928296"/>
      <w:bookmarkStart w:id="286" w:name="_Toc469928403"/>
    </w:p>
    <w:p>
      <w:pPr>
        <w:jc w:val="center"/>
        <w:outlineLvl w:val="9"/>
        <w:rPr>
          <w:rFonts w:hint="eastAsia" w:ascii="宋体" w:hAnsi="宋体" w:eastAsia="宋体" w:cs="宋体"/>
          <w:color w:val="auto"/>
          <w:sz w:val="36"/>
          <w:szCs w:val="36"/>
        </w:rPr>
      </w:pPr>
    </w:p>
    <w:p>
      <w:pPr>
        <w:jc w:val="center"/>
        <w:outlineLvl w:val="0"/>
        <w:rPr>
          <w:rFonts w:hint="eastAsia" w:ascii="宋体" w:hAnsi="宋体" w:eastAsia="宋体" w:cs="宋体"/>
          <w:color w:val="auto"/>
          <w:kern w:val="0"/>
          <w:sz w:val="36"/>
          <w:szCs w:val="36"/>
          <w:lang w:val="zh-CN"/>
        </w:rPr>
      </w:pPr>
      <w:bookmarkStart w:id="287" w:name="_Toc15252"/>
      <w:bookmarkStart w:id="288" w:name="_Toc11417"/>
      <w:bookmarkStart w:id="289" w:name="_Toc354"/>
      <w:bookmarkStart w:id="290" w:name="_Toc23795"/>
      <w:r>
        <w:rPr>
          <w:rFonts w:hint="eastAsia" w:ascii="宋体" w:hAnsi="宋体" w:eastAsia="宋体" w:cs="宋体"/>
          <w:color w:val="auto"/>
          <w:sz w:val="36"/>
          <w:szCs w:val="36"/>
          <w:lang w:eastAsia="zh-CN"/>
        </w:rPr>
        <w:t>五</w:t>
      </w:r>
      <w:r>
        <w:rPr>
          <w:rFonts w:hint="eastAsia" w:ascii="宋体" w:hAnsi="宋体" w:eastAsia="宋体" w:cs="宋体"/>
          <w:color w:val="auto"/>
          <w:sz w:val="36"/>
          <w:szCs w:val="36"/>
        </w:rPr>
        <w:t>、</w:t>
      </w:r>
      <w:r>
        <w:rPr>
          <w:rFonts w:hint="eastAsia" w:ascii="宋体" w:hAnsi="宋体" w:eastAsia="宋体" w:cs="宋体"/>
          <w:color w:val="auto"/>
          <w:kern w:val="0"/>
          <w:sz w:val="36"/>
          <w:szCs w:val="36"/>
          <w:lang w:val="zh-CN"/>
        </w:rPr>
        <w:t>投标人基本情况</w:t>
      </w:r>
      <w:bookmarkEnd w:id="284"/>
      <w:bookmarkEnd w:id="285"/>
      <w:bookmarkEnd w:id="286"/>
      <w:bookmarkEnd w:id="287"/>
      <w:bookmarkEnd w:id="288"/>
      <w:bookmarkEnd w:id="289"/>
      <w:bookmarkEnd w:id="290"/>
    </w:p>
    <w:p>
      <w:pPr>
        <w:jc w:val="left"/>
        <w:outlineLvl w:val="9"/>
        <w:rPr>
          <w:rFonts w:hint="eastAsia" w:ascii="宋体" w:hAnsi="宋体" w:eastAsia="宋体" w:cs="宋体"/>
          <w:color w:val="auto"/>
          <w:kern w:val="0"/>
          <w:sz w:val="36"/>
          <w:szCs w:val="36"/>
          <w:lang w:val="zh-CN"/>
        </w:rPr>
      </w:pP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（必须包含：投标人上门服务承诺。投标人及所在总行财务稳键、资金充足率、不良贷款率、拨备覆盖率、流动性覆盖率、流动性情况。）</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兹证明上述声明是真实、正确的，并提供了全部能提供的资料和数据，我们同意遵照贵方要求出示有关证明文件。</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投标人（公章）：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法定代表人或授权委托人（签字）：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jc w:val="center"/>
        <w:rPr>
          <w:rFonts w:hint="eastAsia" w:ascii="宋体" w:hAnsi="宋体" w:eastAsia="宋体" w:cs="宋体"/>
          <w:bCs/>
          <w:color w:val="auto"/>
          <w:sz w:val="36"/>
          <w:szCs w:val="36"/>
        </w:rPr>
      </w:pPr>
    </w:p>
    <w:p>
      <w:pPr>
        <w:spacing w:line="360" w:lineRule="auto"/>
        <w:jc w:val="center"/>
        <w:outlineLvl w:val="0"/>
        <w:rPr>
          <w:rFonts w:hint="eastAsia" w:ascii="宋体" w:hAnsi="宋体" w:eastAsia="宋体" w:cs="宋体"/>
          <w:color w:val="auto"/>
          <w:kern w:val="0"/>
          <w:sz w:val="36"/>
          <w:szCs w:val="36"/>
          <w:lang w:val="zh-CN"/>
        </w:rPr>
      </w:pPr>
      <w:bookmarkStart w:id="291" w:name="_Toc22314"/>
      <w:bookmarkStart w:id="292" w:name="_Toc469928404"/>
      <w:bookmarkStart w:id="293" w:name="_Toc469928297"/>
      <w:bookmarkStart w:id="294" w:name="_Toc469928119"/>
      <w:bookmarkStart w:id="295" w:name="_Toc22704"/>
      <w:bookmarkStart w:id="296" w:name="_Toc17701"/>
      <w:bookmarkStart w:id="297" w:name="_Toc21633"/>
      <w:r>
        <w:rPr>
          <w:rFonts w:hint="eastAsia" w:ascii="宋体" w:hAnsi="宋体" w:eastAsia="宋体" w:cs="宋体"/>
          <w:bCs/>
          <w:color w:val="auto"/>
          <w:sz w:val="36"/>
          <w:szCs w:val="36"/>
          <w:lang w:eastAsia="zh-CN"/>
        </w:rPr>
        <w:t>六</w:t>
      </w:r>
      <w:r>
        <w:rPr>
          <w:rFonts w:hint="eastAsia" w:ascii="宋体" w:hAnsi="宋体" w:eastAsia="宋体" w:cs="宋体"/>
          <w:bCs/>
          <w:color w:val="auto"/>
          <w:sz w:val="36"/>
          <w:szCs w:val="36"/>
        </w:rPr>
        <w:t>、</w:t>
      </w:r>
      <w:r>
        <w:rPr>
          <w:rFonts w:hint="eastAsia" w:ascii="宋体" w:hAnsi="宋体" w:eastAsia="宋体" w:cs="宋体"/>
          <w:color w:val="auto"/>
          <w:kern w:val="0"/>
          <w:sz w:val="36"/>
          <w:szCs w:val="36"/>
          <w:lang w:val="zh-CN"/>
        </w:rPr>
        <w:t>对招标文件中有关条款的拒绝声明</w:t>
      </w:r>
      <w:bookmarkEnd w:id="291"/>
      <w:bookmarkEnd w:id="292"/>
      <w:bookmarkEnd w:id="293"/>
      <w:bookmarkEnd w:id="294"/>
      <w:bookmarkEnd w:id="295"/>
      <w:bookmarkEnd w:id="296"/>
      <w:bookmarkEnd w:id="297"/>
    </w:p>
    <w:p>
      <w:pPr>
        <w:spacing w:line="360" w:lineRule="auto"/>
        <w:jc w:val="center"/>
        <w:outlineLvl w:val="1"/>
        <w:rPr>
          <w:rFonts w:hint="eastAsia" w:ascii="宋体" w:hAnsi="宋体" w:eastAsia="宋体" w:cs="宋体"/>
          <w:color w:val="auto"/>
          <w:sz w:val="24"/>
        </w:rPr>
      </w:pPr>
      <w:bookmarkStart w:id="298" w:name="_Toc12196"/>
      <w:r>
        <w:rPr>
          <w:rFonts w:hint="eastAsia" w:ascii="宋体" w:hAnsi="宋体" w:eastAsia="宋体" w:cs="宋体"/>
          <w:color w:val="auto"/>
          <w:sz w:val="24"/>
        </w:rPr>
        <w:t>（由投标人根据采购需求自行编制）</w:t>
      </w:r>
      <w:bookmarkEnd w:id="298"/>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autoSpaceDE w:val="0"/>
        <w:autoSpaceDN w:val="0"/>
        <w:adjustRightInd w:val="0"/>
        <w:spacing w:line="360" w:lineRule="auto"/>
        <w:ind w:firstLine="4800" w:firstLineChars="2000"/>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投标人名称（公章）：      </w:t>
      </w:r>
    </w:p>
    <w:p>
      <w:pPr>
        <w:autoSpaceDE w:val="0"/>
        <w:autoSpaceDN w:val="0"/>
        <w:adjustRightIn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法定代表人或授权委托人（签字）： </w:t>
      </w:r>
    </w:p>
    <w:p>
      <w:pPr>
        <w:spacing w:line="360" w:lineRule="auto"/>
        <w:jc w:val="center"/>
        <w:outlineLvl w:val="1"/>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bookmarkStart w:id="299" w:name="_Toc16967"/>
      <w:r>
        <w:rPr>
          <w:rFonts w:hint="eastAsia" w:ascii="宋体" w:hAnsi="宋体" w:eastAsia="宋体" w:cs="宋体"/>
          <w:color w:val="auto"/>
          <w:kern w:val="0"/>
          <w:sz w:val="24"/>
          <w:lang w:val="zh-CN"/>
        </w:rPr>
        <w:t>日期： 年  月   日</w:t>
      </w:r>
      <w:bookmarkEnd w:id="299"/>
    </w:p>
    <w:p>
      <w:pPr>
        <w:spacing w:line="360" w:lineRule="auto"/>
        <w:rPr>
          <w:rFonts w:hint="eastAsia" w:ascii="宋体" w:hAnsi="宋体" w:eastAsia="宋体" w:cs="宋体"/>
          <w:color w:val="auto"/>
          <w:kern w:val="0"/>
          <w:sz w:val="24"/>
          <w:lang w:val="zh-CN"/>
        </w:rPr>
      </w:pPr>
    </w:p>
    <w:p>
      <w:pPr>
        <w:spacing w:line="360" w:lineRule="auto"/>
        <w:jc w:val="center"/>
        <w:outlineLvl w:val="0"/>
        <w:rPr>
          <w:rFonts w:hint="eastAsia" w:ascii="宋体" w:hAnsi="宋体" w:eastAsia="宋体" w:cs="宋体"/>
          <w:color w:val="auto"/>
          <w:kern w:val="0"/>
          <w:sz w:val="36"/>
          <w:szCs w:val="36"/>
          <w:lang w:val="zh-CN"/>
        </w:rPr>
      </w:pPr>
      <w:bookmarkStart w:id="300" w:name="_Toc469928120"/>
      <w:bookmarkStart w:id="301" w:name="_Toc469928298"/>
      <w:bookmarkStart w:id="302" w:name="_Toc469928405"/>
      <w:bookmarkStart w:id="303" w:name="_Toc25732"/>
      <w:bookmarkStart w:id="304" w:name="_Toc6193"/>
      <w:bookmarkStart w:id="305" w:name="_Toc20419"/>
      <w:bookmarkStart w:id="306" w:name="_Toc8679"/>
      <w:r>
        <w:rPr>
          <w:rFonts w:hint="eastAsia" w:ascii="宋体" w:hAnsi="宋体" w:eastAsia="宋体" w:cs="宋体"/>
          <w:bCs/>
          <w:color w:val="auto"/>
          <w:sz w:val="36"/>
          <w:szCs w:val="36"/>
          <w:lang w:eastAsia="zh-CN"/>
        </w:rPr>
        <w:t>七</w:t>
      </w:r>
      <w:r>
        <w:rPr>
          <w:rFonts w:hint="eastAsia" w:ascii="宋体" w:hAnsi="宋体" w:eastAsia="宋体" w:cs="宋体"/>
          <w:bCs/>
          <w:color w:val="auto"/>
          <w:sz w:val="36"/>
          <w:szCs w:val="36"/>
        </w:rPr>
        <w:t>、</w:t>
      </w:r>
      <w:r>
        <w:rPr>
          <w:rFonts w:hint="eastAsia" w:ascii="宋体" w:hAnsi="宋体" w:eastAsia="宋体" w:cs="宋体"/>
          <w:color w:val="auto"/>
          <w:kern w:val="0"/>
          <w:sz w:val="36"/>
          <w:szCs w:val="36"/>
          <w:lang w:val="zh-CN"/>
        </w:rPr>
        <w:t>其他商务文件或说明</w:t>
      </w:r>
      <w:bookmarkEnd w:id="300"/>
      <w:bookmarkEnd w:id="301"/>
      <w:bookmarkEnd w:id="302"/>
      <w:bookmarkEnd w:id="303"/>
      <w:bookmarkEnd w:id="304"/>
      <w:bookmarkEnd w:id="305"/>
      <w:bookmarkEnd w:id="306"/>
    </w:p>
    <w:p>
      <w:pPr>
        <w:spacing w:line="360" w:lineRule="auto"/>
        <w:jc w:val="center"/>
        <w:outlineLvl w:val="1"/>
        <w:rPr>
          <w:rFonts w:hint="eastAsia" w:ascii="宋体" w:hAnsi="宋体" w:eastAsia="宋体" w:cs="宋体"/>
          <w:color w:val="auto"/>
          <w:sz w:val="24"/>
        </w:rPr>
      </w:pPr>
      <w:bookmarkStart w:id="307" w:name="_Toc29022"/>
      <w:r>
        <w:rPr>
          <w:rFonts w:hint="eastAsia" w:ascii="宋体" w:hAnsi="宋体" w:eastAsia="宋体" w:cs="宋体"/>
          <w:color w:val="auto"/>
          <w:sz w:val="24"/>
        </w:rPr>
        <w:t>（由投标人根据采购需求自行编制）</w:t>
      </w:r>
      <w:bookmarkEnd w:id="307"/>
    </w:p>
    <w:p>
      <w:pPr>
        <w:spacing w:line="360" w:lineRule="auto"/>
        <w:rPr>
          <w:rFonts w:hint="eastAsia" w:ascii="宋体" w:hAnsi="宋体" w:eastAsia="宋体" w:cs="宋体"/>
          <w:color w:val="auto"/>
          <w:sz w:val="24"/>
        </w:rPr>
      </w:pPr>
    </w:p>
    <w:p>
      <w:pPr>
        <w:autoSpaceDE w:val="0"/>
        <w:autoSpaceDN w:val="0"/>
        <w:adjustRightInd w:val="0"/>
        <w:spacing w:line="360" w:lineRule="auto"/>
        <w:rPr>
          <w:rFonts w:hint="eastAsia" w:ascii="宋体" w:hAnsi="宋体" w:eastAsia="宋体" w:cs="宋体"/>
          <w:color w:val="auto"/>
          <w:kern w:val="0"/>
          <w:sz w:val="24"/>
          <w:lang w:val="zh-CN"/>
        </w:rPr>
      </w:pPr>
    </w:p>
    <w:p>
      <w:pPr>
        <w:autoSpaceDE w:val="0"/>
        <w:autoSpaceDN w:val="0"/>
        <w:adjustRightInd w:val="0"/>
        <w:spacing w:line="360" w:lineRule="auto"/>
        <w:ind w:left="4788" w:leftChars="2280" w:firstLine="0" w:firstLineChars="0"/>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投标人名称（公章）：      </w:t>
      </w:r>
    </w:p>
    <w:p>
      <w:pPr>
        <w:autoSpaceDE w:val="0"/>
        <w:autoSpaceDN w:val="0"/>
        <w:adjustRightIn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法定代表人或授权委托人（签字）： </w:t>
      </w:r>
    </w:p>
    <w:p>
      <w:pPr>
        <w:spacing w:line="360" w:lineRule="auto"/>
        <w:ind w:firstLine="1070" w:firstLineChars="44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 xml:space="preserve"> 日期： 年  月   日</w:t>
      </w:r>
    </w:p>
    <w:p>
      <w:pPr>
        <w:adjustRightInd w:val="0"/>
        <w:snapToGrid w:val="0"/>
        <w:spacing w:line="360" w:lineRule="auto"/>
        <w:ind w:right="29"/>
        <w:jc w:val="center"/>
        <w:rPr>
          <w:rFonts w:hint="eastAsia" w:ascii="宋体" w:hAnsi="宋体" w:eastAsia="宋体" w:cs="宋体"/>
          <w:color w:val="auto"/>
        </w:rPr>
      </w:pPr>
    </w:p>
    <w:bookmarkEnd w:id="142"/>
    <w:bookmarkEnd w:id="143"/>
    <w:p>
      <w:pPr>
        <w:jc w:val="left"/>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5"/>
        <w:spacing w:before="0" w:after="0" w:line="240" w:lineRule="auto"/>
        <w:rPr>
          <w:rFonts w:hint="eastAsia" w:ascii="宋体" w:hAnsi="宋体" w:eastAsia="宋体" w:cs="宋体"/>
          <w:b w:val="0"/>
          <w:color w:val="auto"/>
        </w:rPr>
      </w:pPr>
      <w:bookmarkStart w:id="308" w:name="_Toc471825204"/>
      <w:bookmarkStart w:id="309" w:name="_Toc469928407"/>
      <w:r>
        <w:rPr>
          <w:rFonts w:hint="eastAsia" w:ascii="宋体" w:hAnsi="宋体" w:eastAsia="宋体" w:cs="宋体"/>
          <w:color w:val="auto"/>
          <w:sz w:val="28"/>
          <w:szCs w:val="28"/>
        </w:rPr>
        <w:t xml:space="preserve"> </w:t>
      </w:r>
      <w:bookmarkStart w:id="310" w:name="_Toc22820"/>
      <w:r>
        <w:rPr>
          <w:rFonts w:hint="eastAsia" w:ascii="宋体" w:hAnsi="宋体" w:eastAsia="宋体" w:cs="宋体"/>
          <w:color w:val="auto"/>
          <w:sz w:val="28"/>
          <w:szCs w:val="28"/>
        </w:rPr>
        <w:t>采 购 项 目 招 投 标 活 动 质 疑 书</w:t>
      </w:r>
      <w:bookmarkEnd w:id="308"/>
      <w:bookmarkEnd w:id="309"/>
      <w:bookmarkEnd w:id="31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被质疑采购项目名称</w:t>
            </w:r>
          </w:p>
        </w:tc>
        <w:tc>
          <w:tcPr>
            <w:tcW w:w="720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p>
          <w:p>
            <w:pPr>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被质疑采购项目编号</w:t>
            </w:r>
          </w:p>
        </w:tc>
        <w:tc>
          <w:tcPr>
            <w:tcW w:w="720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p>
          <w:p>
            <w:pPr>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被质疑采购项目</w:t>
            </w:r>
          </w:p>
          <w:p>
            <w:pPr>
              <w:jc w:val="center"/>
              <w:rPr>
                <w:rFonts w:hint="eastAsia" w:ascii="宋体" w:hAnsi="宋体" w:eastAsia="宋体" w:cs="宋体"/>
                <w:b/>
                <w:bCs/>
                <w:color w:val="auto"/>
              </w:rPr>
            </w:pPr>
            <w:r>
              <w:rPr>
                <w:rFonts w:hint="eastAsia" w:ascii="宋体" w:hAnsi="宋体" w:eastAsia="宋体" w:cs="宋体"/>
                <w:b/>
                <w:bCs/>
                <w:color w:val="auto"/>
              </w:rPr>
              <w:t>采购内容</w:t>
            </w:r>
          </w:p>
        </w:tc>
        <w:tc>
          <w:tcPr>
            <w:tcW w:w="720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p>
          <w:p>
            <w:pPr>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质 疑 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名  称</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地  址</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邮政编码</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联 系 人</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联系电话</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被 质 疑 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名  称</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地  址</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rPr>
            </w:pPr>
            <w:r>
              <w:rPr>
                <w:rFonts w:hint="eastAsia" w:ascii="宋体" w:hAnsi="宋体" w:eastAsia="宋体" w:cs="宋体"/>
                <w:b/>
                <w:bCs/>
                <w:color w:val="auto"/>
              </w:rPr>
              <w:t>联系电话</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36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r>
              <w:rPr>
                <w:rFonts w:hint="eastAsia" w:ascii="宋体" w:hAnsi="宋体" w:eastAsia="宋体" w:cs="宋体"/>
                <w:b/>
                <w:bCs/>
                <w:color w:val="auto"/>
              </w:rPr>
              <w:t>具体的质疑事项及事实依据：</w:t>
            </w:r>
          </w:p>
          <w:p>
            <w:pPr>
              <w:ind w:firstLine="420"/>
              <w:rPr>
                <w:rFonts w:hint="eastAsia" w:ascii="宋体" w:hAnsi="宋体" w:eastAsia="宋体" w:cs="宋体"/>
                <w:b/>
                <w:bCs/>
                <w:color w:val="auto"/>
              </w:rPr>
            </w:pPr>
          </w:p>
          <w:p>
            <w:pPr>
              <w:ind w:firstLine="420"/>
              <w:rPr>
                <w:rFonts w:hint="eastAsia" w:ascii="宋体" w:hAnsi="宋体" w:eastAsia="宋体" w:cs="宋体"/>
                <w:b/>
                <w:bCs/>
                <w:color w:val="auto"/>
              </w:rPr>
            </w:pPr>
          </w:p>
          <w:p>
            <w:pPr>
              <w:ind w:firstLine="420"/>
              <w:rPr>
                <w:rFonts w:hint="eastAsia" w:ascii="宋体" w:hAnsi="宋体" w:eastAsia="宋体" w:cs="宋体"/>
                <w:b/>
                <w:bCs/>
                <w:color w:val="auto"/>
              </w:rPr>
            </w:pPr>
          </w:p>
          <w:p>
            <w:pPr>
              <w:ind w:firstLine="420"/>
              <w:rPr>
                <w:rFonts w:hint="eastAsia" w:ascii="宋体" w:hAnsi="宋体" w:eastAsia="宋体" w:cs="宋体"/>
                <w:b/>
                <w:bCs/>
                <w:color w:val="auto"/>
              </w:rPr>
            </w:pPr>
          </w:p>
          <w:p>
            <w:pPr>
              <w:ind w:firstLine="420"/>
              <w:rPr>
                <w:rFonts w:hint="eastAsia" w:ascii="宋体" w:hAnsi="宋体" w:eastAsia="宋体" w:cs="宋体"/>
                <w:b/>
                <w:bCs/>
                <w:color w:val="auto"/>
              </w:rPr>
            </w:pPr>
          </w:p>
          <w:p>
            <w:pPr>
              <w:ind w:firstLine="420"/>
              <w:rPr>
                <w:rFonts w:hint="eastAsia" w:ascii="宋体" w:hAnsi="宋体" w:eastAsia="宋体" w:cs="宋体"/>
                <w:b/>
                <w:bCs/>
                <w:color w:val="auto"/>
              </w:rPr>
            </w:pPr>
          </w:p>
          <w:p>
            <w:pPr>
              <w:ind w:firstLine="420"/>
              <w:rPr>
                <w:rFonts w:hint="eastAsia" w:ascii="宋体" w:hAnsi="宋体" w:eastAsia="宋体" w:cs="宋体"/>
                <w:b/>
                <w:bCs/>
                <w:color w:val="auto"/>
              </w:rPr>
            </w:pPr>
          </w:p>
          <w:p>
            <w:pPr>
              <w:rPr>
                <w:rFonts w:hint="eastAsia" w:ascii="宋体" w:hAnsi="宋体" w:eastAsia="宋体" w:cs="宋体"/>
                <w:b/>
                <w:bCs/>
                <w:color w:val="auto"/>
              </w:rPr>
            </w:pPr>
          </w:p>
          <w:p>
            <w:pPr>
              <w:ind w:firstLine="420"/>
              <w:rPr>
                <w:rFonts w:hint="eastAsia" w:ascii="宋体" w:hAnsi="宋体" w:eastAsia="宋体" w:cs="宋体"/>
                <w:b/>
                <w:bCs/>
                <w:color w:val="auto"/>
              </w:rPr>
            </w:pPr>
          </w:p>
          <w:p>
            <w:pPr>
              <w:ind w:firstLine="420"/>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r>
              <w:rPr>
                <w:rFonts w:hint="eastAsia" w:ascii="宋体" w:hAnsi="宋体" w:eastAsia="宋体" w:cs="宋体"/>
                <w:b/>
                <w:bCs/>
                <w:color w:val="auto"/>
              </w:rPr>
              <w:t>相关请求与主张：</w:t>
            </w:r>
          </w:p>
          <w:p>
            <w:pPr>
              <w:ind w:firstLine="514" w:firstLineChars="245"/>
              <w:rPr>
                <w:rFonts w:hint="eastAsia" w:ascii="宋体" w:hAnsi="宋体" w:eastAsia="宋体" w:cs="宋体"/>
                <w:b/>
                <w:bCs/>
                <w:color w:val="auto"/>
              </w:rPr>
            </w:pPr>
          </w:p>
          <w:p>
            <w:pPr>
              <w:ind w:firstLine="514" w:firstLineChars="245"/>
              <w:rPr>
                <w:rFonts w:hint="eastAsia" w:ascii="宋体" w:hAnsi="宋体" w:eastAsia="宋体" w:cs="宋体"/>
                <w:b/>
                <w:bCs/>
                <w:color w:val="auto"/>
              </w:rPr>
            </w:pPr>
          </w:p>
          <w:p>
            <w:pPr>
              <w:ind w:firstLine="514" w:firstLineChars="245"/>
              <w:rPr>
                <w:rFonts w:hint="eastAsia" w:ascii="宋体" w:hAnsi="宋体" w:eastAsia="宋体" w:cs="宋体"/>
                <w:b/>
                <w:bCs/>
                <w:color w:val="auto"/>
              </w:rPr>
            </w:pPr>
          </w:p>
          <w:p>
            <w:pPr>
              <w:ind w:firstLine="514" w:firstLineChars="245"/>
              <w:rPr>
                <w:rFonts w:hint="eastAsia" w:ascii="宋体" w:hAnsi="宋体" w:eastAsia="宋体" w:cs="宋体"/>
                <w:b/>
                <w:bCs/>
                <w:color w:val="auto"/>
              </w:rPr>
            </w:pPr>
          </w:p>
          <w:p>
            <w:pPr>
              <w:ind w:firstLine="514" w:firstLineChars="245"/>
              <w:rPr>
                <w:rFonts w:hint="eastAsia" w:ascii="宋体" w:hAnsi="宋体" w:eastAsia="宋体" w:cs="宋体"/>
                <w:b/>
                <w:bCs/>
                <w:color w:val="auto"/>
              </w:rPr>
            </w:pPr>
          </w:p>
          <w:p>
            <w:pPr>
              <w:ind w:firstLine="514" w:firstLineChars="245"/>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r>
              <w:rPr>
                <w:rFonts w:hint="eastAsia" w:ascii="宋体" w:hAnsi="宋体" w:eastAsia="宋体" w:cs="宋体"/>
                <w:b/>
                <w:bCs/>
                <w:color w:val="auto"/>
              </w:rPr>
              <w:t>认为自己合法权益受到损害或可能受到损害的相关证据材料（具体材料附后）：</w:t>
            </w:r>
          </w:p>
          <w:p>
            <w:pPr>
              <w:ind w:left="877"/>
              <w:rPr>
                <w:rFonts w:hint="eastAsia" w:ascii="宋体" w:hAnsi="宋体" w:eastAsia="宋体" w:cs="宋体"/>
                <w:b/>
                <w:bCs/>
                <w:color w:val="auto"/>
              </w:rPr>
            </w:pPr>
          </w:p>
          <w:p>
            <w:pPr>
              <w:ind w:left="877"/>
              <w:rPr>
                <w:rFonts w:hint="eastAsia" w:ascii="宋体" w:hAnsi="宋体" w:eastAsia="宋体" w:cs="宋体"/>
                <w:b/>
                <w:bCs/>
                <w:color w:val="auto"/>
              </w:rPr>
            </w:pPr>
          </w:p>
          <w:p>
            <w:pPr>
              <w:ind w:left="877"/>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rPr>
            </w:pPr>
            <w:r>
              <w:rPr>
                <w:rFonts w:hint="eastAsia" w:ascii="宋体" w:hAnsi="宋体" w:eastAsia="宋体" w:cs="宋体"/>
                <w:b/>
                <w:bCs/>
                <w:color w:val="auto"/>
              </w:rPr>
              <w:t>提出质疑的日期</w:t>
            </w:r>
          </w:p>
        </w:tc>
        <w:tc>
          <w:tcPr>
            <w:tcW w:w="7200" w:type="dxa"/>
            <w:gridSpan w:val="2"/>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hint="eastAsia" w:ascii="宋体" w:hAnsi="宋体" w:eastAsia="宋体" w:cs="宋体"/>
                <w:b/>
                <w:bCs/>
                <w:color w:val="auto"/>
              </w:rPr>
            </w:pPr>
            <w:r>
              <w:rPr>
                <w:rFonts w:hint="eastAsia" w:ascii="宋体" w:hAnsi="宋体" w:eastAsia="宋体" w:cs="宋体"/>
                <w:b/>
                <w:bCs/>
                <w:color w:val="auto"/>
              </w:rPr>
              <w:t>年  月  日</w:t>
            </w:r>
          </w:p>
        </w:tc>
      </w:tr>
    </w:tbl>
    <w:p>
      <w:pPr>
        <w:ind w:firstLine="5363" w:firstLineChars="2554"/>
        <w:rPr>
          <w:rFonts w:hint="eastAsia" w:ascii="宋体" w:hAnsi="宋体" w:eastAsia="宋体" w:cs="宋体"/>
          <w:b/>
          <w:bCs/>
          <w:color w:val="auto"/>
        </w:rPr>
      </w:pPr>
      <w:r>
        <w:rPr>
          <w:rFonts w:hint="eastAsia" w:ascii="宋体" w:hAnsi="宋体" w:eastAsia="宋体" w:cs="宋体"/>
          <w:b/>
          <w:bCs/>
          <w:color w:val="auto"/>
        </w:rPr>
        <w:t>质疑人（盖章）：</w:t>
      </w:r>
    </w:p>
    <w:p>
      <w:pPr>
        <w:ind w:firstLine="5363" w:firstLineChars="2554"/>
        <w:rPr>
          <w:rFonts w:hint="eastAsia" w:ascii="宋体" w:hAnsi="宋体" w:eastAsia="宋体" w:cs="宋体"/>
          <w:b/>
          <w:bCs/>
          <w:color w:val="auto"/>
        </w:rPr>
      </w:pPr>
      <w:r>
        <w:rPr>
          <w:rFonts w:hint="eastAsia" w:ascii="宋体" w:hAnsi="宋体" w:eastAsia="宋体" w:cs="宋体"/>
          <w:b/>
          <w:bCs/>
          <w:color w:val="auto"/>
        </w:rPr>
        <w:t>质疑人法定代表人：</w:t>
      </w:r>
    </w:p>
    <w:p>
      <w:pPr>
        <w:ind w:firstLine="5856" w:firstLineChars="2789"/>
        <w:rPr>
          <w:rFonts w:hint="eastAsia" w:ascii="宋体" w:hAnsi="宋体" w:eastAsia="宋体" w:cs="宋体"/>
          <w:b/>
          <w:bCs/>
          <w:color w:val="auto"/>
        </w:rPr>
      </w:pPr>
      <w:r>
        <w:rPr>
          <w:rFonts w:hint="eastAsia" w:ascii="宋体" w:hAnsi="宋体" w:eastAsia="宋体" w:cs="宋体"/>
          <w:b/>
          <w:bCs/>
          <w:color w:val="auto"/>
        </w:rPr>
        <w:t>年  月   日</w:t>
      </w:r>
    </w:p>
    <w:p>
      <w:pPr>
        <w:pStyle w:val="2"/>
        <w:rPr>
          <w:rFonts w:hint="eastAsia" w:ascii="宋体" w:hAnsi="宋体" w:eastAsia="宋体" w:cs="宋体"/>
          <w:b/>
          <w:color w:val="auto"/>
          <w:szCs w:val="21"/>
        </w:rPr>
      </w:pPr>
      <w:r>
        <w:rPr>
          <w:rFonts w:hint="eastAsia" w:ascii="宋体" w:hAnsi="宋体" w:eastAsia="宋体" w:cs="宋体"/>
          <w:b/>
          <w:bCs/>
          <w:color w:val="auto"/>
        </w:rPr>
        <w:t>（</w:t>
      </w:r>
      <w:r>
        <w:rPr>
          <w:rFonts w:hint="eastAsia" w:ascii="宋体" w:hAnsi="宋体" w:eastAsia="宋体" w:cs="宋体"/>
          <w:color w:val="auto"/>
        </w:rPr>
        <w:t>注：1、该表适用于质疑提出时；2、提出质疑时须用原件提供；3、须把质疑电子版发送到</w:t>
      </w:r>
      <w:r>
        <w:rPr>
          <w:rFonts w:hint="eastAsia" w:ascii="宋体" w:hAnsi="宋体" w:cs="宋体"/>
          <w:color w:val="auto"/>
          <w:lang w:eastAsia="zh-CN"/>
        </w:rPr>
        <w:t>1179382075</w:t>
      </w:r>
      <w:r>
        <w:rPr>
          <w:rFonts w:hint="eastAsia" w:ascii="宋体" w:hAnsi="宋体" w:eastAsia="宋体" w:cs="宋体"/>
          <w:color w:val="auto"/>
        </w:rPr>
        <w:t>@QQ.COM）</w:t>
      </w:r>
    </w:p>
    <w:sectPr>
      <w:headerReference r:id="rId11" w:type="default"/>
      <w:footerReference r:id="rId12" w:type="default"/>
      <w:footerReference r:id="rId13" w:type="even"/>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5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w:rPr>
        <w:sz w:val="18"/>
      </w:rPr>
      <w:pict>
        <v:shape id="_x0000_s2052" o:spid="_x0000_s205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both"/>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ascii="宋体" w:hAnsi="宋体" w:eastAsia="宋体" w:cs="宋体"/>
        <w:szCs w:val="18"/>
      </w:rPr>
      <w:t>欧邦工程管理有限公司                                                           电话：0578-7128816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ascii="宋体" w:hAnsi="宋体" w:eastAsia="宋体" w:cs="宋体"/>
        <w:szCs w:val="18"/>
      </w:rPr>
      <w:t>欧邦工程管理有限公司                                                           电话：0578-7128816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ascii="宋体" w:hAnsi="宋体" w:eastAsia="宋体" w:cs="宋体"/>
      </w:rPr>
    </w:pPr>
    <w:r>
      <w:rPr>
        <w:rFonts w:hint="eastAsia" w:ascii="宋体" w:hAnsi="宋体" w:eastAsia="宋体" w:cs="宋体"/>
        <w:szCs w:val="18"/>
      </w:rPr>
      <w:t>欧邦工程管理有限公司                                                           电话：0578-7128816</w:t>
    </w:r>
  </w:p>
  <w:p>
    <w:pPr>
      <w:pStyle w:val="24"/>
      <w:pBdr>
        <w:bottom w:val="none" w:color="auto" w:sz="0" w:space="1"/>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ascii="宋体" w:hAnsi="宋体" w:eastAsia="宋体" w:cs="宋体"/>
        <w:szCs w:val="18"/>
      </w:rPr>
      <w:t>欧邦工程管理有限公司                                                         电话：0578-7128816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A2875"/>
    <w:multiLevelType w:val="multilevel"/>
    <w:tmpl w:val="174A2875"/>
    <w:lvl w:ilvl="0" w:tentative="0">
      <w:start w:val="1"/>
      <w:numFmt w:val="japaneseCounting"/>
      <w:lvlText w:val="第%1章"/>
      <w:lvlJc w:val="left"/>
      <w:pPr>
        <w:ind w:left="1515" w:hanging="151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B97514A"/>
    <w:multiLevelType w:val="multilevel"/>
    <w:tmpl w:val="6B97514A"/>
    <w:lvl w:ilvl="0" w:tentative="0">
      <w:start w:val="1"/>
      <w:numFmt w:val="decimal"/>
      <w:lvlText w:val="（%1）"/>
      <w:lvlJc w:val="left"/>
      <w:pPr>
        <w:tabs>
          <w:tab w:val="left" w:pos="1200"/>
        </w:tabs>
        <w:ind w:left="1200" w:hanging="720"/>
      </w:pPr>
      <w:rPr>
        <w:rFonts w:hint="default"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10"/>
  <w:drawingGridVerticalSpacing w:val="156"/>
  <w:displayHorizontalDrawingGridEvery w:val="1"/>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8B7"/>
    <w:rsid w:val="000000A1"/>
    <w:rsid w:val="00000163"/>
    <w:rsid w:val="000018AB"/>
    <w:rsid w:val="00002713"/>
    <w:rsid w:val="00002D81"/>
    <w:rsid w:val="00005193"/>
    <w:rsid w:val="00005341"/>
    <w:rsid w:val="00006A55"/>
    <w:rsid w:val="000111F2"/>
    <w:rsid w:val="00011442"/>
    <w:rsid w:val="00012C86"/>
    <w:rsid w:val="00013C47"/>
    <w:rsid w:val="000145F1"/>
    <w:rsid w:val="0001558B"/>
    <w:rsid w:val="000206A5"/>
    <w:rsid w:val="00020A67"/>
    <w:rsid w:val="00020CD1"/>
    <w:rsid w:val="00023F96"/>
    <w:rsid w:val="00024CCB"/>
    <w:rsid w:val="00024D6F"/>
    <w:rsid w:val="0002579C"/>
    <w:rsid w:val="00025FAD"/>
    <w:rsid w:val="00026816"/>
    <w:rsid w:val="00026D3C"/>
    <w:rsid w:val="00027225"/>
    <w:rsid w:val="00027638"/>
    <w:rsid w:val="000313E9"/>
    <w:rsid w:val="0003272F"/>
    <w:rsid w:val="0003381E"/>
    <w:rsid w:val="00034D0C"/>
    <w:rsid w:val="000358E3"/>
    <w:rsid w:val="00035E45"/>
    <w:rsid w:val="00036012"/>
    <w:rsid w:val="00036029"/>
    <w:rsid w:val="00036803"/>
    <w:rsid w:val="00036AD5"/>
    <w:rsid w:val="00036FB0"/>
    <w:rsid w:val="00037606"/>
    <w:rsid w:val="000405DE"/>
    <w:rsid w:val="00040D5F"/>
    <w:rsid w:val="00040F97"/>
    <w:rsid w:val="00041805"/>
    <w:rsid w:val="00042F0A"/>
    <w:rsid w:val="00044C84"/>
    <w:rsid w:val="00044F15"/>
    <w:rsid w:val="000458FF"/>
    <w:rsid w:val="0004624A"/>
    <w:rsid w:val="00047057"/>
    <w:rsid w:val="00050E9E"/>
    <w:rsid w:val="00051534"/>
    <w:rsid w:val="00052375"/>
    <w:rsid w:val="0005247F"/>
    <w:rsid w:val="000524B8"/>
    <w:rsid w:val="000525D5"/>
    <w:rsid w:val="0005460C"/>
    <w:rsid w:val="00055D0B"/>
    <w:rsid w:val="00056BF9"/>
    <w:rsid w:val="00057A50"/>
    <w:rsid w:val="00057D6D"/>
    <w:rsid w:val="00057DA1"/>
    <w:rsid w:val="00060F47"/>
    <w:rsid w:val="000611B1"/>
    <w:rsid w:val="00061520"/>
    <w:rsid w:val="000616A4"/>
    <w:rsid w:val="0006269C"/>
    <w:rsid w:val="000631E6"/>
    <w:rsid w:val="00063A52"/>
    <w:rsid w:val="00064E01"/>
    <w:rsid w:val="000655A0"/>
    <w:rsid w:val="000655DE"/>
    <w:rsid w:val="00065FEB"/>
    <w:rsid w:val="00067235"/>
    <w:rsid w:val="00067377"/>
    <w:rsid w:val="0006781B"/>
    <w:rsid w:val="00071211"/>
    <w:rsid w:val="00071323"/>
    <w:rsid w:val="000713B2"/>
    <w:rsid w:val="00071704"/>
    <w:rsid w:val="00072514"/>
    <w:rsid w:val="0007272B"/>
    <w:rsid w:val="00072A75"/>
    <w:rsid w:val="00072F64"/>
    <w:rsid w:val="00073E13"/>
    <w:rsid w:val="00074287"/>
    <w:rsid w:val="00074F07"/>
    <w:rsid w:val="00075658"/>
    <w:rsid w:val="000759C7"/>
    <w:rsid w:val="00076D91"/>
    <w:rsid w:val="0008046C"/>
    <w:rsid w:val="00080C9C"/>
    <w:rsid w:val="000812A0"/>
    <w:rsid w:val="00082CA1"/>
    <w:rsid w:val="00082F0B"/>
    <w:rsid w:val="00084CA4"/>
    <w:rsid w:val="000858AB"/>
    <w:rsid w:val="000861B9"/>
    <w:rsid w:val="00087ED4"/>
    <w:rsid w:val="000903D7"/>
    <w:rsid w:val="000928CF"/>
    <w:rsid w:val="000928EF"/>
    <w:rsid w:val="00092D74"/>
    <w:rsid w:val="00093468"/>
    <w:rsid w:val="000973D6"/>
    <w:rsid w:val="000A3430"/>
    <w:rsid w:val="000A3EB1"/>
    <w:rsid w:val="000A4A26"/>
    <w:rsid w:val="000A4FED"/>
    <w:rsid w:val="000A5332"/>
    <w:rsid w:val="000A5377"/>
    <w:rsid w:val="000A6E67"/>
    <w:rsid w:val="000B2340"/>
    <w:rsid w:val="000B2976"/>
    <w:rsid w:val="000B40C0"/>
    <w:rsid w:val="000B4AF7"/>
    <w:rsid w:val="000B6148"/>
    <w:rsid w:val="000B70DA"/>
    <w:rsid w:val="000C017F"/>
    <w:rsid w:val="000C0D60"/>
    <w:rsid w:val="000C1C5C"/>
    <w:rsid w:val="000C4275"/>
    <w:rsid w:val="000C774C"/>
    <w:rsid w:val="000C7853"/>
    <w:rsid w:val="000C7D29"/>
    <w:rsid w:val="000D03AC"/>
    <w:rsid w:val="000D17AA"/>
    <w:rsid w:val="000D1973"/>
    <w:rsid w:val="000D713B"/>
    <w:rsid w:val="000E00CF"/>
    <w:rsid w:val="000E04E8"/>
    <w:rsid w:val="000E148B"/>
    <w:rsid w:val="000E4E1E"/>
    <w:rsid w:val="000E66C2"/>
    <w:rsid w:val="000E7651"/>
    <w:rsid w:val="000E7FDE"/>
    <w:rsid w:val="000F227F"/>
    <w:rsid w:val="000F2287"/>
    <w:rsid w:val="000F2708"/>
    <w:rsid w:val="000F37BC"/>
    <w:rsid w:val="000F57C8"/>
    <w:rsid w:val="000F5D1D"/>
    <w:rsid w:val="000F62F8"/>
    <w:rsid w:val="000F67AE"/>
    <w:rsid w:val="000F7DDB"/>
    <w:rsid w:val="00100B52"/>
    <w:rsid w:val="00102B46"/>
    <w:rsid w:val="001047E7"/>
    <w:rsid w:val="001060D8"/>
    <w:rsid w:val="00107361"/>
    <w:rsid w:val="00107FA4"/>
    <w:rsid w:val="001100C3"/>
    <w:rsid w:val="00111706"/>
    <w:rsid w:val="00112FB1"/>
    <w:rsid w:val="00115D62"/>
    <w:rsid w:val="001160E4"/>
    <w:rsid w:val="00116C2C"/>
    <w:rsid w:val="00120CD3"/>
    <w:rsid w:val="00121031"/>
    <w:rsid w:val="0012163C"/>
    <w:rsid w:val="00122EDD"/>
    <w:rsid w:val="00123561"/>
    <w:rsid w:val="0012565D"/>
    <w:rsid w:val="00125FD0"/>
    <w:rsid w:val="001270DF"/>
    <w:rsid w:val="00127ADD"/>
    <w:rsid w:val="001353BC"/>
    <w:rsid w:val="00135FB6"/>
    <w:rsid w:val="00137A0B"/>
    <w:rsid w:val="00137CA9"/>
    <w:rsid w:val="001420F3"/>
    <w:rsid w:val="001448A6"/>
    <w:rsid w:val="001460AC"/>
    <w:rsid w:val="001460E3"/>
    <w:rsid w:val="00146CBB"/>
    <w:rsid w:val="00146D73"/>
    <w:rsid w:val="001504DE"/>
    <w:rsid w:val="00153380"/>
    <w:rsid w:val="001556F1"/>
    <w:rsid w:val="00155F52"/>
    <w:rsid w:val="0015632E"/>
    <w:rsid w:val="00160605"/>
    <w:rsid w:val="00160F1D"/>
    <w:rsid w:val="00160F5F"/>
    <w:rsid w:val="00161738"/>
    <w:rsid w:val="001617C7"/>
    <w:rsid w:val="00163E12"/>
    <w:rsid w:val="00164B83"/>
    <w:rsid w:val="00164F54"/>
    <w:rsid w:val="00167500"/>
    <w:rsid w:val="00167B07"/>
    <w:rsid w:val="00167F20"/>
    <w:rsid w:val="00170659"/>
    <w:rsid w:val="00171B1D"/>
    <w:rsid w:val="001723B0"/>
    <w:rsid w:val="00173DA5"/>
    <w:rsid w:val="00176534"/>
    <w:rsid w:val="00176AA6"/>
    <w:rsid w:val="001776E4"/>
    <w:rsid w:val="00180F54"/>
    <w:rsid w:val="00181FA9"/>
    <w:rsid w:val="00187046"/>
    <w:rsid w:val="001879B7"/>
    <w:rsid w:val="00191AE9"/>
    <w:rsid w:val="00192263"/>
    <w:rsid w:val="001926A9"/>
    <w:rsid w:val="00192E15"/>
    <w:rsid w:val="00193464"/>
    <w:rsid w:val="00194B45"/>
    <w:rsid w:val="00197D4B"/>
    <w:rsid w:val="001A08A3"/>
    <w:rsid w:val="001A14B6"/>
    <w:rsid w:val="001A195F"/>
    <w:rsid w:val="001A2173"/>
    <w:rsid w:val="001A223D"/>
    <w:rsid w:val="001A2320"/>
    <w:rsid w:val="001A2C5A"/>
    <w:rsid w:val="001A304F"/>
    <w:rsid w:val="001A41DA"/>
    <w:rsid w:val="001A42CB"/>
    <w:rsid w:val="001A450A"/>
    <w:rsid w:val="001A4513"/>
    <w:rsid w:val="001A5288"/>
    <w:rsid w:val="001A72CB"/>
    <w:rsid w:val="001B0213"/>
    <w:rsid w:val="001B2901"/>
    <w:rsid w:val="001B3833"/>
    <w:rsid w:val="001B45AE"/>
    <w:rsid w:val="001B4694"/>
    <w:rsid w:val="001B52C1"/>
    <w:rsid w:val="001B69F1"/>
    <w:rsid w:val="001C0358"/>
    <w:rsid w:val="001C1DCD"/>
    <w:rsid w:val="001C2419"/>
    <w:rsid w:val="001C249A"/>
    <w:rsid w:val="001C3A7E"/>
    <w:rsid w:val="001C3B65"/>
    <w:rsid w:val="001C453B"/>
    <w:rsid w:val="001C4F84"/>
    <w:rsid w:val="001C573D"/>
    <w:rsid w:val="001C6507"/>
    <w:rsid w:val="001C666B"/>
    <w:rsid w:val="001C75CC"/>
    <w:rsid w:val="001C7E7A"/>
    <w:rsid w:val="001D0D0A"/>
    <w:rsid w:val="001D0F38"/>
    <w:rsid w:val="001D17A2"/>
    <w:rsid w:val="001D1B6E"/>
    <w:rsid w:val="001D2333"/>
    <w:rsid w:val="001D36B1"/>
    <w:rsid w:val="001D4AF8"/>
    <w:rsid w:val="001D4BC2"/>
    <w:rsid w:val="001D4C5C"/>
    <w:rsid w:val="001D5F40"/>
    <w:rsid w:val="001D6169"/>
    <w:rsid w:val="001D6748"/>
    <w:rsid w:val="001D6796"/>
    <w:rsid w:val="001D761F"/>
    <w:rsid w:val="001D79ED"/>
    <w:rsid w:val="001D7AE0"/>
    <w:rsid w:val="001D7F8E"/>
    <w:rsid w:val="001E07DA"/>
    <w:rsid w:val="001E0B81"/>
    <w:rsid w:val="001E0E65"/>
    <w:rsid w:val="001E17D3"/>
    <w:rsid w:val="001E383F"/>
    <w:rsid w:val="001E43D3"/>
    <w:rsid w:val="001E5334"/>
    <w:rsid w:val="001E5BBD"/>
    <w:rsid w:val="001E5CED"/>
    <w:rsid w:val="001E6343"/>
    <w:rsid w:val="001E7382"/>
    <w:rsid w:val="001F10B8"/>
    <w:rsid w:val="001F1B27"/>
    <w:rsid w:val="001F1CC7"/>
    <w:rsid w:val="0020089F"/>
    <w:rsid w:val="002014ED"/>
    <w:rsid w:val="0020151D"/>
    <w:rsid w:val="0020175B"/>
    <w:rsid w:val="00202555"/>
    <w:rsid w:val="00203211"/>
    <w:rsid w:val="00203EE2"/>
    <w:rsid w:val="00204826"/>
    <w:rsid w:val="0021047C"/>
    <w:rsid w:val="00210F41"/>
    <w:rsid w:val="00211547"/>
    <w:rsid w:val="00211E52"/>
    <w:rsid w:val="00211F19"/>
    <w:rsid w:val="0021346A"/>
    <w:rsid w:val="00216BC0"/>
    <w:rsid w:val="00217C6D"/>
    <w:rsid w:val="00217F29"/>
    <w:rsid w:val="0022217B"/>
    <w:rsid w:val="0022343A"/>
    <w:rsid w:val="002258EB"/>
    <w:rsid w:val="00226361"/>
    <w:rsid w:val="00226A13"/>
    <w:rsid w:val="00226BA7"/>
    <w:rsid w:val="00226C6D"/>
    <w:rsid w:val="00226DD3"/>
    <w:rsid w:val="002273BC"/>
    <w:rsid w:val="002307DC"/>
    <w:rsid w:val="002310D9"/>
    <w:rsid w:val="0023373D"/>
    <w:rsid w:val="00233CA9"/>
    <w:rsid w:val="00236AA7"/>
    <w:rsid w:val="00237908"/>
    <w:rsid w:val="00240090"/>
    <w:rsid w:val="00240185"/>
    <w:rsid w:val="00241205"/>
    <w:rsid w:val="0024136A"/>
    <w:rsid w:val="0024150D"/>
    <w:rsid w:val="00241795"/>
    <w:rsid w:val="00243955"/>
    <w:rsid w:val="0024399B"/>
    <w:rsid w:val="00243A5C"/>
    <w:rsid w:val="00245677"/>
    <w:rsid w:val="002479FA"/>
    <w:rsid w:val="00247F70"/>
    <w:rsid w:val="0025122F"/>
    <w:rsid w:val="002521B0"/>
    <w:rsid w:val="0025295C"/>
    <w:rsid w:val="002535B9"/>
    <w:rsid w:val="002549F8"/>
    <w:rsid w:val="00256219"/>
    <w:rsid w:val="0025651A"/>
    <w:rsid w:val="00256BD8"/>
    <w:rsid w:val="00260B2A"/>
    <w:rsid w:val="002617AB"/>
    <w:rsid w:val="00261846"/>
    <w:rsid w:val="0026203A"/>
    <w:rsid w:val="00262206"/>
    <w:rsid w:val="00263875"/>
    <w:rsid w:val="00265247"/>
    <w:rsid w:val="00266760"/>
    <w:rsid w:val="00267D3D"/>
    <w:rsid w:val="00267DFF"/>
    <w:rsid w:val="00270A52"/>
    <w:rsid w:val="00271AEB"/>
    <w:rsid w:val="0027306B"/>
    <w:rsid w:val="00275635"/>
    <w:rsid w:val="002777A2"/>
    <w:rsid w:val="00277BC8"/>
    <w:rsid w:val="002805CB"/>
    <w:rsid w:val="0028108B"/>
    <w:rsid w:val="00281208"/>
    <w:rsid w:val="00281E5B"/>
    <w:rsid w:val="00283274"/>
    <w:rsid w:val="0028362B"/>
    <w:rsid w:val="00283737"/>
    <w:rsid w:val="00284D61"/>
    <w:rsid w:val="002864FA"/>
    <w:rsid w:val="00286988"/>
    <w:rsid w:val="0028740B"/>
    <w:rsid w:val="0028753D"/>
    <w:rsid w:val="00287704"/>
    <w:rsid w:val="0029110B"/>
    <w:rsid w:val="002941CD"/>
    <w:rsid w:val="00295A40"/>
    <w:rsid w:val="00295E15"/>
    <w:rsid w:val="002A01FE"/>
    <w:rsid w:val="002A03AD"/>
    <w:rsid w:val="002A0F9F"/>
    <w:rsid w:val="002A1C86"/>
    <w:rsid w:val="002A43F9"/>
    <w:rsid w:val="002A459C"/>
    <w:rsid w:val="002A4836"/>
    <w:rsid w:val="002A67FF"/>
    <w:rsid w:val="002B05CE"/>
    <w:rsid w:val="002B2919"/>
    <w:rsid w:val="002B2A68"/>
    <w:rsid w:val="002B3C40"/>
    <w:rsid w:val="002B3F20"/>
    <w:rsid w:val="002B7086"/>
    <w:rsid w:val="002C0C41"/>
    <w:rsid w:val="002C1608"/>
    <w:rsid w:val="002C2526"/>
    <w:rsid w:val="002C40DC"/>
    <w:rsid w:val="002C4C50"/>
    <w:rsid w:val="002C6D47"/>
    <w:rsid w:val="002C7B3D"/>
    <w:rsid w:val="002D0963"/>
    <w:rsid w:val="002D09D1"/>
    <w:rsid w:val="002D213E"/>
    <w:rsid w:val="002D21A6"/>
    <w:rsid w:val="002D28CE"/>
    <w:rsid w:val="002D43BD"/>
    <w:rsid w:val="002D47B6"/>
    <w:rsid w:val="002D5383"/>
    <w:rsid w:val="002D5E79"/>
    <w:rsid w:val="002E008C"/>
    <w:rsid w:val="002E0EBB"/>
    <w:rsid w:val="002E1335"/>
    <w:rsid w:val="002E2921"/>
    <w:rsid w:val="002E4E3A"/>
    <w:rsid w:val="002E5578"/>
    <w:rsid w:val="002E5818"/>
    <w:rsid w:val="002E6732"/>
    <w:rsid w:val="002E67DF"/>
    <w:rsid w:val="002E67FE"/>
    <w:rsid w:val="002E6924"/>
    <w:rsid w:val="002E7A81"/>
    <w:rsid w:val="002F02CC"/>
    <w:rsid w:val="002F0BB7"/>
    <w:rsid w:val="002F1EC5"/>
    <w:rsid w:val="002F2536"/>
    <w:rsid w:val="002F4BCD"/>
    <w:rsid w:val="002F50E1"/>
    <w:rsid w:val="002F5A0D"/>
    <w:rsid w:val="002F6C13"/>
    <w:rsid w:val="002F7CC6"/>
    <w:rsid w:val="003010C9"/>
    <w:rsid w:val="00302F19"/>
    <w:rsid w:val="00305CB0"/>
    <w:rsid w:val="00306DD5"/>
    <w:rsid w:val="003073C7"/>
    <w:rsid w:val="00307A29"/>
    <w:rsid w:val="00307F16"/>
    <w:rsid w:val="003101BE"/>
    <w:rsid w:val="003108F2"/>
    <w:rsid w:val="00312553"/>
    <w:rsid w:val="0031315D"/>
    <w:rsid w:val="00314354"/>
    <w:rsid w:val="00314B07"/>
    <w:rsid w:val="00315FAB"/>
    <w:rsid w:val="00316313"/>
    <w:rsid w:val="003166B1"/>
    <w:rsid w:val="003169CF"/>
    <w:rsid w:val="00320960"/>
    <w:rsid w:val="0032156D"/>
    <w:rsid w:val="0032351C"/>
    <w:rsid w:val="00323F0B"/>
    <w:rsid w:val="00326435"/>
    <w:rsid w:val="003275FA"/>
    <w:rsid w:val="00327A3E"/>
    <w:rsid w:val="00330DB2"/>
    <w:rsid w:val="00330EFE"/>
    <w:rsid w:val="00331641"/>
    <w:rsid w:val="00332A47"/>
    <w:rsid w:val="003336EB"/>
    <w:rsid w:val="00334E5F"/>
    <w:rsid w:val="003359DA"/>
    <w:rsid w:val="00336A7C"/>
    <w:rsid w:val="003409F5"/>
    <w:rsid w:val="00340EA5"/>
    <w:rsid w:val="003424E8"/>
    <w:rsid w:val="00343129"/>
    <w:rsid w:val="00343E5E"/>
    <w:rsid w:val="003446EA"/>
    <w:rsid w:val="00345ECC"/>
    <w:rsid w:val="00351FE4"/>
    <w:rsid w:val="00352029"/>
    <w:rsid w:val="00352E92"/>
    <w:rsid w:val="00353B9F"/>
    <w:rsid w:val="00354B01"/>
    <w:rsid w:val="0035534F"/>
    <w:rsid w:val="00356F25"/>
    <w:rsid w:val="00356F27"/>
    <w:rsid w:val="003570B3"/>
    <w:rsid w:val="003600D3"/>
    <w:rsid w:val="00362A78"/>
    <w:rsid w:val="00363E5E"/>
    <w:rsid w:val="003646E7"/>
    <w:rsid w:val="003654C7"/>
    <w:rsid w:val="00365675"/>
    <w:rsid w:val="00365A07"/>
    <w:rsid w:val="00365A49"/>
    <w:rsid w:val="003662BB"/>
    <w:rsid w:val="00367029"/>
    <w:rsid w:val="003678FC"/>
    <w:rsid w:val="003718A0"/>
    <w:rsid w:val="00373000"/>
    <w:rsid w:val="00374A92"/>
    <w:rsid w:val="00374B8F"/>
    <w:rsid w:val="00375235"/>
    <w:rsid w:val="00375523"/>
    <w:rsid w:val="00376B45"/>
    <w:rsid w:val="00376FE2"/>
    <w:rsid w:val="003808EB"/>
    <w:rsid w:val="00381B43"/>
    <w:rsid w:val="00381E62"/>
    <w:rsid w:val="00382CA8"/>
    <w:rsid w:val="003836CA"/>
    <w:rsid w:val="0038505C"/>
    <w:rsid w:val="0038559A"/>
    <w:rsid w:val="00385747"/>
    <w:rsid w:val="00385A44"/>
    <w:rsid w:val="00386C47"/>
    <w:rsid w:val="003911B7"/>
    <w:rsid w:val="00391723"/>
    <w:rsid w:val="00391785"/>
    <w:rsid w:val="00391C75"/>
    <w:rsid w:val="00392D00"/>
    <w:rsid w:val="003939ED"/>
    <w:rsid w:val="00394306"/>
    <w:rsid w:val="00394C8D"/>
    <w:rsid w:val="003963DF"/>
    <w:rsid w:val="003964A3"/>
    <w:rsid w:val="003973EC"/>
    <w:rsid w:val="003A1074"/>
    <w:rsid w:val="003A20B4"/>
    <w:rsid w:val="003A2B17"/>
    <w:rsid w:val="003A37B8"/>
    <w:rsid w:val="003A37CC"/>
    <w:rsid w:val="003A53F3"/>
    <w:rsid w:val="003A5BCF"/>
    <w:rsid w:val="003B0A52"/>
    <w:rsid w:val="003B3F05"/>
    <w:rsid w:val="003B40D7"/>
    <w:rsid w:val="003B5F40"/>
    <w:rsid w:val="003B657E"/>
    <w:rsid w:val="003C119B"/>
    <w:rsid w:val="003C1298"/>
    <w:rsid w:val="003C2640"/>
    <w:rsid w:val="003C3158"/>
    <w:rsid w:val="003C3C94"/>
    <w:rsid w:val="003C4952"/>
    <w:rsid w:val="003C5665"/>
    <w:rsid w:val="003C5B0B"/>
    <w:rsid w:val="003C5C80"/>
    <w:rsid w:val="003C7D19"/>
    <w:rsid w:val="003D1475"/>
    <w:rsid w:val="003D1CC9"/>
    <w:rsid w:val="003D20A4"/>
    <w:rsid w:val="003D3CD1"/>
    <w:rsid w:val="003D3CF7"/>
    <w:rsid w:val="003D44E6"/>
    <w:rsid w:val="003D5212"/>
    <w:rsid w:val="003D565B"/>
    <w:rsid w:val="003D5856"/>
    <w:rsid w:val="003D7E9B"/>
    <w:rsid w:val="003E2C15"/>
    <w:rsid w:val="003E5119"/>
    <w:rsid w:val="003E56AB"/>
    <w:rsid w:val="003E5793"/>
    <w:rsid w:val="003E6C93"/>
    <w:rsid w:val="003E6CDB"/>
    <w:rsid w:val="003F1A13"/>
    <w:rsid w:val="003F258C"/>
    <w:rsid w:val="003F3853"/>
    <w:rsid w:val="003F4624"/>
    <w:rsid w:val="003F474B"/>
    <w:rsid w:val="003F4EEC"/>
    <w:rsid w:val="003F6397"/>
    <w:rsid w:val="003F6D42"/>
    <w:rsid w:val="00400AB9"/>
    <w:rsid w:val="004019AB"/>
    <w:rsid w:val="00401CDC"/>
    <w:rsid w:val="0040373B"/>
    <w:rsid w:val="00404957"/>
    <w:rsid w:val="00404FDB"/>
    <w:rsid w:val="00405E01"/>
    <w:rsid w:val="0040666F"/>
    <w:rsid w:val="00406A45"/>
    <w:rsid w:val="00410D9D"/>
    <w:rsid w:val="004123F6"/>
    <w:rsid w:val="00414742"/>
    <w:rsid w:val="00415AE2"/>
    <w:rsid w:val="004160ED"/>
    <w:rsid w:val="004177DC"/>
    <w:rsid w:val="00421537"/>
    <w:rsid w:val="00421839"/>
    <w:rsid w:val="00422C59"/>
    <w:rsid w:val="00424199"/>
    <w:rsid w:val="0042510D"/>
    <w:rsid w:val="00431B0B"/>
    <w:rsid w:val="004335CE"/>
    <w:rsid w:val="0043476C"/>
    <w:rsid w:val="0044024E"/>
    <w:rsid w:val="00441044"/>
    <w:rsid w:val="004415CE"/>
    <w:rsid w:val="0044247B"/>
    <w:rsid w:val="004435DA"/>
    <w:rsid w:val="00447176"/>
    <w:rsid w:val="00447B06"/>
    <w:rsid w:val="004511DC"/>
    <w:rsid w:val="004514D5"/>
    <w:rsid w:val="00451671"/>
    <w:rsid w:val="00453161"/>
    <w:rsid w:val="004536D0"/>
    <w:rsid w:val="00453FEA"/>
    <w:rsid w:val="00457D4B"/>
    <w:rsid w:val="004609D3"/>
    <w:rsid w:val="00461344"/>
    <w:rsid w:val="004613EC"/>
    <w:rsid w:val="00461570"/>
    <w:rsid w:val="00461CB5"/>
    <w:rsid w:val="004626F4"/>
    <w:rsid w:val="00465951"/>
    <w:rsid w:val="00465E27"/>
    <w:rsid w:val="004672CA"/>
    <w:rsid w:val="00467C0F"/>
    <w:rsid w:val="0047095F"/>
    <w:rsid w:val="00470E9C"/>
    <w:rsid w:val="00471FC6"/>
    <w:rsid w:val="00472028"/>
    <w:rsid w:val="004720AF"/>
    <w:rsid w:val="004721F5"/>
    <w:rsid w:val="004723C3"/>
    <w:rsid w:val="00474EC2"/>
    <w:rsid w:val="004758F9"/>
    <w:rsid w:val="00482525"/>
    <w:rsid w:val="00482AD5"/>
    <w:rsid w:val="00482F75"/>
    <w:rsid w:val="00483B73"/>
    <w:rsid w:val="00484CC2"/>
    <w:rsid w:val="00485C29"/>
    <w:rsid w:val="00486148"/>
    <w:rsid w:val="0049081C"/>
    <w:rsid w:val="00492873"/>
    <w:rsid w:val="00493500"/>
    <w:rsid w:val="004939ED"/>
    <w:rsid w:val="00493EA8"/>
    <w:rsid w:val="00494461"/>
    <w:rsid w:val="0049490A"/>
    <w:rsid w:val="004951EC"/>
    <w:rsid w:val="00496D1E"/>
    <w:rsid w:val="00496FD9"/>
    <w:rsid w:val="00497A3F"/>
    <w:rsid w:val="004A0F73"/>
    <w:rsid w:val="004A1D33"/>
    <w:rsid w:val="004A1D3D"/>
    <w:rsid w:val="004A242D"/>
    <w:rsid w:val="004A2450"/>
    <w:rsid w:val="004A439E"/>
    <w:rsid w:val="004A44E1"/>
    <w:rsid w:val="004A4B22"/>
    <w:rsid w:val="004A4D04"/>
    <w:rsid w:val="004A4E9F"/>
    <w:rsid w:val="004A5DF8"/>
    <w:rsid w:val="004A721F"/>
    <w:rsid w:val="004A78AE"/>
    <w:rsid w:val="004B37BE"/>
    <w:rsid w:val="004B5B94"/>
    <w:rsid w:val="004B6CA8"/>
    <w:rsid w:val="004C36D8"/>
    <w:rsid w:val="004C4C2E"/>
    <w:rsid w:val="004C6D65"/>
    <w:rsid w:val="004C7422"/>
    <w:rsid w:val="004C7C34"/>
    <w:rsid w:val="004C7CC6"/>
    <w:rsid w:val="004C7D1D"/>
    <w:rsid w:val="004D0221"/>
    <w:rsid w:val="004D0C78"/>
    <w:rsid w:val="004D2308"/>
    <w:rsid w:val="004D3649"/>
    <w:rsid w:val="004D4826"/>
    <w:rsid w:val="004D6B6F"/>
    <w:rsid w:val="004D7982"/>
    <w:rsid w:val="004E074B"/>
    <w:rsid w:val="004E0C6D"/>
    <w:rsid w:val="004E2701"/>
    <w:rsid w:val="004E39A9"/>
    <w:rsid w:val="004E5688"/>
    <w:rsid w:val="004E5944"/>
    <w:rsid w:val="004E5CD8"/>
    <w:rsid w:val="004E7FF4"/>
    <w:rsid w:val="004F247E"/>
    <w:rsid w:val="004F2792"/>
    <w:rsid w:val="004F285C"/>
    <w:rsid w:val="004F3C73"/>
    <w:rsid w:val="004F6BAD"/>
    <w:rsid w:val="004F6E2D"/>
    <w:rsid w:val="004F7B8D"/>
    <w:rsid w:val="005012CD"/>
    <w:rsid w:val="00501520"/>
    <w:rsid w:val="00501FA0"/>
    <w:rsid w:val="00502252"/>
    <w:rsid w:val="00502F1F"/>
    <w:rsid w:val="00503662"/>
    <w:rsid w:val="00503AC5"/>
    <w:rsid w:val="00504C63"/>
    <w:rsid w:val="0050584B"/>
    <w:rsid w:val="00505A9F"/>
    <w:rsid w:val="00506CB7"/>
    <w:rsid w:val="00510AB5"/>
    <w:rsid w:val="00511107"/>
    <w:rsid w:val="005138E3"/>
    <w:rsid w:val="00514264"/>
    <w:rsid w:val="00515E33"/>
    <w:rsid w:val="00516664"/>
    <w:rsid w:val="005170D8"/>
    <w:rsid w:val="005174DA"/>
    <w:rsid w:val="00520269"/>
    <w:rsid w:val="005226F9"/>
    <w:rsid w:val="00522CFC"/>
    <w:rsid w:val="00523346"/>
    <w:rsid w:val="005236E2"/>
    <w:rsid w:val="005244DE"/>
    <w:rsid w:val="00524DD6"/>
    <w:rsid w:val="00525AC2"/>
    <w:rsid w:val="00525F88"/>
    <w:rsid w:val="00526AA9"/>
    <w:rsid w:val="00526FD1"/>
    <w:rsid w:val="005274FD"/>
    <w:rsid w:val="00527C72"/>
    <w:rsid w:val="005306E1"/>
    <w:rsid w:val="00534081"/>
    <w:rsid w:val="005342CE"/>
    <w:rsid w:val="00535B16"/>
    <w:rsid w:val="00535BC6"/>
    <w:rsid w:val="005370F9"/>
    <w:rsid w:val="005415FD"/>
    <w:rsid w:val="00541B15"/>
    <w:rsid w:val="005420E0"/>
    <w:rsid w:val="00544D5A"/>
    <w:rsid w:val="005458C5"/>
    <w:rsid w:val="00547A49"/>
    <w:rsid w:val="00547A9F"/>
    <w:rsid w:val="00551D29"/>
    <w:rsid w:val="005531A9"/>
    <w:rsid w:val="0055348F"/>
    <w:rsid w:val="00554865"/>
    <w:rsid w:val="00554C01"/>
    <w:rsid w:val="00554D8B"/>
    <w:rsid w:val="0055512D"/>
    <w:rsid w:val="00555779"/>
    <w:rsid w:val="00557933"/>
    <w:rsid w:val="00557C7A"/>
    <w:rsid w:val="0056164C"/>
    <w:rsid w:val="005618B7"/>
    <w:rsid w:val="00562886"/>
    <w:rsid w:val="00563E3A"/>
    <w:rsid w:val="005645FF"/>
    <w:rsid w:val="00564FA5"/>
    <w:rsid w:val="005669F3"/>
    <w:rsid w:val="00566D60"/>
    <w:rsid w:val="005679D6"/>
    <w:rsid w:val="00567FF7"/>
    <w:rsid w:val="005704CC"/>
    <w:rsid w:val="00571401"/>
    <w:rsid w:val="00571B1F"/>
    <w:rsid w:val="00571D8A"/>
    <w:rsid w:val="00572188"/>
    <w:rsid w:val="00573215"/>
    <w:rsid w:val="00574488"/>
    <w:rsid w:val="00574553"/>
    <w:rsid w:val="00574C4F"/>
    <w:rsid w:val="00575067"/>
    <w:rsid w:val="00576A68"/>
    <w:rsid w:val="005773FD"/>
    <w:rsid w:val="00577C0D"/>
    <w:rsid w:val="005808BE"/>
    <w:rsid w:val="00581054"/>
    <w:rsid w:val="00581400"/>
    <w:rsid w:val="0058364D"/>
    <w:rsid w:val="005839FF"/>
    <w:rsid w:val="00584354"/>
    <w:rsid w:val="00584698"/>
    <w:rsid w:val="0058785C"/>
    <w:rsid w:val="005879D5"/>
    <w:rsid w:val="00591925"/>
    <w:rsid w:val="0059386D"/>
    <w:rsid w:val="0059412D"/>
    <w:rsid w:val="005945EF"/>
    <w:rsid w:val="0059479E"/>
    <w:rsid w:val="00594E61"/>
    <w:rsid w:val="00595A8C"/>
    <w:rsid w:val="005A112D"/>
    <w:rsid w:val="005A1E44"/>
    <w:rsid w:val="005A1F07"/>
    <w:rsid w:val="005A2653"/>
    <w:rsid w:val="005A3411"/>
    <w:rsid w:val="005A3C3A"/>
    <w:rsid w:val="005A4C32"/>
    <w:rsid w:val="005A53DC"/>
    <w:rsid w:val="005A5CEB"/>
    <w:rsid w:val="005A6632"/>
    <w:rsid w:val="005A6C57"/>
    <w:rsid w:val="005A7451"/>
    <w:rsid w:val="005B0522"/>
    <w:rsid w:val="005B07A9"/>
    <w:rsid w:val="005B0AA3"/>
    <w:rsid w:val="005B1280"/>
    <w:rsid w:val="005B3106"/>
    <w:rsid w:val="005B3CAD"/>
    <w:rsid w:val="005B57CA"/>
    <w:rsid w:val="005B7421"/>
    <w:rsid w:val="005C04CE"/>
    <w:rsid w:val="005C15FF"/>
    <w:rsid w:val="005C215C"/>
    <w:rsid w:val="005C276F"/>
    <w:rsid w:val="005C37DF"/>
    <w:rsid w:val="005C4DB1"/>
    <w:rsid w:val="005C6207"/>
    <w:rsid w:val="005C6530"/>
    <w:rsid w:val="005C6593"/>
    <w:rsid w:val="005C711B"/>
    <w:rsid w:val="005D204B"/>
    <w:rsid w:val="005D2D8A"/>
    <w:rsid w:val="005D3219"/>
    <w:rsid w:val="005D6BB9"/>
    <w:rsid w:val="005D6FAE"/>
    <w:rsid w:val="005D7ED2"/>
    <w:rsid w:val="005E074F"/>
    <w:rsid w:val="005E0DF0"/>
    <w:rsid w:val="005E216F"/>
    <w:rsid w:val="005E38BF"/>
    <w:rsid w:val="005E3F34"/>
    <w:rsid w:val="005E4D6D"/>
    <w:rsid w:val="005E5554"/>
    <w:rsid w:val="005E58B4"/>
    <w:rsid w:val="005E64F2"/>
    <w:rsid w:val="005E6C7F"/>
    <w:rsid w:val="005E785B"/>
    <w:rsid w:val="005E7CEA"/>
    <w:rsid w:val="005E7D76"/>
    <w:rsid w:val="005F03AF"/>
    <w:rsid w:val="005F1154"/>
    <w:rsid w:val="005F2156"/>
    <w:rsid w:val="005F42D6"/>
    <w:rsid w:val="005F4EEF"/>
    <w:rsid w:val="005F4FC4"/>
    <w:rsid w:val="005F69BC"/>
    <w:rsid w:val="006002FA"/>
    <w:rsid w:val="00600346"/>
    <w:rsid w:val="00601784"/>
    <w:rsid w:val="006018A5"/>
    <w:rsid w:val="00601A4B"/>
    <w:rsid w:val="00603A09"/>
    <w:rsid w:val="00603F58"/>
    <w:rsid w:val="00606849"/>
    <w:rsid w:val="0061011B"/>
    <w:rsid w:val="006102C6"/>
    <w:rsid w:val="00610432"/>
    <w:rsid w:val="006104E5"/>
    <w:rsid w:val="00611CFC"/>
    <w:rsid w:val="00611D85"/>
    <w:rsid w:val="00611E5A"/>
    <w:rsid w:val="0061371A"/>
    <w:rsid w:val="006141AB"/>
    <w:rsid w:val="00615ED8"/>
    <w:rsid w:val="00621834"/>
    <w:rsid w:val="006222CC"/>
    <w:rsid w:val="0062278D"/>
    <w:rsid w:val="00624074"/>
    <w:rsid w:val="00625FC1"/>
    <w:rsid w:val="006275CC"/>
    <w:rsid w:val="00627A95"/>
    <w:rsid w:val="00627D74"/>
    <w:rsid w:val="00631340"/>
    <w:rsid w:val="00632132"/>
    <w:rsid w:val="0063246F"/>
    <w:rsid w:val="00632A9D"/>
    <w:rsid w:val="00632AAC"/>
    <w:rsid w:val="00632D2A"/>
    <w:rsid w:val="006347C0"/>
    <w:rsid w:val="00635503"/>
    <w:rsid w:val="006369F1"/>
    <w:rsid w:val="0064051F"/>
    <w:rsid w:val="0064139A"/>
    <w:rsid w:val="006439D7"/>
    <w:rsid w:val="00644B25"/>
    <w:rsid w:val="006451F0"/>
    <w:rsid w:val="00645671"/>
    <w:rsid w:val="00645797"/>
    <w:rsid w:val="00645DF9"/>
    <w:rsid w:val="00647482"/>
    <w:rsid w:val="006475A1"/>
    <w:rsid w:val="00650F92"/>
    <w:rsid w:val="0065194E"/>
    <w:rsid w:val="00652D7A"/>
    <w:rsid w:val="0065473B"/>
    <w:rsid w:val="0065574C"/>
    <w:rsid w:val="00656112"/>
    <w:rsid w:val="006569DC"/>
    <w:rsid w:val="00657022"/>
    <w:rsid w:val="00657EF1"/>
    <w:rsid w:val="00661472"/>
    <w:rsid w:val="0066185D"/>
    <w:rsid w:val="00661BAC"/>
    <w:rsid w:val="006634C8"/>
    <w:rsid w:val="00663582"/>
    <w:rsid w:val="00663EB5"/>
    <w:rsid w:val="0066437E"/>
    <w:rsid w:val="00664D8C"/>
    <w:rsid w:val="006650B9"/>
    <w:rsid w:val="006651ED"/>
    <w:rsid w:val="00667E15"/>
    <w:rsid w:val="00673F8B"/>
    <w:rsid w:val="00674308"/>
    <w:rsid w:val="0067499F"/>
    <w:rsid w:val="00674FFE"/>
    <w:rsid w:val="00675260"/>
    <w:rsid w:val="00675658"/>
    <w:rsid w:val="00681717"/>
    <w:rsid w:val="006817AA"/>
    <w:rsid w:val="00681AB8"/>
    <w:rsid w:val="00683C0B"/>
    <w:rsid w:val="00684F49"/>
    <w:rsid w:val="00685576"/>
    <w:rsid w:val="00685B58"/>
    <w:rsid w:val="00686CF7"/>
    <w:rsid w:val="0068785E"/>
    <w:rsid w:val="0069030A"/>
    <w:rsid w:val="00693433"/>
    <w:rsid w:val="0069422D"/>
    <w:rsid w:val="00695CF2"/>
    <w:rsid w:val="006A0115"/>
    <w:rsid w:val="006A0B07"/>
    <w:rsid w:val="006A1721"/>
    <w:rsid w:val="006A249E"/>
    <w:rsid w:val="006A38BA"/>
    <w:rsid w:val="006A42A9"/>
    <w:rsid w:val="006A4604"/>
    <w:rsid w:val="006A5858"/>
    <w:rsid w:val="006A5EDB"/>
    <w:rsid w:val="006A605F"/>
    <w:rsid w:val="006A74E4"/>
    <w:rsid w:val="006A7766"/>
    <w:rsid w:val="006A7CD3"/>
    <w:rsid w:val="006B093D"/>
    <w:rsid w:val="006B09A2"/>
    <w:rsid w:val="006B1B86"/>
    <w:rsid w:val="006B210D"/>
    <w:rsid w:val="006B29FD"/>
    <w:rsid w:val="006B2A95"/>
    <w:rsid w:val="006B2C39"/>
    <w:rsid w:val="006B332C"/>
    <w:rsid w:val="006B48CE"/>
    <w:rsid w:val="006B7D8C"/>
    <w:rsid w:val="006C0BC6"/>
    <w:rsid w:val="006C0C36"/>
    <w:rsid w:val="006C120E"/>
    <w:rsid w:val="006C2876"/>
    <w:rsid w:val="006C3D6E"/>
    <w:rsid w:val="006C6359"/>
    <w:rsid w:val="006C636E"/>
    <w:rsid w:val="006C6538"/>
    <w:rsid w:val="006C7FD3"/>
    <w:rsid w:val="006D138A"/>
    <w:rsid w:val="006D15DB"/>
    <w:rsid w:val="006D1B52"/>
    <w:rsid w:val="006D6432"/>
    <w:rsid w:val="006D6555"/>
    <w:rsid w:val="006E1BBB"/>
    <w:rsid w:val="006E2456"/>
    <w:rsid w:val="006E6169"/>
    <w:rsid w:val="006E6906"/>
    <w:rsid w:val="006F009E"/>
    <w:rsid w:val="006F0803"/>
    <w:rsid w:val="006F0967"/>
    <w:rsid w:val="006F113F"/>
    <w:rsid w:val="006F16BB"/>
    <w:rsid w:val="006F40A9"/>
    <w:rsid w:val="006F46B5"/>
    <w:rsid w:val="006F512A"/>
    <w:rsid w:val="006F5BE8"/>
    <w:rsid w:val="006F634B"/>
    <w:rsid w:val="006F6855"/>
    <w:rsid w:val="006F6E77"/>
    <w:rsid w:val="007009F8"/>
    <w:rsid w:val="007017F9"/>
    <w:rsid w:val="00703C57"/>
    <w:rsid w:val="00703C99"/>
    <w:rsid w:val="0070461E"/>
    <w:rsid w:val="007058DC"/>
    <w:rsid w:val="0070633C"/>
    <w:rsid w:val="0070699B"/>
    <w:rsid w:val="00707171"/>
    <w:rsid w:val="00707E14"/>
    <w:rsid w:val="00711741"/>
    <w:rsid w:val="007117E6"/>
    <w:rsid w:val="00711DC6"/>
    <w:rsid w:val="00712166"/>
    <w:rsid w:val="007128C1"/>
    <w:rsid w:val="0071292B"/>
    <w:rsid w:val="00712BBE"/>
    <w:rsid w:val="00713370"/>
    <w:rsid w:val="007134E9"/>
    <w:rsid w:val="007138DF"/>
    <w:rsid w:val="0071515F"/>
    <w:rsid w:val="00720C5F"/>
    <w:rsid w:val="007227BA"/>
    <w:rsid w:val="00722CB4"/>
    <w:rsid w:val="00723113"/>
    <w:rsid w:val="00723EA6"/>
    <w:rsid w:val="00724DC7"/>
    <w:rsid w:val="0072633B"/>
    <w:rsid w:val="007328A1"/>
    <w:rsid w:val="007339C9"/>
    <w:rsid w:val="00733EF9"/>
    <w:rsid w:val="0073437D"/>
    <w:rsid w:val="0073514B"/>
    <w:rsid w:val="00735302"/>
    <w:rsid w:val="00736FC0"/>
    <w:rsid w:val="007378EA"/>
    <w:rsid w:val="0074044D"/>
    <w:rsid w:val="00740BE5"/>
    <w:rsid w:val="00741871"/>
    <w:rsid w:val="00741FD4"/>
    <w:rsid w:val="007420B8"/>
    <w:rsid w:val="0074246E"/>
    <w:rsid w:val="00744803"/>
    <w:rsid w:val="00745B63"/>
    <w:rsid w:val="00745F5E"/>
    <w:rsid w:val="00746E01"/>
    <w:rsid w:val="007470A2"/>
    <w:rsid w:val="00750394"/>
    <w:rsid w:val="0075088F"/>
    <w:rsid w:val="00750998"/>
    <w:rsid w:val="00750DAA"/>
    <w:rsid w:val="00751409"/>
    <w:rsid w:val="007516FF"/>
    <w:rsid w:val="00753417"/>
    <w:rsid w:val="00753A5B"/>
    <w:rsid w:val="00755639"/>
    <w:rsid w:val="0075600C"/>
    <w:rsid w:val="00756A3A"/>
    <w:rsid w:val="007577B0"/>
    <w:rsid w:val="00757CE9"/>
    <w:rsid w:val="0076002D"/>
    <w:rsid w:val="00761182"/>
    <w:rsid w:val="00761900"/>
    <w:rsid w:val="00761F0F"/>
    <w:rsid w:val="007624AB"/>
    <w:rsid w:val="007645DF"/>
    <w:rsid w:val="00764DE9"/>
    <w:rsid w:val="00764F82"/>
    <w:rsid w:val="00767777"/>
    <w:rsid w:val="0076792B"/>
    <w:rsid w:val="0076793E"/>
    <w:rsid w:val="00770C5B"/>
    <w:rsid w:val="0077257F"/>
    <w:rsid w:val="00772D32"/>
    <w:rsid w:val="007734F7"/>
    <w:rsid w:val="0077382F"/>
    <w:rsid w:val="00774367"/>
    <w:rsid w:val="007745F1"/>
    <w:rsid w:val="0077534C"/>
    <w:rsid w:val="0077559C"/>
    <w:rsid w:val="00775620"/>
    <w:rsid w:val="00776DBF"/>
    <w:rsid w:val="0077732F"/>
    <w:rsid w:val="007826F3"/>
    <w:rsid w:val="007835E5"/>
    <w:rsid w:val="0078432B"/>
    <w:rsid w:val="00785074"/>
    <w:rsid w:val="00786243"/>
    <w:rsid w:val="00787BC1"/>
    <w:rsid w:val="007917E1"/>
    <w:rsid w:val="0079299D"/>
    <w:rsid w:val="00793143"/>
    <w:rsid w:val="0079370A"/>
    <w:rsid w:val="007A2204"/>
    <w:rsid w:val="007A42CB"/>
    <w:rsid w:val="007A5165"/>
    <w:rsid w:val="007A68C1"/>
    <w:rsid w:val="007A7A92"/>
    <w:rsid w:val="007B2A68"/>
    <w:rsid w:val="007B3448"/>
    <w:rsid w:val="007B5F89"/>
    <w:rsid w:val="007B63CC"/>
    <w:rsid w:val="007B6E47"/>
    <w:rsid w:val="007B6EF9"/>
    <w:rsid w:val="007B6F58"/>
    <w:rsid w:val="007B7518"/>
    <w:rsid w:val="007C0341"/>
    <w:rsid w:val="007C16EC"/>
    <w:rsid w:val="007C2DF5"/>
    <w:rsid w:val="007C3B74"/>
    <w:rsid w:val="007C416A"/>
    <w:rsid w:val="007C534E"/>
    <w:rsid w:val="007C60E6"/>
    <w:rsid w:val="007C73CA"/>
    <w:rsid w:val="007D0F2A"/>
    <w:rsid w:val="007D104E"/>
    <w:rsid w:val="007D270B"/>
    <w:rsid w:val="007D45CE"/>
    <w:rsid w:val="007D6782"/>
    <w:rsid w:val="007D756F"/>
    <w:rsid w:val="007E0288"/>
    <w:rsid w:val="007E13CD"/>
    <w:rsid w:val="007E15F1"/>
    <w:rsid w:val="007E5ACF"/>
    <w:rsid w:val="007E6263"/>
    <w:rsid w:val="007E640D"/>
    <w:rsid w:val="007F3BF3"/>
    <w:rsid w:val="007F4176"/>
    <w:rsid w:val="007F4272"/>
    <w:rsid w:val="007F4E1B"/>
    <w:rsid w:val="007F654F"/>
    <w:rsid w:val="00800015"/>
    <w:rsid w:val="00801257"/>
    <w:rsid w:val="0080255D"/>
    <w:rsid w:val="00802BC1"/>
    <w:rsid w:val="008038FD"/>
    <w:rsid w:val="00816A6B"/>
    <w:rsid w:val="00817E17"/>
    <w:rsid w:val="00820E39"/>
    <w:rsid w:val="0082103B"/>
    <w:rsid w:val="00821C93"/>
    <w:rsid w:val="00822D2E"/>
    <w:rsid w:val="00822D41"/>
    <w:rsid w:val="0082386E"/>
    <w:rsid w:val="0082441D"/>
    <w:rsid w:val="008305A2"/>
    <w:rsid w:val="008310DF"/>
    <w:rsid w:val="0083224D"/>
    <w:rsid w:val="008325A6"/>
    <w:rsid w:val="008340F5"/>
    <w:rsid w:val="00841C85"/>
    <w:rsid w:val="0084216D"/>
    <w:rsid w:val="00843760"/>
    <w:rsid w:val="0084392C"/>
    <w:rsid w:val="00843A35"/>
    <w:rsid w:val="008454A2"/>
    <w:rsid w:val="008459D2"/>
    <w:rsid w:val="008462E1"/>
    <w:rsid w:val="008472A7"/>
    <w:rsid w:val="00847491"/>
    <w:rsid w:val="00847629"/>
    <w:rsid w:val="008506FE"/>
    <w:rsid w:val="00850BE7"/>
    <w:rsid w:val="00851692"/>
    <w:rsid w:val="008536EF"/>
    <w:rsid w:val="00853A94"/>
    <w:rsid w:val="00854AD7"/>
    <w:rsid w:val="0085577E"/>
    <w:rsid w:val="0085629B"/>
    <w:rsid w:val="00856BDF"/>
    <w:rsid w:val="00857773"/>
    <w:rsid w:val="00857A23"/>
    <w:rsid w:val="00857B08"/>
    <w:rsid w:val="0086024F"/>
    <w:rsid w:val="00862350"/>
    <w:rsid w:val="00862DC6"/>
    <w:rsid w:val="00863391"/>
    <w:rsid w:val="00864DDF"/>
    <w:rsid w:val="00867F2B"/>
    <w:rsid w:val="008708D4"/>
    <w:rsid w:val="0087090F"/>
    <w:rsid w:val="008723BE"/>
    <w:rsid w:val="008724ED"/>
    <w:rsid w:val="00873071"/>
    <w:rsid w:val="00873141"/>
    <w:rsid w:val="00874121"/>
    <w:rsid w:val="0087481D"/>
    <w:rsid w:val="008767A9"/>
    <w:rsid w:val="0087692C"/>
    <w:rsid w:val="008805B9"/>
    <w:rsid w:val="00880E5B"/>
    <w:rsid w:val="008812CB"/>
    <w:rsid w:val="00884702"/>
    <w:rsid w:val="008855BD"/>
    <w:rsid w:val="008865A4"/>
    <w:rsid w:val="00886B1D"/>
    <w:rsid w:val="00887226"/>
    <w:rsid w:val="00890EAF"/>
    <w:rsid w:val="00891BFD"/>
    <w:rsid w:val="00891C59"/>
    <w:rsid w:val="00892D68"/>
    <w:rsid w:val="00892EB5"/>
    <w:rsid w:val="00893E0B"/>
    <w:rsid w:val="00895203"/>
    <w:rsid w:val="00895A08"/>
    <w:rsid w:val="008969F8"/>
    <w:rsid w:val="008A06A8"/>
    <w:rsid w:val="008A16F9"/>
    <w:rsid w:val="008A20F6"/>
    <w:rsid w:val="008A33E7"/>
    <w:rsid w:val="008A36C4"/>
    <w:rsid w:val="008A4B67"/>
    <w:rsid w:val="008A4BE6"/>
    <w:rsid w:val="008A5C81"/>
    <w:rsid w:val="008B1458"/>
    <w:rsid w:val="008B1FC4"/>
    <w:rsid w:val="008B2891"/>
    <w:rsid w:val="008B2D4C"/>
    <w:rsid w:val="008B63F5"/>
    <w:rsid w:val="008B7D39"/>
    <w:rsid w:val="008C0247"/>
    <w:rsid w:val="008C06F1"/>
    <w:rsid w:val="008C1033"/>
    <w:rsid w:val="008C1166"/>
    <w:rsid w:val="008C1A12"/>
    <w:rsid w:val="008C4032"/>
    <w:rsid w:val="008C6EFF"/>
    <w:rsid w:val="008C7E03"/>
    <w:rsid w:val="008D1010"/>
    <w:rsid w:val="008D13CF"/>
    <w:rsid w:val="008D1960"/>
    <w:rsid w:val="008D2354"/>
    <w:rsid w:val="008D5CD2"/>
    <w:rsid w:val="008D65A8"/>
    <w:rsid w:val="008D7945"/>
    <w:rsid w:val="008D7D8E"/>
    <w:rsid w:val="008E0FB8"/>
    <w:rsid w:val="008E1C92"/>
    <w:rsid w:val="008E1E63"/>
    <w:rsid w:val="008E3750"/>
    <w:rsid w:val="008E46AC"/>
    <w:rsid w:val="008E62B9"/>
    <w:rsid w:val="008E692F"/>
    <w:rsid w:val="008F1842"/>
    <w:rsid w:val="008F2494"/>
    <w:rsid w:val="008F32F0"/>
    <w:rsid w:val="008F3B68"/>
    <w:rsid w:val="008F5AA7"/>
    <w:rsid w:val="008F6FB7"/>
    <w:rsid w:val="009011A1"/>
    <w:rsid w:val="00901719"/>
    <w:rsid w:val="009029A4"/>
    <w:rsid w:val="009031C5"/>
    <w:rsid w:val="00903471"/>
    <w:rsid w:val="0090380E"/>
    <w:rsid w:val="00903888"/>
    <w:rsid w:val="00903E55"/>
    <w:rsid w:val="00904751"/>
    <w:rsid w:val="00904CEA"/>
    <w:rsid w:val="009055D3"/>
    <w:rsid w:val="00906103"/>
    <w:rsid w:val="009067FB"/>
    <w:rsid w:val="0090682E"/>
    <w:rsid w:val="00906BCE"/>
    <w:rsid w:val="009074F8"/>
    <w:rsid w:val="00907717"/>
    <w:rsid w:val="00907D3C"/>
    <w:rsid w:val="009115C6"/>
    <w:rsid w:val="009133A3"/>
    <w:rsid w:val="00913BEF"/>
    <w:rsid w:val="009150A8"/>
    <w:rsid w:val="00915399"/>
    <w:rsid w:val="00915D89"/>
    <w:rsid w:val="009166EB"/>
    <w:rsid w:val="00916980"/>
    <w:rsid w:val="00917010"/>
    <w:rsid w:val="0091764F"/>
    <w:rsid w:val="009205BE"/>
    <w:rsid w:val="00920EE7"/>
    <w:rsid w:val="0092388C"/>
    <w:rsid w:val="009243F1"/>
    <w:rsid w:val="009255F8"/>
    <w:rsid w:val="009275F3"/>
    <w:rsid w:val="009303B5"/>
    <w:rsid w:val="00930EAF"/>
    <w:rsid w:val="00931499"/>
    <w:rsid w:val="00935404"/>
    <w:rsid w:val="009357B3"/>
    <w:rsid w:val="00935FF6"/>
    <w:rsid w:val="00936A31"/>
    <w:rsid w:val="00936CCF"/>
    <w:rsid w:val="00936DA5"/>
    <w:rsid w:val="00937A49"/>
    <w:rsid w:val="00937A78"/>
    <w:rsid w:val="00942416"/>
    <w:rsid w:val="00942F77"/>
    <w:rsid w:val="0094303E"/>
    <w:rsid w:val="00943FBC"/>
    <w:rsid w:val="00945621"/>
    <w:rsid w:val="00945906"/>
    <w:rsid w:val="009471E3"/>
    <w:rsid w:val="00950643"/>
    <w:rsid w:val="00951683"/>
    <w:rsid w:val="009519FA"/>
    <w:rsid w:val="009528A8"/>
    <w:rsid w:val="00952EAF"/>
    <w:rsid w:val="00955421"/>
    <w:rsid w:val="009559A9"/>
    <w:rsid w:val="00956446"/>
    <w:rsid w:val="00957899"/>
    <w:rsid w:val="009579CA"/>
    <w:rsid w:val="00960499"/>
    <w:rsid w:val="00960ACC"/>
    <w:rsid w:val="00960E98"/>
    <w:rsid w:val="0096122F"/>
    <w:rsid w:val="00962A8C"/>
    <w:rsid w:val="00966157"/>
    <w:rsid w:val="0096622E"/>
    <w:rsid w:val="00967299"/>
    <w:rsid w:val="00967F4C"/>
    <w:rsid w:val="0097048D"/>
    <w:rsid w:val="00971DA5"/>
    <w:rsid w:val="0097362F"/>
    <w:rsid w:val="009743D9"/>
    <w:rsid w:val="00976E10"/>
    <w:rsid w:val="009771E9"/>
    <w:rsid w:val="00981146"/>
    <w:rsid w:val="00983A29"/>
    <w:rsid w:val="00984730"/>
    <w:rsid w:val="00986DB0"/>
    <w:rsid w:val="00987169"/>
    <w:rsid w:val="009873B8"/>
    <w:rsid w:val="009915B7"/>
    <w:rsid w:val="009915FF"/>
    <w:rsid w:val="0099275F"/>
    <w:rsid w:val="00993A84"/>
    <w:rsid w:val="009945B7"/>
    <w:rsid w:val="00996070"/>
    <w:rsid w:val="00996AB7"/>
    <w:rsid w:val="00996BFA"/>
    <w:rsid w:val="009972C8"/>
    <w:rsid w:val="009A142B"/>
    <w:rsid w:val="009A2796"/>
    <w:rsid w:val="009A42D7"/>
    <w:rsid w:val="009A5734"/>
    <w:rsid w:val="009A5BCE"/>
    <w:rsid w:val="009A63D9"/>
    <w:rsid w:val="009A6ED4"/>
    <w:rsid w:val="009A74B1"/>
    <w:rsid w:val="009B21AF"/>
    <w:rsid w:val="009B29DD"/>
    <w:rsid w:val="009B2F92"/>
    <w:rsid w:val="009B3274"/>
    <w:rsid w:val="009B3F4A"/>
    <w:rsid w:val="009B47E6"/>
    <w:rsid w:val="009B48AA"/>
    <w:rsid w:val="009B6652"/>
    <w:rsid w:val="009B7604"/>
    <w:rsid w:val="009B7CAC"/>
    <w:rsid w:val="009C02AF"/>
    <w:rsid w:val="009C126E"/>
    <w:rsid w:val="009C3686"/>
    <w:rsid w:val="009C37BC"/>
    <w:rsid w:val="009C40BC"/>
    <w:rsid w:val="009C4304"/>
    <w:rsid w:val="009C4323"/>
    <w:rsid w:val="009C50AB"/>
    <w:rsid w:val="009C6FAC"/>
    <w:rsid w:val="009C78D2"/>
    <w:rsid w:val="009D0409"/>
    <w:rsid w:val="009D1182"/>
    <w:rsid w:val="009D12CE"/>
    <w:rsid w:val="009D6213"/>
    <w:rsid w:val="009D6D9F"/>
    <w:rsid w:val="009E0E2E"/>
    <w:rsid w:val="009E108B"/>
    <w:rsid w:val="009E2380"/>
    <w:rsid w:val="009E293D"/>
    <w:rsid w:val="009E375A"/>
    <w:rsid w:val="009E4CCB"/>
    <w:rsid w:val="009E4E1C"/>
    <w:rsid w:val="009E6586"/>
    <w:rsid w:val="009E6849"/>
    <w:rsid w:val="009E684B"/>
    <w:rsid w:val="009E6B13"/>
    <w:rsid w:val="009E7002"/>
    <w:rsid w:val="009F14C5"/>
    <w:rsid w:val="009F2EC0"/>
    <w:rsid w:val="009F3365"/>
    <w:rsid w:val="009F4049"/>
    <w:rsid w:val="009F4DA5"/>
    <w:rsid w:val="009F5E90"/>
    <w:rsid w:val="009F6F98"/>
    <w:rsid w:val="009F75D5"/>
    <w:rsid w:val="009F766E"/>
    <w:rsid w:val="00A00B69"/>
    <w:rsid w:val="00A00D0C"/>
    <w:rsid w:val="00A01317"/>
    <w:rsid w:val="00A016F1"/>
    <w:rsid w:val="00A018A3"/>
    <w:rsid w:val="00A023C9"/>
    <w:rsid w:val="00A03741"/>
    <w:rsid w:val="00A05090"/>
    <w:rsid w:val="00A05A87"/>
    <w:rsid w:val="00A069F1"/>
    <w:rsid w:val="00A10657"/>
    <w:rsid w:val="00A1065C"/>
    <w:rsid w:val="00A113B8"/>
    <w:rsid w:val="00A12C35"/>
    <w:rsid w:val="00A134D3"/>
    <w:rsid w:val="00A13587"/>
    <w:rsid w:val="00A1380D"/>
    <w:rsid w:val="00A139D2"/>
    <w:rsid w:val="00A14074"/>
    <w:rsid w:val="00A14D3B"/>
    <w:rsid w:val="00A14FE1"/>
    <w:rsid w:val="00A165D7"/>
    <w:rsid w:val="00A1681A"/>
    <w:rsid w:val="00A20ECA"/>
    <w:rsid w:val="00A216C4"/>
    <w:rsid w:val="00A2333E"/>
    <w:rsid w:val="00A24FDB"/>
    <w:rsid w:val="00A31372"/>
    <w:rsid w:val="00A32B9E"/>
    <w:rsid w:val="00A32F97"/>
    <w:rsid w:val="00A331CC"/>
    <w:rsid w:val="00A340DC"/>
    <w:rsid w:val="00A353DE"/>
    <w:rsid w:val="00A35945"/>
    <w:rsid w:val="00A3622D"/>
    <w:rsid w:val="00A4001D"/>
    <w:rsid w:val="00A406A8"/>
    <w:rsid w:val="00A41C71"/>
    <w:rsid w:val="00A439BB"/>
    <w:rsid w:val="00A46788"/>
    <w:rsid w:val="00A47393"/>
    <w:rsid w:val="00A4784B"/>
    <w:rsid w:val="00A47C68"/>
    <w:rsid w:val="00A47F62"/>
    <w:rsid w:val="00A50D76"/>
    <w:rsid w:val="00A5200A"/>
    <w:rsid w:val="00A531C0"/>
    <w:rsid w:val="00A552D2"/>
    <w:rsid w:val="00A568E4"/>
    <w:rsid w:val="00A56EDB"/>
    <w:rsid w:val="00A571B8"/>
    <w:rsid w:val="00A603EA"/>
    <w:rsid w:val="00A60E2E"/>
    <w:rsid w:val="00A61447"/>
    <w:rsid w:val="00A61F87"/>
    <w:rsid w:val="00A62C4B"/>
    <w:rsid w:val="00A64CBB"/>
    <w:rsid w:val="00A64F42"/>
    <w:rsid w:val="00A66074"/>
    <w:rsid w:val="00A66383"/>
    <w:rsid w:val="00A701C7"/>
    <w:rsid w:val="00A71775"/>
    <w:rsid w:val="00A71A0E"/>
    <w:rsid w:val="00A722C3"/>
    <w:rsid w:val="00A7319B"/>
    <w:rsid w:val="00A7360C"/>
    <w:rsid w:val="00A74388"/>
    <w:rsid w:val="00A7472E"/>
    <w:rsid w:val="00A76AF5"/>
    <w:rsid w:val="00A81248"/>
    <w:rsid w:val="00A82246"/>
    <w:rsid w:val="00A833D2"/>
    <w:rsid w:val="00A837FE"/>
    <w:rsid w:val="00A842C7"/>
    <w:rsid w:val="00A845AC"/>
    <w:rsid w:val="00A86366"/>
    <w:rsid w:val="00A871D7"/>
    <w:rsid w:val="00A92647"/>
    <w:rsid w:val="00A96C17"/>
    <w:rsid w:val="00A970C6"/>
    <w:rsid w:val="00A973A9"/>
    <w:rsid w:val="00A976E0"/>
    <w:rsid w:val="00A978DA"/>
    <w:rsid w:val="00AA18CC"/>
    <w:rsid w:val="00AA25A4"/>
    <w:rsid w:val="00AA3339"/>
    <w:rsid w:val="00AA3710"/>
    <w:rsid w:val="00AA66E7"/>
    <w:rsid w:val="00AA7231"/>
    <w:rsid w:val="00AA7D23"/>
    <w:rsid w:val="00AC19C1"/>
    <w:rsid w:val="00AC20FE"/>
    <w:rsid w:val="00AC43CF"/>
    <w:rsid w:val="00AC5601"/>
    <w:rsid w:val="00AC5655"/>
    <w:rsid w:val="00AC5D23"/>
    <w:rsid w:val="00AC6360"/>
    <w:rsid w:val="00AC643F"/>
    <w:rsid w:val="00AD0674"/>
    <w:rsid w:val="00AD0DAD"/>
    <w:rsid w:val="00AD0E93"/>
    <w:rsid w:val="00AD12FB"/>
    <w:rsid w:val="00AD18A4"/>
    <w:rsid w:val="00AD2B4E"/>
    <w:rsid w:val="00AD4102"/>
    <w:rsid w:val="00AD425C"/>
    <w:rsid w:val="00AD563E"/>
    <w:rsid w:val="00AE0919"/>
    <w:rsid w:val="00AE0932"/>
    <w:rsid w:val="00AE1004"/>
    <w:rsid w:val="00AE2764"/>
    <w:rsid w:val="00AE2B71"/>
    <w:rsid w:val="00AE44E9"/>
    <w:rsid w:val="00AE489E"/>
    <w:rsid w:val="00AE7778"/>
    <w:rsid w:val="00AE7B9A"/>
    <w:rsid w:val="00AE7CF9"/>
    <w:rsid w:val="00AE7D62"/>
    <w:rsid w:val="00AF11BA"/>
    <w:rsid w:val="00AF26C4"/>
    <w:rsid w:val="00AF3B78"/>
    <w:rsid w:val="00AF5173"/>
    <w:rsid w:val="00AF6364"/>
    <w:rsid w:val="00AF6399"/>
    <w:rsid w:val="00AF7E0A"/>
    <w:rsid w:val="00B00250"/>
    <w:rsid w:val="00B00C9D"/>
    <w:rsid w:val="00B00D0B"/>
    <w:rsid w:val="00B01303"/>
    <w:rsid w:val="00B034D0"/>
    <w:rsid w:val="00B0470C"/>
    <w:rsid w:val="00B051FB"/>
    <w:rsid w:val="00B058B2"/>
    <w:rsid w:val="00B068EE"/>
    <w:rsid w:val="00B07CF7"/>
    <w:rsid w:val="00B10F39"/>
    <w:rsid w:val="00B11D1F"/>
    <w:rsid w:val="00B11F42"/>
    <w:rsid w:val="00B1309F"/>
    <w:rsid w:val="00B1336A"/>
    <w:rsid w:val="00B13435"/>
    <w:rsid w:val="00B17030"/>
    <w:rsid w:val="00B200CB"/>
    <w:rsid w:val="00B2051F"/>
    <w:rsid w:val="00B21F9C"/>
    <w:rsid w:val="00B22A38"/>
    <w:rsid w:val="00B23218"/>
    <w:rsid w:val="00B234B0"/>
    <w:rsid w:val="00B23D45"/>
    <w:rsid w:val="00B25392"/>
    <w:rsid w:val="00B257B4"/>
    <w:rsid w:val="00B262AB"/>
    <w:rsid w:val="00B30E57"/>
    <w:rsid w:val="00B31641"/>
    <w:rsid w:val="00B317FA"/>
    <w:rsid w:val="00B32AD6"/>
    <w:rsid w:val="00B32BA3"/>
    <w:rsid w:val="00B333D0"/>
    <w:rsid w:val="00B34999"/>
    <w:rsid w:val="00B367CB"/>
    <w:rsid w:val="00B36B05"/>
    <w:rsid w:val="00B41E8B"/>
    <w:rsid w:val="00B42326"/>
    <w:rsid w:val="00B425B4"/>
    <w:rsid w:val="00B4305D"/>
    <w:rsid w:val="00B441C8"/>
    <w:rsid w:val="00B44D32"/>
    <w:rsid w:val="00B4543D"/>
    <w:rsid w:val="00B460F5"/>
    <w:rsid w:val="00B4750E"/>
    <w:rsid w:val="00B47CE8"/>
    <w:rsid w:val="00B513D6"/>
    <w:rsid w:val="00B55805"/>
    <w:rsid w:val="00B55B4C"/>
    <w:rsid w:val="00B56402"/>
    <w:rsid w:val="00B56437"/>
    <w:rsid w:val="00B56505"/>
    <w:rsid w:val="00B57C51"/>
    <w:rsid w:val="00B61330"/>
    <w:rsid w:val="00B61D92"/>
    <w:rsid w:val="00B6220D"/>
    <w:rsid w:val="00B625A9"/>
    <w:rsid w:val="00B627ED"/>
    <w:rsid w:val="00B640B4"/>
    <w:rsid w:val="00B658D1"/>
    <w:rsid w:val="00B70155"/>
    <w:rsid w:val="00B74261"/>
    <w:rsid w:val="00B756CD"/>
    <w:rsid w:val="00B76C74"/>
    <w:rsid w:val="00B80661"/>
    <w:rsid w:val="00B80F9A"/>
    <w:rsid w:val="00B810FC"/>
    <w:rsid w:val="00B8258E"/>
    <w:rsid w:val="00B843B9"/>
    <w:rsid w:val="00B87A34"/>
    <w:rsid w:val="00B9197B"/>
    <w:rsid w:val="00B919CF"/>
    <w:rsid w:val="00B932F2"/>
    <w:rsid w:val="00B93AB1"/>
    <w:rsid w:val="00B9455D"/>
    <w:rsid w:val="00B94E67"/>
    <w:rsid w:val="00B95A2C"/>
    <w:rsid w:val="00B95FA2"/>
    <w:rsid w:val="00B961EA"/>
    <w:rsid w:val="00B97A03"/>
    <w:rsid w:val="00BA1081"/>
    <w:rsid w:val="00BA17C9"/>
    <w:rsid w:val="00BA1AE6"/>
    <w:rsid w:val="00BA396D"/>
    <w:rsid w:val="00BA3D8B"/>
    <w:rsid w:val="00BA407A"/>
    <w:rsid w:val="00BA448E"/>
    <w:rsid w:val="00BA57CA"/>
    <w:rsid w:val="00BA6562"/>
    <w:rsid w:val="00BA73DA"/>
    <w:rsid w:val="00BB1050"/>
    <w:rsid w:val="00BB15BC"/>
    <w:rsid w:val="00BB29F5"/>
    <w:rsid w:val="00BB3CA7"/>
    <w:rsid w:val="00BB5287"/>
    <w:rsid w:val="00BB529D"/>
    <w:rsid w:val="00BB62AA"/>
    <w:rsid w:val="00BB762A"/>
    <w:rsid w:val="00BB765F"/>
    <w:rsid w:val="00BB7C8A"/>
    <w:rsid w:val="00BC07FB"/>
    <w:rsid w:val="00BC10C6"/>
    <w:rsid w:val="00BC2CDA"/>
    <w:rsid w:val="00BC4DB1"/>
    <w:rsid w:val="00BC6296"/>
    <w:rsid w:val="00BD0997"/>
    <w:rsid w:val="00BD0A44"/>
    <w:rsid w:val="00BD0DF5"/>
    <w:rsid w:val="00BD189F"/>
    <w:rsid w:val="00BD2719"/>
    <w:rsid w:val="00BD3438"/>
    <w:rsid w:val="00BD43E8"/>
    <w:rsid w:val="00BD4AB4"/>
    <w:rsid w:val="00BD4F0C"/>
    <w:rsid w:val="00BD6BEA"/>
    <w:rsid w:val="00BD6D9F"/>
    <w:rsid w:val="00BE0090"/>
    <w:rsid w:val="00BE2DEF"/>
    <w:rsid w:val="00BE50E7"/>
    <w:rsid w:val="00BE5414"/>
    <w:rsid w:val="00BE5AAC"/>
    <w:rsid w:val="00BE64DE"/>
    <w:rsid w:val="00BE6B3A"/>
    <w:rsid w:val="00BF0107"/>
    <w:rsid w:val="00BF01BD"/>
    <w:rsid w:val="00BF05AE"/>
    <w:rsid w:val="00BF2BA3"/>
    <w:rsid w:val="00BF3CF2"/>
    <w:rsid w:val="00BF3D25"/>
    <w:rsid w:val="00BF5B0F"/>
    <w:rsid w:val="00BF5D17"/>
    <w:rsid w:val="00BF7ADF"/>
    <w:rsid w:val="00C003C6"/>
    <w:rsid w:val="00C0093F"/>
    <w:rsid w:val="00C0455E"/>
    <w:rsid w:val="00C0651B"/>
    <w:rsid w:val="00C065CF"/>
    <w:rsid w:val="00C079FB"/>
    <w:rsid w:val="00C1410F"/>
    <w:rsid w:val="00C14F84"/>
    <w:rsid w:val="00C15ACF"/>
    <w:rsid w:val="00C21DD9"/>
    <w:rsid w:val="00C221FE"/>
    <w:rsid w:val="00C22819"/>
    <w:rsid w:val="00C22E44"/>
    <w:rsid w:val="00C23CDB"/>
    <w:rsid w:val="00C24047"/>
    <w:rsid w:val="00C24922"/>
    <w:rsid w:val="00C24AF0"/>
    <w:rsid w:val="00C267EC"/>
    <w:rsid w:val="00C26CFA"/>
    <w:rsid w:val="00C3141F"/>
    <w:rsid w:val="00C326EF"/>
    <w:rsid w:val="00C32787"/>
    <w:rsid w:val="00C32882"/>
    <w:rsid w:val="00C34632"/>
    <w:rsid w:val="00C348AD"/>
    <w:rsid w:val="00C357DF"/>
    <w:rsid w:val="00C36D61"/>
    <w:rsid w:val="00C405FB"/>
    <w:rsid w:val="00C436E9"/>
    <w:rsid w:val="00C437DF"/>
    <w:rsid w:val="00C445EF"/>
    <w:rsid w:val="00C44774"/>
    <w:rsid w:val="00C47A08"/>
    <w:rsid w:val="00C47D88"/>
    <w:rsid w:val="00C50BBC"/>
    <w:rsid w:val="00C50C6E"/>
    <w:rsid w:val="00C5298A"/>
    <w:rsid w:val="00C54AE3"/>
    <w:rsid w:val="00C553D2"/>
    <w:rsid w:val="00C559CE"/>
    <w:rsid w:val="00C5788D"/>
    <w:rsid w:val="00C60D46"/>
    <w:rsid w:val="00C6147B"/>
    <w:rsid w:val="00C63699"/>
    <w:rsid w:val="00C64856"/>
    <w:rsid w:val="00C65497"/>
    <w:rsid w:val="00C65573"/>
    <w:rsid w:val="00C65C3F"/>
    <w:rsid w:val="00C677CF"/>
    <w:rsid w:val="00C701C1"/>
    <w:rsid w:val="00C7184B"/>
    <w:rsid w:val="00C726BC"/>
    <w:rsid w:val="00C72E59"/>
    <w:rsid w:val="00C72F2E"/>
    <w:rsid w:val="00C730FA"/>
    <w:rsid w:val="00C73EAD"/>
    <w:rsid w:val="00C74095"/>
    <w:rsid w:val="00C745E6"/>
    <w:rsid w:val="00C74F65"/>
    <w:rsid w:val="00C7672E"/>
    <w:rsid w:val="00C771DF"/>
    <w:rsid w:val="00C77480"/>
    <w:rsid w:val="00C80C01"/>
    <w:rsid w:val="00C81545"/>
    <w:rsid w:val="00C8252D"/>
    <w:rsid w:val="00C8354A"/>
    <w:rsid w:val="00C85BC3"/>
    <w:rsid w:val="00C85C10"/>
    <w:rsid w:val="00C8786E"/>
    <w:rsid w:val="00C87F21"/>
    <w:rsid w:val="00C90652"/>
    <w:rsid w:val="00C9095D"/>
    <w:rsid w:val="00C90A8E"/>
    <w:rsid w:val="00C924EF"/>
    <w:rsid w:val="00C93581"/>
    <w:rsid w:val="00C943D1"/>
    <w:rsid w:val="00C9535A"/>
    <w:rsid w:val="00C95580"/>
    <w:rsid w:val="00C95D24"/>
    <w:rsid w:val="00C95F9F"/>
    <w:rsid w:val="00C9622B"/>
    <w:rsid w:val="00C9697C"/>
    <w:rsid w:val="00C96B59"/>
    <w:rsid w:val="00CA04C6"/>
    <w:rsid w:val="00CA3B81"/>
    <w:rsid w:val="00CA4758"/>
    <w:rsid w:val="00CA5477"/>
    <w:rsid w:val="00CA57E2"/>
    <w:rsid w:val="00CA6281"/>
    <w:rsid w:val="00CA6542"/>
    <w:rsid w:val="00CB2626"/>
    <w:rsid w:val="00CB2A6F"/>
    <w:rsid w:val="00CB4B4F"/>
    <w:rsid w:val="00CB4BDE"/>
    <w:rsid w:val="00CB633A"/>
    <w:rsid w:val="00CB6ACD"/>
    <w:rsid w:val="00CC1FEE"/>
    <w:rsid w:val="00CC2D1A"/>
    <w:rsid w:val="00CC2F23"/>
    <w:rsid w:val="00CC3199"/>
    <w:rsid w:val="00CC3280"/>
    <w:rsid w:val="00CC5D28"/>
    <w:rsid w:val="00CC6085"/>
    <w:rsid w:val="00CC7234"/>
    <w:rsid w:val="00CD0946"/>
    <w:rsid w:val="00CD3D72"/>
    <w:rsid w:val="00CD45CA"/>
    <w:rsid w:val="00CD5A95"/>
    <w:rsid w:val="00CD5AAD"/>
    <w:rsid w:val="00CD78F3"/>
    <w:rsid w:val="00CE0A32"/>
    <w:rsid w:val="00CE5657"/>
    <w:rsid w:val="00CE60DF"/>
    <w:rsid w:val="00CE74D1"/>
    <w:rsid w:val="00CE74FE"/>
    <w:rsid w:val="00CF0195"/>
    <w:rsid w:val="00CF2615"/>
    <w:rsid w:val="00CF28A6"/>
    <w:rsid w:val="00CF2A24"/>
    <w:rsid w:val="00CF377E"/>
    <w:rsid w:val="00CF384D"/>
    <w:rsid w:val="00CF508D"/>
    <w:rsid w:val="00CF52C2"/>
    <w:rsid w:val="00CF5A95"/>
    <w:rsid w:val="00CF6CDB"/>
    <w:rsid w:val="00D00659"/>
    <w:rsid w:val="00D00683"/>
    <w:rsid w:val="00D00783"/>
    <w:rsid w:val="00D012A7"/>
    <w:rsid w:val="00D01F85"/>
    <w:rsid w:val="00D02125"/>
    <w:rsid w:val="00D0240B"/>
    <w:rsid w:val="00D02759"/>
    <w:rsid w:val="00D046FF"/>
    <w:rsid w:val="00D049E1"/>
    <w:rsid w:val="00D04F52"/>
    <w:rsid w:val="00D05518"/>
    <w:rsid w:val="00D06270"/>
    <w:rsid w:val="00D07335"/>
    <w:rsid w:val="00D07EFD"/>
    <w:rsid w:val="00D10CF6"/>
    <w:rsid w:val="00D14780"/>
    <w:rsid w:val="00D14786"/>
    <w:rsid w:val="00D16DF2"/>
    <w:rsid w:val="00D17A7B"/>
    <w:rsid w:val="00D17CD6"/>
    <w:rsid w:val="00D20AC8"/>
    <w:rsid w:val="00D21DA9"/>
    <w:rsid w:val="00D22673"/>
    <w:rsid w:val="00D237BA"/>
    <w:rsid w:val="00D239E0"/>
    <w:rsid w:val="00D23A55"/>
    <w:rsid w:val="00D249FA"/>
    <w:rsid w:val="00D25936"/>
    <w:rsid w:val="00D25A94"/>
    <w:rsid w:val="00D26599"/>
    <w:rsid w:val="00D275A0"/>
    <w:rsid w:val="00D278E3"/>
    <w:rsid w:val="00D30E1F"/>
    <w:rsid w:val="00D30F87"/>
    <w:rsid w:val="00D33623"/>
    <w:rsid w:val="00D3454D"/>
    <w:rsid w:val="00D35C33"/>
    <w:rsid w:val="00D35D8D"/>
    <w:rsid w:val="00D36A37"/>
    <w:rsid w:val="00D36AFD"/>
    <w:rsid w:val="00D406E4"/>
    <w:rsid w:val="00D41559"/>
    <w:rsid w:val="00D41985"/>
    <w:rsid w:val="00D422E7"/>
    <w:rsid w:val="00D42440"/>
    <w:rsid w:val="00D42613"/>
    <w:rsid w:val="00D42727"/>
    <w:rsid w:val="00D43C7E"/>
    <w:rsid w:val="00D44C17"/>
    <w:rsid w:val="00D4555C"/>
    <w:rsid w:val="00D46658"/>
    <w:rsid w:val="00D472D4"/>
    <w:rsid w:val="00D53203"/>
    <w:rsid w:val="00D53670"/>
    <w:rsid w:val="00D53C93"/>
    <w:rsid w:val="00D54133"/>
    <w:rsid w:val="00D54201"/>
    <w:rsid w:val="00D54EFC"/>
    <w:rsid w:val="00D54F05"/>
    <w:rsid w:val="00D55C6A"/>
    <w:rsid w:val="00D56451"/>
    <w:rsid w:val="00D56A31"/>
    <w:rsid w:val="00D56AC7"/>
    <w:rsid w:val="00D56B68"/>
    <w:rsid w:val="00D5739B"/>
    <w:rsid w:val="00D57A4B"/>
    <w:rsid w:val="00D60554"/>
    <w:rsid w:val="00D6201E"/>
    <w:rsid w:val="00D62C1D"/>
    <w:rsid w:val="00D62C8D"/>
    <w:rsid w:val="00D6492A"/>
    <w:rsid w:val="00D650FE"/>
    <w:rsid w:val="00D65405"/>
    <w:rsid w:val="00D66E03"/>
    <w:rsid w:val="00D709E8"/>
    <w:rsid w:val="00D7114A"/>
    <w:rsid w:val="00D7159A"/>
    <w:rsid w:val="00D71BEE"/>
    <w:rsid w:val="00D72CB7"/>
    <w:rsid w:val="00D74F86"/>
    <w:rsid w:val="00D80671"/>
    <w:rsid w:val="00D81244"/>
    <w:rsid w:val="00D83DC3"/>
    <w:rsid w:val="00D8499B"/>
    <w:rsid w:val="00D85467"/>
    <w:rsid w:val="00D86DBC"/>
    <w:rsid w:val="00D86DD9"/>
    <w:rsid w:val="00D87606"/>
    <w:rsid w:val="00D91B8C"/>
    <w:rsid w:val="00D933B9"/>
    <w:rsid w:val="00D93BA4"/>
    <w:rsid w:val="00D9489C"/>
    <w:rsid w:val="00D94A7C"/>
    <w:rsid w:val="00D97857"/>
    <w:rsid w:val="00DA1316"/>
    <w:rsid w:val="00DA1D16"/>
    <w:rsid w:val="00DA4041"/>
    <w:rsid w:val="00DA51FC"/>
    <w:rsid w:val="00DA60B6"/>
    <w:rsid w:val="00DA6293"/>
    <w:rsid w:val="00DA6A75"/>
    <w:rsid w:val="00DA6F98"/>
    <w:rsid w:val="00DA7CFE"/>
    <w:rsid w:val="00DB25CB"/>
    <w:rsid w:val="00DB7BBB"/>
    <w:rsid w:val="00DB7E74"/>
    <w:rsid w:val="00DC2017"/>
    <w:rsid w:val="00DC3A35"/>
    <w:rsid w:val="00DC458B"/>
    <w:rsid w:val="00DC62EF"/>
    <w:rsid w:val="00DC6BCF"/>
    <w:rsid w:val="00DC71B9"/>
    <w:rsid w:val="00DD263C"/>
    <w:rsid w:val="00DD2E89"/>
    <w:rsid w:val="00DD4949"/>
    <w:rsid w:val="00DD7E01"/>
    <w:rsid w:val="00DE0651"/>
    <w:rsid w:val="00DE2C0E"/>
    <w:rsid w:val="00DE337B"/>
    <w:rsid w:val="00DE3D54"/>
    <w:rsid w:val="00DE5951"/>
    <w:rsid w:val="00DE61C3"/>
    <w:rsid w:val="00DE646E"/>
    <w:rsid w:val="00DE65D7"/>
    <w:rsid w:val="00DE7655"/>
    <w:rsid w:val="00DF0B67"/>
    <w:rsid w:val="00DF334A"/>
    <w:rsid w:val="00DF5C87"/>
    <w:rsid w:val="00E0070B"/>
    <w:rsid w:val="00E019A4"/>
    <w:rsid w:val="00E01D08"/>
    <w:rsid w:val="00E0210E"/>
    <w:rsid w:val="00E0368E"/>
    <w:rsid w:val="00E04C1D"/>
    <w:rsid w:val="00E06472"/>
    <w:rsid w:val="00E11219"/>
    <w:rsid w:val="00E1161C"/>
    <w:rsid w:val="00E1167A"/>
    <w:rsid w:val="00E124BF"/>
    <w:rsid w:val="00E156FA"/>
    <w:rsid w:val="00E163A2"/>
    <w:rsid w:val="00E1761D"/>
    <w:rsid w:val="00E221B5"/>
    <w:rsid w:val="00E22973"/>
    <w:rsid w:val="00E24326"/>
    <w:rsid w:val="00E24453"/>
    <w:rsid w:val="00E263E3"/>
    <w:rsid w:val="00E310A2"/>
    <w:rsid w:val="00E315F0"/>
    <w:rsid w:val="00E32213"/>
    <w:rsid w:val="00E34812"/>
    <w:rsid w:val="00E34A79"/>
    <w:rsid w:val="00E34B86"/>
    <w:rsid w:val="00E3592F"/>
    <w:rsid w:val="00E36064"/>
    <w:rsid w:val="00E36ED6"/>
    <w:rsid w:val="00E402E2"/>
    <w:rsid w:val="00E4167F"/>
    <w:rsid w:val="00E43304"/>
    <w:rsid w:val="00E438F2"/>
    <w:rsid w:val="00E43E4C"/>
    <w:rsid w:val="00E44E19"/>
    <w:rsid w:val="00E455C6"/>
    <w:rsid w:val="00E463A3"/>
    <w:rsid w:val="00E47DCD"/>
    <w:rsid w:val="00E50B63"/>
    <w:rsid w:val="00E510AB"/>
    <w:rsid w:val="00E51405"/>
    <w:rsid w:val="00E51C19"/>
    <w:rsid w:val="00E52073"/>
    <w:rsid w:val="00E54007"/>
    <w:rsid w:val="00E5484D"/>
    <w:rsid w:val="00E553DB"/>
    <w:rsid w:val="00E55675"/>
    <w:rsid w:val="00E571EE"/>
    <w:rsid w:val="00E5739C"/>
    <w:rsid w:val="00E57686"/>
    <w:rsid w:val="00E61FCF"/>
    <w:rsid w:val="00E624B5"/>
    <w:rsid w:val="00E64386"/>
    <w:rsid w:val="00E67295"/>
    <w:rsid w:val="00E71B13"/>
    <w:rsid w:val="00E71F44"/>
    <w:rsid w:val="00E74717"/>
    <w:rsid w:val="00E750C9"/>
    <w:rsid w:val="00E755C7"/>
    <w:rsid w:val="00E77326"/>
    <w:rsid w:val="00E8085E"/>
    <w:rsid w:val="00E808C1"/>
    <w:rsid w:val="00E809D6"/>
    <w:rsid w:val="00E82B0E"/>
    <w:rsid w:val="00E83211"/>
    <w:rsid w:val="00E846F5"/>
    <w:rsid w:val="00E8534D"/>
    <w:rsid w:val="00E917A4"/>
    <w:rsid w:val="00E926B7"/>
    <w:rsid w:val="00E929B2"/>
    <w:rsid w:val="00E94B8A"/>
    <w:rsid w:val="00E94D16"/>
    <w:rsid w:val="00E9553E"/>
    <w:rsid w:val="00E95C97"/>
    <w:rsid w:val="00EA02D2"/>
    <w:rsid w:val="00EA2077"/>
    <w:rsid w:val="00EA22B2"/>
    <w:rsid w:val="00EA2AC8"/>
    <w:rsid w:val="00EA60BC"/>
    <w:rsid w:val="00EA696F"/>
    <w:rsid w:val="00EA7B65"/>
    <w:rsid w:val="00EB1584"/>
    <w:rsid w:val="00EB1A38"/>
    <w:rsid w:val="00EB1CC5"/>
    <w:rsid w:val="00EB21E6"/>
    <w:rsid w:val="00EB40C2"/>
    <w:rsid w:val="00EB41FA"/>
    <w:rsid w:val="00EB50ED"/>
    <w:rsid w:val="00EB592F"/>
    <w:rsid w:val="00EB5F43"/>
    <w:rsid w:val="00EB6CF2"/>
    <w:rsid w:val="00EB7049"/>
    <w:rsid w:val="00EB7198"/>
    <w:rsid w:val="00EC15F7"/>
    <w:rsid w:val="00EC1D9D"/>
    <w:rsid w:val="00EC2EC9"/>
    <w:rsid w:val="00EC4B1D"/>
    <w:rsid w:val="00EC4EED"/>
    <w:rsid w:val="00EC5634"/>
    <w:rsid w:val="00EC6858"/>
    <w:rsid w:val="00EC7CCF"/>
    <w:rsid w:val="00ED233B"/>
    <w:rsid w:val="00ED2BED"/>
    <w:rsid w:val="00ED43C9"/>
    <w:rsid w:val="00ED6848"/>
    <w:rsid w:val="00ED68EC"/>
    <w:rsid w:val="00ED6E10"/>
    <w:rsid w:val="00ED7AFF"/>
    <w:rsid w:val="00EE0EC6"/>
    <w:rsid w:val="00EE1A2A"/>
    <w:rsid w:val="00EE23C5"/>
    <w:rsid w:val="00EE449B"/>
    <w:rsid w:val="00EE4B05"/>
    <w:rsid w:val="00EE64E9"/>
    <w:rsid w:val="00EE74F4"/>
    <w:rsid w:val="00EF6F2F"/>
    <w:rsid w:val="00EF7673"/>
    <w:rsid w:val="00EF7AEC"/>
    <w:rsid w:val="00F005B4"/>
    <w:rsid w:val="00F00A7B"/>
    <w:rsid w:val="00F00BB9"/>
    <w:rsid w:val="00F00DEB"/>
    <w:rsid w:val="00F00FAC"/>
    <w:rsid w:val="00F00FAD"/>
    <w:rsid w:val="00F01381"/>
    <w:rsid w:val="00F06738"/>
    <w:rsid w:val="00F11871"/>
    <w:rsid w:val="00F11E08"/>
    <w:rsid w:val="00F12F8B"/>
    <w:rsid w:val="00F1315F"/>
    <w:rsid w:val="00F13B1A"/>
    <w:rsid w:val="00F15495"/>
    <w:rsid w:val="00F16120"/>
    <w:rsid w:val="00F163FB"/>
    <w:rsid w:val="00F16E4C"/>
    <w:rsid w:val="00F1780E"/>
    <w:rsid w:val="00F20356"/>
    <w:rsid w:val="00F211A8"/>
    <w:rsid w:val="00F21F3C"/>
    <w:rsid w:val="00F224F4"/>
    <w:rsid w:val="00F23117"/>
    <w:rsid w:val="00F2455C"/>
    <w:rsid w:val="00F24A97"/>
    <w:rsid w:val="00F2510E"/>
    <w:rsid w:val="00F309BA"/>
    <w:rsid w:val="00F32D05"/>
    <w:rsid w:val="00F33D6E"/>
    <w:rsid w:val="00F33DF5"/>
    <w:rsid w:val="00F36871"/>
    <w:rsid w:val="00F36885"/>
    <w:rsid w:val="00F42278"/>
    <w:rsid w:val="00F4282F"/>
    <w:rsid w:val="00F42891"/>
    <w:rsid w:val="00F42ADA"/>
    <w:rsid w:val="00F42D46"/>
    <w:rsid w:val="00F43649"/>
    <w:rsid w:val="00F43C50"/>
    <w:rsid w:val="00F43E7A"/>
    <w:rsid w:val="00F4480F"/>
    <w:rsid w:val="00F462B2"/>
    <w:rsid w:val="00F47C6F"/>
    <w:rsid w:val="00F52134"/>
    <w:rsid w:val="00F54226"/>
    <w:rsid w:val="00F5596E"/>
    <w:rsid w:val="00F561DB"/>
    <w:rsid w:val="00F567E8"/>
    <w:rsid w:val="00F572E9"/>
    <w:rsid w:val="00F60D6A"/>
    <w:rsid w:val="00F61917"/>
    <w:rsid w:val="00F63B0B"/>
    <w:rsid w:val="00F63E47"/>
    <w:rsid w:val="00F63E6E"/>
    <w:rsid w:val="00F657AA"/>
    <w:rsid w:val="00F65A89"/>
    <w:rsid w:val="00F66DEA"/>
    <w:rsid w:val="00F70621"/>
    <w:rsid w:val="00F70B73"/>
    <w:rsid w:val="00F70B74"/>
    <w:rsid w:val="00F711BE"/>
    <w:rsid w:val="00F74EBC"/>
    <w:rsid w:val="00F75B67"/>
    <w:rsid w:val="00F76912"/>
    <w:rsid w:val="00F7725E"/>
    <w:rsid w:val="00F775E1"/>
    <w:rsid w:val="00F8149C"/>
    <w:rsid w:val="00F81651"/>
    <w:rsid w:val="00F8189D"/>
    <w:rsid w:val="00F819CA"/>
    <w:rsid w:val="00F83233"/>
    <w:rsid w:val="00F8589A"/>
    <w:rsid w:val="00F85956"/>
    <w:rsid w:val="00F86A48"/>
    <w:rsid w:val="00F86B9F"/>
    <w:rsid w:val="00F901A9"/>
    <w:rsid w:val="00F901C0"/>
    <w:rsid w:val="00F90C3B"/>
    <w:rsid w:val="00F92796"/>
    <w:rsid w:val="00F929EB"/>
    <w:rsid w:val="00F9377F"/>
    <w:rsid w:val="00F94801"/>
    <w:rsid w:val="00F9505B"/>
    <w:rsid w:val="00F96367"/>
    <w:rsid w:val="00F96D3C"/>
    <w:rsid w:val="00F97286"/>
    <w:rsid w:val="00F9752D"/>
    <w:rsid w:val="00FA48C6"/>
    <w:rsid w:val="00FA79B3"/>
    <w:rsid w:val="00FB0AA1"/>
    <w:rsid w:val="00FB1741"/>
    <w:rsid w:val="00FB213B"/>
    <w:rsid w:val="00FB389A"/>
    <w:rsid w:val="00FB42AD"/>
    <w:rsid w:val="00FB4424"/>
    <w:rsid w:val="00FB624E"/>
    <w:rsid w:val="00FB67C1"/>
    <w:rsid w:val="00FB7A17"/>
    <w:rsid w:val="00FC064E"/>
    <w:rsid w:val="00FC1C03"/>
    <w:rsid w:val="00FC1CD8"/>
    <w:rsid w:val="00FC1EAF"/>
    <w:rsid w:val="00FC2516"/>
    <w:rsid w:val="00FC28F9"/>
    <w:rsid w:val="00FC3C5B"/>
    <w:rsid w:val="00FC6965"/>
    <w:rsid w:val="00FD1ED0"/>
    <w:rsid w:val="00FD327F"/>
    <w:rsid w:val="00FD734E"/>
    <w:rsid w:val="00FE022E"/>
    <w:rsid w:val="00FE047B"/>
    <w:rsid w:val="00FE06C1"/>
    <w:rsid w:val="00FE217C"/>
    <w:rsid w:val="00FE7E86"/>
    <w:rsid w:val="00FF135C"/>
    <w:rsid w:val="00FF1FEE"/>
    <w:rsid w:val="00FF2995"/>
    <w:rsid w:val="00FF38A7"/>
    <w:rsid w:val="00FF3CA9"/>
    <w:rsid w:val="00FF42BA"/>
    <w:rsid w:val="00FF539E"/>
    <w:rsid w:val="00FF5E60"/>
    <w:rsid w:val="00FF5FBA"/>
    <w:rsid w:val="00FF652D"/>
    <w:rsid w:val="00FF6C79"/>
    <w:rsid w:val="00FF7AE1"/>
    <w:rsid w:val="00FF7C81"/>
    <w:rsid w:val="06BB265F"/>
    <w:rsid w:val="07745824"/>
    <w:rsid w:val="0A17204F"/>
    <w:rsid w:val="0A7A398E"/>
    <w:rsid w:val="10A67162"/>
    <w:rsid w:val="136960C2"/>
    <w:rsid w:val="19EA4035"/>
    <w:rsid w:val="1A754F16"/>
    <w:rsid w:val="1BB74D4E"/>
    <w:rsid w:val="1C522438"/>
    <w:rsid w:val="1DB86E84"/>
    <w:rsid w:val="220A4409"/>
    <w:rsid w:val="251C2613"/>
    <w:rsid w:val="25B7450E"/>
    <w:rsid w:val="2E6C4410"/>
    <w:rsid w:val="31A828A5"/>
    <w:rsid w:val="37A95E73"/>
    <w:rsid w:val="3B510B27"/>
    <w:rsid w:val="3D016233"/>
    <w:rsid w:val="443171A7"/>
    <w:rsid w:val="47585112"/>
    <w:rsid w:val="47F82EFD"/>
    <w:rsid w:val="488D4148"/>
    <w:rsid w:val="4CD074D8"/>
    <w:rsid w:val="4F4279B2"/>
    <w:rsid w:val="57C3549A"/>
    <w:rsid w:val="586A6427"/>
    <w:rsid w:val="5FD363C3"/>
    <w:rsid w:val="61266E48"/>
    <w:rsid w:val="627807CC"/>
    <w:rsid w:val="67EF1CE4"/>
    <w:rsid w:val="68CB41D4"/>
    <w:rsid w:val="6D064C7A"/>
    <w:rsid w:val="6E52269F"/>
    <w:rsid w:val="6EB30305"/>
    <w:rsid w:val="6F393D54"/>
    <w:rsid w:val="70F723D4"/>
    <w:rsid w:val="781A2F8A"/>
    <w:rsid w:val="7AA62426"/>
    <w:rsid w:val="7D3F5E66"/>
    <w:rsid w:val="7DDA5A20"/>
    <w:rsid w:val="7FDB05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qFormat/>
    <w:uiPriority w:val="99"/>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link w:val="40"/>
    <w:qFormat/>
    <w:uiPriority w:val="9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7"/>
    <w:link w:val="41"/>
    <w:qFormat/>
    <w:uiPriority w:val="99"/>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link w:val="42"/>
    <w:qFormat/>
    <w:uiPriority w:val="99"/>
    <w:pPr>
      <w:keepLines/>
      <w:widowControl/>
      <w:spacing w:before="280" w:after="290" w:line="372" w:lineRule="auto"/>
      <w:outlineLvl w:val="3"/>
    </w:pPr>
    <w:rPr>
      <w:rFonts w:ascii="Arial" w:hAnsi="Arial" w:eastAsia="黑体"/>
      <w:b/>
      <w:color w:val="000000"/>
      <w:sz w:val="28"/>
      <w:szCs w:val="20"/>
    </w:rPr>
  </w:style>
  <w:style w:type="paragraph" w:styleId="9">
    <w:name w:val="heading 5"/>
    <w:basedOn w:val="1"/>
    <w:next w:val="1"/>
    <w:link w:val="43"/>
    <w:qFormat/>
    <w:uiPriority w:val="99"/>
    <w:pPr>
      <w:keepLines/>
      <w:widowControl/>
      <w:spacing w:before="280" w:after="290" w:line="372" w:lineRule="auto"/>
      <w:outlineLvl w:val="4"/>
    </w:pPr>
    <w:rPr>
      <w:b/>
      <w:color w:val="000000"/>
      <w:sz w:val="28"/>
      <w:szCs w:val="20"/>
    </w:rPr>
  </w:style>
  <w:style w:type="paragraph" w:styleId="10">
    <w:name w:val="heading 6"/>
    <w:basedOn w:val="1"/>
    <w:next w:val="1"/>
    <w:link w:val="44"/>
    <w:qFormat/>
    <w:uiPriority w:val="99"/>
    <w:pPr>
      <w:keepLines/>
      <w:widowControl/>
      <w:spacing w:before="240" w:after="64" w:line="312" w:lineRule="auto"/>
      <w:outlineLvl w:val="5"/>
    </w:pPr>
    <w:rPr>
      <w:rFonts w:ascii="Arial" w:hAnsi="Arial" w:eastAsia="黑体"/>
      <w:b/>
      <w:color w:val="000000"/>
      <w:sz w:val="24"/>
      <w:szCs w:val="20"/>
    </w:rPr>
  </w:style>
  <w:style w:type="paragraph" w:styleId="11">
    <w:name w:val="heading 7"/>
    <w:basedOn w:val="1"/>
    <w:next w:val="1"/>
    <w:link w:val="45"/>
    <w:qFormat/>
    <w:uiPriority w:val="99"/>
    <w:pPr>
      <w:keepLines/>
      <w:widowControl/>
      <w:spacing w:before="240" w:after="64" w:line="312" w:lineRule="auto"/>
      <w:outlineLvl w:val="6"/>
    </w:pPr>
    <w:rPr>
      <w:b/>
      <w:color w:val="000000"/>
      <w:sz w:val="24"/>
      <w:szCs w:val="20"/>
    </w:rPr>
  </w:style>
  <w:style w:type="paragraph" w:styleId="12">
    <w:name w:val="heading 8"/>
    <w:basedOn w:val="1"/>
    <w:next w:val="1"/>
    <w:link w:val="46"/>
    <w:qFormat/>
    <w:uiPriority w:val="99"/>
    <w:pPr>
      <w:keepLines/>
      <w:widowControl/>
      <w:spacing w:before="240" w:after="64" w:line="312" w:lineRule="auto"/>
      <w:outlineLvl w:val="7"/>
    </w:pPr>
    <w:rPr>
      <w:rFonts w:ascii="Arial" w:hAnsi="Arial" w:eastAsia="黑体"/>
      <w:color w:val="000000"/>
      <w:sz w:val="24"/>
      <w:szCs w:val="20"/>
    </w:rPr>
  </w:style>
  <w:style w:type="paragraph" w:styleId="13">
    <w:name w:val="heading 9"/>
    <w:basedOn w:val="1"/>
    <w:next w:val="1"/>
    <w:link w:val="47"/>
    <w:qFormat/>
    <w:uiPriority w:val="99"/>
    <w:pPr>
      <w:keepLines/>
      <w:widowControl/>
      <w:spacing w:before="240" w:after="64" w:line="312" w:lineRule="auto"/>
      <w:outlineLvl w:val="8"/>
    </w:pPr>
    <w:rPr>
      <w:rFonts w:ascii="Arial" w:hAnsi="Arial" w:eastAsia="黑体"/>
      <w:color w:val="000000"/>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208"/>
      </w:tabs>
      <w:spacing w:after="120" w:line="240" w:lineRule="auto"/>
      <w:ind w:firstLine="420" w:firstLineChars="100"/>
    </w:pPr>
    <w:rPr>
      <w:rFonts w:ascii="Times New Roman" w:eastAsia="宋体"/>
      <w:sz w:val="21"/>
    </w:rPr>
  </w:style>
  <w:style w:type="paragraph" w:styleId="3">
    <w:name w:val="Body Text"/>
    <w:basedOn w:val="1"/>
    <w:next w:val="2"/>
    <w:link w:val="97"/>
    <w:qFormat/>
    <w:uiPriority w:val="99"/>
    <w:pPr>
      <w:tabs>
        <w:tab w:val="left" w:pos="208"/>
      </w:tabs>
      <w:spacing w:line="432" w:lineRule="auto"/>
    </w:pPr>
    <w:rPr>
      <w:rFonts w:ascii="仿宋_GB2312" w:eastAsia="仿宋_GB2312"/>
      <w:sz w:val="28"/>
    </w:rPr>
  </w:style>
  <w:style w:type="paragraph" w:styleId="7">
    <w:name w:val="Normal Indent"/>
    <w:basedOn w:val="1"/>
    <w:link w:val="54"/>
    <w:qFormat/>
    <w:uiPriority w:val="99"/>
    <w:pPr>
      <w:ind w:firstLine="420"/>
    </w:pPr>
    <w:rPr>
      <w:szCs w:val="20"/>
    </w:rPr>
  </w:style>
  <w:style w:type="paragraph" w:styleId="14">
    <w:name w:val="Document Map"/>
    <w:basedOn w:val="1"/>
    <w:link w:val="80"/>
    <w:semiHidden/>
    <w:qFormat/>
    <w:uiPriority w:val="99"/>
    <w:pPr>
      <w:shd w:val="clear" w:color="auto" w:fill="000080"/>
    </w:pPr>
  </w:style>
  <w:style w:type="paragraph" w:styleId="15">
    <w:name w:val="annotation text"/>
    <w:basedOn w:val="1"/>
    <w:link w:val="63"/>
    <w:semiHidden/>
    <w:qFormat/>
    <w:uiPriority w:val="99"/>
    <w:pPr>
      <w:jc w:val="left"/>
    </w:pPr>
  </w:style>
  <w:style w:type="paragraph" w:styleId="16">
    <w:name w:val="Body Text 3"/>
    <w:basedOn w:val="1"/>
    <w:link w:val="90"/>
    <w:qFormat/>
    <w:uiPriority w:val="99"/>
    <w:pPr>
      <w:widowControl/>
      <w:spacing w:line="360" w:lineRule="auto"/>
    </w:pPr>
    <w:rPr>
      <w:rFonts w:ascii="仿宋_GB2312" w:eastAsia="仿宋_GB2312"/>
      <w:sz w:val="24"/>
      <w:szCs w:val="20"/>
    </w:rPr>
  </w:style>
  <w:style w:type="paragraph" w:styleId="17">
    <w:name w:val="Body Text Indent"/>
    <w:basedOn w:val="1"/>
    <w:link w:val="77"/>
    <w:qFormat/>
    <w:uiPriority w:val="99"/>
    <w:pPr>
      <w:ind w:firstLine="540"/>
    </w:pPr>
    <w:rPr>
      <w:sz w:val="28"/>
      <w:szCs w:val="20"/>
    </w:rPr>
  </w:style>
  <w:style w:type="paragraph" w:styleId="18">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19">
    <w:name w:val="Plain Text"/>
    <w:basedOn w:val="1"/>
    <w:link w:val="118"/>
    <w:qFormat/>
    <w:uiPriority w:val="99"/>
    <w:rPr>
      <w:rFonts w:ascii="宋体" w:hAnsi="Courier New"/>
      <w:szCs w:val="20"/>
    </w:rPr>
  </w:style>
  <w:style w:type="paragraph" w:styleId="20">
    <w:name w:val="Date"/>
    <w:basedOn w:val="1"/>
    <w:next w:val="1"/>
    <w:link w:val="81"/>
    <w:qFormat/>
    <w:uiPriority w:val="99"/>
    <w:pPr>
      <w:adjustRightInd w:val="0"/>
      <w:spacing w:line="312" w:lineRule="atLeast"/>
    </w:pPr>
    <w:rPr>
      <w:rFonts w:ascii="仿宋_GB2312" w:eastAsia="仿宋_GB2312"/>
      <w:kern w:val="0"/>
      <w:sz w:val="28"/>
      <w:szCs w:val="20"/>
    </w:rPr>
  </w:style>
  <w:style w:type="paragraph" w:styleId="21">
    <w:name w:val="Body Text Indent 2"/>
    <w:basedOn w:val="1"/>
    <w:link w:val="126"/>
    <w:qFormat/>
    <w:uiPriority w:val="99"/>
    <w:pPr>
      <w:snapToGrid w:val="0"/>
      <w:spacing w:line="400" w:lineRule="exact"/>
      <w:ind w:firstLine="480"/>
    </w:pPr>
    <w:rPr>
      <w:rFonts w:eastAsia="仿宋_GB2312"/>
      <w:sz w:val="24"/>
    </w:rPr>
  </w:style>
  <w:style w:type="paragraph" w:styleId="22">
    <w:name w:val="Balloon Text"/>
    <w:basedOn w:val="1"/>
    <w:link w:val="124"/>
    <w:semiHidden/>
    <w:qFormat/>
    <w:uiPriority w:val="99"/>
    <w:rPr>
      <w:sz w:val="18"/>
      <w:szCs w:val="18"/>
    </w:rPr>
  </w:style>
  <w:style w:type="paragraph" w:styleId="23">
    <w:name w:val="footer"/>
    <w:basedOn w:val="1"/>
    <w:link w:val="99"/>
    <w:qFormat/>
    <w:uiPriority w:val="99"/>
    <w:pPr>
      <w:tabs>
        <w:tab w:val="center" w:pos="4153"/>
        <w:tab w:val="right" w:pos="8306"/>
      </w:tabs>
      <w:snapToGrid w:val="0"/>
      <w:jc w:val="left"/>
    </w:pPr>
    <w:rPr>
      <w:sz w:val="18"/>
      <w:szCs w:val="18"/>
    </w:rPr>
  </w:style>
  <w:style w:type="paragraph" w:styleId="24">
    <w:name w:val="header"/>
    <w:basedOn w:val="1"/>
    <w:link w:val="67"/>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5">
    <w:name w:val="toc 1"/>
    <w:basedOn w:val="1"/>
    <w:next w:val="1"/>
    <w:semiHidden/>
    <w:qFormat/>
    <w:uiPriority w:val="99"/>
    <w:rPr>
      <w:rFonts w:eastAsia="仿宋_GB2312"/>
    </w:rPr>
  </w:style>
  <w:style w:type="paragraph" w:styleId="26">
    <w:name w:val="Body Text Indent 3"/>
    <w:basedOn w:val="1"/>
    <w:link w:val="71"/>
    <w:qFormat/>
    <w:uiPriority w:val="99"/>
    <w:pPr>
      <w:spacing w:line="360" w:lineRule="auto"/>
      <w:ind w:left="220"/>
      <w:jc w:val="left"/>
    </w:pPr>
    <w:rPr>
      <w:rFonts w:ascii="仿宋_GB2312" w:eastAsia="仿宋_GB2312"/>
      <w:color w:val="000000"/>
      <w:sz w:val="24"/>
    </w:rPr>
  </w:style>
  <w:style w:type="paragraph" w:styleId="27">
    <w:name w:val="toc 2"/>
    <w:basedOn w:val="1"/>
    <w:next w:val="1"/>
    <w:qFormat/>
    <w:uiPriority w:val="39"/>
    <w:pPr>
      <w:tabs>
        <w:tab w:val="right" w:leader="dot" w:pos="9060"/>
      </w:tabs>
      <w:ind w:left="525" w:leftChars="250"/>
      <w:jc w:val="center"/>
    </w:pPr>
    <w:rPr>
      <w:rFonts w:eastAsia="仿宋_GB2312"/>
      <w:b/>
      <w:bCs/>
      <w:sz w:val="36"/>
      <w:szCs w:val="32"/>
    </w:rPr>
  </w:style>
  <w:style w:type="paragraph" w:styleId="28">
    <w:name w:val="Body Text 2"/>
    <w:basedOn w:val="1"/>
    <w:link w:val="59"/>
    <w:qFormat/>
    <w:uiPriority w:val="99"/>
    <w:pPr>
      <w:spacing w:line="560" w:lineRule="exact"/>
    </w:pPr>
    <w:rPr>
      <w:rFonts w:ascii="仿宋_GB2312" w:eastAsia="仿宋_GB2312"/>
      <w:sz w:val="24"/>
    </w:rPr>
  </w:style>
  <w:style w:type="paragraph" w:styleId="29">
    <w:name w:val="Normal (Web)"/>
    <w:basedOn w:val="1"/>
    <w:link w:val="52"/>
    <w:qFormat/>
    <w:uiPriority w:val="99"/>
    <w:pPr>
      <w:widowControl/>
      <w:spacing w:before="100" w:beforeAutospacing="1" w:after="100" w:afterAutospacing="1"/>
      <w:jc w:val="left"/>
    </w:pPr>
    <w:rPr>
      <w:rFonts w:ascii="宋体" w:hAnsi="宋体"/>
      <w:kern w:val="0"/>
      <w:sz w:val="24"/>
      <w:szCs w:val="20"/>
    </w:rPr>
  </w:style>
  <w:style w:type="paragraph" w:styleId="30">
    <w:name w:val="annotation subject"/>
    <w:basedOn w:val="15"/>
    <w:next w:val="15"/>
    <w:link w:val="101"/>
    <w:semiHidden/>
    <w:qFormat/>
    <w:uiPriority w:val="99"/>
    <w:rPr>
      <w:b/>
      <w:bCs/>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99"/>
    <w:rPr>
      <w:rFonts w:cs="Times New Roman"/>
      <w:b/>
    </w:rPr>
  </w:style>
  <w:style w:type="character" w:styleId="35">
    <w:name w:val="page number"/>
    <w:basedOn w:val="33"/>
    <w:qFormat/>
    <w:uiPriority w:val="99"/>
    <w:rPr>
      <w:rFonts w:cs="Times New Roman"/>
    </w:rPr>
  </w:style>
  <w:style w:type="character" w:styleId="36">
    <w:name w:val="FollowedHyperlink"/>
    <w:basedOn w:val="33"/>
    <w:qFormat/>
    <w:uiPriority w:val="99"/>
    <w:rPr>
      <w:rFonts w:cs="Times New Roman"/>
      <w:color w:val="800080"/>
      <w:u w:val="single"/>
    </w:rPr>
  </w:style>
  <w:style w:type="character" w:styleId="37">
    <w:name w:val="Hyperlink"/>
    <w:basedOn w:val="33"/>
    <w:qFormat/>
    <w:uiPriority w:val="99"/>
    <w:rPr>
      <w:rFonts w:cs="Times New Roman"/>
      <w:color w:val="0000FF"/>
      <w:u w:val="single"/>
    </w:rPr>
  </w:style>
  <w:style w:type="character" w:styleId="38">
    <w:name w:val="annotation reference"/>
    <w:basedOn w:val="33"/>
    <w:semiHidden/>
    <w:qFormat/>
    <w:uiPriority w:val="99"/>
    <w:rPr>
      <w:rFonts w:cs="Times New Roman"/>
      <w:sz w:val="21"/>
    </w:rPr>
  </w:style>
  <w:style w:type="character" w:customStyle="1" w:styleId="39">
    <w:name w:val="标题 1 Char"/>
    <w:basedOn w:val="33"/>
    <w:link w:val="4"/>
    <w:qFormat/>
    <w:uiPriority w:val="9"/>
    <w:rPr>
      <w:b/>
      <w:bCs/>
      <w:kern w:val="44"/>
      <w:sz w:val="44"/>
      <w:szCs w:val="44"/>
    </w:rPr>
  </w:style>
  <w:style w:type="character" w:customStyle="1" w:styleId="40">
    <w:name w:val="标题 2 Char"/>
    <w:basedOn w:val="33"/>
    <w:link w:val="5"/>
    <w:semiHidden/>
    <w:qFormat/>
    <w:uiPriority w:val="9"/>
    <w:rPr>
      <w:rFonts w:ascii="Cambria" w:hAnsi="Cambria" w:eastAsia="宋体" w:cs="Times New Roman"/>
      <w:b/>
      <w:bCs/>
      <w:sz w:val="32"/>
      <w:szCs w:val="32"/>
    </w:rPr>
  </w:style>
  <w:style w:type="character" w:customStyle="1" w:styleId="41">
    <w:name w:val="标题 3 Char"/>
    <w:basedOn w:val="33"/>
    <w:link w:val="6"/>
    <w:semiHidden/>
    <w:qFormat/>
    <w:uiPriority w:val="9"/>
    <w:rPr>
      <w:b/>
      <w:bCs/>
      <w:sz w:val="32"/>
      <w:szCs w:val="32"/>
    </w:rPr>
  </w:style>
  <w:style w:type="character" w:customStyle="1" w:styleId="42">
    <w:name w:val="标题 4 Char"/>
    <w:basedOn w:val="33"/>
    <w:link w:val="8"/>
    <w:semiHidden/>
    <w:qFormat/>
    <w:uiPriority w:val="9"/>
    <w:rPr>
      <w:rFonts w:ascii="Cambria" w:hAnsi="Cambria" w:eastAsia="宋体" w:cs="Times New Roman"/>
      <w:b/>
      <w:bCs/>
      <w:sz w:val="28"/>
      <w:szCs w:val="28"/>
    </w:rPr>
  </w:style>
  <w:style w:type="character" w:customStyle="1" w:styleId="43">
    <w:name w:val="标题 5 Char"/>
    <w:basedOn w:val="33"/>
    <w:link w:val="9"/>
    <w:semiHidden/>
    <w:qFormat/>
    <w:uiPriority w:val="9"/>
    <w:rPr>
      <w:b/>
      <w:bCs/>
      <w:sz w:val="28"/>
      <w:szCs w:val="28"/>
    </w:rPr>
  </w:style>
  <w:style w:type="character" w:customStyle="1" w:styleId="44">
    <w:name w:val="标题 6 Char"/>
    <w:basedOn w:val="33"/>
    <w:link w:val="10"/>
    <w:semiHidden/>
    <w:qFormat/>
    <w:uiPriority w:val="9"/>
    <w:rPr>
      <w:rFonts w:ascii="Cambria" w:hAnsi="Cambria" w:eastAsia="宋体" w:cs="Times New Roman"/>
      <w:b/>
      <w:bCs/>
      <w:sz w:val="24"/>
      <w:szCs w:val="24"/>
    </w:rPr>
  </w:style>
  <w:style w:type="character" w:customStyle="1" w:styleId="45">
    <w:name w:val="标题 7 Char"/>
    <w:basedOn w:val="33"/>
    <w:link w:val="11"/>
    <w:semiHidden/>
    <w:qFormat/>
    <w:uiPriority w:val="9"/>
    <w:rPr>
      <w:b/>
      <w:bCs/>
      <w:sz w:val="24"/>
      <w:szCs w:val="24"/>
    </w:rPr>
  </w:style>
  <w:style w:type="character" w:customStyle="1" w:styleId="46">
    <w:name w:val="标题 8 Char"/>
    <w:basedOn w:val="33"/>
    <w:link w:val="12"/>
    <w:semiHidden/>
    <w:qFormat/>
    <w:uiPriority w:val="9"/>
    <w:rPr>
      <w:rFonts w:ascii="Cambria" w:hAnsi="Cambria" w:eastAsia="宋体" w:cs="Times New Roman"/>
      <w:sz w:val="24"/>
      <w:szCs w:val="24"/>
    </w:rPr>
  </w:style>
  <w:style w:type="character" w:customStyle="1" w:styleId="47">
    <w:name w:val="标题 9 Char"/>
    <w:basedOn w:val="33"/>
    <w:link w:val="13"/>
    <w:semiHidden/>
    <w:qFormat/>
    <w:uiPriority w:val="9"/>
    <w:rPr>
      <w:rFonts w:ascii="Cambria" w:hAnsi="Cambria" w:eastAsia="宋体" w:cs="Times New Roman"/>
      <w:szCs w:val="21"/>
    </w:rPr>
  </w:style>
  <w:style w:type="character" w:customStyle="1" w:styleId="48">
    <w:name w:val="p141"/>
    <w:qFormat/>
    <w:uiPriority w:val="99"/>
    <w:rPr>
      <w:sz w:val="21"/>
      <w:u w:val="none"/>
    </w:rPr>
  </w:style>
  <w:style w:type="character" w:customStyle="1" w:styleId="49">
    <w:name w:val="textfont1"/>
    <w:basedOn w:val="33"/>
    <w:qFormat/>
    <w:uiPriority w:val="99"/>
    <w:rPr>
      <w:rFonts w:cs="Times New Roman"/>
    </w:rPr>
  </w:style>
  <w:style w:type="character" w:customStyle="1" w:styleId="50">
    <w:name w:val="htd0"/>
    <w:basedOn w:val="33"/>
    <w:qFormat/>
    <w:uiPriority w:val="99"/>
    <w:rPr>
      <w:rFonts w:cs="Times New Roman"/>
    </w:rPr>
  </w:style>
  <w:style w:type="character" w:customStyle="1" w:styleId="51">
    <w:name w:val="普通文字 Char1"/>
    <w:qFormat/>
    <w:uiPriority w:val="99"/>
    <w:rPr>
      <w:rFonts w:ascii="宋体" w:hAnsi="Courier New" w:eastAsia="宋体"/>
      <w:kern w:val="2"/>
      <w:sz w:val="21"/>
      <w:lang w:val="en-US" w:eastAsia="zh-CN"/>
    </w:rPr>
  </w:style>
  <w:style w:type="character" w:customStyle="1" w:styleId="52">
    <w:name w:val="普通(网站) Char"/>
    <w:link w:val="29"/>
    <w:qFormat/>
    <w:locked/>
    <w:uiPriority w:val="99"/>
    <w:rPr>
      <w:rFonts w:ascii="宋体" w:hAnsi="宋体" w:eastAsia="宋体"/>
      <w:sz w:val="24"/>
      <w:lang w:val="en-US" w:eastAsia="zh-CN"/>
    </w:rPr>
  </w:style>
  <w:style w:type="character" w:customStyle="1" w:styleId="53">
    <w:name w:val="Char Char10"/>
    <w:qFormat/>
    <w:uiPriority w:val="99"/>
    <w:rPr>
      <w:rFonts w:ascii="宋体" w:hAnsi="Courier New" w:eastAsia="宋体"/>
      <w:sz w:val="20"/>
    </w:rPr>
  </w:style>
  <w:style w:type="character" w:customStyle="1" w:styleId="54">
    <w:name w:val="正文缩进 Char"/>
    <w:link w:val="7"/>
    <w:qFormat/>
    <w:locked/>
    <w:uiPriority w:val="99"/>
    <w:rPr>
      <w:kern w:val="2"/>
      <w:sz w:val="21"/>
    </w:rPr>
  </w:style>
  <w:style w:type="character" w:customStyle="1" w:styleId="55">
    <w:name w:val="ask-title2"/>
    <w:qFormat/>
    <w:uiPriority w:val="99"/>
  </w:style>
  <w:style w:type="character" w:customStyle="1" w:styleId="56">
    <w:name w:val="纯文本 Char"/>
    <w:link w:val="19"/>
    <w:qFormat/>
    <w:locked/>
    <w:uiPriority w:val="99"/>
    <w:rPr>
      <w:rFonts w:ascii="宋体" w:hAnsi="Courier New" w:eastAsia="宋体"/>
      <w:kern w:val="2"/>
      <w:sz w:val="21"/>
      <w:lang w:val="en-US" w:eastAsia="zh-CN"/>
    </w:rPr>
  </w:style>
  <w:style w:type="paragraph" w:customStyle="1" w:styleId="57">
    <w:name w:val="xl75"/>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58">
    <w:name w:val="xl4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character" w:customStyle="1" w:styleId="59">
    <w:name w:val="正文文本 2 Char"/>
    <w:basedOn w:val="33"/>
    <w:link w:val="28"/>
    <w:semiHidden/>
    <w:qFormat/>
    <w:uiPriority w:val="99"/>
    <w:rPr>
      <w:szCs w:val="24"/>
    </w:rPr>
  </w:style>
  <w:style w:type="paragraph" w:customStyle="1" w:styleId="60">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61">
    <w:name w:val="样式1"/>
    <w:basedOn w:val="5"/>
    <w:qFormat/>
    <w:uiPriority w:val="99"/>
    <w:pPr>
      <w:keepLines/>
      <w:adjustRightInd/>
      <w:snapToGrid/>
      <w:spacing w:before="260" w:after="260" w:line="416" w:lineRule="auto"/>
      <w:textAlignment w:val="auto"/>
    </w:pPr>
    <w:rPr>
      <w:rFonts w:ascii="宋体" w:hAnsi="宋体" w:eastAsia="黑体"/>
      <w:bCs/>
      <w:kern w:val="2"/>
      <w:szCs w:val="36"/>
    </w:rPr>
  </w:style>
  <w:style w:type="paragraph" w:customStyle="1" w:styleId="62">
    <w:name w:val="xl64"/>
    <w:basedOn w:val="1"/>
    <w:qFormat/>
    <w:uiPriority w:val="99"/>
    <w:pPr>
      <w:widowControl/>
      <w:spacing w:before="100" w:beforeAutospacing="1" w:after="100" w:afterAutospacing="1"/>
      <w:jc w:val="center"/>
    </w:pPr>
    <w:rPr>
      <w:rFonts w:ascii="宋体" w:hAnsi="宋体"/>
      <w:b/>
      <w:bCs/>
      <w:kern w:val="0"/>
      <w:sz w:val="36"/>
      <w:szCs w:val="36"/>
    </w:rPr>
  </w:style>
  <w:style w:type="character" w:customStyle="1" w:styleId="63">
    <w:name w:val="批注文字 Char"/>
    <w:basedOn w:val="33"/>
    <w:link w:val="15"/>
    <w:semiHidden/>
    <w:qFormat/>
    <w:uiPriority w:val="99"/>
    <w:rPr>
      <w:szCs w:val="24"/>
    </w:rPr>
  </w:style>
  <w:style w:type="paragraph" w:customStyle="1" w:styleId="64">
    <w:name w:val="xl54"/>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65">
    <w:name w:val="xl69"/>
    <w:basedOn w:val="1"/>
    <w:qFormat/>
    <w:uiPriority w:val="99"/>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66">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67">
    <w:name w:val="页眉 Char"/>
    <w:basedOn w:val="33"/>
    <w:link w:val="24"/>
    <w:semiHidden/>
    <w:qFormat/>
    <w:uiPriority w:val="99"/>
    <w:rPr>
      <w:sz w:val="18"/>
      <w:szCs w:val="18"/>
    </w:rPr>
  </w:style>
  <w:style w:type="paragraph" w:customStyle="1" w:styleId="68">
    <w:name w:val="def正文"/>
    <w:basedOn w:val="3"/>
    <w:qFormat/>
    <w:uiPriority w:val="99"/>
    <w:pPr>
      <w:widowControl/>
      <w:tabs>
        <w:tab w:val="clear" w:pos="208"/>
      </w:tabs>
      <w:spacing w:line="360" w:lineRule="auto"/>
      <w:ind w:firstLine="510"/>
      <w:jc w:val="left"/>
    </w:pPr>
    <w:rPr>
      <w:rFonts w:ascii="Times New Roman" w:eastAsia="宋体"/>
      <w:kern w:val="0"/>
      <w:sz w:val="24"/>
    </w:rPr>
  </w:style>
  <w:style w:type="paragraph" w:customStyle="1" w:styleId="69">
    <w:name w:val="font8"/>
    <w:basedOn w:val="1"/>
    <w:qFormat/>
    <w:uiPriority w:val="99"/>
    <w:pPr>
      <w:widowControl/>
      <w:spacing w:before="100" w:beforeAutospacing="1" w:after="100" w:afterAutospacing="1"/>
      <w:jc w:val="left"/>
    </w:pPr>
    <w:rPr>
      <w:kern w:val="0"/>
      <w:sz w:val="20"/>
      <w:szCs w:val="20"/>
    </w:rPr>
  </w:style>
  <w:style w:type="paragraph" w:customStyle="1" w:styleId="7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character" w:customStyle="1" w:styleId="71">
    <w:name w:val="正文文本缩进 3 Char"/>
    <w:basedOn w:val="33"/>
    <w:link w:val="26"/>
    <w:semiHidden/>
    <w:qFormat/>
    <w:uiPriority w:val="99"/>
    <w:rPr>
      <w:sz w:val="16"/>
      <w:szCs w:val="16"/>
    </w:rPr>
  </w:style>
  <w:style w:type="paragraph" w:customStyle="1" w:styleId="72">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73">
    <w:name w:val="xl50"/>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74">
    <w:name w:val="xl45"/>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5">
    <w:name w:val="xl71"/>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76">
    <w:name w:val="font11"/>
    <w:basedOn w:val="1"/>
    <w:qFormat/>
    <w:uiPriority w:val="99"/>
    <w:pPr>
      <w:widowControl/>
      <w:spacing w:before="100" w:beforeAutospacing="1" w:after="100" w:afterAutospacing="1"/>
      <w:jc w:val="left"/>
    </w:pPr>
    <w:rPr>
      <w:b/>
      <w:bCs/>
      <w:i/>
      <w:iCs/>
      <w:kern w:val="0"/>
      <w:sz w:val="24"/>
    </w:rPr>
  </w:style>
  <w:style w:type="character" w:customStyle="1" w:styleId="77">
    <w:name w:val="正文文本缩进 Char"/>
    <w:basedOn w:val="33"/>
    <w:link w:val="17"/>
    <w:semiHidden/>
    <w:qFormat/>
    <w:uiPriority w:val="99"/>
    <w:rPr>
      <w:szCs w:val="24"/>
    </w:rPr>
  </w:style>
  <w:style w:type="paragraph" w:customStyle="1" w:styleId="78">
    <w:name w:val="正文文字缩进 2"/>
    <w:basedOn w:val="1"/>
    <w:next w:val="1"/>
    <w:qFormat/>
    <w:uiPriority w:val="99"/>
    <w:pPr>
      <w:widowControl/>
      <w:spacing w:after="120" w:line="480" w:lineRule="auto"/>
      <w:ind w:left="420"/>
    </w:pPr>
    <w:rPr>
      <w:color w:val="000000"/>
      <w:szCs w:val="20"/>
    </w:rPr>
  </w:style>
  <w:style w:type="paragraph" w:customStyle="1" w:styleId="79">
    <w:name w:val="font5"/>
    <w:basedOn w:val="1"/>
    <w:qFormat/>
    <w:uiPriority w:val="99"/>
    <w:pPr>
      <w:widowControl/>
      <w:spacing w:before="100" w:beforeAutospacing="1" w:after="100" w:afterAutospacing="1"/>
      <w:jc w:val="left"/>
    </w:pPr>
    <w:rPr>
      <w:rFonts w:ascii="宋体" w:hAnsi="宋体"/>
      <w:kern w:val="0"/>
      <w:sz w:val="18"/>
      <w:szCs w:val="18"/>
    </w:rPr>
  </w:style>
  <w:style w:type="character" w:customStyle="1" w:styleId="80">
    <w:name w:val="文档结构图 Char"/>
    <w:basedOn w:val="33"/>
    <w:link w:val="14"/>
    <w:semiHidden/>
    <w:qFormat/>
    <w:uiPriority w:val="99"/>
    <w:rPr>
      <w:sz w:val="0"/>
      <w:szCs w:val="0"/>
    </w:rPr>
  </w:style>
  <w:style w:type="character" w:customStyle="1" w:styleId="81">
    <w:name w:val="日期 Char"/>
    <w:basedOn w:val="33"/>
    <w:link w:val="20"/>
    <w:semiHidden/>
    <w:qFormat/>
    <w:uiPriority w:val="99"/>
    <w:rPr>
      <w:szCs w:val="24"/>
    </w:rPr>
  </w:style>
  <w:style w:type="paragraph" w:customStyle="1" w:styleId="8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3">
    <w:name w:val="xl58"/>
    <w:basedOn w:val="1"/>
    <w:qFormat/>
    <w:uiPriority w:val="99"/>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84">
    <w:name w:val="Table Text"/>
    <w:qFormat/>
    <w:uiPriority w:val="99"/>
    <w:pPr>
      <w:snapToGrid w:val="0"/>
      <w:spacing w:before="80" w:after="80"/>
    </w:pPr>
    <w:rPr>
      <w:rFonts w:ascii="Arial" w:hAnsi="Arial" w:eastAsia="宋体" w:cs="Arial"/>
      <w:kern w:val="2"/>
      <w:sz w:val="18"/>
      <w:szCs w:val="18"/>
      <w:lang w:val="en-US" w:eastAsia="zh-CN" w:bidi="ar-SA"/>
    </w:rPr>
  </w:style>
  <w:style w:type="paragraph" w:customStyle="1" w:styleId="85">
    <w:name w:val="font7"/>
    <w:basedOn w:val="1"/>
    <w:qFormat/>
    <w:uiPriority w:val="99"/>
    <w:pPr>
      <w:widowControl/>
      <w:spacing w:before="100" w:beforeAutospacing="1" w:after="100" w:afterAutospacing="1"/>
      <w:jc w:val="left"/>
    </w:pPr>
    <w:rPr>
      <w:rFonts w:ascii="宋体" w:hAnsi="宋体"/>
      <w:color w:val="000000"/>
      <w:kern w:val="0"/>
      <w:sz w:val="20"/>
      <w:szCs w:val="20"/>
    </w:rPr>
  </w:style>
  <w:style w:type="paragraph" w:customStyle="1" w:styleId="86">
    <w:name w:val="xl53"/>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8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89">
    <w:name w:val="xl59"/>
    <w:basedOn w:val="1"/>
    <w:qFormat/>
    <w:uiPriority w:val="99"/>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character" w:customStyle="1" w:styleId="90">
    <w:name w:val="正文文本 3 Char"/>
    <w:basedOn w:val="33"/>
    <w:link w:val="16"/>
    <w:semiHidden/>
    <w:qFormat/>
    <w:uiPriority w:val="99"/>
    <w:rPr>
      <w:sz w:val="16"/>
      <w:szCs w:val="16"/>
    </w:rPr>
  </w:style>
  <w:style w:type="paragraph" w:customStyle="1" w:styleId="91">
    <w:name w:val="tabletext"/>
    <w:basedOn w:val="1"/>
    <w:qFormat/>
    <w:uiPriority w:val="99"/>
    <w:pPr>
      <w:widowControl/>
      <w:spacing w:before="100" w:beforeAutospacing="1" w:after="100" w:afterAutospacing="1"/>
      <w:jc w:val="left"/>
    </w:pPr>
    <w:rPr>
      <w:rFonts w:ascii="宋体" w:hAnsi="宋体"/>
      <w:kern w:val="0"/>
      <w:sz w:val="24"/>
    </w:rPr>
  </w:style>
  <w:style w:type="paragraph" w:customStyle="1" w:styleId="9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4">
    <w:name w:val="xl52"/>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5">
    <w:name w:val="页码1"/>
    <w:basedOn w:val="1"/>
    <w:next w:val="1"/>
    <w:qFormat/>
    <w:uiPriority w:val="99"/>
    <w:pPr>
      <w:widowControl/>
    </w:pPr>
    <w:rPr>
      <w:color w:val="000000"/>
      <w:szCs w:val="20"/>
    </w:rPr>
  </w:style>
  <w:style w:type="paragraph" w:customStyle="1" w:styleId="96">
    <w:name w:val="xl4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character" w:customStyle="1" w:styleId="97">
    <w:name w:val="正文文本 Char"/>
    <w:basedOn w:val="33"/>
    <w:link w:val="3"/>
    <w:semiHidden/>
    <w:qFormat/>
    <w:uiPriority w:val="99"/>
    <w:rPr>
      <w:szCs w:val="24"/>
    </w:rPr>
  </w:style>
  <w:style w:type="paragraph" w:customStyle="1" w:styleId="98">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character" w:customStyle="1" w:styleId="99">
    <w:name w:val="页脚 Char"/>
    <w:basedOn w:val="33"/>
    <w:link w:val="23"/>
    <w:semiHidden/>
    <w:qFormat/>
    <w:uiPriority w:val="99"/>
    <w:rPr>
      <w:sz w:val="18"/>
      <w:szCs w:val="18"/>
    </w:rPr>
  </w:style>
  <w:style w:type="paragraph" w:customStyle="1" w:styleId="100">
    <w:name w:val="Char Char Char"/>
    <w:basedOn w:val="1"/>
    <w:qFormat/>
    <w:uiPriority w:val="99"/>
  </w:style>
  <w:style w:type="character" w:customStyle="1" w:styleId="101">
    <w:name w:val="批注主题 Char"/>
    <w:basedOn w:val="63"/>
    <w:link w:val="30"/>
    <w:semiHidden/>
    <w:qFormat/>
    <w:uiPriority w:val="99"/>
    <w:rPr>
      <w:b/>
      <w:bCs/>
    </w:rPr>
  </w:style>
  <w:style w:type="paragraph" w:customStyle="1" w:styleId="102">
    <w:name w:val="xl51"/>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03">
    <w:name w:val="xl7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04">
    <w:name w:val="Body Text 21"/>
    <w:basedOn w:val="1"/>
    <w:next w:val="1"/>
    <w:qFormat/>
    <w:uiPriority w:val="99"/>
    <w:pPr>
      <w:widowControl/>
      <w:spacing w:line="300" w:lineRule="auto"/>
      <w:jc w:val="center"/>
    </w:pPr>
    <w:rPr>
      <w:rFonts w:ascii="宋体"/>
      <w:color w:val="000000"/>
      <w:sz w:val="24"/>
      <w:szCs w:val="20"/>
    </w:rPr>
  </w:style>
  <w:style w:type="paragraph" w:customStyle="1" w:styleId="105">
    <w:name w:val="xl67"/>
    <w:basedOn w:val="1"/>
    <w:qFormat/>
    <w:uiPriority w:val="99"/>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06">
    <w:name w:val="表内文字"/>
    <w:basedOn w:val="1"/>
    <w:qFormat/>
    <w:uiPriority w:val="99"/>
    <w:pPr>
      <w:jc w:val="center"/>
    </w:pPr>
    <w:rPr>
      <w:rFonts w:ascii="仿宋_GB2312" w:eastAsia="仿宋_GB2312"/>
      <w:sz w:val="24"/>
    </w:rPr>
  </w:style>
  <w:style w:type="paragraph" w:customStyle="1" w:styleId="107">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8">
    <w:name w:val="xl66"/>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09">
    <w:name w:val="font9"/>
    <w:basedOn w:val="1"/>
    <w:qFormat/>
    <w:uiPriority w:val="99"/>
    <w:pPr>
      <w:widowControl/>
      <w:spacing w:before="100" w:beforeAutospacing="1" w:after="100" w:afterAutospacing="1"/>
      <w:jc w:val="left"/>
    </w:pPr>
    <w:rPr>
      <w:color w:val="000000"/>
      <w:kern w:val="0"/>
      <w:sz w:val="20"/>
      <w:szCs w:val="20"/>
    </w:rPr>
  </w:style>
  <w:style w:type="paragraph" w:customStyle="1" w:styleId="110">
    <w:name w:val="样式 Default + 仿宋_GB2312 三号 自动设置 首行缩进:  0.84 厘米 右侧:  0.28 厘米 ..."/>
    <w:basedOn w:val="1"/>
    <w:uiPriority w:val="99"/>
    <w:pPr>
      <w:autoSpaceDE w:val="0"/>
      <w:autoSpaceDN w:val="0"/>
      <w:adjustRightInd w:val="0"/>
      <w:spacing w:line="620" w:lineRule="atLeast"/>
      <w:ind w:right="158" w:firstLine="478"/>
      <w:jc w:val="left"/>
    </w:pPr>
    <w:rPr>
      <w:rFonts w:ascii="仿宋_GB2312" w:eastAsia="仿宋_GB2312"/>
      <w:kern w:val="0"/>
      <w:sz w:val="28"/>
      <w:szCs w:val="20"/>
    </w:rPr>
  </w:style>
  <w:style w:type="paragraph" w:customStyle="1" w:styleId="111">
    <w:name w:val="xl56"/>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12">
    <w:name w:val="xl77"/>
    <w:basedOn w:val="1"/>
    <w:qFormat/>
    <w:uiPriority w:val="99"/>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13">
    <w:name w:val="font6"/>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114">
    <w:name w:val="xl70"/>
    <w:basedOn w:val="1"/>
    <w:qFormat/>
    <w:uiPriority w:val="99"/>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6">
    <w:name w:val="xl46"/>
    <w:basedOn w:val="1"/>
    <w:qFormat/>
    <w:uiPriority w:val="99"/>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17">
    <w:name w:val="xl81"/>
    <w:basedOn w:val="1"/>
    <w:qFormat/>
    <w:uiPriority w:val="99"/>
    <w:pPr>
      <w:widowControl/>
      <w:pBdr>
        <w:bottom w:val="single" w:color="auto" w:sz="4" w:space="0"/>
      </w:pBdr>
      <w:spacing w:before="100" w:beforeAutospacing="1" w:after="100" w:afterAutospacing="1"/>
      <w:jc w:val="left"/>
    </w:pPr>
    <w:rPr>
      <w:b/>
      <w:bCs/>
      <w:kern w:val="0"/>
      <w:sz w:val="20"/>
      <w:szCs w:val="20"/>
    </w:rPr>
  </w:style>
  <w:style w:type="character" w:customStyle="1" w:styleId="118">
    <w:name w:val="Plain Text Char1"/>
    <w:basedOn w:val="33"/>
    <w:link w:val="19"/>
    <w:semiHidden/>
    <w:qFormat/>
    <w:uiPriority w:val="99"/>
    <w:rPr>
      <w:rFonts w:ascii="宋体" w:hAnsi="Courier New" w:cs="Courier New"/>
      <w:szCs w:val="21"/>
    </w:rPr>
  </w:style>
  <w:style w:type="paragraph" w:customStyle="1" w:styleId="119">
    <w:name w:val="Char"/>
    <w:basedOn w:val="1"/>
    <w:semiHidden/>
    <w:qFormat/>
    <w:uiPriority w:val="99"/>
    <w:rPr>
      <w:rFonts w:ascii="Tahoma" w:hAnsi="Tahoma" w:cs="仿宋_GB2312"/>
      <w:sz w:val="24"/>
      <w:szCs w:val="28"/>
    </w:rPr>
  </w:style>
  <w:style w:type="paragraph" w:customStyle="1" w:styleId="12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2">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3">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character" w:customStyle="1" w:styleId="124">
    <w:name w:val="批注框文本 Char"/>
    <w:basedOn w:val="33"/>
    <w:link w:val="22"/>
    <w:semiHidden/>
    <w:qFormat/>
    <w:uiPriority w:val="99"/>
    <w:rPr>
      <w:sz w:val="0"/>
      <w:szCs w:val="0"/>
    </w:rPr>
  </w:style>
  <w:style w:type="paragraph" w:customStyle="1" w:styleId="125">
    <w:name w:val="xl5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character" w:customStyle="1" w:styleId="126">
    <w:name w:val="正文文本缩进 2 Char"/>
    <w:basedOn w:val="33"/>
    <w:link w:val="21"/>
    <w:semiHidden/>
    <w:qFormat/>
    <w:uiPriority w:val="99"/>
    <w:rPr>
      <w:szCs w:val="24"/>
    </w:rPr>
  </w:style>
  <w:style w:type="paragraph" w:customStyle="1" w:styleId="127">
    <w:name w:val="xl79"/>
    <w:basedOn w:val="1"/>
    <w:qFormat/>
    <w:uiPriority w:val="99"/>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2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9">
    <w:name w:val="纯文本1"/>
    <w:basedOn w:val="1"/>
    <w:qFormat/>
    <w:uiPriority w:val="99"/>
    <w:pPr>
      <w:adjustRightInd w:val="0"/>
      <w:jc w:val="left"/>
      <w:textAlignment w:val="baseline"/>
    </w:pPr>
    <w:rPr>
      <w:rFonts w:ascii="宋体" w:hAnsi="Courier New"/>
      <w:sz w:val="24"/>
      <w:szCs w:val="20"/>
    </w:rPr>
  </w:style>
  <w:style w:type="paragraph" w:customStyle="1" w:styleId="13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31">
    <w:name w:val="xl65"/>
    <w:basedOn w:val="1"/>
    <w:qFormat/>
    <w:uiPriority w:val="99"/>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32">
    <w:name w:val="xl80"/>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33">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4">
    <w:name w:val="xl83"/>
    <w:basedOn w:val="1"/>
    <w:qFormat/>
    <w:uiPriority w:val="99"/>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35">
    <w:name w:val="font10"/>
    <w:basedOn w:val="1"/>
    <w:uiPriority w:val="99"/>
    <w:pPr>
      <w:widowControl/>
      <w:spacing w:before="100" w:beforeAutospacing="1" w:after="100" w:afterAutospacing="1"/>
      <w:jc w:val="left"/>
    </w:pPr>
    <w:rPr>
      <w:rFonts w:ascii="宋体" w:hAnsi="宋体"/>
      <w:b/>
      <w:bCs/>
      <w:i/>
      <w:iCs/>
      <w:kern w:val="0"/>
      <w:sz w:val="24"/>
    </w:rPr>
  </w:style>
  <w:style w:type="paragraph" w:customStyle="1" w:styleId="13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7">
    <w:name w:val="xl44"/>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9">
    <w:name w:val="xl74"/>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40">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41">
    <w:name w:val="xl68"/>
    <w:basedOn w:val="1"/>
    <w:qFormat/>
    <w:uiPriority w:val="99"/>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42">
    <w:name w:val="xl5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4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4">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5">
    <w:name w:val="xl4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46">
    <w:name w:val="xl78"/>
    <w:basedOn w:val="1"/>
    <w:qFormat/>
    <w:uiPriority w:val="99"/>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47">
    <w:name w:val="xl7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48">
    <w:name w:val="样式2"/>
    <w:basedOn w:val="1"/>
    <w:qFormat/>
    <w:uiPriority w:val="99"/>
    <w:pPr>
      <w:jc w:val="center"/>
    </w:pPr>
    <w:rPr>
      <w:rFonts w:ascii="宋体" w:hAnsi="宋体"/>
      <w:b/>
      <w:bCs/>
      <w:color w:val="000000"/>
      <w:sz w:val="28"/>
      <w:szCs w:val="21"/>
    </w:rPr>
  </w:style>
  <w:style w:type="paragraph" w:customStyle="1" w:styleId="149">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50">
    <w:name w:val="xl82"/>
    <w:basedOn w:val="1"/>
    <w:qFormat/>
    <w:uiPriority w:val="99"/>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1">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2">
    <w:name w:val="Char1"/>
    <w:basedOn w:val="1"/>
    <w:qFormat/>
    <w:uiPriority w:val="99"/>
    <w:rPr>
      <w:rFonts w:ascii="Tahoma" w:hAnsi="Tahoma"/>
      <w:sz w:val="24"/>
      <w:szCs w:val="20"/>
    </w:rPr>
  </w:style>
  <w:style w:type="paragraph" w:customStyle="1" w:styleId="153">
    <w:name w:val="xl6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4">
    <w:name w:val="Char Char Char Char Char Char Char Char Char Char Char Char Char Char2 Char Char Char Char"/>
    <w:basedOn w:val="1"/>
    <w:qFormat/>
    <w:uiPriority w:val="99"/>
    <w:rPr>
      <w:rFonts w:ascii="Tahoma" w:hAnsi="Tahoma"/>
      <w:kern w:val="0"/>
      <w:sz w:val="24"/>
      <w:szCs w:val="20"/>
    </w:rPr>
  </w:style>
  <w:style w:type="character" w:customStyle="1" w:styleId="155">
    <w:name w:val="font21"/>
    <w:basedOn w:val="33"/>
    <w:qFormat/>
    <w:uiPriority w:val="99"/>
    <w:rPr>
      <w:rFonts w:ascii="宋体" w:hAnsi="宋体" w:eastAsia="宋体" w:cs="宋体"/>
      <w:color w:val="000000"/>
      <w:sz w:val="22"/>
      <w:szCs w:val="22"/>
      <w:u w:val="none"/>
    </w:rPr>
  </w:style>
  <w:style w:type="paragraph" w:customStyle="1" w:styleId="156">
    <w:name w:val="WPSOffice手动目录 1"/>
    <w:uiPriority w:val="0"/>
    <w:pPr>
      <w:ind w:leftChars="0"/>
    </w:pPr>
    <w:rPr>
      <w:rFonts w:ascii="Calibri" w:hAnsi="Calibri" w:eastAsia="宋体" w:cs="Times New Roman"/>
      <w:sz w:val="20"/>
      <w:szCs w:val="20"/>
    </w:rPr>
  </w:style>
  <w:style w:type="paragraph" w:customStyle="1" w:styleId="157">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textRotate="1"/>
    <customShpInfo spid="_x0000_s2053" textRotate="1"/>
    <customShpInfo spid="_x0000_s2054"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37</Pages>
  <Words>3425</Words>
  <Characters>19528</Characters>
  <Lines>162</Lines>
  <Paragraphs>45</Paragraphs>
  <TotalTime>6</TotalTime>
  <ScaleCrop>false</ScaleCrop>
  <LinksUpToDate>false</LinksUpToDate>
  <CharactersWithSpaces>22908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2019-07-23T09:24:00Z</dcterms:created>
  <dc:creator>000</dc:creator>
  <cp:lastModifiedBy>Melody</cp:lastModifiedBy>
  <cp:lastPrinted>2019-07-26T01:18:00Z</cp:lastPrinted>
  <dcterms:modified xsi:type="dcterms:W3CDTF">2020-03-25T08:35:44Z</dcterms:modified>
  <dc:title>招  标  文  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