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36"/>
          <w:szCs w:val="36"/>
          <w:highlight w:val="none"/>
        </w:rPr>
      </w:pPr>
      <w:r>
        <w:rPr>
          <w:rFonts w:hint="eastAsia" w:ascii="宋体" w:hAnsi="宋体" w:cs="宋体"/>
          <w:color w:val="auto"/>
          <w:sz w:val="36"/>
          <w:szCs w:val="36"/>
          <w:highlight w:val="none"/>
        </w:rPr>
        <w:drawing>
          <wp:anchor distT="0" distB="0" distL="114300" distR="114300" simplePos="0" relativeHeight="251658240"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lum contrast="12000"/>
                    </a:blip>
                    <a:stretch>
                      <a:fillRect/>
                    </a:stretch>
                  </pic:blipFill>
                  <pic:spPr>
                    <a:xfrm>
                      <a:off x="0" y="0"/>
                      <a:ext cx="2971800" cy="2091690"/>
                    </a:xfrm>
                    <a:prstGeom prst="rect">
                      <a:avLst/>
                    </a:prstGeom>
                    <a:noFill/>
                    <a:ln w="9525">
                      <a:noFill/>
                    </a:ln>
                  </pic:spPr>
                </pic:pic>
              </a:graphicData>
            </a:graphic>
          </wp:anchor>
        </w:drawing>
      </w:r>
    </w:p>
    <w:p>
      <w:pPr>
        <w:jc w:val="center"/>
        <w:rPr>
          <w:rFonts w:ascii="宋体" w:hAnsi="宋体" w:cs="宋体"/>
          <w:color w:val="auto"/>
          <w:sz w:val="52"/>
          <w:szCs w:val="52"/>
          <w:highlight w:val="none"/>
        </w:rPr>
      </w:pPr>
    </w:p>
    <w:p>
      <w:pPr>
        <w:ind w:left="-359" w:leftChars="-171"/>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ind w:right="-512" w:rightChars="-244"/>
        <w:rPr>
          <w:rFonts w:ascii="宋体" w:hAnsi="宋体" w:cs="宋体"/>
          <w:b/>
          <w:color w:val="auto"/>
          <w:sz w:val="72"/>
          <w:szCs w:val="72"/>
          <w:highlight w:val="none"/>
        </w:rPr>
      </w:pPr>
    </w:p>
    <w:p>
      <w:pPr>
        <w:ind w:right="-512" w:rightChars="-244"/>
        <w:rPr>
          <w:rFonts w:ascii="宋体" w:hAnsi="宋体" w:cs="宋体"/>
          <w:b/>
          <w:color w:val="auto"/>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hAnsi="宋体"/>
          <w:color w:val="auto"/>
          <w:sz w:val="52"/>
          <w:szCs w:val="52"/>
          <w:highlight w:val="none"/>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hAnsi="宋体"/>
          <w:color w:val="auto"/>
          <w:sz w:val="24"/>
          <w:highlight w:val="none"/>
        </w:rPr>
        <w:t>ZJWS2019-LQ141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560" w:firstLineChars="200"/>
        <w:jc w:val="left"/>
        <w:rPr>
          <w:rFonts w:ascii="宋体" w:eastAsiaTheme="minorEastAsia"/>
          <w:color w:val="auto"/>
          <w:kern w:val="0"/>
          <w:sz w:val="28"/>
          <w:highlight w:val="none"/>
        </w:rPr>
      </w:pPr>
      <w:r>
        <w:rPr>
          <w:rFonts w:hint="eastAsia" w:ascii="宋体"/>
          <w:color w:val="auto"/>
          <w:kern w:val="0"/>
          <w:sz w:val="28"/>
          <w:highlight w:val="none"/>
        </w:rPr>
        <w:t>采购项目</w:t>
      </w:r>
      <w:r>
        <w:rPr>
          <w:rFonts w:hint="eastAsia" w:asciiTheme="minorEastAsia" w:hAnsiTheme="minorEastAsia" w:eastAsiaTheme="minorEastAsia"/>
          <w:color w:val="auto"/>
          <w:sz w:val="28"/>
          <w:szCs w:val="28"/>
          <w:highlight w:val="none"/>
        </w:rPr>
        <w:t>：2020-2021年度区政府食堂农副产品采购项目</w:t>
      </w:r>
    </w:p>
    <w:p>
      <w:pPr>
        <w:autoSpaceDE w:val="0"/>
        <w:autoSpaceDN w:val="0"/>
        <w:adjustRightInd w:val="0"/>
        <w:spacing w:line="360" w:lineRule="auto"/>
        <w:ind w:left="3639" w:leftChars="266" w:hanging="3080" w:hangingChars="1100"/>
        <w:jc w:val="left"/>
        <w:rPr>
          <w:rFonts w:ascii="宋体"/>
          <w:color w:val="auto"/>
          <w:kern w:val="0"/>
          <w:sz w:val="28"/>
          <w:highlight w:val="none"/>
        </w:rPr>
      </w:pPr>
      <w:r>
        <w:rPr>
          <w:rFonts w:hint="eastAsia" w:ascii="宋体"/>
          <w:color w:val="auto"/>
          <w:kern w:val="0"/>
          <w:sz w:val="28"/>
          <w:highlight w:val="none"/>
        </w:rPr>
        <w:t>采购单位：台州市路桥区机关事务中心</w:t>
      </w: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浙江五石工程咨询有限公司</w:t>
      </w: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2019年11月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spacing w:line="360" w:lineRule="auto"/>
        <w:rPr>
          <w:color w:val="auto"/>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投标供应商须知</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w:t>
      </w:r>
      <w:r>
        <w:rPr>
          <w:rFonts w:hint="eastAsia" w:asciiTheme="minorEastAsia" w:hAnsiTheme="minorEastAsia" w:eastAsiaTheme="minorEastAsia"/>
          <w:b/>
          <w:bCs/>
          <w:color w:val="auto"/>
          <w:sz w:val="24"/>
          <w:highlight w:val="none"/>
        </w:rPr>
        <w:t>台州市路桥区机关事务中心</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b/>
          <w:bCs/>
          <w:color w:val="auto"/>
          <w:sz w:val="24"/>
          <w:highlight w:val="none"/>
        </w:rPr>
        <w:t>2020-2021年度区政府食堂农副产品采购项目</w:t>
      </w:r>
      <w:r>
        <w:rPr>
          <w:rFonts w:hint="eastAsia" w:asciiTheme="minorEastAsia" w:hAnsiTheme="minorEastAsia" w:eastAsiaTheme="minorEastAsia"/>
          <w:color w:val="auto"/>
          <w:kern w:val="0"/>
          <w:sz w:val="24"/>
          <w:highlight w:val="none"/>
        </w:rPr>
        <w:t>进行公开招标采购，欢迎合格供应商前来投标。</w:t>
      </w:r>
    </w:p>
    <w:p>
      <w:pPr>
        <w:numPr>
          <w:ilvl w:val="0"/>
          <w:numId w:val="4"/>
        </w:numPr>
        <w:tabs>
          <w:tab w:val="left" w:pos="180"/>
          <w:tab w:val="left" w:pos="360"/>
          <w:tab w:val="left" w:pos="540"/>
          <w:tab w:val="left" w:pos="8280"/>
        </w:tabs>
        <w:autoSpaceDE w:val="0"/>
        <w:autoSpaceDN w:val="0"/>
        <w:adjustRightInd w:val="0"/>
        <w:spacing w:beforeLines="100"/>
        <w:ind w:right="23" w:firstLine="539"/>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项目编号：</w:t>
      </w:r>
      <w:r>
        <w:rPr>
          <w:rFonts w:hint="eastAsia" w:asciiTheme="minorEastAsia" w:hAnsiTheme="minorEastAsia" w:eastAsiaTheme="minorEastAsia"/>
          <w:color w:val="auto"/>
          <w:sz w:val="24"/>
          <w:highlight w:val="none"/>
        </w:rPr>
        <w:t>ZJWS2019-LQ141</w:t>
      </w:r>
    </w:p>
    <w:p>
      <w:pPr>
        <w:numPr>
          <w:ilvl w:val="0"/>
          <w:numId w:val="4"/>
        </w:numPr>
        <w:tabs>
          <w:tab w:val="left" w:pos="180"/>
          <w:tab w:val="left" w:pos="360"/>
          <w:tab w:val="left" w:pos="540"/>
          <w:tab w:val="left" w:pos="8280"/>
        </w:tabs>
        <w:autoSpaceDE w:val="0"/>
        <w:autoSpaceDN w:val="0"/>
        <w:adjustRightInd w:val="0"/>
        <w:spacing w:beforeLines="100"/>
        <w:ind w:right="23" w:firstLine="539"/>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招标项目概况：</w:t>
      </w:r>
    </w:p>
    <w:tbl>
      <w:tblPr>
        <w:tblStyle w:val="17"/>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45"/>
        <w:gridCol w:w="1750"/>
        <w:gridCol w:w="566"/>
        <w:gridCol w:w="581"/>
        <w:gridCol w:w="151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82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2745"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75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56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51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年预算</w:t>
            </w:r>
          </w:p>
        </w:tc>
        <w:tc>
          <w:tcPr>
            <w:tcW w:w="171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供货服务期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2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74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2020-2021年度</w:t>
            </w:r>
            <w:r>
              <w:rPr>
                <w:rFonts w:hint="eastAsia" w:asciiTheme="minorEastAsia" w:hAnsiTheme="minorEastAsia" w:eastAsiaTheme="minorEastAsia"/>
                <w:b/>
                <w:bCs/>
                <w:color w:val="auto"/>
                <w:sz w:val="24"/>
                <w:highlight w:val="none"/>
              </w:rPr>
              <w:t>区政府</w:t>
            </w:r>
            <w:r>
              <w:rPr>
                <w:rFonts w:hint="eastAsia" w:asciiTheme="minorEastAsia" w:hAnsiTheme="minorEastAsia" w:eastAsiaTheme="minorEastAsia"/>
                <w:color w:val="auto"/>
                <w:sz w:val="24"/>
                <w:highlight w:val="none"/>
              </w:rPr>
              <w:t>食堂农副产品采购项目</w:t>
            </w:r>
          </w:p>
        </w:tc>
        <w:tc>
          <w:tcPr>
            <w:tcW w:w="175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详见招标文件</w:t>
            </w:r>
          </w:p>
        </w:tc>
        <w:tc>
          <w:tcPr>
            <w:tcW w:w="56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51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300万元/年</w:t>
            </w:r>
          </w:p>
        </w:tc>
        <w:tc>
          <w:tcPr>
            <w:tcW w:w="171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2年</w:t>
            </w:r>
          </w:p>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合同一年一签</w:t>
            </w:r>
          </w:p>
        </w:tc>
      </w:tr>
    </w:tbl>
    <w:p>
      <w:pPr>
        <w:widowControl/>
        <w:numPr>
          <w:ilvl w:val="0"/>
          <w:numId w:val="4"/>
        </w:numPr>
        <w:tabs>
          <w:tab w:val="left" w:pos="0"/>
        </w:tabs>
        <w:spacing w:line="360" w:lineRule="auto"/>
        <w:ind w:firstLine="53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合格投标供应商的资格条件：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（1）具有相应经营能力且能独立承担民事责任的能力的独立法人企业；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（2）投标供应商须《食品经营许可证》或有效期范围内的《食品流通许可证》；</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（3）具有良好的商业信誉和健全的财务会计制度；</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（4）拟提供物资符合国家质量标准，并符合卫生管理及食堂管理的要求；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（5）本招标项目谢绝以联合体的形式参加投标。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1、发售时间：2019年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29</w:t>
      </w:r>
      <w:r>
        <w:rPr>
          <w:rFonts w:hint="eastAsia" w:asciiTheme="minorEastAsia" w:hAnsiTheme="minorEastAsia" w:eastAsiaTheme="minorEastAsia"/>
          <w:color w:val="auto"/>
          <w:sz w:val="24"/>
          <w:highlight w:val="none"/>
        </w:rPr>
        <w:t>日至2019年</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 xml:space="preserve">日。 </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(双休日及法定节假日除外，每日上午9：30—11：30，下午13：30—16：30，北京时间)</w:t>
      </w:r>
    </w:p>
    <w:p>
      <w:pPr>
        <w:numPr>
          <w:ilvl w:val="0"/>
          <w:numId w:val="5"/>
        </w:num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发售地点：杭州市下城区白石路318号中国（杭州）人力资源服务产业园北楼415室。      台州市路桥区路桥东大道555号南苑商务酒店B1903</w:t>
      </w:r>
    </w:p>
    <w:p>
      <w:pPr>
        <w:pStyle w:val="2"/>
        <w:rPr>
          <w:color w:val="auto"/>
          <w:highlight w:val="none"/>
        </w:rPr>
      </w:pP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3、标书售价：人民币500元，售后不退。（户名：浙江五石工程咨询有限公司；账号：1202003209900014176；开户银行：中国工商银行杭州市潮王路支行）</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4、购买标书时应提供以下资格证明材料：</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a）经工商部门年检有效的营业执照副本、银行开户许可证复印件（复印件加盖单位公章）。</w:t>
      </w:r>
    </w:p>
    <w:p>
      <w:pPr>
        <w:pStyle w:val="2"/>
        <w:ind w:firstLine="480" w:firstLineChars="200"/>
        <w:rPr>
          <w:color w:val="auto"/>
          <w:highlight w:val="none"/>
        </w:rPr>
      </w:pPr>
      <w:r>
        <w:rPr>
          <w:rFonts w:hint="eastAsia" w:asciiTheme="minorEastAsia" w:hAnsiTheme="minorEastAsia" w:eastAsiaTheme="minorEastAsia"/>
          <w:color w:val="auto"/>
          <w:highlight w:val="none"/>
        </w:rPr>
        <w:t>b）</w:t>
      </w:r>
      <w:r>
        <w:rPr>
          <w:rFonts w:hint="eastAsia" w:eastAsiaTheme="minorEastAsia"/>
          <w:color w:val="auto"/>
          <w:highlight w:val="none"/>
        </w:rPr>
        <w:t>投标供应商</w:t>
      </w:r>
      <w:r>
        <w:rPr>
          <w:rFonts w:hint="eastAsia"/>
          <w:color w:val="auto"/>
          <w:highlight w:val="none"/>
        </w:rPr>
        <w:t>须提供《食品经营许可证》或有效期范围内的《食品流通许可证》复印件；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c) 法定代表人授权书原件（</w:t>
      </w:r>
      <w:r>
        <w:rPr>
          <w:rFonts w:hint="eastAsia" w:ascii="宋体" w:hAnsi="宋体" w:cs="宋体"/>
          <w:color w:val="auto"/>
          <w:sz w:val="24"/>
          <w:highlight w:val="none"/>
        </w:rPr>
        <w:t>加盖公章</w:t>
      </w:r>
      <w:r>
        <w:rPr>
          <w:rFonts w:hint="eastAsia" w:asciiTheme="minorEastAsia" w:hAnsiTheme="minorEastAsia" w:eastAsiaTheme="minorEastAsia"/>
          <w:color w:val="auto"/>
          <w:sz w:val="24"/>
          <w:highlight w:val="none"/>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d）报名人有效身份证件(复印件加盖公章)；</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e）投标供应商报名表。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五、</w:t>
      </w:r>
      <w:r>
        <w:rPr>
          <w:rFonts w:hint="eastAsia" w:asciiTheme="minorEastAsia" w:hAnsiTheme="minorEastAsia" w:eastAsiaTheme="minorEastAsia"/>
          <w:b/>
          <w:color w:val="auto"/>
          <w:kern w:val="0"/>
          <w:sz w:val="24"/>
          <w:highlight w:val="none"/>
        </w:rPr>
        <w:t>投标截止及开标时间、地点：</w:t>
      </w:r>
    </w:p>
    <w:p>
      <w:pPr>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sz w:val="24"/>
          <w:highlight w:val="none"/>
        </w:rPr>
        <w:t>本次招标将于2019年</w:t>
      </w:r>
      <w:r>
        <w:rPr>
          <w:rFonts w:hint="eastAsia" w:cs="Arial" w:asciiTheme="minorEastAsia" w:hAnsiTheme="minorEastAsia" w:eastAsiaTheme="minorEastAsia"/>
          <w:color w:val="auto"/>
          <w:sz w:val="24"/>
          <w:highlight w:val="none"/>
          <w:lang w:val="en-US" w:eastAsia="zh-CN"/>
        </w:rPr>
        <w:t>12</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20</w:t>
      </w:r>
      <w:r>
        <w:rPr>
          <w:rFonts w:hint="eastAsia" w:cs="Arial" w:asciiTheme="minorEastAsia" w:hAnsiTheme="minorEastAsia" w:eastAsiaTheme="minorEastAsia"/>
          <w:color w:val="auto"/>
          <w:sz w:val="24"/>
          <w:highlight w:val="none"/>
        </w:rPr>
        <w:t>日</w:t>
      </w:r>
      <w:r>
        <w:rPr>
          <w:rFonts w:hint="eastAsia" w:cs="Arial" w:asciiTheme="minorEastAsia" w:hAnsiTheme="minorEastAsia" w:eastAsiaTheme="minorEastAsia"/>
          <w:color w:val="auto"/>
          <w:sz w:val="24"/>
          <w:highlight w:val="none"/>
          <w:lang w:val="en-US" w:eastAsia="zh-CN"/>
        </w:rPr>
        <w:t>上</w:t>
      </w:r>
      <w:r>
        <w:rPr>
          <w:rFonts w:hint="eastAsia" w:cs="Arial" w:asciiTheme="minorEastAsia" w:hAnsiTheme="minorEastAsia" w:eastAsiaTheme="minorEastAsia"/>
          <w:color w:val="auto"/>
          <w:sz w:val="24"/>
          <w:highlight w:val="none"/>
        </w:rPr>
        <w:t>午</w:t>
      </w:r>
      <w:r>
        <w:rPr>
          <w:rFonts w:hint="eastAsia" w:cs="Arial" w:asciiTheme="minorEastAsia" w:hAnsiTheme="minorEastAsia" w:eastAsiaTheme="minorEastAsia"/>
          <w:color w:val="auto"/>
          <w:sz w:val="24"/>
          <w:highlight w:val="none"/>
          <w:lang w:val="en-US" w:eastAsia="zh-CN"/>
        </w:rPr>
        <w:t>09</w:t>
      </w:r>
      <w:r>
        <w:rPr>
          <w:rFonts w:hint="eastAsia" w:cs="Arial" w:asciiTheme="minorEastAsia" w:hAnsiTheme="minorEastAsia" w:eastAsiaTheme="minorEastAsia"/>
          <w:color w:val="auto"/>
          <w:sz w:val="24"/>
          <w:highlight w:val="none"/>
        </w:rPr>
        <w:t>:30</w:t>
      </w:r>
      <w:r>
        <w:rPr>
          <w:rFonts w:hint="eastAsia" w:asciiTheme="minorEastAsia" w:hAnsiTheme="minorEastAsia" w:eastAsiaTheme="minorEastAsia"/>
          <w:color w:val="auto"/>
          <w:kern w:val="0"/>
          <w:sz w:val="24"/>
          <w:highlight w:val="none"/>
        </w:rPr>
        <w:t>时整</w:t>
      </w:r>
      <w:r>
        <w:rPr>
          <w:rFonts w:hint="eastAsia" w:cs="Arial" w:asciiTheme="minorEastAsia" w:hAnsiTheme="minorEastAsia" w:eastAsiaTheme="minorEastAsia"/>
          <w:color w:val="auto"/>
          <w:sz w:val="24"/>
          <w:highlight w:val="none"/>
        </w:rPr>
        <w:t>在</w:t>
      </w:r>
      <w:r>
        <w:rPr>
          <w:rFonts w:hint="eastAsia"/>
          <w:b/>
          <w:bCs/>
          <w:color w:val="auto"/>
          <w:sz w:val="24"/>
          <w:highlight w:val="none"/>
        </w:rPr>
        <w:t>路桥区财富大道999号区政府商城办公区（商城国际）五楼政府采购中心开标室（二）</w:t>
      </w:r>
      <w:r>
        <w:rPr>
          <w:rFonts w:hint="eastAsia" w:asciiTheme="minorEastAsia" w:hAnsiTheme="minorEastAsia" w:eastAsiaTheme="minorEastAsia"/>
          <w:color w:val="auto"/>
          <w:sz w:val="24"/>
          <w:highlight w:val="none"/>
        </w:rPr>
        <w:t>开</w:t>
      </w:r>
      <w:r>
        <w:rPr>
          <w:rFonts w:hint="eastAsia" w:cs="Arial" w:asciiTheme="minorEastAsia" w:hAnsiTheme="minorEastAsia" w:eastAsiaTheme="minorEastAsia"/>
          <w:color w:val="auto"/>
          <w:sz w:val="24"/>
          <w:highlight w:val="none"/>
        </w:rPr>
        <w:t>标，</w:t>
      </w:r>
      <w:r>
        <w:rPr>
          <w:rFonts w:hint="eastAsia" w:asciiTheme="minorEastAsia" w:hAnsiTheme="minorEastAsia" w:eastAsiaTheme="minorEastAsia"/>
          <w:color w:val="auto"/>
          <w:kern w:val="0"/>
          <w:sz w:val="24"/>
          <w:highlight w:val="none"/>
        </w:rPr>
        <w:t>请在开标当日</w:t>
      </w:r>
      <w:r>
        <w:rPr>
          <w:rFonts w:hint="eastAsia" w:ascii="宋体" w:hAnsi="宋体" w:cs="宋体" w:eastAsiaTheme="minorEastAsia"/>
          <w:color w:val="auto"/>
          <w:sz w:val="24"/>
          <w:szCs w:val="32"/>
          <w:highlight w:val="none"/>
        </w:rPr>
        <w:t>2019年</w:t>
      </w:r>
      <w:r>
        <w:rPr>
          <w:rFonts w:hint="eastAsia" w:ascii="宋体" w:hAnsi="宋体" w:cs="宋体" w:eastAsiaTheme="minorEastAsia"/>
          <w:color w:val="auto"/>
          <w:sz w:val="24"/>
          <w:szCs w:val="32"/>
          <w:highlight w:val="none"/>
          <w:lang w:val="en-US" w:eastAsia="zh-CN"/>
        </w:rPr>
        <w:t>12</w:t>
      </w:r>
      <w:r>
        <w:rPr>
          <w:rFonts w:hint="eastAsia" w:ascii="宋体" w:hAnsi="宋体" w:cs="宋体" w:eastAsiaTheme="minorEastAsia"/>
          <w:color w:val="auto"/>
          <w:sz w:val="24"/>
          <w:szCs w:val="32"/>
          <w:highlight w:val="none"/>
        </w:rPr>
        <w:t>月</w:t>
      </w:r>
      <w:r>
        <w:rPr>
          <w:rFonts w:hint="eastAsia" w:ascii="宋体" w:hAnsi="宋体" w:cs="宋体" w:eastAsiaTheme="minorEastAsia"/>
          <w:color w:val="auto"/>
          <w:sz w:val="24"/>
          <w:szCs w:val="32"/>
          <w:highlight w:val="none"/>
          <w:lang w:val="en-US" w:eastAsia="zh-CN"/>
        </w:rPr>
        <w:t>20</w:t>
      </w:r>
      <w:r>
        <w:rPr>
          <w:rFonts w:hint="eastAsia" w:ascii="宋体" w:hAnsi="宋体" w:cs="宋体" w:eastAsiaTheme="minorEastAsia"/>
          <w:color w:val="auto"/>
          <w:sz w:val="24"/>
          <w:szCs w:val="32"/>
          <w:highlight w:val="none"/>
        </w:rPr>
        <w:t>日</w:t>
      </w:r>
      <w:r>
        <w:rPr>
          <w:rFonts w:hint="eastAsia" w:ascii="宋体" w:hAnsi="宋体" w:cs="宋体" w:eastAsiaTheme="minorEastAsia"/>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rPr>
        <w:t>:30</w:t>
      </w:r>
      <w:r>
        <w:rPr>
          <w:rFonts w:hint="eastAsia" w:cs="Arial" w:asciiTheme="minorEastAsia" w:hAnsiTheme="minorEastAsia" w:eastAsiaTheme="minorEastAsia"/>
          <w:color w:val="auto"/>
          <w:sz w:val="24"/>
          <w:highlight w:val="none"/>
        </w:rPr>
        <w:t>前</w:t>
      </w:r>
      <w:r>
        <w:rPr>
          <w:rFonts w:hint="eastAsia" w:asciiTheme="minorEastAsia" w:hAnsiTheme="minorEastAsia" w:eastAsiaTheme="minorEastAsia"/>
          <w:color w:val="auto"/>
          <w:kern w:val="0"/>
          <w:sz w:val="24"/>
          <w:highlight w:val="none"/>
        </w:rPr>
        <w:t>将投标文件送达开标地点，逾期或不符合规定的投标文件恕不接受。</w:t>
      </w:r>
    </w:p>
    <w:p>
      <w:pPr>
        <w:spacing w:line="360" w:lineRule="auto"/>
        <w:rPr>
          <w:rFonts w:ascii="宋体" w:hAnsi="宋体" w:cs="宋体"/>
          <w:b/>
          <w:bCs/>
          <w:color w:val="auto"/>
          <w:sz w:val="24"/>
          <w:szCs w:val="32"/>
          <w:highlight w:val="none"/>
        </w:rPr>
      </w:pPr>
      <w:r>
        <w:rPr>
          <w:rFonts w:hint="eastAsia" w:asciiTheme="minorEastAsia" w:hAnsiTheme="minorEastAsia" w:eastAsiaTheme="minorEastAsia"/>
          <w:b/>
          <w:color w:val="auto"/>
          <w:kern w:val="0"/>
          <w:sz w:val="24"/>
          <w:highlight w:val="none"/>
        </w:rPr>
        <w:t>六、</w:t>
      </w:r>
      <w:r>
        <w:rPr>
          <w:rFonts w:hint="eastAsia" w:ascii="宋体" w:hAnsi="宋体" w:cs="宋体"/>
          <w:b/>
          <w:bCs/>
          <w:color w:val="auto"/>
          <w:sz w:val="24"/>
          <w:szCs w:val="32"/>
          <w:highlight w:val="none"/>
        </w:rPr>
        <w:t>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1.采购公告期限：质疑和投诉中对采购公告信息（含供应商资格条件）提出质疑的，质疑期限自采购公告发布之日起7个工作日内。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认为招标文件使自己的权益受到损害的，可以自收到招标文件之日（发售截止日之后收到招标文件的，以发售截止日为准,且应当在采购响应截止时间之前提出，否则，被质疑人可不予接受。）或者采购公告期限届满之日（公告发布后的第6个工作日）起7个工作日内，以书面形式向采购单位和采购代理机构提出质疑。质疑供应商对采购单位、采购代理机构的答复不满意或者采购单位、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3.中标公告期限：对中标结果提出质疑的，应当在中标结果公告期限届满之日起7个工作日内。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1）信用信息查询的截止时点：投标截止前一个工作日；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4）信用信息的使用规则：投标供应商存在不良信用记录的，其投标将被作为无效投标被拒绝。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不良信用记录指：被列入失信被执行人、重大税收违法案件当事人名单、政府采购严重违法失信行为记录名单或浙江政府采购网曝光台中尚在行政处罚期内的。</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七、联系方式：</w:t>
      </w:r>
    </w:p>
    <w:p>
      <w:pPr>
        <w:spacing w:line="360" w:lineRule="auto"/>
        <w:ind w:firstLine="482" w:firstLineChars="200"/>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1、</w:t>
      </w:r>
      <w:r>
        <w:rPr>
          <w:rFonts w:hint="eastAsia" w:cs="Arial" w:asciiTheme="minorEastAsia" w:hAnsiTheme="minorEastAsia" w:eastAsiaTheme="minorEastAsia"/>
          <w:color w:val="auto"/>
          <w:sz w:val="24"/>
          <w:highlight w:val="none"/>
        </w:rPr>
        <w:t>采购代理机构</w:t>
      </w:r>
      <w:r>
        <w:rPr>
          <w:rFonts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浙江五石工程咨询有限公司</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项目联系人：徐名峰，15088711407</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质疑接收联系人：徐升；联系电话：0571-85340710；</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报名联系人：高女士；联系电话：0571-85334203；传真：0571-85342190</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地点：杭州市下城区白石路318号中国（杭州）人力资源服务产业园北楼415室</w:t>
      </w:r>
    </w:p>
    <w:p>
      <w:pPr>
        <w:snapToGrid w:val="0"/>
        <w:spacing w:line="360" w:lineRule="auto"/>
        <w:ind w:firstLine="482" w:firstLineChars="200"/>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2、</w:t>
      </w:r>
      <w:r>
        <w:rPr>
          <w:rFonts w:hint="eastAsia" w:cs="Arial" w:asciiTheme="minorEastAsia" w:hAnsiTheme="minorEastAsia" w:eastAsiaTheme="minorEastAsia"/>
          <w:color w:val="auto"/>
          <w:sz w:val="24"/>
          <w:highlight w:val="none"/>
        </w:rPr>
        <w:t>采购单位</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台州市路桥区机关事务中心</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联系人：赵先生；联系电话：0576-82445739</w:t>
      </w:r>
    </w:p>
    <w:p>
      <w:pPr>
        <w:pStyle w:val="2"/>
        <w:rPr>
          <w:color w:val="auto"/>
          <w:highlight w:val="none"/>
        </w:rPr>
      </w:pPr>
    </w:p>
    <w:p>
      <w:pPr>
        <w:pStyle w:val="2"/>
        <w:rPr>
          <w:color w:val="auto"/>
          <w:highlight w:val="none"/>
        </w:rPr>
      </w:pPr>
    </w:p>
    <w:p>
      <w:pPr>
        <w:pStyle w:val="2"/>
        <w:jc w:val="center"/>
        <w:rPr>
          <w:rFonts w:eastAsiaTheme="minorEastAsia"/>
          <w:color w:val="auto"/>
          <w:highlight w:val="none"/>
        </w:rPr>
      </w:pPr>
      <w:r>
        <w:rPr>
          <w:rFonts w:hint="eastAsia" w:cs="Arial" w:asciiTheme="minorEastAsia" w:hAnsiTheme="minorEastAsia" w:eastAsiaTheme="minorEastAsia"/>
          <w:color w:val="auto"/>
          <w:highlight w:val="none"/>
        </w:rPr>
        <w:t xml:space="preserve">                                        浙江五石工程咨询有限公司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val="en-US" w:eastAsia="zh-CN"/>
        </w:rPr>
        <w:t xml:space="preserve">                                 </w:t>
      </w:r>
      <w:r>
        <w:rPr>
          <w:rFonts w:hint="eastAsia" w:cs="Arial" w:asciiTheme="minorEastAsia" w:hAnsiTheme="minorEastAsia" w:eastAsiaTheme="minorEastAsia"/>
          <w:color w:val="auto"/>
          <w:sz w:val="24"/>
          <w:highlight w:val="none"/>
        </w:rPr>
        <w:t>2019年11月</w:t>
      </w: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pStyle w:val="2"/>
        <w:rPr>
          <w:rFonts w:cs="Arial" w:asciiTheme="minorEastAsia" w:hAnsiTheme="minorEastAsia" w:eastAsiaTheme="minorEastAsia"/>
          <w:color w:val="auto"/>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投标供应商须知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1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cs="Arial" w:asciiTheme="minorEastAsia" w:hAnsiTheme="minorEastAsia" w:eastAsia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投标文件中的报价文件必须与其他文件分开各自密封包装。</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资格证明文件、商务与技术文件正本</w:t>
            </w:r>
            <w:r>
              <w:rPr>
                <w:rFonts w:hint="eastAsia" w:cs="Arial" w:asciiTheme="minorEastAsia" w:hAnsiTheme="minorEastAsia" w:eastAsiaTheme="minorEastAsia"/>
                <w:color w:val="auto"/>
                <w:sz w:val="24"/>
                <w:highlight w:val="none"/>
              </w:rPr>
              <w:t>1</w:t>
            </w:r>
            <w:r>
              <w:rPr>
                <w:rFonts w:hint="eastAsia" w:asciiTheme="majorEastAsia" w:hAnsiTheme="majorEastAsia" w:eastAsiaTheme="majorEastAsia" w:cstheme="majorEastAsia"/>
                <w:color w:val="auto"/>
                <w:sz w:val="24"/>
                <w:highlight w:val="none"/>
              </w:rPr>
              <w:t>份、副本</w:t>
            </w:r>
            <w:r>
              <w:rPr>
                <w:rFonts w:hint="eastAsia" w:cs="Arial" w:asciiTheme="minorEastAsia" w:hAnsiTheme="minorEastAsia" w:eastAsiaTheme="minorEastAsia"/>
                <w:color w:val="auto"/>
                <w:sz w:val="24"/>
                <w:highlight w:val="none"/>
              </w:rPr>
              <w:t>4</w:t>
            </w:r>
            <w:r>
              <w:rPr>
                <w:rFonts w:hint="eastAsia" w:asciiTheme="majorEastAsia" w:hAnsiTheme="majorEastAsia" w:eastAsiaTheme="majorEastAsia" w:cstheme="majorEastAsia"/>
                <w:color w:val="auto"/>
                <w:sz w:val="24"/>
                <w:highlight w:val="none"/>
              </w:rPr>
              <w:t>份，报价文件正本</w:t>
            </w:r>
            <w:r>
              <w:rPr>
                <w:rFonts w:hint="eastAsia" w:cs="Arial" w:asciiTheme="minorEastAsia" w:hAnsiTheme="minorEastAsia" w:eastAsiaTheme="minorEastAsia"/>
                <w:color w:val="auto"/>
                <w:sz w:val="24"/>
                <w:highlight w:val="none"/>
              </w:rPr>
              <w:t>1</w:t>
            </w:r>
            <w:r>
              <w:rPr>
                <w:rFonts w:hint="eastAsia" w:asciiTheme="majorEastAsia" w:hAnsiTheme="majorEastAsia" w:eastAsiaTheme="majorEastAsia" w:cstheme="majorEastAsia"/>
                <w:color w:val="auto"/>
                <w:sz w:val="24"/>
                <w:highlight w:val="none"/>
              </w:rPr>
              <w:t>份、副本</w:t>
            </w:r>
            <w:r>
              <w:rPr>
                <w:rFonts w:hint="eastAsia" w:cs="Arial" w:asciiTheme="minorEastAsia" w:hAnsiTheme="minorEastAsia" w:eastAsiaTheme="minorEastAsia"/>
                <w:color w:val="auto"/>
                <w:sz w:val="24"/>
                <w:highlight w:val="none"/>
              </w:rPr>
              <w:t>4</w:t>
            </w:r>
            <w:r>
              <w:rPr>
                <w:rFonts w:hint="eastAsia" w:asciiTheme="majorEastAsia" w:hAnsiTheme="majorEastAsia" w:eastAsiaTheme="majorEastAsia" w:cstheme="major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eastAsiaTheme="majorEastAsia"/>
                <w:color w:val="auto"/>
                <w:sz w:val="24"/>
                <w:highlight w:val="none"/>
              </w:rPr>
            </w:pPr>
            <w:r>
              <w:rPr>
                <w:rFonts w:hint="eastAsia" w:asciiTheme="majorEastAsia" w:hAnsiTheme="majorEastAsia" w:eastAsiaTheme="majorEastAsia" w:cstheme="majorEastAsia"/>
                <w:color w:val="auto"/>
                <w:sz w:val="24"/>
                <w:highlight w:val="none"/>
              </w:rPr>
              <w:t>截止时间：北京时间2019年</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20</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lang w:val="en-US" w:eastAsia="zh-CN"/>
              </w:rPr>
              <w:t>上</w:t>
            </w:r>
            <w:r>
              <w:rPr>
                <w:rFonts w:hint="eastAsia" w:asciiTheme="majorEastAsia" w:hAnsiTheme="majorEastAsia" w:eastAsiaTheme="majorEastAsia" w:cstheme="majorEastAsia"/>
                <w:color w:val="auto"/>
                <w:sz w:val="24"/>
                <w:highlight w:val="none"/>
              </w:rPr>
              <w:t>午</w:t>
            </w:r>
            <w:r>
              <w:rPr>
                <w:rFonts w:hint="eastAsia" w:asciiTheme="majorEastAsia" w:hAnsiTheme="majorEastAsia" w:eastAsiaTheme="majorEastAsia" w:cstheme="majorEastAsia"/>
                <w:color w:val="auto"/>
                <w:sz w:val="24"/>
                <w:highlight w:val="none"/>
                <w:lang w:val="en-US" w:eastAsia="zh-CN"/>
              </w:rPr>
              <w:t>09</w:t>
            </w:r>
            <w:r>
              <w:rPr>
                <w:rFonts w:hint="eastAsia" w:asciiTheme="majorEastAsia" w:hAnsiTheme="majorEastAsia" w:eastAsiaTheme="majorEastAsia" w:cstheme="majorEastAsia"/>
                <w:color w:val="auto"/>
                <w:sz w:val="24"/>
                <w:highlight w:val="none"/>
              </w:rPr>
              <w:t>:30。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w:t>
            </w:r>
            <w:r>
              <w:rPr>
                <w:rFonts w:hint="eastAsia"/>
                <w:b/>
                <w:bCs/>
                <w:color w:val="auto"/>
                <w:sz w:val="24"/>
                <w:highlight w:val="none"/>
              </w:rPr>
              <w:t>路桥区财富大道999号区政府商城办公区（商城国际）五楼政府采购中心开标室（二）</w:t>
            </w:r>
            <w:r>
              <w:rPr>
                <w:rFonts w:hint="eastAsia" w:asciiTheme="majorEastAsia" w:hAnsiTheme="majorEastAsia" w:eastAsiaTheme="majorEastAsia" w:cstheme="majorEastAsia"/>
                <w:color w:val="auto"/>
                <w:sz w:val="24"/>
                <w:highlight w:val="none"/>
              </w:rPr>
              <w:t>。</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时间：北京时间2019年</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20</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lang w:val="en-US" w:eastAsia="zh-CN"/>
              </w:rPr>
              <w:t>上</w:t>
            </w:r>
            <w:r>
              <w:rPr>
                <w:rFonts w:hint="eastAsia" w:asciiTheme="majorEastAsia" w:hAnsiTheme="majorEastAsia" w:eastAsiaTheme="majorEastAsia" w:cstheme="majorEastAsia"/>
                <w:color w:val="auto"/>
                <w:sz w:val="24"/>
                <w:highlight w:val="none"/>
              </w:rPr>
              <w:t>午</w:t>
            </w:r>
            <w:r>
              <w:rPr>
                <w:rFonts w:hint="eastAsia" w:asciiTheme="majorEastAsia" w:hAnsiTheme="majorEastAsia" w:eastAsiaTheme="majorEastAsia" w:cstheme="majorEastAsia"/>
                <w:color w:val="auto"/>
                <w:sz w:val="24"/>
                <w:highlight w:val="none"/>
                <w:lang w:val="en-US" w:eastAsia="zh-CN"/>
              </w:rPr>
              <w:t>09</w:t>
            </w:r>
            <w:r>
              <w:rPr>
                <w:rFonts w:hint="eastAsia" w:asciiTheme="majorEastAsia" w:hAnsiTheme="majorEastAsia" w:eastAsiaTheme="majorEastAsia" w:cstheme="majorEastAsia"/>
                <w:color w:val="auto"/>
                <w:sz w:val="24"/>
                <w:highlight w:val="none"/>
              </w:rPr>
              <w:t>:30</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w:t>
            </w:r>
            <w:r>
              <w:rPr>
                <w:rFonts w:hint="eastAsia"/>
                <w:b/>
                <w:bCs/>
                <w:color w:val="auto"/>
                <w:sz w:val="24"/>
                <w:highlight w:val="none"/>
              </w:rPr>
              <w:t>路桥区财富大道999号区政府商城办公区（商城国际）五楼政府采购中心开标室（二）</w:t>
            </w:r>
            <w:r>
              <w:rPr>
                <w:rFonts w:hint="eastAsia" w:asciiTheme="majorEastAsia" w:hAnsiTheme="majorEastAsia" w:eastAsiaTheme="majorEastAsia" w:cstheme="maj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left="0" w:leftChars="0"/>
              <w:rPr>
                <w:rFonts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w:t>
            </w:r>
            <w:r>
              <w:rPr>
                <w:rFonts w:hint="eastAsia" w:ascii="宋体" w:hAnsi="宋体" w:eastAsia="宋体" w:cs="宋体"/>
                <w:color w:val="auto"/>
                <w:sz w:val="24"/>
                <w:szCs w:val="24"/>
                <w:highlight w:val="none"/>
                <w:lang w:val="en-US" w:eastAsia="zh-CN"/>
              </w:rPr>
              <w:t>人民币壹拾万元整</w:t>
            </w:r>
            <w:bookmarkStart w:id="51" w:name="_GoBack"/>
            <w:bookmarkEnd w:id="51"/>
            <w:r>
              <w:rPr>
                <w:rFonts w:hint="eastAsia" w:ascii="宋体" w:hAnsi="宋体" w:eastAsia="宋体" w:cs="宋体"/>
                <w:b/>
                <w:bCs/>
                <w:color w:val="auto"/>
                <w:sz w:val="24"/>
                <w:szCs w:val="24"/>
                <w:highlight w:val="none"/>
              </w:rPr>
              <w:t>（履约保证金可现金、保函、保险、担保等形式）</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节能环保</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样品</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现场演示</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无需。</w:t>
            </w:r>
          </w:p>
        </w:tc>
      </w:tr>
    </w:tbl>
    <w:p>
      <w:pPr>
        <w:pStyle w:val="9"/>
        <w:snapToGrid w:val="0"/>
        <w:spacing w:before="120" w:after="120" w:line="360" w:lineRule="auto"/>
        <w:rPr>
          <w:rFonts w:asciiTheme="minorEastAsia" w:hAnsiTheme="minorEastAsia" w:eastAsiaTheme="minorEastAsia"/>
          <w:b/>
          <w:color w:val="auto"/>
          <w:sz w:val="24"/>
          <w:highlight w:val="none"/>
        </w:rPr>
      </w:pPr>
    </w:p>
    <w:p>
      <w:pPr>
        <w:pStyle w:val="9"/>
        <w:snapToGrid w:val="0"/>
        <w:spacing w:before="120" w:after="120" w:line="360" w:lineRule="auto"/>
        <w:rPr>
          <w:rFonts w:asciiTheme="minorEastAsia" w:hAnsiTheme="minorEastAsia" w:eastAsiaTheme="minorEastAsia"/>
          <w:b/>
          <w:color w:val="auto"/>
          <w:sz w:val="24"/>
          <w:highlight w:val="none"/>
        </w:rPr>
      </w:pPr>
    </w:p>
    <w:p>
      <w:pPr>
        <w:pStyle w:val="9"/>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“采购组织机构”指采购单位委托组织招标的采购代理机构。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2、采购单位：是指委托采购代理机构采购本次项目的国家机关、事业单位和团体组织。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pStyle w:val="2"/>
        <w:rPr>
          <w:rFonts w:eastAsiaTheme="minorEastAsia"/>
          <w:color w:val="auto"/>
          <w:highlight w:val="none"/>
        </w:rPr>
      </w:pPr>
      <w:r>
        <w:rPr>
          <w:rFonts w:hint="eastAsia" w:asciiTheme="minorEastAsia" w:hAnsiTheme="minorEastAsia" w:eastAsiaTheme="minorEastAsia"/>
          <w:color w:val="auto"/>
          <w:highlight w:val="none"/>
        </w:rPr>
        <w:t xml:space="preserve">     8、“★”</w:t>
      </w:r>
      <w:r>
        <w:rPr>
          <w:rFonts w:asciiTheme="minorEastAsia" w:hAnsiTheme="minorEastAsia" w:eastAsiaTheme="minorEastAsia"/>
          <w:color w:val="auto"/>
          <w:highlight w:val="none"/>
        </w:rPr>
        <w:t>系指</w:t>
      </w:r>
      <w:r>
        <w:rPr>
          <w:rFonts w:hint="eastAsia" w:asciiTheme="minorEastAsia" w:hAnsiTheme="minorEastAsia" w:eastAsiaTheme="minorEastAsia"/>
          <w:color w:val="auto"/>
          <w:highlight w:val="none"/>
        </w:rPr>
        <w:t>重要</w:t>
      </w:r>
      <w:r>
        <w:rPr>
          <w:rFonts w:asciiTheme="minorEastAsia" w:hAnsiTheme="minorEastAsia" w:eastAsiaTheme="minorEastAsia"/>
          <w:color w:val="auto"/>
          <w:highlight w:val="none"/>
        </w:rPr>
        <w:t>条款。</w:t>
      </w:r>
    </w:p>
    <w:p>
      <w:pPr>
        <w:snapToGrid w:val="0"/>
        <w:spacing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不论投标结果如何，投标供应商均应自行承担所有与投标有关的全部费用（招标文件有相关规定除外）。</w:t>
      </w:r>
    </w:p>
    <w:p>
      <w:pPr>
        <w:pStyle w:val="9"/>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9"/>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1、投标供应商</w:t>
      </w:r>
      <w:r>
        <w:rPr>
          <w:rFonts w:asciiTheme="minorEastAsia" w:hAnsiTheme="minorEastAsia" w:eastAsiaTheme="minorEastAsia"/>
          <w:color w:val="auto"/>
          <w:sz w:val="24"/>
          <w:highlight w:val="none"/>
        </w:rPr>
        <w:t>投标所使用的资格、信誉、荣誉、业绩与企业认证必须为本法人所拥有。</w:t>
      </w:r>
      <w:r>
        <w:rPr>
          <w:rFonts w:hint="eastAsia" w:asciiTheme="minorEastAsia" w:hAnsiTheme="minorEastAsia" w:eastAsiaTheme="minorEastAsia"/>
          <w:color w:val="auto"/>
          <w:sz w:val="24"/>
          <w:highlight w:val="none"/>
        </w:rPr>
        <w:t>投标供应商</w:t>
      </w:r>
      <w:r>
        <w:rPr>
          <w:rFonts w:asciiTheme="minorEastAsia" w:hAnsiTheme="minorEastAsia" w:eastAsiaTheme="minorEastAsia"/>
          <w:color w:val="auto"/>
          <w:sz w:val="24"/>
          <w:highlight w:val="none"/>
        </w:rPr>
        <w:t>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单位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22"/>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3、投标供应商</w:t>
      </w:r>
      <w:r>
        <w:rPr>
          <w:rFonts w:asciiTheme="minorEastAsia" w:hAnsiTheme="minorEastAsia" w:eastAsiaTheme="minorEastAsia" w:cstheme="minorBidi"/>
          <w:color w:val="auto"/>
          <w:sz w:val="24"/>
          <w:szCs w:val="24"/>
          <w:highlight w:val="none"/>
        </w:rPr>
        <w:t>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供应商不得相互串通投标报价，不得妨碍其他投标供应商的公平竞争，不得损害采购单位或其他投标供应商的合法权益，投标供应商不得以向采购单位、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供应商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单位或者采购组织机构应当在投标截止时间至少15日前，在原公告发布媒体上发布澄清公告，澄清或者修改的内容为招标文件的组成部分；不足15日的，采购单位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2、投标供应商</w:t>
      </w:r>
      <w:r>
        <w:rPr>
          <w:rFonts w:asciiTheme="minorEastAsia" w:hAnsiTheme="minorEastAsia" w:eastAsiaTheme="minorEastAsia"/>
          <w:color w:val="auto"/>
          <w:kern w:val="0"/>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Theme="minorEastAsia" w:hAnsiTheme="minorEastAsia" w:eastAsiaTheme="minorEastAsia"/>
          <w:color w:val="auto"/>
          <w:kern w:val="0"/>
          <w:sz w:val="24"/>
          <w:highlight w:val="none"/>
        </w:rPr>
        <w:t>投标供应商。</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投标供应商接到招标文件后，按照采购组织机构的要求提供：资格证明文件、商务与技术文件和报价文件。</w:t>
      </w:r>
      <w:r>
        <w:rPr>
          <w:rFonts w:hint="eastAsia" w:asciiTheme="minorEastAsia" w:hAnsiTheme="minorEastAsia" w:eastAsiaTheme="minorEastAsia"/>
          <w:color w:val="auto"/>
          <w:kern w:val="0"/>
          <w:sz w:val="24"/>
          <w:highlight w:val="none"/>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7"/>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（1）投标供应商情况介绍（人员与技术力量、企业规模、经营业绩等）。</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C.</w:t>
      </w:r>
      <w:r>
        <w:rPr>
          <w:rFonts w:asciiTheme="minorEastAsia" w:hAnsiTheme="minorEastAsia" w:eastAsiaTheme="minorEastAsia"/>
          <w:color w:val="auto"/>
          <w:kern w:val="0"/>
          <w:sz w:val="24"/>
          <w:szCs w:val="24"/>
          <w:highlight w:val="none"/>
        </w:rPr>
        <w:t>安装、调试及验收方案</w:t>
      </w:r>
      <w:r>
        <w:rPr>
          <w:rFonts w:hint="eastAsia" w:asciiTheme="minorEastAsia" w:hAnsiTheme="minorEastAsia" w:eastAsiaTheme="minorEastAsia"/>
          <w:color w:val="auto"/>
          <w:kern w:val="0"/>
          <w:sz w:val="24"/>
          <w:szCs w:val="24"/>
          <w:highlight w:val="none"/>
        </w:rPr>
        <w:t>（包括项目验收标准和验收方法等）</w:t>
      </w:r>
      <w:r>
        <w:rPr>
          <w:rFonts w:hint="eastAsia" w:asciiTheme="minorEastAsia" w:hAnsiTheme="minorEastAsia" w:eastAsiaTheme="minorEastAsia"/>
          <w:color w:val="auto"/>
          <w:sz w:val="24"/>
          <w:szCs w:val="24"/>
          <w:highlight w:val="none"/>
        </w:rPr>
        <w:t>和措施；</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A.</w:t>
      </w:r>
      <w:r>
        <w:rPr>
          <w:rFonts w:asciiTheme="minorEastAsia" w:hAnsiTheme="minorEastAsia" w:eastAsiaTheme="minorEastAsia"/>
          <w:color w:val="auto"/>
          <w:sz w:val="24"/>
          <w:szCs w:val="24"/>
          <w:highlight w:val="none"/>
        </w:rPr>
        <w:t>设备配置清单（</w:t>
      </w:r>
      <w:r>
        <w:rPr>
          <w:rFonts w:hint="eastAsia" w:asciiTheme="minorEastAsia" w:hAnsiTheme="minorEastAsia" w:eastAsiaTheme="minorEastAsia"/>
          <w:color w:val="auto"/>
          <w:sz w:val="24"/>
          <w:szCs w:val="24"/>
          <w:highlight w:val="none"/>
        </w:rPr>
        <w:t>均</w:t>
      </w:r>
      <w:r>
        <w:rPr>
          <w:rFonts w:asciiTheme="minorEastAsia" w:hAnsiTheme="minorEastAsia" w:eastAsiaTheme="minorEastAsia"/>
          <w:color w:val="auto"/>
          <w:sz w:val="24"/>
          <w:szCs w:val="24"/>
          <w:highlight w:val="none"/>
        </w:rPr>
        <w:t>不含报价）</w:t>
      </w:r>
      <w:r>
        <w:rPr>
          <w:rFonts w:hint="eastAsia" w:asciiTheme="minorEastAsia" w:hAnsiTheme="minorEastAsia" w:eastAsiaTheme="minorEastAsia"/>
          <w:color w:val="auto"/>
          <w:sz w:val="24"/>
          <w:szCs w:val="24"/>
          <w:highlight w:val="none"/>
        </w:rPr>
        <w:t>。</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C.商务及技术响应表。</w:t>
      </w:r>
    </w:p>
    <w:p>
      <w:pPr>
        <w:spacing w:line="360" w:lineRule="auto"/>
        <w:ind w:left="218" w:leftChars="104" w:firstLine="619" w:firstLineChars="258"/>
        <w:rPr>
          <w:rFonts w:ascii="宋体" w:hAnsi="宋体" w:cs="宋体"/>
          <w:color w:val="auto"/>
          <w:sz w:val="24"/>
          <w:highlight w:val="none"/>
        </w:rPr>
      </w:pPr>
      <w:r>
        <w:rPr>
          <w:rFonts w:hint="eastAsia" w:ascii="宋体" w:hAnsi="宋体" w:cs="宋体"/>
          <w:color w:val="auto"/>
          <w:sz w:val="24"/>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auto"/>
          <w:sz w:val="24"/>
          <w:highlight w:val="none"/>
        </w:rPr>
      </w:pPr>
      <w:r>
        <w:rPr>
          <w:rFonts w:hint="eastAsia" w:ascii="宋体" w:hAnsi="宋体" w:cs="宋体"/>
          <w:color w:val="auto"/>
          <w:sz w:val="24"/>
          <w:highlight w:val="none"/>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auto"/>
          <w:sz w:val="24"/>
          <w:highlight w:val="none"/>
        </w:rPr>
      </w:pPr>
      <w:r>
        <w:rPr>
          <w:rFonts w:hint="eastAsia" w:asciiTheme="minorEastAsia" w:hAnsiTheme="minorEastAsia" w:eastAsiaTheme="minorEastAsia"/>
          <w:color w:val="auto"/>
          <w:kern w:val="0"/>
          <w:sz w:val="24"/>
          <w:highlight w:val="none"/>
        </w:rPr>
        <w:t>（4）投标供应商</w:t>
      </w:r>
      <w:r>
        <w:rPr>
          <w:rFonts w:asciiTheme="minorEastAsia" w:hAnsiTheme="minorEastAsia" w:eastAsiaTheme="minorEastAsia"/>
          <w:color w:val="auto"/>
          <w:kern w:val="0"/>
          <w:sz w:val="24"/>
          <w:highlight w:val="none"/>
        </w:rPr>
        <w:t>通过的</w:t>
      </w:r>
      <w:r>
        <w:rPr>
          <w:rFonts w:hint="eastAsia" w:asciiTheme="minorEastAsia" w:hAnsiTheme="minorEastAsia" w:eastAsiaTheme="minorEastAsia"/>
          <w:color w:val="auto"/>
          <w:kern w:val="0"/>
          <w:sz w:val="24"/>
          <w:highlight w:val="none"/>
        </w:rPr>
        <w:t>质量管理和</w:t>
      </w:r>
      <w:r>
        <w:rPr>
          <w:rFonts w:asciiTheme="minorEastAsia" w:hAnsiTheme="minorEastAsia" w:eastAsiaTheme="minorEastAsia"/>
          <w:color w:val="auto"/>
          <w:kern w:val="0"/>
          <w:sz w:val="24"/>
          <w:highlight w:val="none"/>
        </w:rPr>
        <w:t>质量</w:t>
      </w:r>
      <w:r>
        <w:rPr>
          <w:rFonts w:hint="eastAsia" w:asciiTheme="minorEastAsia" w:hAnsiTheme="minorEastAsia" w:eastAsiaTheme="minorEastAsia"/>
          <w:color w:val="auto"/>
          <w:kern w:val="0"/>
          <w:sz w:val="24"/>
          <w:highlight w:val="none"/>
        </w:rPr>
        <w:t>保证</w:t>
      </w:r>
      <w:r>
        <w:rPr>
          <w:rFonts w:asciiTheme="minorEastAsia" w:hAnsiTheme="minorEastAsia" w:eastAsiaTheme="minorEastAsia"/>
          <w:color w:val="auto"/>
          <w:kern w:val="0"/>
          <w:sz w:val="24"/>
          <w:highlight w:val="none"/>
        </w:rPr>
        <w:t>体系、环保体系、</w:t>
      </w:r>
      <w:r>
        <w:rPr>
          <w:rFonts w:hint="eastAsia" w:asciiTheme="minorEastAsia" w:hAnsiTheme="minorEastAsia" w:eastAsiaTheme="minorEastAsia"/>
          <w:color w:val="auto"/>
          <w:sz w:val="24"/>
          <w:highlight w:val="none"/>
        </w:rPr>
        <w:t>自主创新相关证书、软件著作权证等等与本项目相关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（5）近三年来类似项目的成功案例（投标供应商类似项目实施情况一览表、合同复印件及其相应的发票、用户验收报告等；</w:t>
      </w:r>
    </w:p>
    <w:p>
      <w:pPr>
        <w:snapToGrid w:val="0"/>
        <w:spacing w:line="360" w:lineRule="auto"/>
        <w:ind w:firstLine="480" w:firstLineChars="200"/>
        <w:rPr>
          <w:rFonts w:ascii="宋体"/>
          <w:color w:val="auto"/>
          <w:sz w:val="24"/>
          <w:highlight w:val="none"/>
          <w:lang w:val="zh-CN"/>
        </w:rPr>
      </w:pPr>
      <w:r>
        <w:rPr>
          <w:rFonts w:hint="eastAsia" w:ascii="宋体" w:hAnsi="宋体" w:cs="宋体"/>
          <w:color w:val="auto"/>
          <w:sz w:val="24"/>
          <w:highlight w:val="none"/>
        </w:rPr>
        <w:t>（6）投标供应商认为需要提供的其他资料（包括可能影响投标供应商商务与技术文件评分的各类证明材料）。</w:t>
      </w:r>
    </w:p>
    <w:p>
      <w:pPr>
        <w:pStyle w:val="6"/>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（7）售后服务描述及承诺：</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A.距采购单位最近的服务网点详细介绍（包括地理位置、资质资格、技术力量、工作业绩、服务内容及联系电话等）。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auto"/>
          <w:sz w:val="24"/>
          <w:szCs w:val="24"/>
          <w:highlight w:val="none"/>
        </w:rPr>
      </w:pPr>
      <w:r>
        <w:rPr>
          <w:rFonts w:hint="eastAsia" w:ascii="宋体" w:hAnsi="宋体" w:cs="宋体"/>
          <w:color w:val="auto"/>
          <w:sz w:val="24"/>
          <w:szCs w:val="24"/>
          <w:highlight w:val="none"/>
        </w:rPr>
        <w:t>B.针对本项目的售后服务措施及承诺（售后服务方案、人员配备、响应时间等）。</w:t>
      </w:r>
    </w:p>
    <w:p>
      <w:pPr>
        <w:autoSpaceDE w:val="0"/>
        <w:autoSpaceDN w:val="0"/>
        <w:adjustRightInd w:val="0"/>
        <w:spacing w:line="360" w:lineRule="auto"/>
        <w:ind w:left="426" w:firstLine="64" w:firstLineChars="27"/>
        <w:rPr>
          <w:rFonts w:ascii="宋体" w:hAnsi="宋体" w:cs="宋体"/>
          <w:color w:val="auto"/>
          <w:sz w:val="24"/>
          <w:highlight w:val="none"/>
        </w:rPr>
      </w:pPr>
      <w:r>
        <w:rPr>
          <w:rFonts w:hint="eastAsia" w:ascii="宋体" w:hAnsi="宋体" w:cs="宋体"/>
          <w:color w:val="auto"/>
          <w:sz w:val="24"/>
          <w:highlight w:val="none"/>
        </w:rPr>
        <w:t>（8）配送管理方案</w:t>
      </w:r>
    </w:p>
    <w:p>
      <w:pPr>
        <w:autoSpaceDE w:val="0"/>
        <w:autoSpaceDN w:val="0"/>
        <w:adjustRightInd w:val="0"/>
        <w:spacing w:line="360" w:lineRule="auto"/>
        <w:ind w:left="426" w:firstLine="64" w:firstLineChars="27"/>
        <w:rPr>
          <w:rFonts w:ascii="宋体" w:hAnsi="宋体" w:cs="宋体"/>
          <w:color w:val="auto"/>
          <w:sz w:val="24"/>
          <w:highlight w:val="none"/>
        </w:rPr>
      </w:pPr>
      <w:r>
        <w:rPr>
          <w:rFonts w:hint="eastAsia" w:ascii="宋体" w:hAnsi="宋体" w:cs="宋体"/>
          <w:color w:val="auto"/>
          <w:sz w:val="24"/>
          <w:highlight w:val="none"/>
        </w:rPr>
        <w:t>（9）指派服务人员的细表</w:t>
      </w:r>
    </w:p>
    <w:p>
      <w:pPr>
        <w:autoSpaceDE w:val="0"/>
        <w:autoSpaceDN w:val="0"/>
        <w:adjustRightInd w:val="0"/>
        <w:spacing w:line="360" w:lineRule="auto"/>
        <w:ind w:left="426" w:firstLine="64" w:firstLineChars="27"/>
        <w:rPr>
          <w:color w:val="auto"/>
          <w:highlight w:val="none"/>
        </w:rPr>
      </w:pPr>
      <w:r>
        <w:rPr>
          <w:rFonts w:hint="eastAsia" w:ascii="宋体" w:hAnsi="宋体" w:cs="宋体"/>
          <w:color w:val="auto"/>
          <w:sz w:val="24"/>
          <w:highlight w:val="none"/>
        </w:rPr>
        <w:t>（10）</w:t>
      </w:r>
      <w:r>
        <w:rPr>
          <w:rFonts w:hint="eastAsia" w:ascii="宋体" w:hAnsi="宋体"/>
          <w:color w:val="auto"/>
          <w:szCs w:val="21"/>
          <w:highlight w:val="none"/>
        </w:rPr>
        <w:t>拟投入配送设备、车辆配置明细</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（1）报价文件由开标一览表、报价明细表、小微企业等声明函、产品适用政府采购政策情况表，以及投标供应商认为其他需要说明的内容组成。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（2）此报价为投标供应商一次性报出唯一的最终价格，包含其它一切所要涉及到的费用，有选择的报价将被拒绝。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投标报价单不得涂改和增删，如有错漏必须修改，修改处须由同一签署人签字或盖章。由于字迹模糊或表达不清引起的后果由投标供应商负责。</w:t>
      </w:r>
    </w:p>
    <w:p>
      <w:pPr>
        <w:autoSpaceDE w:val="0"/>
        <w:autoSpaceDN w:val="0"/>
        <w:adjustRightInd w:val="0"/>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投标报价应按招标文件中相关附表格式填写。</w:t>
      </w:r>
    </w:p>
    <w:p>
      <w:pPr>
        <w:numPr>
          <w:ilvl w:val="0"/>
          <w:numId w:val="8"/>
        </w:numPr>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投标供应商</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处理（拒收、扣分等），由此产生的责任由投标供应商自行承担。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（2）投标供应商应对所提供的全部资料的真实性承担法律责任，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有要求盖章或签字的地方，必须加盖投标供应商的公章以及法定代表人或授权委托代理人盖章或签字。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w:t>
      </w:r>
      <w:r>
        <w:rPr>
          <w:rFonts w:hint="eastAsia" w:asciiTheme="minorEastAsia" w:hAnsiTheme="minorEastAsia" w:eastAsiaTheme="minorEastAsia"/>
          <w:color w:val="auto"/>
          <w:sz w:val="24"/>
          <w:highlight w:val="none"/>
        </w:rPr>
        <w:t>投标供应商</w:t>
      </w:r>
      <w:r>
        <w:rPr>
          <w:rFonts w:asciiTheme="minorEastAsia" w:hAnsiTheme="minorEastAsia" w:eastAsiaTheme="minorEastAsia"/>
          <w:color w:val="auto"/>
          <w:sz w:val="24"/>
          <w:highlight w:val="none"/>
        </w:rPr>
        <w:t>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w:t>
      </w:r>
      <w:r>
        <w:rPr>
          <w:rFonts w:hint="eastAsia" w:asciiTheme="minorEastAsia" w:hAnsiTheme="minorEastAsia" w:eastAsiaTheme="minorEastAsia"/>
          <w:color w:val="auto"/>
          <w:sz w:val="24"/>
          <w:highlight w:val="none"/>
        </w:rPr>
        <w:t>投标供应商</w:t>
      </w:r>
      <w:r>
        <w:rPr>
          <w:rFonts w:asciiTheme="minorEastAsia" w:hAnsiTheme="minorEastAsia" w:eastAsiaTheme="minorEastAsia"/>
          <w:color w:val="auto"/>
          <w:sz w:val="24"/>
          <w:highlight w:val="none"/>
        </w:rPr>
        <w:t>不按招标文件的要求提供资格审查材料，其风险由</w:t>
      </w:r>
      <w:r>
        <w:rPr>
          <w:rFonts w:hint="eastAsia" w:asciiTheme="minorEastAsia" w:hAnsiTheme="minorEastAsia" w:eastAsiaTheme="minorEastAsia"/>
          <w:color w:val="auto"/>
          <w:sz w:val="24"/>
          <w:highlight w:val="none"/>
        </w:rPr>
        <w:t>投标供应商</w:t>
      </w:r>
      <w:r>
        <w:rPr>
          <w:rFonts w:asciiTheme="minorEastAsia" w:hAnsiTheme="minorEastAsia" w:eastAsiaTheme="minorEastAsia"/>
          <w:color w:val="auto"/>
          <w:sz w:val="24"/>
          <w:highlight w:val="none"/>
        </w:rPr>
        <w:t>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rPr>
        <w:t>5</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并逐页连续标注页码。因投标文件内容不完整、编排混乱导致投标文件被误读、漏读或者查找不到相关内容的责任由投标供应商自行承担。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（3）请在密封袋的封口处应有投标单位公章或投标授权委托代理人签字。封皮上写明项目编号、标段、招标项目名称、投标供应商名称，并注明“投标文件名称（资格证明文件、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（2）如有特殊情况，采购组织机构延长截止时间和开标时间，采购组织机构和投标供应商的权利和义务将受到新的截止时间和开标时间的约束。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（1）投标供应商如需对上交的投标文件进行补充、修改或撤回的，必须在投标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（2）投标修改文件必须密封，在密封袋上写明项目编号、标段、招标项目名称、投标供应商名称、并注明“修改文件”、“开标时启封”字样，其作为投标文件的组成部份。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在特殊情况下，采购单位可与投标供应商协商延长投标文件的有效期，这种要求和答复均以书面形式进行。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GB"/>
        </w:rPr>
        <w:t>投标供应商可拒绝接受延期要求。同意延长有效期的投标供应商需要相应延长投标</w:t>
      </w:r>
      <w:r>
        <w:rPr>
          <w:rFonts w:asciiTheme="minorEastAsia" w:hAnsiTheme="minorEastAsia" w:eastAsiaTheme="minorEastAsia"/>
          <w:color w:val="auto"/>
          <w:sz w:val="24"/>
          <w:highlight w:val="none"/>
        </w:rPr>
        <w:t>有效期，但不能修改投标文件。</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.中标单位</w:t>
      </w:r>
      <w:r>
        <w:rPr>
          <w:rFonts w:asciiTheme="minorEastAsia" w:hAnsiTheme="minorEastAsia" w:eastAsiaTheme="minorEastAsia"/>
          <w:color w:val="auto"/>
          <w:sz w:val="24"/>
          <w:highlight w:val="none"/>
        </w:rPr>
        <w:t>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采购组织机构在“招标公告”规定的时间和地点公开开标，投标供应商的法定代表人或其授权委托代理人应参加开标会并签到。</w:t>
      </w:r>
      <w:r>
        <w:rPr>
          <w:rFonts w:hint="eastAsia" w:asciiTheme="minorEastAsia" w:hAnsiTheme="minorEastAsia" w:eastAsiaTheme="minorEastAsia"/>
          <w:bCs/>
          <w:color w:val="auto"/>
          <w:sz w:val="24"/>
          <w:highlight w:val="none"/>
        </w:rPr>
        <w:t>投标供应商</w:t>
      </w:r>
      <w:r>
        <w:rPr>
          <w:rFonts w:asciiTheme="minorEastAsia" w:hAnsiTheme="minorEastAsia" w:eastAsiaTheme="minorEastAsia"/>
          <w:bCs/>
          <w:color w:val="auto"/>
          <w:sz w:val="24"/>
          <w:highlight w:val="none"/>
        </w:rPr>
        <w:t>的法定代表人或其</w:t>
      </w:r>
      <w:r>
        <w:rPr>
          <w:rFonts w:hint="eastAsia" w:asciiTheme="minorEastAsia" w:hAnsiTheme="minorEastAsia" w:eastAsiaTheme="minorEastAsia"/>
          <w:bCs/>
          <w:color w:val="auto"/>
          <w:sz w:val="24"/>
          <w:highlight w:val="none"/>
        </w:rPr>
        <w:t>授权委托代理人</w:t>
      </w:r>
      <w:r>
        <w:rPr>
          <w:rFonts w:asciiTheme="minorEastAsia" w:hAnsiTheme="minorEastAsia" w:eastAsiaTheme="minorEastAsia"/>
          <w:bCs/>
          <w:color w:val="auto"/>
          <w:sz w:val="24"/>
          <w:highlight w:val="none"/>
        </w:rPr>
        <w:t>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（本次招标</w:t>
      </w:r>
      <w:r>
        <w:rPr>
          <w:rFonts w:cs="Arial" w:asciiTheme="minorEastAsia" w:hAnsiTheme="minorEastAsia" w:eastAsiaTheme="minorEastAsia"/>
          <w:color w:val="auto"/>
          <w:sz w:val="24"/>
          <w:highlight w:val="none"/>
        </w:rPr>
        <w:t>采用先评审商务资格</w:t>
      </w:r>
      <w:r>
        <w:rPr>
          <w:rFonts w:hint="eastAsia" w:cs="Arial" w:asciiTheme="minorEastAsia" w:hAnsiTheme="minorEastAsia" w:eastAsiaTheme="minorEastAsia"/>
          <w:color w:val="auto"/>
          <w:sz w:val="24"/>
          <w:highlight w:val="none"/>
        </w:rPr>
        <w:t>和</w:t>
      </w:r>
      <w:r>
        <w:rPr>
          <w:rFonts w:cs="Arial" w:asciiTheme="minorEastAsia" w:hAnsiTheme="minorEastAsia" w:eastAsiaTheme="minorEastAsia"/>
          <w:color w:val="auto"/>
          <w:sz w:val="24"/>
          <w:highlight w:val="none"/>
        </w:rPr>
        <w:t>技术服务方案</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后公开并评审商务报价的办法</w:t>
      </w:r>
      <w:r>
        <w:rPr>
          <w:rFonts w:hint="eastAsia" w:asciiTheme="minorEastAsia" w:hAnsiTheme="minorEastAsia" w:eastAsiaTheme="minorEastAsia"/>
          <w:color w:val="auto"/>
          <w:kern w:val="0"/>
          <w:sz w:val="24"/>
          <w:highlight w:val="none"/>
        </w:rPr>
        <w:t>实施）。</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4、投标供应商或其当场推荐的代表，检查投标文件密封的完整性；</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投标供应商代表对开标记录进行当场校核及勘误，并签字确认。同时由记录人、监督人当场签字确认。投标供应商代表未到场签字确认或者拒绝签字确认的，不影响评标过程；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9"/>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9"/>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9"/>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9"/>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公开招标采购项目开标结束后，采购单位或者采购组织机构应当依法对投标供应商的资格进行审查，对审查发现无效的进行必要的询标，结束后公布无效投标的投标供应商名单、投标无效的原因。</w:t>
      </w:r>
    </w:p>
    <w:p>
      <w:pPr>
        <w:pStyle w:val="15"/>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评标委员会应当对符合资格的投标供应商的投标文件进行符合性审查，以确定其是否满足招标文件的实质性要求，对审查发现无效的进行必要的询标，结束后公布无效投标的投标供应商名单、投标无效的原因。</w:t>
      </w:r>
    </w:p>
    <w:p>
      <w:pPr>
        <w:pStyle w:val="15"/>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（1）对于投标文件中含义不明确、同类问题表述不一致或者有明显文字和计算错误的内容，评标委员会应当以书面形式要求投标供应商做出必要的澄清、说明或者补正。</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（3）评标时，评标委员会各成员应当独立对每个投标供应商的投标文件进行评价，并汇总每个投标供应商的得分。</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4、得分确认及评审报告编写</w:t>
      </w:r>
    </w:p>
    <w:p>
      <w:pPr>
        <w:pStyle w:val="9"/>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投标供应商的澄清、说明或者补正应当采用书面形式，并加盖公章，或者由法定代理人或其授权的代表签字，并不得超出投标文件的范围或者改变投标文件的实质性内容。</w:t>
      </w:r>
    </w:p>
    <w:p>
      <w:pPr>
        <w:pStyle w:val="9"/>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供应商确认后产生约束力，投标供应商不确认的，其投标无效。</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投标供应商存在下列情况之一的，投标无效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5"/>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3、投标文件含有采购单位不能接受的附加条件的。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sz w:val="24"/>
          <w:highlight w:val="none"/>
        </w:rPr>
        <w:t>4、投标代表人未能出具身份证明或与法定代表人授权委托人身份不符的；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7、主要性能参数指标负偏离项（含）</w:t>
      </w:r>
      <w:r>
        <w:rPr>
          <w:bCs/>
          <w:color w:val="auto"/>
          <w:highlight w:val="none"/>
          <w:u w:val="single"/>
          <w:lang w:val="zh-CN"/>
        </w:rPr>
        <w:t>8项</w:t>
      </w:r>
      <w:r>
        <w:rPr>
          <w:rFonts w:asciiTheme="minorEastAsia" w:hAnsiTheme="minorEastAsia" w:eastAsiaTheme="minorEastAsia"/>
          <w:color w:val="auto"/>
          <w:highlight w:val="none"/>
        </w:rPr>
        <w:t>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9、投标文件提供虚假材料的。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rPr>
        <w:t>投标供应商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（1）不同投标供应商的投标文件由同一单位或者个人编制；</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（2）不同投标供应商委托同一单位或者个人办理投标事宜；</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（3）不同投标供应商的投标文件载明的项目管理成员或者联系人员为同一人；</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（4）不同投标供应商的投标文件异常一致或者投标报价呈规律性差异；</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（5）不同投标供应商的投标文件相互混装；</w:t>
      </w:r>
    </w:p>
    <w:p>
      <w:pPr>
        <w:pStyle w:val="15"/>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11、不符合法律、法规和招标文件中规定的其他实质性要求的（招标文件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5"/>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hint="default" w:asciiTheme="minorEastAsia" w:hAnsiTheme="minorEastAsia" w:eastAsiaTheme="minorEastAsia"/>
          <w:color w:val="auto"/>
          <w:highlight w:val="none"/>
        </w:rPr>
        <w:t>5、投标有效供应商不足三家。</w:t>
      </w:r>
    </w:p>
    <w:p>
      <w:pPr>
        <w:pStyle w:val="9"/>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9"/>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Theme="minorEastAsia" w:hAnsiTheme="minorEastAsia" w:eastAsiaTheme="minorEastAsia"/>
          <w:color w:val="auto"/>
          <w:sz w:val="24"/>
          <w:highlight w:val="none"/>
        </w:rPr>
        <w:t>投标供应商</w:t>
      </w:r>
      <w:r>
        <w:rPr>
          <w:rFonts w:asciiTheme="minorEastAsia" w:hAnsiTheme="minorEastAsia" w:eastAsiaTheme="minorEastAsia"/>
          <w:color w:val="auto"/>
          <w:sz w:val="24"/>
          <w:highlight w:val="none"/>
        </w:rPr>
        <w:t>接触。</w:t>
      </w:r>
    </w:p>
    <w:p>
      <w:pPr>
        <w:pStyle w:val="9"/>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9"/>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本项目评标过程实行全程录音、录像监控，政府采购监管部门视情进行现场监督，投标供应商在评标过程中所进行的试图影响评标结果的不公正活动，可能导致其投标被拒绝。</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中标结果将自中标单位确定之日起2个工作日内在省级以上财政部门指定的媒体及相关网站公告。在公告中标结果的同时，采购单位或者采购代理机构应当向中标单位发出中标通知书。如发现中标单位资格无效或其放弃中标资格，则按本次评标供应商得分排序结果依次替补或重新组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2）招标代理费：根据国家发改委发改办价格[2003]857号通知和国家计委计价格[2002]1980号文件规定的招标费率标准的80%，按照中标通知书确定的中标金额，向中标单位收取招标服务费，该费用中标</w:t>
      </w:r>
      <w:r>
        <w:rPr>
          <w:rFonts w:cs="宋体"/>
          <w:color w:val="auto"/>
          <w:highlight w:val="none"/>
        </w:rPr>
        <w:t>单位</w:t>
      </w:r>
      <w:r>
        <w:rPr>
          <w:rFonts w:asciiTheme="minorEastAsia" w:hAnsiTheme="minorEastAsia" w:eastAsiaTheme="minorEastAsia"/>
          <w:color w:val="auto"/>
          <w:highlight w:val="none"/>
        </w:rPr>
        <w:t>须在中标通知书发出5日内一次性付清。（户名：浙江五石工程咨询有限公司；账号：1202003209900014176；开户银行：中国工商银行杭州市潮王路支行）</w:t>
      </w:r>
    </w:p>
    <w:tbl>
      <w:tblPr>
        <w:tblStyle w:val="17"/>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55"/>
        <w:gridCol w:w="1527"/>
        <w:gridCol w:w="152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服务类型、费率、中标金额（万元）</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货物招标</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服务招标</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100以下</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100-500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0.80%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500-1000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0.80%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0.45%</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1000-5000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0.50%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5000-10000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0.25%</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0.10%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10000-100000</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0.05%</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0.05%</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855"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100000以上</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0.01%</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0.01%</w:t>
            </w:r>
          </w:p>
        </w:tc>
        <w:tc>
          <w:tcPr>
            <w:tcW w:w="1527" w:type="dxa"/>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0.01%</w:t>
            </w:r>
          </w:p>
        </w:tc>
      </w:tr>
    </w:tbl>
    <w:p>
      <w:pPr>
        <w:pStyle w:val="15"/>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3）中标通知书将是合同的一个组成部分。</w:t>
      </w:r>
    </w:p>
    <w:p>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1、采购单位应当自中标通知书发出之日起10个工作日内，按照招标文件和中标单位投标文件的规定，与中标单位签订书面合同。所签订的合同不得对招标文件确定的事项和中标单位投标文件作实质性修改。</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2、采购单位不得向中标单位提出任何不合理的要求作为签订合同的条件。</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3、中标单位无故拖延、拒签合同的取消中标资格。</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4、中标单位拒绝与采购单位签订合同的，采购单位可以按照评审报告推荐的中标候选人名单排序，确定下一候选人为中标单位，也可以重新开展政府采购活动。同时，拒绝与采购单位签订合同的供应商，由同级财政部门依法做出处理。</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5、询问或者质疑事项可能影响中标结果的，采购单位应当暂停签订合同，已经签订合同的，应当中止履行合同（中标结果的质疑期为中标结果公告期限届满之日起七个工作日）。</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（二）合同公告及备案</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1、采购单位应当自政府采购合同签订之日起2个工作日内，在省级以上财政部门指定的政府采购信息发布媒体及相关网站上公告。</w:t>
      </w:r>
    </w:p>
    <w:p>
      <w:pPr>
        <w:pStyle w:val="15"/>
        <w:spacing w:before="0" w:beforeAutospacing="0" w:after="0" w:afterAutospacing="0" w:line="360" w:lineRule="auto"/>
        <w:ind w:firstLine="600" w:firstLineChars="250"/>
        <w:jc w:val="both"/>
        <w:rPr>
          <w:rFonts w:hint="default"/>
          <w:color w:val="auto"/>
          <w:highlight w:val="none"/>
        </w:rPr>
      </w:pPr>
      <w:r>
        <w:rPr>
          <w:color w:val="auto"/>
          <w:highlight w:val="none"/>
        </w:rPr>
        <w:t>2、采购单位应当自政府采购合同签订之日起7个工作日内，将政府采购合同副本报同级人民政府财政部门备案以及采购组织机构存档。</w:t>
      </w: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一、采购组织机构将组织评标委员会，对投标供应商提供的投标文件进行综合评审。</w:t>
      </w:r>
    </w:p>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（二）各投标供应商商务与技术文件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w:t>
      </w:r>
      <w:r>
        <w:rPr>
          <w:rFonts w:hint="eastAsia" w:ascii="宋体"/>
          <w:color w:val="auto"/>
          <w:sz w:val="24"/>
          <w:highlight w:val="none"/>
          <w:lang w:val="en-US" w:eastAsia="zh-CN"/>
        </w:rPr>
        <w:t>下浮最高</w:t>
      </w:r>
      <w:r>
        <w:rPr>
          <w:rFonts w:hint="eastAsia" w:ascii="宋体"/>
          <w:color w:val="auto"/>
          <w:sz w:val="24"/>
          <w:highlight w:val="none"/>
          <w:lang w:val="zh-CN"/>
        </w:rPr>
        <w:t>的投标报价为评标基准价，其报价得满分。其他投标供应商的投标报价得分按下列公式计算：</w:t>
      </w:r>
    </w:p>
    <w:tbl>
      <w:tblPr>
        <w:tblStyle w:val="17"/>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41"/>
        <w:gridCol w:w="1277"/>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noWrap/>
            <w:vAlign w:val="center"/>
          </w:tcPr>
          <w:p>
            <w:pPr>
              <w:pStyle w:val="14"/>
              <w:widowControl w:val="0"/>
              <w:rPr>
                <w:rFonts w:ascii="宋体" w:hAnsi="宋体"/>
                <w:color w:val="auto"/>
                <w:sz w:val="21"/>
                <w:szCs w:val="21"/>
                <w:highlight w:val="none"/>
              </w:rPr>
            </w:pPr>
            <w:bookmarkStart w:id="0" w:name="_Toc488046736"/>
            <w:bookmarkStart w:id="1" w:name="_Toc487453806"/>
            <w:r>
              <w:rPr>
                <w:rFonts w:ascii="宋体" w:hAnsi="宋体"/>
                <w:color w:val="auto"/>
                <w:sz w:val="21"/>
                <w:szCs w:val="21"/>
                <w:highlight w:val="none"/>
              </w:rPr>
              <w:t>序号</w:t>
            </w:r>
            <w:bookmarkEnd w:id="0"/>
            <w:bookmarkEnd w:id="1"/>
          </w:p>
        </w:tc>
        <w:tc>
          <w:tcPr>
            <w:tcW w:w="2141" w:type="dxa"/>
            <w:noWrap/>
            <w:vAlign w:val="center"/>
          </w:tcPr>
          <w:p>
            <w:pPr>
              <w:pStyle w:val="14"/>
              <w:widowControl w:val="0"/>
              <w:rPr>
                <w:rFonts w:ascii="宋体" w:hAnsi="宋体"/>
                <w:color w:val="auto"/>
                <w:sz w:val="21"/>
                <w:szCs w:val="21"/>
                <w:highlight w:val="none"/>
              </w:rPr>
            </w:pPr>
            <w:bookmarkStart w:id="2" w:name="_Toc487453807"/>
            <w:bookmarkStart w:id="3" w:name="_Toc488046737"/>
            <w:r>
              <w:rPr>
                <w:rFonts w:ascii="宋体" w:hAnsi="宋体"/>
                <w:color w:val="auto"/>
                <w:sz w:val="21"/>
                <w:szCs w:val="21"/>
                <w:highlight w:val="none"/>
              </w:rPr>
              <w:t>食材类别</w:t>
            </w:r>
            <w:bookmarkEnd w:id="2"/>
            <w:bookmarkEnd w:id="3"/>
          </w:p>
        </w:tc>
        <w:tc>
          <w:tcPr>
            <w:tcW w:w="1277" w:type="dxa"/>
            <w:noWrap/>
            <w:vAlign w:val="center"/>
          </w:tcPr>
          <w:p>
            <w:pPr>
              <w:pStyle w:val="14"/>
              <w:widowControl w:val="0"/>
              <w:rPr>
                <w:rFonts w:ascii="宋体" w:hAnsi="宋体"/>
                <w:color w:val="auto"/>
                <w:sz w:val="21"/>
                <w:szCs w:val="21"/>
                <w:highlight w:val="none"/>
              </w:rPr>
            </w:pPr>
            <w:bookmarkStart w:id="4" w:name="_Toc487453808"/>
            <w:bookmarkStart w:id="5" w:name="_Toc488046738"/>
            <w:r>
              <w:rPr>
                <w:rFonts w:ascii="宋体" w:hAnsi="宋体"/>
                <w:color w:val="auto"/>
                <w:sz w:val="21"/>
                <w:szCs w:val="21"/>
                <w:highlight w:val="none"/>
              </w:rPr>
              <w:t>权重分值</w:t>
            </w:r>
            <w:bookmarkEnd w:id="4"/>
            <w:bookmarkEnd w:id="5"/>
          </w:p>
        </w:tc>
        <w:tc>
          <w:tcPr>
            <w:tcW w:w="5125" w:type="dxa"/>
            <w:noWrap/>
            <w:vAlign w:val="center"/>
          </w:tcPr>
          <w:p>
            <w:pPr>
              <w:pStyle w:val="14"/>
              <w:widowControl w:val="0"/>
              <w:rPr>
                <w:rFonts w:ascii="宋体" w:hAnsi="宋体"/>
                <w:color w:val="auto"/>
                <w:sz w:val="21"/>
                <w:szCs w:val="21"/>
                <w:highlight w:val="none"/>
              </w:rPr>
            </w:pPr>
            <w:bookmarkStart w:id="6" w:name="_Toc487453809"/>
            <w:bookmarkStart w:id="7" w:name="_Toc488046739"/>
            <w:r>
              <w:rPr>
                <w:rFonts w:ascii="宋体" w:hAnsi="宋体"/>
                <w:color w:val="auto"/>
                <w:sz w:val="21"/>
                <w:szCs w:val="21"/>
                <w:highlight w:val="none"/>
              </w:rPr>
              <w:t>计算公式</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7" w:type="dxa"/>
            <w:noWrap/>
            <w:vAlign w:val="center"/>
          </w:tcPr>
          <w:p>
            <w:pPr>
              <w:pStyle w:val="14"/>
              <w:widowControl w:val="0"/>
              <w:rPr>
                <w:rFonts w:ascii="宋体" w:hAnsi="宋体"/>
                <w:color w:val="auto"/>
                <w:sz w:val="21"/>
                <w:szCs w:val="21"/>
                <w:highlight w:val="none"/>
              </w:rPr>
            </w:pPr>
            <w:bookmarkStart w:id="8" w:name="_Toc487453810"/>
            <w:bookmarkStart w:id="9" w:name="_Toc488046740"/>
            <w:r>
              <w:rPr>
                <w:rFonts w:ascii="宋体" w:hAnsi="宋体"/>
                <w:color w:val="auto"/>
                <w:sz w:val="21"/>
                <w:szCs w:val="21"/>
                <w:highlight w:val="none"/>
              </w:rPr>
              <w:t>1</w:t>
            </w:r>
            <w:bookmarkEnd w:id="8"/>
            <w:bookmarkEnd w:id="9"/>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豆制品类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1分</w:t>
            </w:r>
          </w:p>
        </w:tc>
        <w:tc>
          <w:tcPr>
            <w:tcW w:w="5125" w:type="dxa"/>
            <w:noWrap/>
            <w:vAlign w:val="center"/>
          </w:tcPr>
          <w:p>
            <w:pPr>
              <w:pStyle w:val="14"/>
              <w:widowControl w:val="0"/>
              <w:rPr>
                <w:rFonts w:ascii="宋体" w:hAnsi="宋体"/>
                <w:color w:val="auto"/>
                <w:sz w:val="21"/>
                <w:szCs w:val="21"/>
                <w:highlight w:val="none"/>
              </w:rPr>
            </w:pPr>
            <w:bookmarkStart w:id="10" w:name="_Toc487453813"/>
            <w:bookmarkStart w:id="11" w:name="_Toc488046743"/>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bookmarkStart w:id="12" w:name="_Toc487453814"/>
            <w:bookmarkStart w:id="13" w:name="_Toc488046744"/>
            <w:r>
              <w:rPr>
                <w:rFonts w:hint="eastAsia" w:ascii="宋体" w:hAnsi="宋体"/>
                <w:color w:val="auto"/>
                <w:sz w:val="21"/>
                <w:szCs w:val="21"/>
                <w:highlight w:val="none"/>
              </w:rPr>
              <w:t>2</w:t>
            </w:r>
            <w:bookmarkEnd w:id="12"/>
            <w:bookmarkEnd w:id="13"/>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酱菜类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1分</w:t>
            </w:r>
          </w:p>
        </w:tc>
        <w:tc>
          <w:tcPr>
            <w:tcW w:w="5125" w:type="dxa"/>
            <w:noWrap/>
            <w:vAlign w:val="center"/>
          </w:tcPr>
          <w:p>
            <w:pPr>
              <w:pStyle w:val="14"/>
              <w:widowControl w:val="0"/>
              <w:rPr>
                <w:rFonts w:ascii="宋体" w:hAnsi="宋体"/>
                <w:color w:val="auto"/>
                <w:sz w:val="21"/>
                <w:szCs w:val="21"/>
                <w:highlight w:val="none"/>
              </w:rPr>
            </w:pPr>
            <w:bookmarkStart w:id="14" w:name="_Toc487453817"/>
            <w:bookmarkStart w:id="15" w:name="_Toc488046747"/>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bookmarkStart w:id="16" w:name="_Toc488046748"/>
            <w:bookmarkStart w:id="17" w:name="_Toc487453818"/>
            <w:r>
              <w:rPr>
                <w:rFonts w:hint="eastAsia" w:ascii="宋体" w:hAnsi="宋体"/>
                <w:color w:val="auto"/>
                <w:sz w:val="21"/>
                <w:szCs w:val="21"/>
                <w:highlight w:val="none"/>
              </w:rPr>
              <w:t>3</w:t>
            </w:r>
            <w:bookmarkEnd w:id="16"/>
            <w:bookmarkEnd w:id="17"/>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禽牛羊肉冰冻熟食类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3分</w:t>
            </w:r>
          </w:p>
        </w:tc>
        <w:tc>
          <w:tcPr>
            <w:tcW w:w="5125" w:type="dxa"/>
            <w:noWrap/>
            <w:vAlign w:val="center"/>
          </w:tcPr>
          <w:p>
            <w:pPr>
              <w:pStyle w:val="14"/>
              <w:widowControl w:val="0"/>
              <w:rPr>
                <w:rFonts w:ascii="宋体" w:hAnsi="宋体"/>
                <w:color w:val="auto"/>
                <w:sz w:val="21"/>
                <w:szCs w:val="21"/>
                <w:highlight w:val="none"/>
              </w:rPr>
            </w:pPr>
            <w:bookmarkStart w:id="18" w:name="_Toc487453821"/>
            <w:bookmarkStart w:id="19" w:name="_Toc488046751"/>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bookmarkStart w:id="20" w:name="_Toc487453822"/>
            <w:bookmarkStart w:id="21" w:name="_Toc488046752"/>
            <w:r>
              <w:rPr>
                <w:rFonts w:hint="eastAsia" w:ascii="宋体" w:hAnsi="宋体"/>
                <w:color w:val="auto"/>
                <w:sz w:val="21"/>
                <w:szCs w:val="21"/>
                <w:highlight w:val="none"/>
              </w:rPr>
              <w:t>4</w:t>
            </w:r>
            <w:bookmarkEnd w:id="20"/>
            <w:bookmarkEnd w:id="21"/>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主食类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3分</w:t>
            </w:r>
          </w:p>
        </w:tc>
        <w:tc>
          <w:tcPr>
            <w:tcW w:w="5125" w:type="dxa"/>
            <w:noWrap/>
            <w:vAlign w:val="center"/>
          </w:tcPr>
          <w:p>
            <w:pPr>
              <w:pStyle w:val="14"/>
              <w:widowControl w:val="0"/>
              <w:rPr>
                <w:rFonts w:ascii="宋体" w:hAnsi="宋体"/>
                <w:color w:val="auto"/>
                <w:sz w:val="21"/>
                <w:szCs w:val="21"/>
                <w:highlight w:val="none"/>
              </w:rPr>
            </w:pPr>
            <w:bookmarkStart w:id="22" w:name="_Toc488046755"/>
            <w:bookmarkStart w:id="23" w:name="_Toc487453825"/>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bookmarkStart w:id="24" w:name="_Toc488046756"/>
            <w:bookmarkStart w:id="25" w:name="_Toc487453826"/>
            <w:r>
              <w:rPr>
                <w:rFonts w:hint="eastAsia" w:ascii="宋体" w:hAnsi="宋体"/>
                <w:color w:val="auto"/>
                <w:sz w:val="21"/>
                <w:szCs w:val="21"/>
                <w:highlight w:val="none"/>
              </w:rPr>
              <w:t>5</w:t>
            </w:r>
            <w:bookmarkEnd w:id="24"/>
            <w:bookmarkEnd w:id="25"/>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调味品类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6分</w:t>
            </w:r>
          </w:p>
        </w:tc>
        <w:tc>
          <w:tcPr>
            <w:tcW w:w="5125" w:type="dxa"/>
            <w:noWrap/>
            <w:vAlign w:val="center"/>
          </w:tcPr>
          <w:p>
            <w:pPr>
              <w:pStyle w:val="14"/>
              <w:widowControl w:val="0"/>
              <w:rPr>
                <w:rFonts w:ascii="宋体" w:hAnsi="宋体"/>
                <w:color w:val="auto"/>
                <w:sz w:val="21"/>
                <w:szCs w:val="21"/>
                <w:highlight w:val="none"/>
              </w:rPr>
            </w:pPr>
            <w:bookmarkStart w:id="26" w:name="_Toc487453829"/>
            <w:bookmarkStart w:id="27" w:name="_Toc488046759"/>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bookmarkStart w:id="28" w:name="_Toc487453830"/>
            <w:bookmarkStart w:id="29" w:name="_Toc488046760"/>
            <w:r>
              <w:rPr>
                <w:rFonts w:hint="eastAsia" w:ascii="宋体" w:hAnsi="宋体"/>
                <w:color w:val="auto"/>
                <w:sz w:val="21"/>
                <w:szCs w:val="21"/>
                <w:highlight w:val="none"/>
              </w:rPr>
              <w:t>6</w:t>
            </w:r>
            <w:bookmarkEnd w:id="28"/>
            <w:bookmarkEnd w:id="29"/>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其他</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1分</w:t>
            </w:r>
          </w:p>
        </w:tc>
        <w:tc>
          <w:tcPr>
            <w:tcW w:w="5125" w:type="dxa"/>
            <w:noWrap/>
            <w:vAlign w:val="center"/>
          </w:tcPr>
          <w:p>
            <w:pPr>
              <w:pStyle w:val="14"/>
              <w:widowControl w:val="0"/>
              <w:rPr>
                <w:rFonts w:ascii="宋体" w:hAnsi="宋体"/>
                <w:color w:val="auto"/>
                <w:sz w:val="21"/>
                <w:szCs w:val="21"/>
                <w:highlight w:val="none"/>
              </w:rPr>
            </w:pPr>
            <w:bookmarkStart w:id="30" w:name="_Toc487453833"/>
            <w:bookmarkStart w:id="31" w:name="_Toc488046763"/>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30"/>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7" w:type="dxa"/>
            <w:noWrap/>
            <w:vAlign w:val="center"/>
          </w:tcPr>
          <w:p>
            <w:pPr>
              <w:pStyle w:val="14"/>
              <w:widowControl w:val="0"/>
              <w:rPr>
                <w:rFonts w:ascii="宋体" w:hAnsi="宋体"/>
                <w:color w:val="auto"/>
                <w:sz w:val="21"/>
                <w:szCs w:val="21"/>
                <w:highlight w:val="none"/>
              </w:rPr>
            </w:pPr>
            <w:bookmarkStart w:id="32" w:name="_Toc488046764"/>
            <w:bookmarkStart w:id="33" w:name="_Toc487453834"/>
            <w:r>
              <w:rPr>
                <w:rFonts w:hint="eastAsia" w:ascii="宋体" w:hAnsi="宋体"/>
                <w:color w:val="auto"/>
                <w:sz w:val="21"/>
                <w:szCs w:val="21"/>
                <w:highlight w:val="none"/>
              </w:rPr>
              <w:t>7</w:t>
            </w:r>
            <w:bookmarkEnd w:id="32"/>
            <w:bookmarkEnd w:id="33"/>
          </w:p>
          <w:p>
            <w:pPr>
              <w:pStyle w:val="14"/>
              <w:widowControl w:val="0"/>
              <w:rPr>
                <w:rFonts w:ascii="宋体" w:hAnsi="宋体"/>
                <w:color w:val="auto"/>
                <w:sz w:val="21"/>
                <w:szCs w:val="21"/>
                <w:highlight w:val="none"/>
              </w:rPr>
            </w:pPr>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猪肉类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8分</w:t>
            </w:r>
          </w:p>
        </w:tc>
        <w:tc>
          <w:tcPr>
            <w:tcW w:w="5125" w:type="dxa"/>
            <w:noWrap/>
            <w:vAlign w:val="center"/>
          </w:tcPr>
          <w:p>
            <w:pPr>
              <w:pStyle w:val="14"/>
              <w:widowControl w:val="0"/>
              <w:rPr>
                <w:rFonts w:ascii="宋体" w:hAnsi="宋体"/>
                <w:color w:val="auto"/>
                <w:sz w:val="21"/>
                <w:szCs w:val="21"/>
                <w:highlight w:val="none"/>
              </w:rPr>
            </w:pPr>
            <w:bookmarkStart w:id="34" w:name="_Toc488046767"/>
            <w:bookmarkStart w:id="35" w:name="_Toc487453837"/>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8</w:t>
            </w:r>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蛋类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 xml:space="preserve"> 3分</w:t>
            </w:r>
          </w:p>
        </w:tc>
        <w:tc>
          <w:tcPr>
            <w:tcW w:w="5125" w:type="dxa"/>
            <w:noWrap/>
            <w:vAlign w:val="center"/>
          </w:tcPr>
          <w:p>
            <w:pPr>
              <w:pStyle w:val="14"/>
              <w:widowControl w:val="0"/>
              <w:rPr>
                <w:rFonts w:ascii="宋体" w:hAnsi="宋体"/>
                <w:color w:val="auto"/>
                <w:sz w:val="21"/>
                <w:szCs w:val="21"/>
                <w:highlight w:val="none"/>
              </w:rPr>
            </w:pPr>
            <w:bookmarkStart w:id="36" w:name="_Toc488046775"/>
            <w:bookmarkStart w:id="37" w:name="_Toc487453845"/>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36"/>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9</w:t>
            </w:r>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蔬菜类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10分</w:t>
            </w:r>
          </w:p>
        </w:tc>
        <w:tc>
          <w:tcPr>
            <w:tcW w:w="5125" w:type="dxa"/>
            <w:noWrap/>
            <w:vAlign w:val="center"/>
          </w:tcPr>
          <w:p>
            <w:pPr>
              <w:pStyle w:val="14"/>
              <w:widowControl w:val="0"/>
              <w:rPr>
                <w:rFonts w:ascii="宋体" w:hAnsi="宋体"/>
                <w:color w:val="auto"/>
                <w:sz w:val="21"/>
                <w:szCs w:val="21"/>
                <w:highlight w:val="none"/>
              </w:rPr>
            </w:pPr>
            <w:bookmarkStart w:id="38" w:name="_Toc487453849"/>
            <w:bookmarkStart w:id="39" w:name="_Toc488046779"/>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10</w:t>
            </w:r>
          </w:p>
        </w:tc>
        <w:tc>
          <w:tcPr>
            <w:tcW w:w="2141"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水产类</w:t>
            </w:r>
          </w:p>
        </w:tc>
        <w:tc>
          <w:tcPr>
            <w:tcW w:w="1277" w:type="dxa"/>
            <w:noWrap/>
            <w:vAlign w:val="center"/>
          </w:tcPr>
          <w:p>
            <w:pPr>
              <w:pStyle w:val="14"/>
              <w:widowControl w:val="0"/>
              <w:rPr>
                <w:rFonts w:ascii="宋体" w:hAnsi="宋体"/>
                <w:color w:val="auto"/>
                <w:sz w:val="21"/>
                <w:szCs w:val="21"/>
                <w:highlight w:val="none"/>
              </w:rPr>
            </w:pPr>
            <w:r>
              <w:rPr>
                <w:rFonts w:hint="eastAsia" w:ascii="宋体" w:hAnsi="宋体"/>
                <w:color w:val="auto"/>
                <w:sz w:val="21"/>
                <w:szCs w:val="21"/>
                <w:highlight w:val="none"/>
              </w:rPr>
              <w:t>4分</w:t>
            </w:r>
          </w:p>
        </w:tc>
        <w:tc>
          <w:tcPr>
            <w:tcW w:w="5125" w:type="dxa"/>
            <w:noWrap/>
            <w:vAlign w:val="center"/>
          </w:tcPr>
          <w:p>
            <w:pPr>
              <w:pStyle w:val="14"/>
              <w:widowControl w:val="0"/>
              <w:rPr>
                <w:rFonts w:ascii="宋体" w:hAnsi="宋体"/>
                <w:color w:val="auto"/>
                <w:sz w:val="21"/>
                <w:szCs w:val="21"/>
                <w:highlight w:val="none"/>
              </w:rPr>
            </w:pPr>
            <w:r>
              <w:rPr>
                <w:rFonts w:ascii="宋体" w:hAnsi="宋体"/>
                <w:color w:val="auto"/>
                <w:sz w:val="21"/>
                <w:szCs w:val="21"/>
                <w:highlight w:val="none"/>
              </w:rPr>
              <w:t>（各</w:t>
            </w:r>
            <w:r>
              <w:rPr>
                <w:rFonts w:hint="eastAsia" w:ascii="宋体" w:hAnsi="宋体"/>
                <w:color w:val="auto"/>
                <w:sz w:val="21"/>
                <w:szCs w:val="21"/>
                <w:highlight w:val="none"/>
              </w:rPr>
              <w:t>投标供应商</w:t>
            </w:r>
            <w:r>
              <w:rPr>
                <w:rFonts w:ascii="宋体" w:hAnsi="宋体"/>
                <w:color w:val="auto"/>
                <w:sz w:val="21"/>
                <w:szCs w:val="21"/>
                <w:highlight w:val="none"/>
              </w:rPr>
              <w:t>的合格有效报价÷基准报价）×权重分值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8" w:type="dxa"/>
            <w:gridSpan w:val="2"/>
            <w:noWrap/>
            <w:vAlign w:val="center"/>
          </w:tcPr>
          <w:p>
            <w:pPr>
              <w:pStyle w:val="14"/>
              <w:widowControl w:val="0"/>
              <w:rPr>
                <w:rFonts w:ascii="宋体" w:hAnsi="宋体"/>
                <w:color w:val="auto"/>
                <w:sz w:val="21"/>
                <w:szCs w:val="21"/>
                <w:highlight w:val="none"/>
              </w:rPr>
            </w:pPr>
            <w:bookmarkStart w:id="40" w:name="_Toc488046780"/>
            <w:bookmarkStart w:id="41" w:name="_Toc487453850"/>
            <w:r>
              <w:rPr>
                <w:rFonts w:hint="eastAsia" w:ascii="宋体" w:hAnsi="宋体"/>
                <w:color w:val="auto"/>
                <w:sz w:val="21"/>
                <w:szCs w:val="21"/>
                <w:highlight w:val="none"/>
              </w:rPr>
              <w:t>报价</w:t>
            </w:r>
            <w:r>
              <w:rPr>
                <w:rFonts w:ascii="宋体" w:hAnsi="宋体"/>
                <w:color w:val="auto"/>
                <w:sz w:val="21"/>
                <w:szCs w:val="21"/>
                <w:highlight w:val="none"/>
              </w:rPr>
              <w:t>得分</w:t>
            </w:r>
            <w:bookmarkEnd w:id="40"/>
            <w:bookmarkEnd w:id="41"/>
          </w:p>
        </w:tc>
        <w:tc>
          <w:tcPr>
            <w:tcW w:w="1277" w:type="dxa"/>
            <w:noWrap/>
            <w:vAlign w:val="center"/>
          </w:tcPr>
          <w:p>
            <w:pPr>
              <w:pStyle w:val="14"/>
              <w:widowControl w:val="0"/>
              <w:rPr>
                <w:rFonts w:ascii="宋体" w:hAnsi="宋体"/>
                <w:color w:val="auto"/>
                <w:sz w:val="21"/>
                <w:szCs w:val="21"/>
                <w:highlight w:val="none"/>
              </w:rPr>
            </w:pPr>
            <w:bookmarkStart w:id="42" w:name="_Toc488046781"/>
            <w:bookmarkStart w:id="43" w:name="_Toc487453851"/>
            <w:r>
              <w:rPr>
                <w:rFonts w:hint="eastAsia" w:ascii="宋体" w:hAnsi="宋体"/>
                <w:color w:val="auto"/>
                <w:sz w:val="21"/>
                <w:szCs w:val="21"/>
                <w:highlight w:val="none"/>
              </w:rPr>
              <w:t>40</w:t>
            </w:r>
            <w:r>
              <w:rPr>
                <w:rFonts w:ascii="宋体" w:hAnsi="宋体"/>
                <w:color w:val="auto"/>
                <w:sz w:val="21"/>
                <w:szCs w:val="21"/>
                <w:highlight w:val="none"/>
              </w:rPr>
              <w:t>分</w:t>
            </w:r>
            <w:bookmarkEnd w:id="42"/>
            <w:bookmarkEnd w:id="43"/>
          </w:p>
        </w:tc>
        <w:tc>
          <w:tcPr>
            <w:tcW w:w="5125" w:type="dxa"/>
            <w:noWrap/>
            <w:vAlign w:val="center"/>
          </w:tcPr>
          <w:p>
            <w:pPr>
              <w:pStyle w:val="14"/>
              <w:widowControl w:val="0"/>
              <w:rPr>
                <w:rFonts w:ascii="宋体" w:hAnsi="宋体"/>
                <w:color w:val="auto"/>
                <w:sz w:val="21"/>
                <w:szCs w:val="21"/>
                <w:highlight w:val="none"/>
              </w:rPr>
            </w:pPr>
            <w:bookmarkStart w:id="44" w:name="_Toc487453852"/>
            <w:bookmarkStart w:id="45" w:name="_Toc488046782"/>
            <w:r>
              <w:rPr>
                <w:rFonts w:ascii="宋体" w:hAnsi="宋体"/>
                <w:color w:val="auto"/>
                <w:sz w:val="21"/>
                <w:szCs w:val="21"/>
                <w:highlight w:val="none"/>
              </w:rPr>
              <w:t>1+2</w:t>
            </w:r>
            <w:r>
              <w:rPr>
                <w:rFonts w:hint="eastAsia" w:ascii="宋体" w:hAnsi="宋体"/>
                <w:color w:val="auto"/>
                <w:sz w:val="21"/>
                <w:szCs w:val="21"/>
                <w:highlight w:val="none"/>
              </w:rPr>
              <w:t>+3+4+5+6+7+8+9+10</w:t>
            </w:r>
            <w:r>
              <w:rPr>
                <w:rFonts w:ascii="宋体" w:hAnsi="宋体"/>
                <w:color w:val="auto"/>
                <w:sz w:val="21"/>
                <w:szCs w:val="21"/>
                <w:highlight w:val="none"/>
              </w:rPr>
              <w:t>=</w:t>
            </w:r>
            <w:r>
              <w:rPr>
                <w:rFonts w:hint="eastAsia" w:ascii="宋体" w:hAnsi="宋体"/>
                <w:color w:val="auto"/>
                <w:sz w:val="21"/>
                <w:szCs w:val="21"/>
                <w:highlight w:val="none"/>
              </w:rPr>
              <w:t>报价</w:t>
            </w:r>
            <w:r>
              <w:rPr>
                <w:rFonts w:ascii="宋体" w:hAnsi="宋体"/>
                <w:color w:val="auto"/>
                <w:sz w:val="21"/>
                <w:szCs w:val="21"/>
                <w:highlight w:val="none"/>
              </w:rPr>
              <w:t>得分</w:t>
            </w:r>
            <w:bookmarkEnd w:id="44"/>
            <w:bookmarkEnd w:id="45"/>
          </w:p>
        </w:tc>
      </w:tr>
    </w:tbl>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（四）政府采购政策及优惠：</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1）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供应商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具体优惠：对于小型微型企业产品的价格给予</w:t>
      </w:r>
      <w:r>
        <w:rPr>
          <w:rFonts w:hint="eastAsia" w:ascii="宋体"/>
          <w:color w:val="auto"/>
          <w:sz w:val="24"/>
          <w:highlight w:val="none"/>
          <w:u w:val="single"/>
        </w:rPr>
        <w:t>6</w:t>
      </w:r>
      <w:r>
        <w:rPr>
          <w:rFonts w:hint="eastAsia" w:ascii="宋体"/>
          <w:color w:val="auto"/>
          <w:sz w:val="24"/>
          <w:highlight w:val="none"/>
          <w:lang w:val="zh-CN"/>
        </w:rPr>
        <w:t>%的扣除，用扣除后的价格计算评标基准价和投标报价。同一投标供应商（包括联合体），小微企业、监狱企业、残疾人福利性单位价格扣除优惠只享受一次，不得重复享受。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三、在最大限度地满足招标文件实质性要求前提下，评标委员会按照招标文件中规定的各项因素进行综合评审后，以评标总得分最高的投标供应商为中标候选人。</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四、如综合得分相同，投标报价</w:t>
      </w:r>
      <w:r>
        <w:rPr>
          <w:rFonts w:hint="eastAsia" w:ascii="宋体"/>
          <w:color w:val="auto"/>
          <w:sz w:val="24"/>
          <w:highlight w:val="none"/>
          <w:lang w:val="en-US" w:eastAsia="zh-CN"/>
        </w:rPr>
        <w:t>下浮高</w:t>
      </w:r>
      <w:r>
        <w:rPr>
          <w:rFonts w:hint="eastAsia" w:ascii="宋体"/>
          <w:color w:val="auto"/>
          <w:sz w:val="24"/>
          <w:highlight w:val="none"/>
          <w:lang w:val="zh-CN"/>
        </w:rPr>
        <w:t>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五、提供相同品牌产品的不同投标供应商参加同一合同项下投标的，按一家供应商认定：</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（1）采用最低评标价法的采购项目，以其中通过资格审查、符合性审查且报价最低的参加评标；报价相同的，由评标委员会集体确定一个投标供应商参加评标，其他投标无效。</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2）使用综合评分法的采购项目，评审后得分最高的同品牌投标供应商获得中标单位推荐资格；评审得分相同的，由评标委员会集体推荐一个投标供应商作为中标候选人，其他同品牌投标供应商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六、本次评分具体分值细化条款如下表：</w:t>
      </w:r>
    </w:p>
    <w:tbl>
      <w:tblPr>
        <w:tblStyle w:val="1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45"/>
        <w:gridCol w:w="658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45"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评分项目</w:t>
            </w:r>
          </w:p>
        </w:tc>
        <w:tc>
          <w:tcPr>
            <w:tcW w:w="6589"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评审细则</w:t>
            </w:r>
          </w:p>
        </w:tc>
        <w:tc>
          <w:tcPr>
            <w:tcW w:w="1240" w:type="dxa"/>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51" w:type="dxa"/>
            <w:vMerge w:val="restar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45" w:type="dxa"/>
            <w:vMerge w:val="restar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配送管理方案</w:t>
            </w: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1、根据投标供应商针对本项目所计划配送作业人员人数及工种分配等的满足性、合理性，比较打分；（5分）</w:t>
            </w:r>
          </w:p>
          <w:p>
            <w:pPr>
              <w:spacing w:line="360" w:lineRule="auto"/>
              <w:rPr>
                <w:rFonts w:ascii="宋体" w:hAnsi="宋体" w:cs="宋体"/>
                <w:color w:val="auto"/>
                <w:sz w:val="24"/>
                <w:highlight w:val="none"/>
              </w:rPr>
            </w:pPr>
            <w:r>
              <w:rPr>
                <w:rFonts w:hint="eastAsia" w:ascii="宋体" w:hAnsi="宋体" w:cs="宋体"/>
                <w:color w:val="auto"/>
                <w:sz w:val="24"/>
                <w:highlight w:val="none"/>
              </w:rPr>
              <w:t>2、本项目设置项目负责人，且项目负责人全程管理该项目的加2分；</w:t>
            </w:r>
          </w:p>
          <w:p>
            <w:pPr>
              <w:spacing w:line="360" w:lineRule="auto"/>
              <w:rPr>
                <w:rFonts w:ascii="宋体" w:hAnsi="宋体" w:cs="宋体"/>
                <w:color w:val="auto"/>
                <w:sz w:val="24"/>
                <w:highlight w:val="none"/>
              </w:rPr>
            </w:pPr>
            <w:r>
              <w:rPr>
                <w:rFonts w:hint="eastAsia" w:ascii="宋体" w:hAnsi="宋体" w:cs="宋体"/>
                <w:color w:val="auto"/>
                <w:sz w:val="24"/>
                <w:highlight w:val="none"/>
              </w:rPr>
              <w:t>3、拟指派服务人员中，有食品健康证（有效期内）的情况计分。最高5分（须提供食品健康证的复印件及原件，不提供不得分。）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51" w:type="dxa"/>
            <w:vMerge w:val="continue"/>
            <w:noWrap/>
            <w:vAlign w:val="center"/>
          </w:tcPr>
          <w:p>
            <w:pPr>
              <w:spacing w:line="360" w:lineRule="auto"/>
              <w:jc w:val="center"/>
              <w:rPr>
                <w:rFonts w:ascii="宋体" w:hAnsi="宋体" w:cs="宋体"/>
                <w:color w:val="auto"/>
                <w:sz w:val="24"/>
                <w:highlight w:val="none"/>
              </w:rPr>
            </w:pPr>
          </w:p>
        </w:tc>
        <w:tc>
          <w:tcPr>
            <w:tcW w:w="1245" w:type="dxa"/>
            <w:vMerge w:val="continue"/>
            <w:noWrap/>
            <w:vAlign w:val="center"/>
          </w:tcPr>
          <w:p>
            <w:pPr>
              <w:spacing w:line="360" w:lineRule="auto"/>
              <w:jc w:val="center"/>
              <w:rPr>
                <w:rFonts w:ascii="宋体" w:hAnsi="宋体" w:cs="宋体"/>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根据投标供应商针对本项目所配备的车辆进行打分，投标供应商承诺该项目配备1辆车进行配送的得1分，配备2辆车进行配送的得3分，配备2辆车且其中一辆为冷藏车的得5分；（须提供配备车辆的行驶证复印件，不提供不得分。）</w:t>
            </w:r>
          </w:p>
          <w:p>
            <w:pPr>
              <w:pStyle w:val="2"/>
              <w:rPr>
                <w:color w:val="auto"/>
                <w:highlight w:val="none"/>
              </w:rPr>
            </w:pPr>
            <w:r>
              <w:rPr>
                <w:rFonts w:hint="eastAsia" w:ascii="宋体" w:hAnsi="宋体" w:cs="宋体"/>
                <w:color w:val="auto"/>
                <w:highlight w:val="none"/>
              </w:rPr>
              <w:t>2、根据投标供应商冷库设备情况评分，自有冷库的得3分，租赁冷库的得2分，没有冷库不得分。（提供自有产权证明或租赁合同）</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51" w:type="dxa"/>
            <w:vMerge w:val="continue"/>
            <w:noWrap/>
            <w:vAlign w:val="center"/>
          </w:tcPr>
          <w:p>
            <w:pPr>
              <w:spacing w:line="360" w:lineRule="auto"/>
              <w:jc w:val="center"/>
              <w:rPr>
                <w:rFonts w:ascii="宋体" w:hAnsi="宋体" w:cs="宋体"/>
                <w:color w:val="auto"/>
                <w:sz w:val="24"/>
                <w:highlight w:val="none"/>
              </w:rPr>
            </w:pPr>
          </w:p>
        </w:tc>
        <w:tc>
          <w:tcPr>
            <w:tcW w:w="1245" w:type="dxa"/>
            <w:vMerge w:val="continue"/>
            <w:noWrap/>
            <w:vAlign w:val="center"/>
          </w:tcPr>
          <w:p>
            <w:pPr>
              <w:spacing w:line="360" w:lineRule="auto"/>
              <w:jc w:val="center"/>
              <w:rPr>
                <w:rFonts w:ascii="宋体" w:hAnsi="宋体" w:cs="宋体"/>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针对本项目保证商品质量的技术方案和措施（时间安排、产品质量的保证、供货时效承诺；供货质量保证承诺等），根据方案及措施的合理性、可操作性进行评分。一档4-6分，二档2-3.9分，三档2分以下。</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1" w:type="dxa"/>
            <w:vMerge w:val="continue"/>
            <w:noWrap/>
            <w:vAlign w:val="center"/>
          </w:tcPr>
          <w:p>
            <w:pPr>
              <w:spacing w:line="360" w:lineRule="auto"/>
              <w:jc w:val="center"/>
              <w:rPr>
                <w:rFonts w:ascii="宋体" w:hAnsi="宋体" w:cs="宋体"/>
                <w:color w:val="auto"/>
                <w:sz w:val="24"/>
                <w:highlight w:val="none"/>
              </w:rPr>
            </w:pPr>
          </w:p>
        </w:tc>
        <w:tc>
          <w:tcPr>
            <w:tcW w:w="1245" w:type="dxa"/>
            <w:vMerge w:val="continue"/>
            <w:noWrap/>
            <w:vAlign w:val="center"/>
          </w:tcPr>
          <w:p>
            <w:pPr>
              <w:spacing w:line="360" w:lineRule="auto"/>
              <w:jc w:val="center"/>
              <w:rPr>
                <w:rFonts w:ascii="宋体" w:hAnsi="宋体" w:cs="宋体"/>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当产品发生质量问题需要更换时，投标供应商承诺45分钟内送达的得3分，1小时内送达的得2分。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51" w:type="dxa"/>
            <w:vMerge w:val="continue"/>
            <w:noWrap/>
            <w:vAlign w:val="center"/>
          </w:tcPr>
          <w:p>
            <w:pPr>
              <w:spacing w:line="360" w:lineRule="auto"/>
              <w:jc w:val="center"/>
              <w:rPr>
                <w:rFonts w:ascii="宋体" w:hAnsi="宋体" w:cs="宋体"/>
                <w:color w:val="auto"/>
                <w:sz w:val="24"/>
                <w:highlight w:val="none"/>
              </w:rPr>
            </w:pPr>
          </w:p>
        </w:tc>
        <w:tc>
          <w:tcPr>
            <w:tcW w:w="1245" w:type="dxa"/>
            <w:vMerge w:val="continue"/>
            <w:noWrap/>
            <w:vAlign w:val="center"/>
          </w:tcPr>
          <w:p>
            <w:pPr>
              <w:spacing w:line="360" w:lineRule="auto"/>
              <w:jc w:val="center"/>
              <w:rPr>
                <w:rFonts w:ascii="宋体" w:hAnsi="宋体" w:cs="宋体"/>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当采购单位须加单、补货或特殊情况的，投标供应商承诺45分钟内送达的得3分，1小时内送达的得2分,1.5小时内送达的得1分。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1" w:type="dxa"/>
            <w:vMerge w:val="restart"/>
            <w:noWrap/>
            <w:vAlign w:val="center"/>
          </w:tcPr>
          <w:p>
            <w:pPr>
              <w:spacing w:before="100" w:beforeAutospacing="1"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45" w:type="dxa"/>
            <w:vMerge w:val="restart"/>
            <w:noWrap/>
            <w:vAlign w:val="center"/>
          </w:tcPr>
          <w:p>
            <w:pPr>
              <w:spacing w:before="100" w:beforeAutospacing="1"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资信及商务</w:t>
            </w: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综合比较各投标供应商的规模、综合实力，由评标委员会综合比较打分，一档3分，二档2分，三挡1分。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51" w:type="dxa"/>
            <w:vMerge w:val="continue"/>
            <w:noWrap/>
            <w:vAlign w:val="center"/>
          </w:tcPr>
          <w:p>
            <w:pPr>
              <w:spacing w:before="100" w:beforeAutospacing="1" w:after="100" w:afterAutospacing="1" w:line="360" w:lineRule="auto"/>
              <w:jc w:val="center"/>
              <w:rPr>
                <w:rFonts w:ascii="宋体" w:hAnsi="宋体" w:cs="宋体"/>
                <w:color w:val="auto"/>
                <w:sz w:val="24"/>
                <w:highlight w:val="none"/>
              </w:rPr>
            </w:pPr>
          </w:p>
        </w:tc>
        <w:tc>
          <w:tcPr>
            <w:tcW w:w="1245" w:type="dxa"/>
            <w:vMerge w:val="continue"/>
            <w:noWrap/>
            <w:vAlign w:val="center"/>
          </w:tcPr>
          <w:p>
            <w:pPr>
              <w:spacing w:before="100" w:beforeAutospacing="1" w:after="100" w:afterAutospacing="1" w:line="360" w:lineRule="auto"/>
              <w:jc w:val="center"/>
              <w:rPr>
                <w:rFonts w:ascii="宋体" w:hAnsi="宋体" w:cs="宋体"/>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各投标单位注册地门店的营业额100万元以下的1分，在100万元及以上300万元以下的得2分，300万元及以上的得3分。须提供相关的财务报表原件等证明材料，不提供不得分。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1" w:type="dxa"/>
            <w:vMerge w:val="continue"/>
            <w:noWrap/>
            <w:vAlign w:val="center"/>
          </w:tcPr>
          <w:p>
            <w:pPr>
              <w:spacing w:line="360" w:lineRule="auto"/>
              <w:jc w:val="center"/>
              <w:rPr>
                <w:rFonts w:ascii="宋体" w:hAnsi="宋体" w:cs="宋体"/>
                <w:b/>
                <w:color w:val="auto"/>
                <w:sz w:val="24"/>
                <w:highlight w:val="none"/>
              </w:rPr>
            </w:pPr>
          </w:p>
        </w:tc>
        <w:tc>
          <w:tcPr>
            <w:tcW w:w="1245" w:type="dxa"/>
            <w:vMerge w:val="continue"/>
            <w:noWrap/>
            <w:vAlign w:val="center"/>
          </w:tcPr>
          <w:p>
            <w:pPr>
              <w:spacing w:line="360" w:lineRule="auto"/>
              <w:jc w:val="center"/>
              <w:rPr>
                <w:rFonts w:ascii="宋体" w:hAnsi="宋体" w:cs="宋体"/>
                <w:b/>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投标供应商的固定经营场所面积情况，200平方米及以下得1分，200-500平方米得2分，500平方米以上得3分，以产权证明或房屋（土地）租赁合同原件为准，不提供不得分。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1" w:type="dxa"/>
            <w:vMerge w:val="continue"/>
            <w:noWrap/>
            <w:vAlign w:val="center"/>
          </w:tcPr>
          <w:p>
            <w:pPr>
              <w:spacing w:line="360" w:lineRule="auto"/>
              <w:jc w:val="center"/>
              <w:rPr>
                <w:rFonts w:ascii="宋体" w:hAnsi="宋体" w:cs="宋体"/>
                <w:b/>
                <w:color w:val="auto"/>
                <w:sz w:val="24"/>
                <w:highlight w:val="none"/>
              </w:rPr>
            </w:pPr>
          </w:p>
        </w:tc>
        <w:tc>
          <w:tcPr>
            <w:tcW w:w="1245" w:type="dxa"/>
            <w:vMerge w:val="continue"/>
            <w:noWrap/>
            <w:vAlign w:val="center"/>
          </w:tcPr>
          <w:p>
            <w:pPr>
              <w:spacing w:line="360" w:lineRule="auto"/>
              <w:jc w:val="center"/>
              <w:rPr>
                <w:rFonts w:ascii="宋体" w:hAnsi="宋体" w:cs="宋体"/>
                <w:b/>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1.具有职业健康安全管理体系认证证书的得1分；</w:t>
            </w:r>
          </w:p>
          <w:p>
            <w:pPr>
              <w:spacing w:line="360" w:lineRule="auto"/>
              <w:rPr>
                <w:rFonts w:ascii="宋体" w:hAnsi="宋体" w:cs="宋体"/>
                <w:color w:val="auto"/>
                <w:sz w:val="24"/>
                <w:highlight w:val="none"/>
              </w:rPr>
            </w:pPr>
            <w:r>
              <w:rPr>
                <w:rFonts w:hint="eastAsia" w:ascii="宋体" w:hAnsi="宋体" w:cs="宋体"/>
                <w:color w:val="auto"/>
                <w:sz w:val="24"/>
                <w:highlight w:val="none"/>
              </w:rPr>
              <w:t>2.具有质量管理体系认证证书的得1分；</w:t>
            </w:r>
          </w:p>
          <w:p>
            <w:pPr>
              <w:spacing w:line="360" w:lineRule="auto"/>
              <w:rPr>
                <w:rFonts w:ascii="宋体" w:hAnsi="宋体" w:cs="宋体"/>
                <w:color w:val="auto"/>
                <w:sz w:val="24"/>
                <w:highlight w:val="none"/>
              </w:rPr>
            </w:pPr>
            <w:r>
              <w:rPr>
                <w:rFonts w:hint="eastAsia" w:ascii="宋体" w:hAnsi="宋体" w:cs="宋体"/>
                <w:color w:val="auto"/>
                <w:sz w:val="24"/>
                <w:highlight w:val="none"/>
              </w:rPr>
              <w:t>3.具有环境管理体系认证证书的得1分；</w:t>
            </w:r>
          </w:p>
          <w:p>
            <w:pPr>
              <w:spacing w:line="360" w:lineRule="auto"/>
              <w:rPr>
                <w:rFonts w:ascii="宋体" w:hAnsi="宋体" w:cs="宋体"/>
                <w:color w:val="auto"/>
                <w:sz w:val="24"/>
                <w:highlight w:val="none"/>
              </w:rPr>
            </w:pPr>
            <w:r>
              <w:rPr>
                <w:rFonts w:hint="eastAsia" w:ascii="宋体" w:hAnsi="宋体" w:cs="宋体"/>
                <w:color w:val="auto"/>
                <w:sz w:val="24"/>
                <w:highlight w:val="none"/>
              </w:rPr>
              <w:t>以上内容须提供相应证明文件原件核查且证明文件须在有效期内，否则不得分。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51" w:type="dxa"/>
            <w:vMerge w:val="continue"/>
            <w:noWrap/>
            <w:vAlign w:val="center"/>
          </w:tcPr>
          <w:p>
            <w:pPr>
              <w:spacing w:line="360" w:lineRule="auto"/>
              <w:jc w:val="center"/>
              <w:rPr>
                <w:rFonts w:ascii="宋体" w:hAnsi="宋体" w:cs="宋体"/>
                <w:b/>
                <w:color w:val="auto"/>
                <w:sz w:val="24"/>
                <w:highlight w:val="none"/>
              </w:rPr>
            </w:pPr>
          </w:p>
        </w:tc>
        <w:tc>
          <w:tcPr>
            <w:tcW w:w="1245" w:type="dxa"/>
            <w:vMerge w:val="continue"/>
            <w:noWrap/>
            <w:vAlign w:val="center"/>
          </w:tcPr>
          <w:p>
            <w:pPr>
              <w:spacing w:line="360" w:lineRule="auto"/>
              <w:jc w:val="center"/>
              <w:rPr>
                <w:rFonts w:ascii="宋体" w:hAnsi="宋体" w:cs="宋体"/>
                <w:b/>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投标供应商2016年1月1日以来在国有企事业机关单位配送供货服务的成功案例，每份合同2分，最高得8分；需提供合同原件否则不得分。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51" w:type="dxa"/>
            <w:vMerge w:val="restart"/>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w:t>
            </w:r>
          </w:p>
        </w:tc>
        <w:tc>
          <w:tcPr>
            <w:tcW w:w="1245" w:type="dxa"/>
            <w:vMerge w:val="restart"/>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售后服务</w:t>
            </w: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根据后投标供应商提供的售后服务方案、承诺及提供的优惠措施情况评分。最高不超过3分。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1" w:type="dxa"/>
            <w:vMerge w:val="continue"/>
            <w:noWrap/>
            <w:vAlign w:val="center"/>
          </w:tcPr>
          <w:p>
            <w:pPr>
              <w:spacing w:line="360" w:lineRule="auto"/>
              <w:jc w:val="center"/>
              <w:rPr>
                <w:rFonts w:ascii="宋体" w:hAnsi="宋体" w:cs="宋体"/>
                <w:b/>
                <w:color w:val="auto"/>
                <w:sz w:val="24"/>
                <w:highlight w:val="none"/>
              </w:rPr>
            </w:pPr>
          </w:p>
        </w:tc>
        <w:tc>
          <w:tcPr>
            <w:tcW w:w="1245" w:type="dxa"/>
            <w:vMerge w:val="continue"/>
            <w:noWrap/>
            <w:vAlign w:val="center"/>
          </w:tcPr>
          <w:p>
            <w:pPr>
              <w:spacing w:line="360" w:lineRule="auto"/>
              <w:jc w:val="center"/>
              <w:rPr>
                <w:rFonts w:ascii="宋体" w:hAnsi="宋体" w:cs="宋体"/>
                <w:b/>
                <w:color w:val="auto"/>
                <w:sz w:val="24"/>
                <w:highlight w:val="none"/>
              </w:rPr>
            </w:pP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为保障本项目服务的便利性及管理的及时性，视距离远近，服务网点在路桥区范围内得3分；台州市本级范围得2分；台州市本级以外的得1分。提供营业执照原件或租赁合同原件核查，否则不得分。（注册时间需为公告发布前三个月，否则不得分）</w:t>
            </w:r>
          </w:p>
        </w:tc>
        <w:tc>
          <w:tcPr>
            <w:tcW w:w="124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51" w:type="dxa"/>
            <w:noWrap/>
            <w:vAlign w:val="center"/>
          </w:tcPr>
          <w:p>
            <w:pPr>
              <w:spacing w:before="100" w:beforeAutospacing="1"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45" w:type="dxa"/>
            <w:noWrap/>
            <w:vAlign w:val="center"/>
          </w:tcPr>
          <w:p>
            <w:pPr>
              <w:spacing w:before="100" w:beforeAutospacing="1"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标书    质量</w:t>
            </w:r>
          </w:p>
        </w:tc>
        <w:tc>
          <w:tcPr>
            <w:tcW w:w="6589"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编排是否合理，有无编订页码，内容是否详实等。其余由评委自行判定，酌情打分。</w:t>
            </w:r>
          </w:p>
        </w:tc>
        <w:tc>
          <w:tcPr>
            <w:tcW w:w="1240" w:type="dxa"/>
            <w:noWrap/>
            <w:vAlign w:val="center"/>
          </w:tcPr>
          <w:p>
            <w:pPr>
              <w:spacing w:before="100" w:beforeAutospacing="1" w:after="100" w:afterAutospacing="1" w:line="360" w:lineRule="auto"/>
              <w:jc w:val="center"/>
              <w:rPr>
                <w:rFonts w:ascii="宋体" w:hAnsi="宋体" w:cs="宋体"/>
                <w:color w:val="auto"/>
                <w:sz w:val="24"/>
                <w:highlight w:val="none"/>
              </w:rPr>
            </w:pPr>
            <w:r>
              <w:rPr>
                <w:rFonts w:hint="eastAsia" w:ascii="宋体" w:hAnsi="宋体" w:cs="宋体"/>
                <w:color w:val="auto"/>
                <w:sz w:val="24"/>
                <w:highlight w:val="none"/>
              </w:rPr>
              <w:t>2分</w:t>
            </w:r>
          </w:p>
        </w:tc>
      </w:tr>
    </w:tbl>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个标段，具体内容如下表：</w:t>
      </w:r>
    </w:p>
    <w:tbl>
      <w:tblPr>
        <w:tblStyle w:val="1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096"/>
        <w:gridCol w:w="1750"/>
        <w:gridCol w:w="566"/>
        <w:gridCol w:w="581"/>
        <w:gridCol w:w="148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2096"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75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56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48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年预算</w:t>
            </w:r>
          </w:p>
        </w:tc>
        <w:tc>
          <w:tcPr>
            <w:tcW w:w="2174"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供货服务期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92"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09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2020-2021年度</w:t>
            </w:r>
            <w:r>
              <w:rPr>
                <w:rFonts w:hint="eastAsia" w:asciiTheme="minorEastAsia" w:hAnsiTheme="minorEastAsia" w:eastAsiaTheme="minorEastAsia"/>
                <w:b/>
                <w:bCs/>
                <w:color w:val="auto"/>
                <w:sz w:val="24"/>
                <w:highlight w:val="none"/>
              </w:rPr>
              <w:t>区政府</w:t>
            </w:r>
            <w:r>
              <w:rPr>
                <w:rFonts w:hint="eastAsia" w:asciiTheme="minorEastAsia" w:hAnsiTheme="minorEastAsia" w:eastAsiaTheme="minorEastAsia"/>
                <w:color w:val="auto"/>
                <w:sz w:val="24"/>
                <w:highlight w:val="none"/>
              </w:rPr>
              <w:t>食堂农副产品采购项目</w:t>
            </w:r>
          </w:p>
        </w:tc>
        <w:tc>
          <w:tcPr>
            <w:tcW w:w="1750"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详见招标文件</w:t>
            </w:r>
          </w:p>
        </w:tc>
        <w:tc>
          <w:tcPr>
            <w:tcW w:w="56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581"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48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300万元/年</w:t>
            </w:r>
          </w:p>
        </w:tc>
        <w:tc>
          <w:tcPr>
            <w:tcW w:w="2174"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2年</w:t>
            </w:r>
          </w:p>
          <w:p>
            <w:pPr>
              <w:tabs>
                <w:tab w:val="left" w:pos="8280"/>
              </w:tabs>
              <w:autoSpaceDE w:val="0"/>
              <w:autoSpaceDN w:val="0"/>
              <w:adjustRightInd w:val="0"/>
              <w:ind w:right="2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合同一年一签</w:t>
            </w:r>
          </w:p>
        </w:tc>
      </w:tr>
    </w:tbl>
    <w:p>
      <w:pPr>
        <w:pStyle w:val="15"/>
        <w:numPr>
          <w:ilvl w:val="0"/>
          <w:numId w:val="9"/>
        </w:numPr>
        <w:spacing w:before="0" w:beforeAutospacing="0" w:after="0" w:afterAutospacing="0" w:line="360" w:lineRule="auto"/>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 xml:space="preserve">采购需求  </w:t>
      </w:r>
    </w:p>
    <w:tbl>
      <w:tblPr>
        <w:tblStyle w:val="17"/>
        <w:tblW w:w="9006"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77"/>
        <w:gridCol w:w="114"/>
        <w:gridCol w:w="1794"/>
        <w:gridCol w:w="141"/>
        <w:gridCol w:w="45"/>
        <w:gridCol w:w="35"/>
        <w:gridCol w:w="62"/>
        <w:gridCol w:w="851"/>
        <w:gridCol w:w="767"/>
        <w:gridCol w:w="508"/>
        <w:gridCol w:w="1418"/>
        <w:gridCol w:w="142"/>
        <w:gridCol w:w="287"/>
        <w:gridCol w:w="563"/>
        <w:gridCol w:w="142"/>
        <w:gridCol w:w="13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豆制品类1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80"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产品</w:t>
            </w:r>
          </w:p>
        </w:tc>
        <w:tc>
          <w:tcPr>
            <w:tcW w:w="1715" w:type="dxa"/>
            <w:gridSpan w:val="4"/>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2355" w:type="dxa"/>
            <w:gridSpan w:val="4"/>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056"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D01</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豆腐（嫩）</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2</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腐竹</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3</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黄豆</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4</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香干</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5</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油泡</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包括大、小油泡和油泡片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6</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千张</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7</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素鸡</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8</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豆腐皮</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D0</w:t>
            </w:r>
            <w:r>
              <w:rPr>
                <w:rFonts w:hint="eastAsia" w:ascii="宋体" w:hAnsi="宋体" w:cs="宋体"/>
                <w:color w:val="auto"/>
                <w:kern w:val="0"/>
                <w:szCs w:val="21"/>
                <w:highlight w:val="none"/>
              </w:rPr>
              <w:t>9</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豆芽</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w:t>
            </w:r>
            <w:r>
              <w:rPr>
                <w:rFonts w:hint="eastAsia" w:ascii="宋体" w:hAnsi="宋体" w:cs="宋体"/>
                <w:color w:val="auto"/>
                <w:kern w:val="0"/>
                <w:szCs w:val="21"/>
                <w:highlight w:val="none"/>
              </w:rPr>
              <w:t>10</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老豆腐</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w:t>
            </w:r>
            <w:r>
              <w:rPr>
                <w:rFonts w:hint="eastAsia" w:ascii="宋体" w:hAnsi="宋体" w:cs="宋体"/>
                <w:color w:val="auto"/>
                <w:kern w:val="0"/>
                <w:szCs w:val="21"/>
                <w:highlight w:val="none"/>
              </w:rPr>
              <w:t>11</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面巾</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w:t>
            </w:r>
            <w:r>
              <w:rPr>
                <w:rFonts w:hint="eastAsia" w:ascii="宋体" w:hAnsi="宋体" w:cs="宋体"/>
                <w:color w:val="auto"/>
                <w:kern w:val="0"/>
                <w:szCs w:val="21"/>
                <w:highlight w:val="none"/>
              </w:rPr>
              <w:t>12</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日本豆腐</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w:t>
            </w:r>
            <w:r>
              <w:rPr>
                <w:rFonts w:hint="eastAsia" w:ascii="宋体" w:hAnsi="宋体" w:cs="宋体"/>
                <w:color w:val="auto"/>
                <w:kern w:val="0"/>
                <w:szCs w:val="21"/>
                <w:highlight w:val="none"/>
              </w:rPr>
              <w:t>13</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黄豆粉</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w:t>
            </w:r>
            <w:r>
              <w:rPr>
                <w:rFonts w:hint="eastAsia" w:ascii="宋体" w:hAnsi="宋体" w:cs="宋体"/>
                <w:color w:val="auto"/>
                <w:kern w:val="0"/>
                <w:szCs w:val="21"/>
                <w:highlight w:val="none"/>
              </w:rPr>
              <w:t>14</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面结</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27.7</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D1</w:t>
            </w:r>
            <w:r>
              <w:rPr>
                <w:rFonts w:hint="eastAsia" w:ascii="宋体" w:hAnsi="宋体" w:cs="宋体"/>
                <w:color w:val="auto"/>
                <w:kern w:val="0"/>
                <w:szCs w:val="21"/>
                <w:highlight w:val="none"/>
              </w:rPr>
              <w:t>5</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嫩</w:t>
            </w:r>
            <w:r>
              <w:rPr>
                <w:rFonts w:ascii="宋体" w:hAnsi="宋体" w:cs="宋体"/>
                <w:color w:val="auto"/>
                <w:kern w:val="0"/>
                <w:szCs w:val="21"/>
                <w:highlight w:val="none"/>
              </w:rPr>
              <w:t>豆腐</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D1</w:t>
            </w:r>
            <w:r>
              <w:rPr>
                <w:rFonts w:hint="eastAsia" w:ascii="宋体" w:hAnsi="宋体" w:cs="宋体"/>
                <w:color w:val="auto"/>
                <w:kern w:val="0"/>
                <w:szCs w:val="21"/>
                <w:highlight w:val="none"/>
              </w:rPr>
              <w:t>6</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厚</w:t>
            </w:r>
            <w:r>
              <w:rPr>
                <w:rFonts w:ascii="宋体" w:hAnsi="宋体" w:cs="宋体"/>
                <w:color w:val="auto"/>
                <w:kern w:val="0"/>
                <w:szCs w:val="21"/>
                <w:highlight w:val="none"/>
              </w:rPr>
              <w:t>豆腐干</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D1</w:t>
            </w:r>
            <w:r>
              <w:rPr>
                <w:rFonts w:hint="eastAsia" w:ascii="宋体" w:hAnsi="宋体" w:cs="宋体"/>
                <w:color w:val="auto"/>
                <w:kern w:val="0"/>
                <w:szCs w:val="21"/>
                <w:highlight w:val="none"/>
              </w:rPr>
              <w:t>7</w:t>
            </w:r>
          </w:p>
        </w:tc>
        <w:tc>
          <w:tcPr>
            <w:tcW w:w="1980"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水发</w:t>
            </w:r>
            <w:r>
              <w:rPr>
                <w:rFonts w:ascii="宋体" w:hAnsi="宋体" w:cs="宋体"/>
                <w:color w:val="auto"/>
                <w:kern w:val="0"/>
                <w:szCs w:val="21"/>
                <w:highlight w:val="none"/>
              </w:rPr>
              <w:t>黄豆</w:t>
            </w:r>
          </w:p>
        </w:tc>
        <w:tc>
          <w:tcPr>
            <w:tcW w:w="171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酱菜类2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80" w:type="dxa"/>
            <w:gridSpan w:val="3"/>
            <w:tcBorders>
              <w:tl2br w:val="nil"/>
              <w:tr2bl w:val="nil"/>
            </w:tcBorders>
            <w:shd w:val="clear" w:color="auto" w:fill="auto"/>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商品</w:t>
            </w:r>
          </w:p>
        </w:tc>
        <w:tc>
          <w:tcPr>
            <w:tcW w:w="1715" w:type="dxa"/>
            <w:gridSpan w:val="4"/>
            <w:tcBorders>
              <w:tl2br w:val="nil"/>
              <w:tr2bl w:val="nil"/>
            </w:tcBorders>
            <w:shd w:val="clear" w:color="auto" w:fill="auto"/>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2355" w:type="dxa"/>
            <w:gridSpan w:val="4"/>
            <w:tcBorders>
              <w:tl2br w:val="nil"/>
              <w:tr2bl w:val="nil"/>
            </w:tcBorders>
            <w:shd w:val="clear" w:color="000000" w:fill="FFFFFF"/>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056" w:type="dxa"/>
            <w:gridSpan w:val="3"/>
            <w:tcBorders>
              <w:tl2br w:val="nil"/>
              <w:tr2bl w:val="nil"/>
            </w:tcBorders>
            <w:shd w:val="clear" w:color="000000" w:fill="FFFFFF"/>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1</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干香菇</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2</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花生米</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3</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酱瓜片</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9.8</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4</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萝卜条</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5</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梅干菜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20.4</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J0</w:t>
            </w:r>
            <w:r>
              <w:rPr>
                <w:rFonts w:hint="eastAsia" w:ascii="宋体" w:hAnsi="宋体" w:cs="宋体"/>
                <w:color w:val="auto"/>
                <w:kern w:val="0"/>
                <w:szCs w:val="21"/>
                <w:highlight w:val="none"/>
              </w:rPr>
              <w:t>6</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什锦菜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07</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湿笋干</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08</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雪菜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09</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榨菜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10</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剁椒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11</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咸蛋黄</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12</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板栗罐头</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13</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干萝卜丝</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14</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花生酱丁</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8"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15</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黄瓜酱丁</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16</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五仁酱丁</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17</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干朝天椒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18</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皮蛋</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去泥，品质好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19</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干辣椒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28.8</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20</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辣包菜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21</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萝卜干</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22</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咸鸭蛋</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去泥，品质好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23</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榨菜丝</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24</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白咸菜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25</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红油笋丝</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26</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白糖大蒜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27</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糖醋大蒜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28</w:t>
            </w:r>
          </w:p>
        </w:tc>
        <w:tc>
          <w:tcPr>
            <w:tcW w:w="1980" w:type="dxa"/>
            <w:gridSpan w:val="3"/>
            <w:tcBorders>
              <w:tl2br w:val="nil"/>
              <w:tr2bl w:val="nil"/>
            </w:tcBorders>
            <w:shd w:val="clear" w:color="auto" w:fill="auto"/>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香甜脆瓜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29</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剁辣椒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30</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红油豆角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31</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红油萝卜条</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32</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芥头</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33</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腌萝卜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34</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黄飞鸿香脆椒</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J</w:t>
            </w:r>
            <w:r>
              <w:rPr>
                <w:rFonts w:hint="eastAsia" w:ascii="宋体" w:hAnsi="宋体" w:cs="宋体"/>
                <w:color w:val="auto"/>
                <w:kern w:val="0"/>
                <w:szCs w:val="21"/>
                <w:highlight w:val="none"/>
              </w:rPr>
              <w:t>35</w:t>
            </w:r>
          </w:p>
        </w:tc>
        <w:tc>
          <w:tcPr>
            <w:tcW w:w="1980"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曾式铁外婆菜</w:t>
            </w:r>
          </w:p>
        </w:tc>
        <w:tc>
          <w:tcPr>
            <w:tcW w:w="1715" w:type="dxa"/>
            <w:gridSpan w:val="4"/>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056" w:type="dxa"/>
            <w:gridSpan w:val="3"/>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禽牛羊肉冰冻熟食类3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049"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商品</w:t>
            </w:r>
          </w:p>
        </w:tc>
        <w:tc>
          <w:tcPr>
            <w:tcW w:w="1760" w:type="dxa"/>
            <w:gridSpan w:val="5"/>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2355" w:type="dxa"/>
            <w:gridSpan w:val="4"/>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056"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贡丸</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鸡翅根</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鸡翅尖</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鸡壳</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5</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鸡爪</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6</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鸭边腿</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7</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翅中</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8</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大肠</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Q0</w:t>
            </w:r>
            <w:r>
              <w:rPr>
                <w:rFonts w:hint="eastAsia" w:ascii="宋体" w:hAnsi="宋体" w:cs="宋体"/>
                <w:color w:val="auto"/>
                <w:kern w:val="0"/>
                <w:szCs w:val="21"/>
                <w:highlight w:val="none"/>
              </w:rPr>
              <w:t>9</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鸡柳</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10</w:t>
            </w:r>
          </w:p>
        </w:tc>
        <w:tc>
          <w:tcPr>
            <w:tcW w:w="2049" w:type="dxa"/>
            <w:gridSpan w:val="3"/>
            <w:tcBorders>
              <w:tl2br w:val="nil"/>
              <w:tr2bl w:val="nil"/>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鸡肉</w:t>
            </w:r>
          </w:p>
        </w:tc>
        <w:tc>
          <w:tcPr>
            <w:tcW w:w="1760" w:type="dxa"/>
            <w:gridSpan w:val="5"/>
            <w:tcBorders>
              <w:tl2br w:val="nil"/>
              <w:tr2bl w:val="nil"/>
            </w:tcBorders>
            <w:shd w:val="clear" w:color="000000" w:fill="FFFFFF"/>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腊鸡腿</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童子鸡</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雪花鸡柳</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雪花鸡排</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鸭肫</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16</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整鸭</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17</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羊排</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18</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牛排</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19</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家乡肉圆</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鹌鹑蛋</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鸭血</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鸡大腿</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鸭腿</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方形火腿</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冰冻小肠卷</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26</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冰冻猪肚</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27</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熟牛肉</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28</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熟牛肚</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Q29</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冰冻羊排</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冰冻猪脚尖</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冰冻筒骨</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鱿鱼圈</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虾干</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Q34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虾皮</w:t>
            </w:r>
          </w:p>
        </w:tc>
        <w:tc>
          <w:tcPr>
            <w:tcW w:w="1760" w:type="dxa"/>
            <w:gridSpan w:val="5"/>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鲜嫩鸭</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36</w:t>
            </w:r>
          </w:p>
        </w:tc>
        <w:tc>
          <w:tcPr>
            <w:tcW w:w="2049"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olor w:val="auto"/>
                <w:szCs w:val="21"/>
                <w:highlight w:val="none"/>
              </w:rPr>
              <w:t>牛仔骨</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37</w:t>
            </w:r>
          </w:p>
        </w:tc>
        <w:tc>
          <w:tcPr>
            <w:tcW w:w="2049"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olor w:val="auto"/>
                <w:szCs w:val="21"/>
                <w:highlight w:val="none"/>
              </w:rPr>
              <w:t>老鸭</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38</w:t>
            </w:r>
          </w:p>
        </w:tc>
        <w:tc>
          <w:tcPr>
            <w:tcW w:w="2049"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乌鸡</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39</w:t>
            </w:r>
          </w:p>
        </w:tc>
        <w:tc>
          <w:tcPr>
            <w:tcW w:w="2049"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卤牛肉</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40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新鲜牛柳</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41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新鲜牛百叶</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42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新鲜牛肉</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Q</w:t>
            </w:r>
            <w:r>
              <w:rPr>
                <w:rFonts w:hint="eastAsia" w:ascii="宋体" w:hAnsi="宋体" w:cs="宋体"/>
                <w:color w:val="auto"/>
                <w:kern w:val="0"/>
                <w:szCs w:val="21"/>
                <w:highlight w:val="none"/>
              </w:rPr>
              <w:t>43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新鲜羊肉</w:t>
            </w:r>
          </w:p>
        </w:tc>
        <w:tc>
          <w:tcPr>
            <w:tcW w:w="1760"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主食类4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042" w:type="dxa"/>
            <w:gridSpan w:val="7"/>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商品</w:t>
            </w:r>
          </w:p>
        </w:tc>
        <w:tc>
          <w:tcPr>
            <w:tcW w:w="1275"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1560" w:type="dxa"/>
            <w:gridSpan w:val="2"/>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343" w:type="dxa"/>
            <w:gridSpan w:val="4"/>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1</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豆面</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2</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粉丝</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3</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年糕</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4</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汤圆</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冷冻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5</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红枣</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夏季供应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Z06</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绿豆</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夏季供应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7</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白木耳</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夏季供应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8</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赤豆（红豆）</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夏季供应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Z0</w:t>
            </w:r>
            <w:r>
              <w:rPr>
                <w:rFonts w:hint="eastAsia" w:ascii="宋体" w:hAnsi="宋体" w:cs="宋体"/>
                <w:color w:val="auto"/>
                <w:kern w:val="0"/>
                <w:szCs w:val="21"/>
                <w:highlight w:val="none"/>
              </w:rPr>
              <w:t>9</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东北饷秋大米</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10</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福临门葵花籽油</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升</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63.8</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5L/瓶.20L/箱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11</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蓝鸟面粉</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12</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黄豆</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7.7</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13</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黑米</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10.89</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14</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玉米渣</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15</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金龙鱼芝麻油</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26.95</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400ml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16</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白扁豆</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21.78</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17</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早米粉</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8.58</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散称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18</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花生米</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19</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米氏糯米粉</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7.48</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700G/包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20</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糯米</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8.14</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21</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扁食皮</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5</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22</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米面</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8</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23</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馄饨皮</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6</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24</w:t>
            </w:r>
          </w:p>
        </w:tc>
        <w:tc>
          <w:tcPr>
            <w:tcW w:w="3042"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水饺皮</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6</w:t>
            </w:r>
          </w:p>
        </w:tc>
        <w:tc>
          <w:tcPr>
            <w:tcW w:w="2343" w:type="dxa"/>
            <w:gridSpan w:val="4"/>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25</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麻糍</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6</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26</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龙口粉丝</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10</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500g/包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27</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小米</w:t>
            </w:r>
          </w:p>
        </w:tc>
        <w:tc>
          <w:tcPr>
            <w:tcW w:w="1275" w:type="dxa"/>
            <w:gridSpan w:val="2"/>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14</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28</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六月干黄豆</w:t>
            </w:r>
          </w:p>
        </w:tc>
        <w:tc>
          <w:tcPr>
            <w:tcW w:w="1275" w:type="dxa"/>
            <w:gridSpan w:val="2"/>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7</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29</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玉米粉</w:t>
            </w:r>
          </w:p>
        </w:tc>
        <w:tc>
          <w:tcPr>
            <w:tcW w:w="1275" w:type="dxa"/>
            <w:gridSpan w:val="2"/>
            <w:tcBorders>
              <w:tl2br w:val="nil"/>
              <w:tr2bl w:val="nil"/>
            </w:tcBorders>
            <w:noWrap/>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11</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30</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黑米粉</w:t>
            </w:r>
          </w:p>
        </w:tc>
        <w:tc>
          <w:tcPr>
            <w:tcW w:w="1275" w:type="dxa"/>
            <w:gridSpan w:val="2"/>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10</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31</w:t>
            </w:r>
          </w:p>
        </w:tc>
        <w:tc>
          <w:tcPr>
            <w:tcW w:w="3042"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冷冻宁波麻心汤丸</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32</w:t>
            </w:r>
          </w:p>
        </w:tc>
        <w:tc>
          <w:tcPr>
            <w:tcW w:w="3042"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垂面</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textAlignment w:val="center"/>
              <w:rPr>
                <w:rFonts w:ascii="宋体" w:hAnsi="宋体"/>
                <w:color w:val="auto"/>
                <w:kern w:val="0"/>
                <w:szCs w:val="21"/>
                <w:highlight w:val="none"/>
              </w:rPr>
            </w:pPr>
            <w:r>
              <w:rPr>
                <w:rFonts w:hint="eastAsia" w:ascii="宋体" w:hAnsi="宋体" w:cs="宋体"/>
                <w:color w:val="auto"/>
                <w:kern w:val="0"/>
                <w:szCs w:val="21"/>
                <w:highlight w:val="none"/>
              </w:rPr>
              <w:t>12</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33</w:t>
            </w:r>
          </w:p>
        </w:tc>
        <w:tc>
          <w:tcPr>
            <w:tcW w:w="3042"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河粉</w:t>
            </w:r>
          </w:p>
        </w:tc>
        <w:tc>
          <w:tcPr>
            <w:tcW w:w="1275"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textAlignment w:val="center"/>
              <w:rPr>
                <w:rFonts w:ascii="宋体" w:hAnsi="宋体"/>
                <w:color w:val="auto"/>
                <w:kern w:val="0"/>
                <w:szCs w:val="21"/>
                <w:highlight w:val="none"/>
              </w:rPr>
            </w:pPr>
            <w:r>
              <w:rPr>
                <w:rFonts w:hint="eastAsia" w:ascii="宋体" w:hAnsi="宋体"/>
                <w:color w:val="auto"/>
                <w:kern w:val="0"/>
                <w:szCs w:val="21"/>
                <w:highlight w:val="none"/>
              </w:rPr>
              <w:t>8</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34</w:t>
            </w:r>
          </w:p>
        </w:tc>
        <w:tc>
          <w:tcPr>
            <w:tcW w:w="3042"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米粉</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textAlignment w:val="center"/>
              <w:rPr>
                <w:rFonts w:ascii="宋体" w:hAnsi="宋体"/>
                <w:color w:val="auto"/>
                <w:kern w:val="0"/>
                <w:szCs w:val="21"/>
                <w:highlight w:val="none"/>
              </w:rPr>
            </w:pPr>
            <w:r>
              <w:rPr>
                <w:rFonts w:hint="eastAsia" w:ascii="宋体" w:hAnsi="宋体" w:cs="宋体"/>
                <w:color w:val="auto"/>
                <w:kern w:val="0"/>
                <w:szCs w:val="21"/>
                <w:highlight w:val="none"/>
              </w:rPr>
              <w:t>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Z</w:t>
            </w:r>
            <w:r>
              <w:rPr>
                <w:rFonts w:hint="eastAsia" w:ascii="宋体" w:hAnsi="宋体" w:cs="宋体"/>
                <w:color w:val="auto"/>
                <w:kern w:val="0"/>
                <w:szCs w:val="21"/>
                <w:highlight w:val="none"/>
              </w:rPr>
              <w:t>35</w:t>
            </w:r>
          </w:p>
        </w:tc>
        <w:tc>
          <w:tcPr>
            <w:tcW w:w="3042"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凉皮</w:t>
            </w:r>
          </w:p>
        </w:tc>
        <w:tc>
          <w:tcPr>
            <w:tcW w:w="1275"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公斤</w:t>
            </w:r>
          </w:p>
        </w:tc>
        <w:tc>
          <w:tcPr>
            <w:tcW w:w="1560" w:type="dxa"/>
            <w:gridSpan w:val="2"/>
            <w:tcBorders>
              <w:tl2br w:val="nil"/>
              <w:tr2bl w:val="nil"/>
            </w:tcBorders>
            <w:noWrap/>
            <w:vAlign w:val="center"/>
          </w:tcPr>
          <w:p>
            <w:pPr>
              <w:widowControl/>
              <w:jc w:val="center"/>
              <w:textAlignment w:val="center"/>
              <w:rPr>
                <w:rFonts w:ascii="宋体" w:hAnsi="宋体"/>
                <w:color w:val="auto"/>
                <w:kern w:val="0"/>
                <w:szCs w:val="21"/>
                <w:highlight w:val="none"/>
              </w:rPr>
            </w:pPr>
            <w:r>
              <w:rPr>
                <w:rFonts w:hint="eastAsia" w:ascii="宋体" w:hAnsi="宋体" w:cs="宋体"/>
                <w:color w:val="auto"/>
                <w:kern w:val="0"/>
                <w:szCs w:val="21"/>
                <w:highlight w:val="none"/>
              </w:rPr>
              <w:t>3.5</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调味品类5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191" w:type="dxa"/>
            <w:gridSpan w:val="6"/>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商品</w:t>
            </w:r>
          </w:p>
        </w:tc>
        <w:tc>
          <w:tcPr>
            <w:tcW w:w="1618"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2355" w:type="dxa"/>
            <w:gridSpan w:val="4"/>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056"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白糖</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陈皮</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桂皮</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红糖</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茴香</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鸡精（约1kg/包）</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米醋（小袋装）</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味精(1KG)</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T00</w:t>
            </w:r>
            <w:r>
              <w:rPr>
                <w:rFonts w:hint="eastAsia" w:ascii="宋体" w:hAnsi="宋体" w:cs="宋体"/>
                <w:color w:val="auto"/>
                <w:kern w:val="0"/>
                <w:szCs w:val="21"/>
                <w:highlight w:val="none"/>
              </w:rPr>
              <w:t>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盐(小包)</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厨邦酱油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1.68L/瓶.6瓶/箱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11</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港顺鸡汁</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21.78</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500G/瓶.6瓶/箱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12</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海天草菇老抽</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1.9L/瓶.6瓶/箱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13</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海天耗油</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42.9</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6公斤/桶.2桶/箱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14</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海天黄豆酱</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6公斤/桶.2桶/箱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15</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海天味极鲜</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22.55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1.63L/瓶.6瓶/箱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16</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黑豆</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19.8</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17</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黑胡椒汁</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350G/瓶.12瓶/箱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18</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宏绿金针菇</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170G/瓶.12瓶/箱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19</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黄金糕</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7.26</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300G/包.30/箱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20</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莲花味精</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17.05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1公斤/包.10包/箱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21</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梅菜笋丝</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1.98</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70G/包30包/箱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22</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太太乐鸡精</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200G/包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23</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咸亨糟方</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7.92</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500G/瓶12瓶/箱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24</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香菇（干）</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散称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25</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小西米</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7.26</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散称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26</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椰子汁</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听</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4.07</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245ML/合.24合/箱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27</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油条专用粉</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22.5公斤/包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28</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糖粉</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太古烘焙专用糖粉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29</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胡椒粉</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味好美，30克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30</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浓缩鸡汁</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家乐，1公斤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31</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麻油</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御膳，450毫升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32</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麻油</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尹记坊，300毫升*12瓶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33</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蚝油</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三井牌，465克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34</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加碘日晒自然盐</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雪涛，300克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35</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无碘营养日晒盐</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鲜嫩美，300克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36</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鸡精</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太太乐，1000克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37</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生粉</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三友利，250克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38</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进口生粉</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御园风车包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39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杭州香醋</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双鱼，400毫升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40</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玫瑰米醋</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双鱼，500毫升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41</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白醋</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鼎丰，500毫升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42</w:t>
            </w:r>
          </w:p>
        </w:tc>
        <w:tc>
          <w:tcPr>
            <w:tcW w:w="2191" w:type="dxa"/>
            <w:gridSpan w:val="6"/>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陈醋</w:t>
            </w:r>
          </w:p>
        </w:tc>
        <w:tc>
          <w:tcPr>
            <w:tcW w:w="1618" w:type="dxa"/>
            <w:gridSpan w:val="2"/>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056" w:type="dxa"/>
            <w:gridSpan w:val="3"/>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恒顺，500毫升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大红浙醋</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东古酱油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一品鲜，500毫升×12瓶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鲜味生抽</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海天，800毫升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鲜味生抽</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海天，1.9升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草菇老抽</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海天，1.9升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美味鲜</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厨邦，360毫升*20瓶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49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湖南辣椒酱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张氏记，228克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精致剁辣椒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坛坛乡，2.3公斤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腌辣椒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淮河酱品生产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辣椒酱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安徽泾县生产，4500克/桶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剁椒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航仔，2公斤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广合腐乳</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广合，335克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黄豆酱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海天，340克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郸县酱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丹丹牌，10公斤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海鲜酱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 400克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海天排骨酱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12瓶/箱，260克/瓶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59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李锦记排骨酱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12瓶/箱，240克/瓶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蒜蓉辣椒酱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中邦，6千克/桶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辣酱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阿香婆素味，210克瓶装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辣油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和鑫，380毫升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蒸鱼鼓油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李锦记，1.9升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椒盐</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味好美，30克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生姜汁</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跃龙，210毫升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火锅底料</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三五牌，300克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黑椒汁</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家乐，2.3千克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孜然粉</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国良，40克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69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阳江豆豉</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十三香</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盒</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王守义，45g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麻辣鲜</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王守义，102克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大包泡椒（2kg）</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2千克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浓缩柠檬汁</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屈臣氏牌 750毫升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黑胡椒粒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黄飞红香脆椒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308克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花椒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78</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加碘细盐</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300g/包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79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阿香婆牛肉酱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9.9200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鼎丰白醋</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4.2000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500ml/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番茄沙司</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厨邦美味鲜酱油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21.0000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1kg*6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鸡汁</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19.6700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550g/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大黄豆</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白胡椒粉</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5.5000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227g/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郫县豆瓣酱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箱</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59.8000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黄豆酱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63.8000</w:t>
            </w:r>
          </w:p>
        </w:tc>
        <w:tc>
          <w:tcPr>
            <w:tcW w:w="2056"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6kg/桶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王守义麻辣鲜</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89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A料</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黑米</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黑木耳</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106.0000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花生酱</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8.2500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93</w:t>
            </w:r>
          </w:p>
        </w:tc>
        <w:tc>
          <w:tcPr>
            <w:tcW w:w="2191" w:type="dxa"/>
            <w:gridSpan w:val="6"/>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0"/>
                <w:szCs w:val="20"/>
                <w:highlight w:val="none"/>
              </w:rPr>
              <w:t>香叶</w:t>
            </w:r>
          </w:p>
        </w:tc>
        <w:tc>
          <w:tcPr>
            <w:tcW w:w="161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KG</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0"/>
                <w:szCs w:val="20"/>
                <w:highlight w:val="none"/>
              </w:rPr>
              <w:t>36</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海天蒸鱼豉油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红油泡菜</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21.6000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老干妈辣椒</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szCs w:val="21"/>
                <w:highlight w:val="none"/>
              </w:rPr>
              <w:t>剩余质保期应不少于2/3，瓶/210克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莲花味精</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2000克/包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李锦记蒸鱼豉油</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410ml/瓶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T0</w:t>
            </w:r>
            <w:r>
              <w:rPr>
                <w:rFonts w:hint="eastAsia" w:ascii="宋体" w:hAnsi="宋体" w:cs="宋体"/>
                <w:color w:val="auto"/>
                <w:kern w:val="0"/>
                <w:szCs w:val="21"/>
                <w:highlight w:val="none"/>
              </w:rPr>
              <w:t>99</w:t>
            </w:r>
          </w:p>
        </w:tc>
        <w:tc>
          <w:tcPr>
            <w:tcW w:w="2191" w:type="dxa"/>
            <w:gridSpan w:val="6"/>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李记鱼酸菜</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250克/包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100</w:t>
            </w:r>
          </w:p>
        </w:tc>
        <w:tc>
          <w:tcPr>
            <w:tcW w:w="2191" w:type="dxa"/>
            <w:gridSpan w:val="6"/>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炼乳</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罐</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15.8000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350克/罐，雀巢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101</w:t>
            </w:r>
          </w:p>
        </w:tc>
        <w:tc>
          <w:tcPr>
            <w:tcW w:w="2191" w:type="dxa"/>
            <w:gridSpan w:val="6"/>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龙虾料</w:t>
            </w:r>
          </w:p>
        </w:tc>
        <w:tc>
          <w:tcPr>
            <w:tcW w:w="1618"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38.5000</w:t>
            </w:r>
          </w:p>
        </w:tc>
        <w:tc>
          <w:tcPr>
            <w:tcW w:w="2056" w:type="dxa"/>
            <w:gridSpan w:val="3"/>
            <w:tcBorders>
              <w:tl2br w:val="nil"/>
              <w:tr2bl w:val="nil"/>
            </w:tcBorders>
            <w:noWrap/>
            <w:vAlign w:val="center"/>
          </w:tcPr>
          <w:p>
            <w:pPr>
              <w:pStyle w:val="3"/>
              <w:keepNext w:val="0"/>
              <w:keepLines w:val="0"/>
              <w:widowControl/>
              <w:numPr>
                <w:ilvl w:val="0"/>
                <w:numId w:val="0"/>
              </w:numPr>
              <w:shd w:val="clear" w:color="auto" w:fill="FFFFFF"/>
              <w:spacing w:before="0" w:after="0" w:line="15" w:lineRule="atLeast"/>
              <w:jc w:val="center"/>
              <w:rPr>
                <w:rFonts w:ascii="宋体" w:hAnsi="宋体" w:cs="宋体"/>
                <w:color w:val="auto"/>
                <w:kern w:val="0"/>
                <w:szCs w:val="21"/>
                <w:highlight w:val="none"/>
              </w:rPr>
            </w:pPr>
            <w:r>
              <w:rPr>
                <w:rFonts w:hint="eastAsia" w:ascii="宋体" w:hAnsi="宋体"/>
                <w:b w:val="0"/>
                <w:color w:val="auto"/>
                <w:kern w:val="2"/>
                <w:sz w:val="21"/>
                <w:szCs w:val="21"/>
                <w:highlight w:val="none"/>
              </w:rPr>
              <w:t>335克/包，盱眙十三香麻辣小龙虾调料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辣油</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85.0000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5L/</w:t>
            </w:r>
            <w:r>
              <w:rPr>
                <w:rFonts w:ascii="宋体" w:hAnsi="宋体"/>
                <w:color w:val="auto"/>
                <w:kern w:val="0"/>
                <w:szCs w:val="21"/>
                <w:highlight w:val="none"/>
              </w:rPr>
              <w:t>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双鱼玫瑰米醋</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500ml/瓶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玫瑰豆沙</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14.3000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香菇</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梅林午餐肉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罐</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340克/</w:t>
            </w:r>
            <w:r>
              <w:rPr>
                <w:rFonts w:ascii="宋体" w:hAnsi="宋体"/>
                <w:color w:val="auto"/>
                <w:kern w:val="0"/>
                <w:szCs w:val="21"/>
                <w:highlight w:val="none"/>
              </w:rPr>
              <w:t>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川南酸菜</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Tahoma"/>
                <w:color w:val="auto"/>
                <w:szCs w:val="21"/>
                <w:highlight w:val="none"/>
                <w:shd w:val="clear" w:color="auto" w:fill="FFFFFF"/>
              </w:rPr>
              <w:t>300g/</w:t>
            </w:r>
            <w:r>
              <w:rPr>
                <w:rFonts w:ascii="宋体" w:hAnsi="宋体"/>
                <w:color w:val="auto"/>
                <w:kern w:val="0"/>
                <w:szCs w:val="21"/>
                <w:highlight w:val="none"/>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四川辣油</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瓶</w:t>
            </w:r>
          </w:p>
        </w:tc>
        <w:tc>
          <w:tcPr>
            <w:tcW w:w="2355" w:type="dxa"/>
            <w:gridSpan w:val="4"/>
            <w:tcBorders>
              <w:bottom w:val="single" w:color="auto" w:sz="4" w:space="0"/>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2056" w:type="dxa"/>
            <w:gridSpan w:val="3"/>
            <w:tcBorders>
              <w:bottom w:val="single" w:color="auto" w:sz="4" w:space="0"/>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230克/瓶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109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郫县豆瓣酱</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瓶</w:t>
            </w:r>
          </w:p>
        </w:tc>
        <w:tc>
          <w:tcPr>
            <w:tcW w:w="2355" w:type="dxa"/>
            <w:gridSpan w:val="4"/>
            <w:tcBorders>
              <w:bottom w:val="single" w:color="auto" w:sz="4" w:space="0"/>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16.0000</w:t>
            </w:r>
          </w:p>
        </w:tc>
        <w:tc>
          <w:tcPr>
            <w:tcW w:w="2056" w:type="dxa"/>
            <w:gridSpan w:val="3"/>
            <w:tcBorders>
              <w:bottom w:val="single" w:color="auto" w:sz="4" w:space="0"/>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1100克/瓶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泡打粉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2355" w:type="dxa"/>
            <w:gridSpan w:val="4"/>
            <w:tcBorders>
              <w:top w:val="single" w:color="auto" w:sz="4" w:space="0"/>
              <w:bottom w:val="single" w:color="auto" w:sz="4" w:space="0"/>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2056" w:type="dxa"/>
            <w:gridSpan w:val="3"/>
            <w:tcBorders>
              <w:top w:val="single" w:color="auto" w:sz="4" w:space="0"/>
              <w:bottom w:val="single" w:color="auto" w:sz="4" w:space="0"/>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50克/包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香菇（优等）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公斤</w:t>
            </w:r>
          </w:p>
        </w:tc>
        <w:tc>
          <w:tcPr>
            <w:tcW w:w="2355" w:type="dxa"/>
            <w:gridSpan w:val="4"/>
            <w:tcBorders>
              <w:top w:val="single" w:color="auto" w:sz="4" w:space="0"/>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108.0000</w:t>
            </w:r>
          </w:p>
        </w:tc>
        <w:tc>
          <w:tcPr>
            <w:tcW w:w="2056" w:type="dxa"/>
            <w:gridSpan w:val="3"/>
            <w:tcBorders>
              <w:top w:val="single" w:color="auto" w:sz="4" w:space="0"/>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等级优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小米</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13</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伊利纯牛奶</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箱</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58.8000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250ML*24/箱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14</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野山椒</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17.0000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2500克/包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油条膨松剂</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250克/包，安琪无铝害复配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16</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王守义十三香孜然粉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40克/包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17</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玉米粉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bCs/>
                <w:color w:val="auto"/>
                <w:kern w:val="0"/>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10.6000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18</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虾酱</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13.0000</w:t>
            </w:r>
          </w:p>
        </w:tc>
        <w:tc>
          <w:tcPr>
            <w:tcW w:w="2056" w:type="dxa"/>
            <w:gridSpan w:val="3"/>
            <w:tcBorders>
              <w:tl2br w:val="nil"/>
              <w:tr2bl w:val="nil"/>
            </w:tcBorders>
            <w:noWrap/>
            <w:vAlign w:val="center"/>
          </w:tcPr>
          <w:p>
            <w:pPr>
              <w:jc w:val="center"/>
              <w:rPr>
                <w:rFonts w:ascii="宋体" w:hAnsi="宋体" w:cs="Tahoma"/>
                <w:color w:val="auto"/>
                <w:szCs w:val="21"/>
                <w:highlight w:val="none"/>
                <w:shd w:val="clear" w:color="auto" w:fill="FFFFFF"/>
              </w:rPr>
            </w:pPr>
            <w:r>
              <w:rPr>
                <w:rFonts w:ascii="宋体" w:hAnsi="宋体"/>
                <w:color w:val="auto"/>
                <w:szCs w:val="21"/>
                <w:highlight w:val="none"/>
              </w:rPr>
              <w:t>350g</w:t>
            </w:r>
            <w:r>
              <w:rPr>
                <w:rFonts w:hint="eastAsia" w:ascii="宋体" w:hAnsi="宋体"/>
                <w:color w:val="auto"/>
                <w:szCs w:val="21"/>
                <w:highlight w:val="none"/>
              </w:rPr>
              <w:t>/</w:t>
            </w:r>
            <w:r>
              <w:rPr>
                <w:rFonts w:ascii="宋体" w:hAnsi="宋体"/>
                <w:color w:val="auto"/>
                <w:szCs w:val="21"/>
                <w:highlight w:val="none"/>
              </w:rPr>
              <w:t>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w:t>
            </w: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9</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芝麻油</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23.5000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250ml/</w:t>
            </w:r>
            <w:r>
              <w:rPr>
                <w:rFonts w:ascii="宋体" w:hAnsi="宋体"/>
                <w:bCs/>
                <w:color w:val="auto"/>
                <w:kern w:val="0"/>
                <w:szCs w:val="21"/>
                <w:highlight w:val="none"/>
              </w:rPr>
              <w:t>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w:t>
            </w:r>
            <w:r>
              <w:rPr>
                <w:rFonts w:hint="eastAsia" w:ascii="宋体" w:hAnsi="宋体" w:cs="宋体"/>
                <w:color w:val="auto"/>
                <w:kern w:val="0"/>
                <w:szCs w:val="21"/>
                <w:highlight w:val="none"/>
              </w:rPr>
              <w:t>0</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椒盐粉</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bCs/>
                <w:color w:val="auto"/>
                <w:kern w:val="0"/>
                <w:szCs w:val="21"/>
                <w:highlight w:val="none"/>
              </w:rPr>
              <w:t>包</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15.000</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bCs/>
                <w:color w:val="auto"/>
                <w:szCs w:val="21"/>
                <w:highlight w:val="none"/>
              </w:rPr>
              <w:t>500克/包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T201</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芝麻油大瓶</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ascii="宋体" w:hAnsi="宋体"/>
                <w:bCs/>
                <w:color w:val="auto"/>
                <w:kern w:val="0"/>
                <w:szCs w:val="21"/>
                <w:highlight w:val="none"/>
              </w:rPr>
              <w:t>瓶</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bCs/>
                <w:color w:val="auto"/>
                <w:kern w:val="0"/>
                <w:szCs w:val="21"/>
                <w:highlight w:val="none"/>
              </w:rPr>
              <w:t>38.000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460ml/</w:t>
            </w:r>
            <w:r>
              <w:rPr>
                <w:rFonts w:ascii="宋体" w:hAnsi="宋体"/>
                <w:bCs/>
                <w:color w:val="auto"/>
                <w:kern w:val="0"/>
                <w:szCs w:val="21"/>
                <w:highlight w:val="none"/>
              </w:rPr>
              <w:t>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T202</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枸杞</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60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T203</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米仁</w:t>
            </w:r>
          </w:p>
        </w:tc>
        <w:tc>
          <w:tcPr>
            <w:tcW w:w="1618" w:type="dxa"/>
            <w:gridSpan w:val="2"/>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5</w:t>
            </w:r>
          </w:p>
        </w:tc>
        <w:tc>
          <w:tcPr>
            <w:tcW w:w="2056"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T204</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桂圆</w:t>
            </w:r>
          </w:p>
        </w:tc>
        <w:tc>
          <w:tcPr>
            <w:tcW w:w="1618" w:type="dxa"/>
            <w:gridSpan w:val="2"/>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30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T205</w:t>
            </w:r>
          </w:p>
        </w:tc>
        <w:tc>
          <w:tcPr>
            <w:tcW w:w="2191"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冬瓜糖</w:t>
            </w:r>
          </w:p>
        </w:tc>
        <w:tc>
          <w:tcPr>
            <w:tcW w:w="1618" w:type="dxa"/>
            <w:gridSpan w:val="2"/>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15</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T206</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龟苓膏粉</w:t>
            </w:r>
          </w:p>
        </w:tc>
        <w:tc>
          <w:tcPr>
            <w:tcW w:w="1618" w:type="dxa"/>
            <w:gridSpan w:val="2"/>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15</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T207</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蜂之语蜂蜜</w:t>
            </w:r>
          </w:p>
        </w:tc>
        <w:tc>
          <w:tcPr>
            <w:tcW w:w="1618" w:type="dxa"/>
            <w:gridSpan w:val="2"/>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85</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T208</w:t>
            </w:r>
          </w:p>
        </w:tc>
        <w:tc>
          <w:tcPr>
            <w:tcW w:w="2191" w:type="dxa"/>
            <w:gridSpan w:val="6"/>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腰果</w:t>
            </w:r>
          </w:p>
        </w:tc>
        <w:tc>
          <w:tcPr>
            <w:tcW w:w="1618" w:type="dxa"/>
            <w:gridSpan w:val="2"/>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90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T209</w:t>
            </w:r>
          </w:p>
        </w:tc>
        <w:tc>
          <w:tcPr>
            <w:tcW w:w="2191"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豆腐皮干</w:t>
            </w:r>
          </w:p>
        </w:tc>
        <w:tc>
          <w:tcPr>
            <w:tcW w:w="1618" w:type="dxa"/>
            <w:gridSpan w:val="2"/>
            <w:tcBorders>
              <w:tl2br w:val="nil"/>
              <w:tr2bl w:val="nil"/>
            </w:tcBorders>
            <w:noWrap/>
            <w:vAlign w:val="center"/>
          </w:tcPr>
          <w:p>
            <w:pPr>
              <w:jc w:val="center"/>
              <w:textAlignment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30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szCs w:val="21"/>
                <w:highlight w:val="none"/>
              </w:rPr>
              <w:t>新鲜，无异味，无粘液，无酸腐味，无霉变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T21</w:t>
            </w:r>
            <w:r>
              <w:rPr>
                <w:rFonts w:hint="eastAsia" w:ascii="宋体" w:hAnsi="宋体" w:cs="宋体"/>
                <w:color w:val="auto"/>
                <w:kern w:val="0"/>
                <w:szCs w:val="21"/>
                <w:highlight w:val="none"/>
              </w:rPr>
              <w:t>0</w:t>
            </w:r>
          </w:p>
        </w:tc>
        <w:tc>
          <w:tcPr>
            <w:tcW w:w="2191"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白芝麻</w:t>
            </w:r>
          </w:p>
        </w:tc>
        <w:tc>
          <w:tcPr>
            <w:tcW w:w="1618" w:type="dxa"/>
            <w:gridSpan w:val="2"/>
            <w:tcBorders>
              <w:tl2br w:val="nil"/>
              <w:tr2bl w:val="nil"/>
            </w:tcBorders>
            <w:noWrap/>
            <w:vAlign w:val="center"/>
          </w:tcPr>
          <w:p>
            <w:pPr>
              <w:jc w:val="center"/>
              <w:textAlignment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T211</w:t>
            </w:r>
          </w:p>
        </w:tc>
        <w:tc>
          <w:tcPr>
            <w:tcW w:w="2191"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黑芝麻</w:t>
            </w:r>
          </w:p>
        </w:tc>
        <w:tc>
          <w:tcPr>
            <w:tcW w:w="1618" w:type="dxa"/>
            <w:gridSpan w:val="2"/>
            <w:tcBorders>
              <w:tl2br w:val="nil"/>
              <w:tr2bl w:val="nil"/>
            </w:tcBorders>
            <w:noWrap/>
            <w:vAlign w:val="center"/>
          </w:tcPr>
          <w:p>
            <w:pPr>
              <w:jc w:val="center"/>
              <w:textAlignment w:val="center"/>
              <w:rPr>
                <w:rFonts w:ascii="宋体" w:hAnsi="宋体"/>
                <w:color w:val="auto"/>
                <w:kern w:val="0"/>
                <w:szCs w:val="21"/>
                <w:highlight w:val="none"/>
              </w:rPr>
            </w:pPr>
            <w:r>
              <w:rPr>
                <w:rFonts w:hint="eastAsia" w:ascii="宋体" w:hAnsi="宋体"/>
                <w:color w:val="auto"/>
                <w:szCs w:val="21"/>
                <w:highlight w:val="none"/>
              </w:rPr>
              <w:t>公斤</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20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T21</w:t>
            </w:r>
            <w:r>
              <w:rPr>
                <w:rFonts w:hint="eastAsia" w:ascii="宋体" w:hAnsi="宋体" w:cs="宋体"/>
                <w:color w:val="auto"/>
                <w:kern w:val="0"/>
                <w:szCs w:val="21"/>
                <w:highlight w:val="none"/>
              </w:rPr>
              <w:t>2</w:t>
            </w:r>
          </w:p>
        </w:tc>
        <w:tc>
          <w:tcPr>
            <w:tcW w:w="2191"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吉士粉（1桶3公斤）</w:t>
            </w:r>
          </w:p>
        </w:tc>
        <w:tc>
          <w:tcPr>
            <w:tcW w:w="1618" w:type="dxa"/>
            <w:gridSpan w:val="2"/>
            <w:tcBorders>
              <w:tl2br w:val="nil"/>
              <w:tr2bl w:val="nil"/>
            </w:tcBorders>
            <w:noWrap/>
            <w:vAlign w:val="center"/>
          </w:tcPr>
          <w:p>
            <w:pPr>
              <w:jc w:val="center"/>
              <w:textAlignment w:val="center"/>
              <w:rPr>
                <w:rFonts w:ascii="宋体" w:hAnsi="宋体"/>
                <w:color w:val="auto"/>
                <w:kern w:val="0"/>
                <w:szCs w:val="21"/>
                <w:highlight w:val="none"/>
              </w:rPr>
            </w:pPr>
            <w:r>
              <w:rPr>
                <w:rFonts w:hint="eastAsia" w:ascii="宋体" w:hAnsi="宋体"/>
                <w:color w:val="auto"/>
                <w:szCs w:val="21"/>
                <w:highlight w:val="none"/>
              </w:rPr>
              <w:t>桶</w:t>
            </w:r>
          </w:p>
        </w:tc>
        <w:tc>
          <w:tcPr>
            <w:tcW w:w="2355" w:type="dxa"/>
            <w:gridSpan w:val="4"/>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90</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T213</w:t>
            </w:r>
          </w:p>
        </w:tc>
        <w:tc>
          <w:tcPr>
            <w:tcW w:w="2191" w:type="dxa"/>
            <w:gridSpan w:val="6"/>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rPr>
              <w:t>百利沙拉酱</w:t>
            </w:r>
          </w:p>
        </w:tc>
        <w:tc>
          <w:tcPr>
            <w:tcW w:w="1618" w:type="dxa"/>
            <w:gridSpan w:val="2"/>
            <w:tcBorders>
              <w:tl2br w:val="nil"/>
              <w:tr2bl w:val="nil"/>
            </w:tcBorders>
            <w:noWrap/>
            <w:vAlign w:val="center"/>
          </w:tcPr>
          <w:p>
            <w:pPr>
              <w:jc w:val="center"/>
              <w:textAlignment w:val="center"/>
              <w:rPr>
                <w:rFonts w:ascii="宋体" w:hAnsi="宋体"/>
                <w:color w:val="auto"/>
                <w:kern w:val="0"/>
                <w:szCs w:val="21"/>
                <w:highlight w:val="none"/>
              </w:rPr>
            </w:pPr>
            <w:r>
              <w:rPr>
                <w:rFonts w:hint="eastAsia" w:ascii="宋体" w:hAnsi="宋体"/>
                <w:color w:val="auto"/>
                <w:szCs w:val="21"/>
                <w:highlight w:val="none"/>
              </w:rPr>
              <w:t>700g</w:t>
            </w:r>
          </w:p>
        </w:tc>
        <w:tc>
          <w:tcPr>
            <w:tcW w:w="2355" w:type="dxa"/>
            <w:gridSpan w:val="4"/>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rPr>
              <w:t>18</w:t>
            </w:r>
          </w:p>
        </w:tc>
        <w:tc>
          <w:tcPr>
            <w:tcW w:w="2056"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品质优良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其他类6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vMerge w:val="restart"/>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049" w:type="dxa"/>
            <w:gridSpan w:val="3"/>
            <w:vMerge w:val="restart"/>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品种</w:t>
            </w:r>
          </w:p>
        </w:tc>
        <w:tc>
          <w:tcPr>
            <w:tcW w:w="3686" w:type="dxa"/>
            <w:gridSpan w:val="7"/>
            <w:vMerge w:val="restart"/>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品牌、规格、要求</w:t>
            </w:r>
          </w:p>
        </w:tc>
        <w:tc>
          <w:tcPr>
            <w:tcW w:w="992" w:type="dxa"/>
            <w:gridSpan w:val="3"/>
            <w:vMerge w:val="restart"/>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493" w:type="dxa"/>
            <w:gridSpan w:val="2"/>
            <w:vMerge w:val="restart"/>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vMerge w:val="continue"/>
            <w:tcBorders>
              <w:tl2br w:val="nil"/>
              <w:tr2bl w:val="nil"/>
            </w:tcBorders>
            <w:noWrap/>
            <w:vAlign w:val="center"/>
          </w:tcPr>
          <w:p>
            <w:pPr>
              <w:widowControl/>
              <w:jc w:val="center"/>
              <w:rPr>
                <w:rFonts w:ascii="宋体" w:hAnsi="宋体" w:cs="宋体"/>
                <w:b/>
                <w:bCs/>
                <w:color w:val="auto"/>
                <w:kern w:val="0"/>
                <w:szCs w:val="21"/>
                <w:highlight w:val="none"/>
              </w:rPr>
            </w:pPr>
          </w:p>
        </w:tc>
        <w:tc>
          <w:tcPr>
            <w:tcW w:w="2049" w:type="dxa"/>
            <w:gridSpan w:val="3"/>
            <w:vMerge w:val="continue"/>
            <w:tcBorders>
              <w:tl2br w:val="nil"/>
              <w:tr2bl w:val="nil"/>
            </w:tcBorders>
            <w:noWrap/>
            <w:vAlign w:val="center"/>
          </w:tcPr>
          <w:p>
            <w:pPr>
              <w:widowControl/>
              <w:jc w:val="center"/>
              <w:rPr>
                <w:rFonts w:ascii="宋体" w:hAnsi="宋体" w:cs="宋体"/>
                <w:b/>
                <w:bCs/>
                <w:color w:val="auto"/>
                <w:kern w:val="0"/>
                <w:szCs w:val="21"/>
                <w:highlight w:val="none"/>
              </w:rPr>
            </w:pPr>
          </w:p>
        </w:tc>
        <w:tc>
          <w:tcPr>
            <w:tcW w:w="3686" w:type="dxa"/>
            <w:gridSpan w:val="7"/>
            <w:vMerge w:val="continue"/>
            <w:tcBorders>
              <w:tl2br w:val="nil"/>
              <w:tr2bl w:val="nil"/>
            </w:tcBorders>
            <w:noWrap/>
            <w:vAlign w:val="center"/>
          </w:tcPr>
          <w:p>
            <w:pPr>
              <w:widowControl/>
              <w:jc w:val="center"/>
              <w:rPr>
                <w:rFonts w:ascii="宋体" w:hAnsi="宋体" w:cs="宋体"/>
                <w:b/>
                <w:bCs/>
                <w:color w:val="auto"/>
                <w:kern w:val="0"/>
                <w:szCs w:val="21"/>
                <w:highlight w:val="none"/>
              </w:rPr>
            </w:pPr>
          </w:p>
        </w:tc>
        <w:tc>
          <w:tcPr>
            <w:tcW w:w="992" w:type="dxa"/>
            <w:gridSpan w:val="3"/>
            <w:vMerge w:val="continue"/>
            <w:tcBorders>
              <w:tl2br w:val="nil"/>
              <w:tr2bl w:val="nil"/>
            </w:tcBorders>
            <w:noWrap/>
            <w:vAlign w:val="center"/>
          </w:tcPr>
          <w:p>
            <w:pPr>
              <w:widowControl/>
              <w:jc w:val="center"/>
              <w:rPr>
                <w:rFonts w:ascii="宋体" w:hAnsi="宋体" w:cs="宋体"/>
                <w:b/>
                <w:bCs/>
                <w:color w:val="auto"/>
                <w:kern w:val="0"/>
                <w:szCs w:val="21"/>
                <w:highlight w:val="none"/>
              </w:rPr>
            </w:pPr>
          </w:p>
        </w:tc>
        <w:tc>
          <w:tcPr>
            <w:tcW w:w="1493" w:type="dxa"/>
            <w:gridSpan w:val="2"/>
            <w:vMerge w:val="continue"/>
            <w:tcBorders>
              <w:tl2br w:val="nil"/>
              <w:tr2bl w:val="nil"/>
            </w:tcBorders>
            <w:noWrap/>
            <w:vAlign w:val="center"/>
          </w:tcPr>
          <w:p>
            <w:pPr>
              <w:widowControl/>
              <w:jc w:val="center"/>
              <w:rPr>
                <w:rFonts w:ascii="宋体" w:hAnsi="宋体" w:cs="宋体"/>
                <w:b/>
                <w:bCs/>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QT1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面包袋</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塑料材质，宽30mm×高34.5mm×底9cm，100个/捆</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捆</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一次性透明外卖打包盒（加厚）</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符合食品安全及环保要求，长方形，650ml/个，50只/套，6套/箱</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一次性餐盒透明饭盒（中-深加厚）</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符合食品安全及环保要求，长方形，16*10*4，每箱30包，每包100只</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保鲜膜</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符合食品安全及环保要求，龙辉牌，45公分*300长</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一次性塑料打包盒</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符合食品安全及环保要求，长方形，家优诚品牌，850ml，每条50个，每箱20包</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固体酒精</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120-130块/箱，35克/块</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笼垫</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直径52cm,圆形，草编</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QT8</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打包袋</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30cm*45cm,180个/斤</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QT9</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打包袋</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22cm*34cm,400个/斤</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打包袋</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18cm*26cm,600个/斤</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大吸管</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100根/包，10×200mm</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小吸管</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95根左右/包，100包/箱，06×19.5mm</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蛋糕油纸</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美嘉南，40cm×120m</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餐巾纸</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清风抽纸（原木纯品抽纸3层130抽）24包每箱</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洗洁精</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雕牌高效洗洁精 5公斤/瓶</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QT16</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巧儿背心式垃圾袋</w:t>
            </w:r>
          </w:p>
        </w:tc>
        <w:tc>
          <w:tcPr>
            <w:tcW w:w="3686" w:type="dxa"/>
            <w:gridSpan w:val="7"/>
            <w:tcBorders>
              <w:tl2br w:val="nil"/>
              <w:tr2bl w:val="nil"/>
            </w:tcBorders>
            <w:noWrap/>
            <w:vAlign w:val="center"/>
          </w:tcPr>
          <w:p>
            <w:pPr>
              <w:widowControl/>
              <w:jc w:val="center"/>
              <w:rPr>
                <w:rFonts w:ascii="宋体" w:hAnsi="宋体" w:cs="宋体"/>
                <w:color w:val="auto"/>
                <w:kern w:val="0"/>
                <w:szCs w:val="21"/>
                <w:highlight w:val="none"/>
              </w:rPr>
            </w:pP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卷</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QT17</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保鲜膜</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卷</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QT18</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固体酒精</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符合食品安全及环保要求（12公斤）</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箱</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QT19</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垃圾桶</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kern w:val="0"/>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妙洁拖把</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把</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钢丝球</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板</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雷达杀虫剂</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22.9000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妙洁清洁球</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南孚电池5号两粒装</w:t>
            </w:r>
          </w:p>
        </w:tc>
        <w:tc>
          <w:tcPr>
            <w:tcW w:w="3686" w:type="dxa"/>
            <w:gridSpan w:val="7"/>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ascii="宋体" w:hAnsi="宋体"/>
                <w:color w:val="auto"/>
                <w:kern w:val="0"/>
                <w:szCs w:val="21"/>
                <w:highlight w:val="none"/>
              </w:rPr>
              <w:t>板</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QT25</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南阳之星抽纸</w:t>
            </w:r>
          </w:p>
        </w:tc>
        <w:tc>
          <w:tcPr>
            <w:tcW w:w="3686" w:type="dxa"/>
            <w:gridSpan w:val="7"/>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提</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QT26</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清风抽纸</w:t>
            </w:r>
          </w:p>
        </w:tc>
        <w:tc>
          <w:tcPr>
            <w:tcW w:w="3686" w:type="dxa"/>
            <w:gridSpan w:val="7"/>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kern w:val="0"/>
                <w:szCs w:val="21"/>
                <w:highlight w:val="none"/>
              </w:rPr>
              <w:t>200抽</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盒</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QT27</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一次性手套</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QT28</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洗衣粉</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QT29</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心相印湿巾</w:t>
            </w:r>
          </w:p>
        </w:tc>
        <w:tc>
          <w:tcPr>
            <w:tcW w:w="3686" w:type="dxa"/>
            <w:gridSpan w:val="7"/>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QT30</w:t>
            </w:r>
          </w:p>
        </w:tc>
        <w:tc>
          <w:tcPr>
            <w:tcW w:w="2049"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蓝月亮洗手液</w:t>
            </w:r>
          </w:p>
        </w:tc>
        <w:tc>
          <w:tcPr>
            <w:tcW w:w="3686" w:type="dxa"/>
            <w:gridSpan w:val="7"/>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QT31</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鑫峰一次性手套</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QT32</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洗碗手套</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双</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一次性纸杯</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包</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QT34</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纸音卷纸</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提</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QT35</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一次性口罩</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QT36</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高压锅皮垫</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符合食品安全及环保要求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QT37</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扫帚、畚斗组合</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套</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QT38</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笤帚（竹）</w:t>
            </w:r>
          </w:p>
        </w:tc>
        <w:tc>
          <w:tcPr>
            <w:tcW w:w="3686" w:type="dxa"/>
            <w:gridSpan w:val="7"/>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kern w:val="0"/>
                <w:szCs w:val="21"/>
                <w:highlight w:val="none"/>
              </w:rPr>
            </w:pPr>
            <w:r>
              <w:rPr>
                <w:rFonts w:hint="eastAsia" w:ascii="宋体" w:hAnsi="宋体"/>
                <w:color w:val="auto"/>
                <w:szCs w:val="21"/>
                <w:highlight w:val="none"/>
              </w:rPr>
              <w:t>把</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QT39</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大拖把（拖头80cm</w:t>
            </w:r>
            <w:r>
              <w:rPr>
                <w:rFonts w:ascii="宋体" w:hAnsi="宋体"/>
                <w:color w:val="auto"/>
                <w:szCs w:val="21"/>
                <w:highlight w:val="none"/>
              </w:rPr>
              <w:t>）</w:t>
            </w:r>
          </w:p>
        </w:tc>
        <w:tc>
          <w:tcPr>
            <w:tcW w:w="3686" w:type="dxa"/>
            <w:gridSpan w:val="7"/>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QT40</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一级塑料凳</w:t>
            </w:r>
          </w:p>
        </w:tc>
        <w:tc>
          <w:tcPr>
            <w:tcW w:w="3686" w:type="dxa"/>
            <w:gridSpan w:val="7"/>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QT41</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地刷</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QT42</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塑料水管</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米</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QT43</w:t>
            </w:r>
          </w:p>
        </w:tc>
        <w:tc>
          <w:tcPr>
            <w:tcW w:w="2049"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雨鞋</w:t>
            </w:r>
          </w:p>
        </w:tc>
        <w:tc>
          <w:tcPr>
            <w:tcW w:w="3686" w:type="dxa"/>
            <w:gridSpan w:val="7"/>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双</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QT44</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油漏斗（大）</w:t>
            </w:r>
          </w:p>
        </w:tc>
        <w:tc>
          <w:tcPr>
            <w:tcW w:w="3686" w:type="dxa"/>
            <w:gridSpan w:val="7"/>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QT45</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水桶(30L)</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QT</w:t>
            </w:r>
            <w:r>
              <w:rPr>
                <w:rFonts w:ascii="宋体" w:hAnsi="宋体"/>
                <w:color w:val="auto"/>
                <w:szCs w:val="21"/>
                <w:highlight w:val="none"/>
              </w:rPr>
              <w:t>46</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热水瓶</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w:t>
            </w:r>
            <w:r>
              <w:rPr>
                <w:rFonts w:ascii="宋体" w:hAnsi="宋体"/>
                <w:color w:val="auto"/>
                <w:szCs w:val="21"/>
                <w:highlight w:val="none"/>
              </w:rPr>
              <w:t>47</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烟灰缸</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w:t>
            </w:r>
            <w:r>
              <w:rPr>
                <w:rFonts w:ascii="宋体" w:hAnsi="宋体"/>
                <w:color w:val="auto"/>
                <w:szCs w:val="21"/>
                <w:highlight w:val="none"/>
              </w:rPr>
              <w:t>48</w:t>
            </w:r>
          </w:p>
        </w:tc>
        <w:tc>
          <w:tcPr>
            <w:tcW w:w="2049"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厨师帽</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jc w:val="center"/>
              <w:rPr>
                <w:rFonts w:ascii="宋体" w:hAnsi="宋体"/>
                <w:color w:val="auto"/>
                <w:kern w:val="0"/>
                <w:szCs w:val="21"/>
                <w:highlight w:val="none"/>
              </w:rPr>
            </w:pPr>
            <w:r>
              <w:rPr>
                <w:rFonts w:hint="eastAsia" w:ascii="宋体" w:hAnsi="宋体"/>
                <w:color w:val="auto"/>
                <w:szCs w:val="21"/>
                <w:highlight w:val="none"/>
              </w:rPr>
              <w:t>顶</w:t>
            </w:r>
          </w:p>
        </w:tc>
        <w:tc>
          <w:tcPr>
            <w:tcW w:w="1493" w:type="dxa"/>
            <w:gridSpan w:val="2"/>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QT65</w:t>
            </w:r>
          </w:p>
        </w:tc>
        <w:tc>
          <w:tcPr>
            <w:tcW w:w="2049"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雷达电蚊香</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符合行业要求</w:t>
            </w: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瓶</w:t>
            </w:r>
          </w:p>
        </w:tc>
        <w:tc>
          <w:tcPr>
            <w:tcW w:w="1493" w:type="dxa"/>
            <w:gridSpan w:val="2"/>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QT66</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海绵拖把（雨捷40公分）</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把</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QT67</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毛巾</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条</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QT68</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一次性口罩无纺布（盒）</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100只/盒</w:t>
            </w: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盒</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QT69</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馒头夹子</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QT70</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豆浆袋（只）</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只</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QT71</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单头牙签（盒）</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直径&lt;2mm，3000支/盒</w:t>
            </w: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盒</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QT72</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蛋糕纸杯</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100个/盒</w:t>
            </w: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盒</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QT73</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挂钩</w:t>
            </w:r>
          </w:p>
        </w:tc>
        <w:tc>
          <w:tcPr>
            <w:tcW w:w="3686" w:type="dxa"/>
            <w:gridSpan w:val="7"/>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2个/组</w:t>
            </w: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组</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QT74</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打火机</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个</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QT75</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袖套</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副</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QT76</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围裙</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条</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QT77</w:t>
            </w:r>
          </w:p>
        </w:tc>
        <w:tc>
          <w:tcPr>
            <w:tcW w:w="2049" w:type="dxa"/>
            <w:gridSpan w:val="3"/>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碱</w:t>
            </w:r>
          </w:p>
        </w:tc>
        <w:tc>
          <w:tcPr>
            <w:tcW w:w="3686" w:type="dxa"/>
            <w:gridSpan w:val="7"/>
            <w:tcBorders>
              <w:tl2br w:val="nil"/>
              <w:tr2bl w:val="nil"/>
            </w:tcBorders>
            <w:noWrap/>
            <w:vAlign w:val="center"/>
          </w:tcPr>
          <w:p>
            <w:pPr>
              <w:jc w:val="center"/>
              <w:rPr>
                <w:rFonts w:ascii="宋体" w:hAnsi="宋体"/>
                <w:color w:val="auto"/>
                <w:szCs w:val="21"/>
                <w:highlight w:val="none"/>
              </w:rPr>
            </w:pPr>
          </w:p>
        </w:tc>
        <w:tc>
          <w:tcPr>
            <w:tcW w:w="992"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KG</w:t>
            </w:r>
          </w:p>
        </w:tc>
        <w:tc>
          <w:tcPr>
            <w:tcW w:w="1493"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猪肉类7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85" w:type="dxa"/>
            <w:gridSpan w:val="3"/>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产品</w:t>
            </w:r>
          </w:p>
        </w:tc>
        <w:tc>
          <w:tcPr>
            <w:tcW w:w="2409" w:type="dxa"/>
            <w:gridSpan w:val="7"/>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1560" w:type="dxa"/>
            <w:gridSpan w:val="2"/>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343" w:type="dxa"/>
            <w:gridSpan w:val="4"/>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w:t>
            </w:r>
          </w:p>
        </w:tc>
        <w:tc>
          <w:tcPr>
            <w:tcW w:w="1985" w:type="dxa"/>
            <w:gridSpan w:val="3"/>
            <w:tcBorders>
              <w:tl2br w:val="nil"/>
              <w:tr2bl w:val="nil"/>
            </w:tcBorders>
            <w:noWrap/>
            <w:vAlign w:val="center"/>
          </w:tcPr>
          <w:p>
            <w:pPr>
              <w:jc w:val="center"/>
              <w:rPr>
                <w:rFonts w:ascii="宋体" w:hAnsi="宋体" w:cs="宋体"/>
                <w:color w:val="auto"/>
                <w:kern w:val="0"/>
                <w:szCs w:val="21"/>
                <w:highlight w:val="none"/>
              </w:rPr>
            </w:pPr>
            <w:r>
              <w:rPr>
                <w:rFonts w:hint="eastAsia" w:ascii="宋体" w:hAnsi="宋体"/>
                <w:color w:val="auto"/>
                <w:szCs w:val="21"/>
                <w:highlight w:val="none"/>
              </w:rPr>
              <w:t>肉丝</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restart"/>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以当月市场询价为基准价结算</w:t>
            </w: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C2</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新鲜仔排</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C3</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新鲜大排</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C4</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肥膘肉</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C5</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新鲜筒骨</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C6</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新鲜猪脚</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C7</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新鲜精肉</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C8</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新鲜小排</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C9</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新鲜猪肝</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C10</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新鲜杂排</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C11</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新鲜猪肚</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C12</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新鲜大肠</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C13</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新鲜猪舌</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C15</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新鲜猪耳</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C17</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咸猪肉</w:t>
            </w:r>
          </w:p>
        </w:tc>
        <w:tc>
          <w:tcPr>
            <w:tcW w:w="2409" w:type="dxa"/>
            <w:gridSpan w:val="7"/>
            <w:tcBorders>
              <w:tl2br w:val="nil"/>
              <w:tr2bl w:val="nil"/>
            </w:tcBorders>
            <w:noWrap/>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bCs/>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C21</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狮子头</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C22</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新鲜肉排</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C48</w:t>
            </w:r>
          </w:p>
        </w:tc>
        <w:tc>
          <w:tcPr>
            <w:tcW w:w="1985"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去皮五花肉</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C49</w:t>
            </w:r>
          </w:p>
        </w:tc>
        <w:tc>
          <w:tcPr>
            <w:tcW w:w="1985" w:type="dxa"/>
            <w:gridSpan w:val="3"/>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带皮五花肉</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C50</w:t>
            </w:r>
          </w:p>
        </w:tc>
        <w:tc>
          <w:tcPr>
            <w:tcW w:w="1985"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厚肉仔排</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C51</w:t>
            </w:r>
          </w:p>
        </w:tc>
        <w:tc>
          <w:tcPr>
            <w:tcW w:w="1985"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肉片</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C52</w:t>
            </w:r>
          </w:p>
        </w:tc>
        <w:tc>
          <w:tcPr>
            <w:tcW w:w="1985" w:type="dxa"/>
            <w:gridSpan w:val="3"/>
            <w:tcBorders>
              <w:tl2br w:val="nil"/>
              <w:tr2bl w:val="nil"/>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里脊肉</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品质好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蛋类8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序号</w:t>
            </w:r>
          </w:p>
        </w:tc>
        <w:tc>
          <w:tcPr>
            <w:tcW w:w="1985" w:type="dxa"/>
            <w:gridSpan w:val="3"/>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产品</w:t>
            </w:r>
          </w:p>
        </w:tc>
        <w:tc>
          <w:tcPr>
            <w:tcW w:w="2409" w:type="dxa"/>
            <w:gridSpan w:val="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规格</w:t>
            </w:r>
          </w:p>
        </w:tc>
        <w:tc>
          <w:tcPr>
            <w:tcW w:w="1560" w:type="dxa"/>
            <w:gridSpan w:val="2"/>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基准价(元)</w:t>
            </w:r>
          </w:p>
        </w:tc>
        <w:tc>
          <w:tcPr>
            <w:tcW w:w="2343" w:type="dxa"/>
            <w:gridSpan w:val="4"/>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JD1</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鸡蛋</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restart"/>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以当月市场询价为基准价结算</w:t>
            </w:r>
          </w:p>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YD1</w:t>
            </w:r>
          </w:p>
        </w:tc>
        <w:tc>
          <w:tcPr>
            <w:tcW w:w="1985" w:type="dxa"/>
            <w:gridSpan w:val="3"/>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鸭蛋</w:t>
            </w:r>
          </w:p>
        </w:tc>
        <w:tc>
          <w:tcPr>
            <w:tcW w:w="2409" w:type="dxa"/>
            <w:gridSpan w:val="7"/>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1560" w:type="dxa"/>
            <w:gridSpan w:val="2"/>
            <w:vMerge w:val="continue"/>
            <w:tcBorders>
              <w:tl2br w:val="nil"/>
              <w:tr2bl w:val="nil"/>
            </w:tcBorders>
            <w:noWrap/>
            <w:vAlign w:val="center"/>
          </w:tcPr>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新鲜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蔬菜类9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85" w:type="dxa"/>
            <w:gridSpan w:val="3"/>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品名</w:t>
            </w:r>
          </w:p>
        </w:tc>
        <w:tc>
          <w:tcPr>
            <w:tcW w:w="2409" w:type="dxa"/>
            <w:gridSpan w:val="7"/>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规格标准</w:t>
            </w:r>
          </w:p>
        </w:tc>
        <w:tc>
          <w:tcPr>
            <w:tcW w:w="1560" w:type="dxa"/>
            <w:gridSpan w:val="2"/>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基准价</w:t>
            </w:r>
            <w:r>
              <w:rPr>
                <w:rFonts w:hint="eastAsia" w:ascii="宋体" w:hAnsi="宋体" w:cs="宋体"/>
                <w:b/>
                <w:bCs/>
                <w:color w:val="auto"/>
                <w:kern w:val="0"/>
                <w:szCs w:val="21"/>
                <w:highlight w:val="none"/>
              </w:rPr>
              <w:t>(元)</w:t>
            </w:r>
          </w:p>
        </w:tc>
        <w:tc>
          <w:tcPr>
            <w:tcW w:w="2343" w:type="dxa"/>
            <w:gridSpan w:val="4"/>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kern w:val="0"/>
                <w:szCs w:val="21"/>
                <w:highlight w:val="none"/>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蒜苗</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vMerge w:val="restart"/>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以当月市场询价为基准价结算</w:t>
            </w:r>
          </w:p>
          <w:p>
            <w:pPr>
              <w:widowControl/>
              <w:jc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包心菜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大白菜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油冬菜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花菜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茭白</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新鲜，无腐烂，去壳。同上</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09" w:type="dxa"/>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w:t>
            </w:r>
          </w:p>
        </w:tc>
        <w:tc>
          <w:tcPr>
            <w:tcW w:w="1985"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茄子</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新鲜，无腐烂（长茄子）</w:t>
            </w:r>
          </w:p>
        </w:tc>
        <w:tc>
          <w:tcPr>
            <w:tcW w:w="1560" w:type="dxa"/>
            <w:gridSpan w:val="2"/>
            <w:vMerge w:val="continue"/>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蔬菜类10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908" w:type="dxa"/>
            <w:gridSpan w:val="2"/>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品名</w:t>
            </w:r>
          </w:p>
        </w:tc>
        <w:tc>
          <w:tcPr>
            <w:tcW w:w="2409" w:type="dxa"/>
            <w:gridSpan w:val="7"/>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规格标准</w:t>
            </w:r>
          </w:p>
        </w:tc>
        <w:tc>
          <w:tcPr>
            <w:tcW w:w="1560" w:type="dxa"/>
            <w:gridSpan w:val="2"/>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单位</w:t>
            </w:r>
          </w:p>
        </w:tc>
        <w:tc>
          <w:tcPr>
            <w:tcW w:w="2343" w:type="dxa"/>
            <w:gridSpan w:val="4"/>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基准价</w:t>
            </w:r>
            <w:r>
              <w:rPr>
                <w:rFonts w:hint="eastAsia" w:ascii="宋体" w:hAnsi="宋体" w:cs="宋体"/>
                <w:b/>
                <w:bCs/>
                <w:color w:val="auto"/>
                <w:kern w:val="0"/>
                <w:szCs w:val="21"/>
                <w:highlight w:val="none"/>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绿、黄豆芽</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小葱</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韭菜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韭黄</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韭菜心</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老生姜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土姜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新生姜（嫩姜）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S009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洋葱</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b/>
                <w:bCs/>
                <w:color w:val="auto"/>
                <w:szCs w:val="21"/>
                <w:highlight w:val="none"/>
              </w:rPr>
            </w:pPr>
            <w:r>
              <w:rPr>
                <w:rFonts w:hint="eastAsia" w:ascii="宋体" w:hAnsi="宋体"/>
                <w:color w:val="auto"/>
                <w:szCs w:val="21"/>
                <w:highlight w:val="none"/>
              </w:rPr>
              <w:t>S010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新出大蒜子</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大蒜子</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去皮，新鲜，无腐烂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玉米棒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新鲜，无腐烂，去壳。甜玉米、糯米玉米</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花生</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带壳</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小地瓜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四季豆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小青菜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上海青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娃娃菜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S019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黄芽菜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小白菜、绍菜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空心菜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小番茄</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圣女果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西兰花</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西红柿</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油麦菜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紫甘蓝</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小青菜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生菜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S029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香菜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菠菜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b/>
                <w:bCs/>
                <w:color w:val="auto"/>
                <w:szCs w:val="21"/>
                <w:highlight w:val="none"/>
              </w:rPr>
            </w:pPr>
            <w:r>
              <w:rPr>
                <w:rFonts w:hint="eastAsia" w:ascii="宋体" w:hAnsi="宋体"/>
                <w:color w:val="auto"/>
                <w:szCs w:val="21"/>
                <w:highlight w:val="none"/>
              </w:rPr>
              <w:t>S031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芹菜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新鲜，去泥，无腐烂。同上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西芹</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菜心</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b/>
                <w:bCs/>
                <w:color w:val="auto"/>
                <w:szCs w:val="21"/>
                <w:highlight w:val="none"/>
              </w:rPr>
            </w:pPr>
            <w:r>
              <w:rPr>
                <w:rFonts w:hint="eastAsia" w:ascii="宋体" w:hAnsi="宋体"/>
                <w:color w:val="auto"/>
                <w:szCs w:val="21"/>
                <w:highlight w:val="none"/>
              </w:rPr>
              <w:t>S034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红菜心</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广东菜心</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大尖椒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青尖椒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黄圆椒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S039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甜椒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青圆椒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小红尖椒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木耳菜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荷兰豆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紫番薯</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地瓜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青豆、蚕豆肉</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青豆、玉米（冻）</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一级品</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冻玉米粒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一级品</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（葫）蒲瓜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S049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黄秋葵</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青南瓜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海带结</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水发制品</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海带丝</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水发制品</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圆南瓜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日本南瓜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老南瓜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红南瓜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小黄瓜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冬瓜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S059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苦瓜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丝瓜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（青丝瓜）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丝瓜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（白丝瓜）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陆笋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多子菜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莴笋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（带皮）</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莴笋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（去皮）</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芦笋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春笋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新鲜、带壳</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毛竹笋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新鲜、带壳</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S069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野笋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新鲜、带壳</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平菇</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秀珍菇</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茶树菇</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金针菇(白)</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金针菇(黄）</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鸡腿菇（杏鲍）</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磨菇</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西葫芦</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白萝卜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去泥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S079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胡萝卜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去泥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山芋仔</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去皮</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（铁杆）细山药</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毛豆夹</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新鲜、带壳，见附件蔬菜标准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（毛）山药</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直径3-6CM</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长豇豆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刀豆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香芋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新鲜、去泥。见附件蔬菜标准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连皮毛芋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去皮毛芋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S089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大土豆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土豆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新鲜，无腐烂。去皮</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连皮小土豆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去皮小毛芋</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新鲜（小个、30个/kg)见附件蔬菜标准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芥兰</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香椿</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茼蒿</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又名塘好菜 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蒿菜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S097</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红苋菜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S098</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青苋菜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S099</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鸡毛菜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S100</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藕</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新鲜，中段，直径8-12CM</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S101</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鲜香菇</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新鲜、去蒂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S102</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扁豆</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S103</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菱角</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S104</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菱角肉</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见附件蔬菜标准</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S105</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百果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新鲜，无腐烂。</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olor w:val="auto"/>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S106</w:t>
            </w:r>
          </w:p>
        </w:tc>
        <w:tc>
          <w:tcPr>
            <w:tcW w:w="1908"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板栗肉</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去壳，新鲜 无腐烂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S107</w:t>
            </w:r>
          </w:p>
        </w:tc>
        <w:tc>
          <w:tcPr>
            <w:tcW w:w="1908" w:type="dxa"/>
            <w:gridSpan w:val="2"/>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板栗</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 无腐烂 带壳 同上</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S108</w:t>
            </w:r>
          </w:p>
        </w:tc>
        <w:tc>
          <w:tcPr>
            <w:tcW w:w="1908" w:type="dxa"/>
            <w:gridSpan w:val="2"/>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佛手瓜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S109</w:t>
            </w:r>
          </w:p>
        </w:tc>
        <w:tc>
          <w:tcPr>
            <w:tcW w:w="1908" w:type="dxa"/>
            <w:gridSpan w:val="2"/>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马蹄</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又名牛蒡 新鲜、去皮</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S110</w:t>
            </w:r>
          </w:p>
        </w:tc>
        <w:tc>
          <w:tcPr>
            <w:tcW w:w="1908" w:type="dxa"/>
            <w:gridSpan w:val="2"/>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荠菜</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S111</w:t>
            </w:r>
          </w:p>
        </w:tc>
        <w:tc>
          <w:tcPr>
            <w:tcW w:w="1908" w:type="dxa"/>
            <w:gridSpan w:val="2"/>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大葱</w:t>
            </w:r>
          </w:p>
        </w:tc>
        <w:tc>
          <w:tcPr>
            <w:tcW w:w="2409" w:type="dxa"/>
            <w:gridSpan w:val="7"/>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S112</w:t>
            </w:r>
          </w:p>
        </w:tc>
        <w:tc>
          <w:tcPr>
            <w:tcW w:w="1908" w:type="dxa"/>
            <w:gridSpan w:val="2"/>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rPr>
              <w:t>姜汁</w:t>
            </w:r>
          </w:p>
        </w:tc>
        <w:tc>
          <w:tcPr>
            <w:tcW w:w="2409"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新鲜，品质优</w:t>
            </w:r>
          </w:p>
        </w:tc>
        <w:tc>
          <w:tcPr>
            <w:tcW w:w="1560" w:type="dxa"/>
            <w:gridSpan w:val="2"/>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2343" w:type="dxa"/>
            <w:gridSpan w:val="4"/>
            <w:tcBorders>
              <w:tl2br w:val="nil"/>
              <w:tr2bl w:val="nil"/>
            </w:tcBorders>
            <w:noWrap/>
            <w:vAlign w:val="center"/>
          </w:tcPr>
          <w:p>
            <w:pPr>
              <w:jc w:val="center"/>
              <w:textAlignment w:val="center"/>
              <w:rPr>
                <w:rFonts w:ascii="宋体" w:hAnsi="宋体"/>
                <w:color w:val="auto"/>
                <w:szCs w:val="21"/>
                <w:highlight w:val="none"/>
              </w:rPr>
            </w:pPr>
            <w:r>
              <w:rPr>
                <w:rFonts w:hint="eastAsia" w:ascii="宋体" w:hAnsi="宋体" w:cs="宋体"/>
                <w:color w:val="auto"/>
                <w:szCs w:val="21"/>
                <w:highlight w:val="none"/>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S113</w:t>
            </w:r>
          </w:p>
        </w:tc>
        <w:tc>
          <w:tcPr>
            <w:tcW w:w="1908" w:type="dxa"/>
            <w:gridSpan w:val="2"/>
            <w:tcBorders>
              <w:tl2br w:val="nil"/>
              <w:tr2bl w:val="nil"/>
            </w:tcBorders>
            <w:noWrap/>
            <w:vAlign w:val="center"/>
          </w:tcPr>
          <w:p>
            <w:pPr>
              <w:widowControl/>
              <w:jc w:val="center"/>
              <w:rPr>
                <w:rFonts w:ascii="宋体" w:hAnsi="宋体"/>
                <w:color w:val="auto"/>
                <w:szCs w:val="21"/>
                <w:highlight w:val="none"/>
              </w:rPr>
            </w:pPr>
            <w:r>
              <w:rPr>
                <w:rFonts w:hint="eastAsia" w:ascii="宋体" w:hAnsi="宋体" w:cs="宋体"/>
                <w:color w:val="auto"/>
                <w:kern w:val="0"/>
                <w:szCs w:val="21"/>
                <w:highlight w:val="none"/>
              </w:rPr>
              <w:t>猪血</w:t>
            </w:r>
          </w:p>
        </w:tc>
        <w:tc>
          <w:tcPr>
            <w:tcW w:w="2409" w:type="dxa"/>
            <w:gridSpan w:val="7"/>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品质优</w:t>
            </w:r>
          </w:p>
        </w:tc>
        <w:tc>
          <w:tcPr>
            <w:tcW w:w="1560" w:type="dxa"/>
            <w:gridSpan w:val="2"/>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公斤</w:t>
            </w:r>
          </w:p>
        </w:tc>
        <w:tc>
          <w:tcPr>
            <w:tcW w:w="2343" w:type="dxa"/>
            <w:gridSpan w:val="4"/>
            <w:tcBorders>
              <w:tl2br w:val="nil"/>
              <w:tr2bl w:val="nil"/>
            </w:tcBorders>
            <w:noWrap/>
            <w:vAlign w:val="center"/>
          </w:tcPr>
          <w:p>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9006" w:type="dxa"/>
            <w:gridSpan w:val="17"/>
            <w:tcBorders>
              <w:tl2br w:val="nil"/>
              <w:tr2bl w:val="nil"/>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水产类11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129" w:type="dxa"/>
            <w:gridSpan w:val="5"/>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产品</w:t>
            </w:r>
          </w:p>
        </w:tc>
        <w:tc>
          <w:tcPr>
            <w:tcW w:w="3748" w:type="dxa"/>
            <w:gridSpan w:val="6"/>
            <w:tcBorders>
              <w:tl2br w:val="nil"/>
              <w:tr2bl w:val="nil"/>
            </w:tcBorders>
            <w:noWrap/>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992" w:type="dxa"/>
            <w:gridSpan w:val="3"/>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单位</w:t>
            </w:r>
          </w:p>
        </w:tc>
        <w:tc>
          <w:tcPr>
            <w:tcW w:w="1351" w:type="dxa"/>
            <w:tcBorders>
              <w:tl2br w:val="nil"/>
              <w:tr2bl w:val="nil"/>
            </w:tcBorders>
            <w:noWrap/>
            <w:vAlign w:val="center"/>
          </w:tcPr>
          <w:p>
            <w:pPr>
              <w:jc w:val="center"/>
              <w:textAlignment w:val="center"/>
              <w:rPr>
                <w:rFonts w:ascii="宋体" w:hAnsi="宋体" w:cs="宋体"/>
                <w:b/>
                <w:color w:val="auto"/>
                <w:kern w:val="0"/>
                <w:szCs w:val="21"/>
                <w:highlight w:val="none"/>
              </w:rPr>
            </w:pPr>
            <w:r>
              <w:rPr>
                <w:rFonts w:hint="eastAsia" w:ascii="宋体" w:hAnsi="宋体" w:cs="宋体"/>
                <w:b/>
                <w:color w:val="auto"/>
                <w:szCs w:val="21"/>
                <w:highlight w:val="none"/>
              </w:rPr>
              <w:t>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SC001</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汪刺鱼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6-8条/公斤，鲜活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SC002</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白链鱼（花鲢鱼）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1.5公斤/条以上，鲜活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SC003</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草鱼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鲜活，2公斤/条以上</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SC004</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大鳊鱼（河生）</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0.5-0.6公斤/条，鲜活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SC005</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大黄螺</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SC006</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大闸蟹</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0.15公斤/只以一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54.83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SC007</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鲈鱼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0.6公斤/条以上，鲜活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SC008</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黑鱼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1.5公斤左右/条，鲜活</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SC009</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花鲢鱼身</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活杀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SC010</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鲫鱼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活杀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SC011</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鲤鱼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活杀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SC012</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螺丝青鱼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1.5-2.5公斤/条</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SC013</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胖头鱼（大头鱼）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2公斤/条以上，活杀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SC014</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千岛湖鲫鱼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活杀</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SC015</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小鲫鱼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小鲫鱼鲜活，活杀，8-12条/公斤</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SC016</w:t>
            </w:r>
          </w:p>
        </w:tc>
        <w:tc>
          <w:tcPr>
            <w:tcW w:w="2129" w:type="dxa"/>
            <w:gridSpan w:val="5"/>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中黄鱼</w:t>
            </w:r>
          </w:p>
        </w:tc>
        <w:tc>
          <w:tcPr>
            <w:tcW w:w="3748" w:type="dxa"/>
            <w:gridSpan w:val="6"/>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冰鲜，4-5条/公斤</w:t>
            </w:r>
          </w:p>
        </w:tc>
        <w:tc>
          <w:tcPr>
            <w:tcW w:w="992" w:type="dxa"/>
            <w:gridSpan w:val="3"/>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SC017</w:t>
            </w:r>
          </w:p>
        </w:tc>
        <w:tc>
          <w:tcPr>
            <w:tcW w:w="2129"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河虾</w:t>
            </w:r>
          </w:p>
        </w:tc>
        <w:tc>
          <w:tcPr>
            <w:tcW w:w="3748"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鲜活</w:t>
            </w:r>
          </w:p>
        </w:tc>
        <w:tc>
          <w:tcPr>
            <w:tcW w:w="992"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trPr>
        <w:tc>
          <w:tcPr>
            <w:tcW w:w="786" w:type="dxa"/>
            <w:gridSpan w:val="2"/>
            <w:tcBorders>
              <w:tl2br w:val="nil"/>
              <w:tr2bl w:val="nil"/>
            </w:tcBorders>
            <w:noWrap/>
            <w:vAlign w:val="center"/>
          </w:tcPr>
          <w:p>
            <w:pPr>
              <w:jc w:val="center"/>
              <w:rPr>
                <w:rFonts w:ascii="宋体" w:hAnsi="宋体"/>
                <w:color w:val="auto"/>
                <w:szCs w:val="21"/>
                <w:highlight w:val="none"/>
              </w:rPr>
            </w:pPr>
            <w:r>
              <w:rPr>
                <w:rFonts w:hint="eastAsia" w:ascii="宋体" w:hAnsi="宋体"/>
                <w:color w:val="auto"/>
                <w:szCs w:val="21"/>
                <w:highlight w:val="none"/>
              </w:rPr>
              <w:t>SC018</w:t>
            </w:r>
          </w:p>
        </w:tc>
        <w:tc>
          <w:tcPr>
            <w:tcW w:w="2129" w:type="dxa"/>
            <w:gridSpan w:val="5"/>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黄膳肉</w:t>
            </w:r>
          </w:p>
        </w:tc>
        <w:tc>
          <w:tcPr>
            <w:tcW w:w="3748" w:type="dxa"/>
            <w:gridSpan w:val="6"/>
            <w:tcBorders>
              <w:tl2br w:val="nil"/>
              <w:tr2bl w:val="nil"/>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鲜活或现杀</w:t>
            </w:r>
          </w:p>
        </w:tc>
        <w:tc>
          <w:tcPr>
            <w:tcW w:w="992" w:type="dxa"/>
            <w:gridSpan w:val="3"/>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斤</w:t>
            </w:r>
          </w:p>
        </w:tc>
        <w:tc>
          <w:tcPr>
            <w:tcW w:w="1351" w:type="dxa"/>
            <w:tcBorders>
              <w:tl2br w:val="nil"/>
              <w:tr2bl w:val="nil"/>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r>
    </w:tbl>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注：1、以上清单不代表清单外商品不采购，参考数量只供参考不代表实际需求，采购清单外商品具体结算以招标文件为准。</w:t>
      </w:r>
    </w:p>
    <w:p>
      <w:pPr>
        <w:spacing w:line="360" w:lineRule="auto"/>
        <w:ind w:firstLine="480" w:firstLineChars="200"/>
        <w:rPr>
          <w:rFonts w:asciiTheme="minorEastAsia" w:hAnsiTheme="minorEastAsia" w:eastAsiaTheme="minorEastAsia"/>
          <w:b/>
          <w:color w:val="auto"/>
          <w:sz w:val="24"/>
          <w:highlight w:val="none"/>
        </w:rPr>
      </w:pPr>
      <w:r>
        <w:rPr>
          <w:rFonts w:hint="eastAsia" w:ascii="宋体" w:hAnsi="宋体"/>
          <w:bCs/>
          <w:color w:val="auto"/>
          <w:sz w:val="24"/>
          <w:highlight w:val="none"/>
        </w:rPr>
        <w:t>2、水产如果要求杀好，切鱼块，供应前需按10斤以上鱼的损耗计算确定该种鱼的折率。</w:t>
      </w:r>
    </w:p>
    <w:p>
      <w:pPr>
        <w:spacing w:line="360" w:lineRule="auto"/>
        <w:ind w:firstLine="420"/>
        <w:rPr>
          <w:rFonts w:ascii="宋体" w:hAnsi="宋体" w:cs="宋体"/>
          <w:b/>
          <w:color w:val="auto"/>
          <w:sz w:val="24"/>
          <w:highlight w:val="none"/>
        </w:rPr>
      </w:pPr>
      <w:r>
        <w:rPr>
          <w:rFonts w:hint="eastAsia" w:ascii="宋体" w:hAnsi="宋体" w:cs="宋体"/>
          <w:b/>
          <w:color w:val="auto"/>
          <w:sz w:val="24"/>
          <w:highlight w:val="none"/>
        </w:rPr>
        <w:t>3、目录清单外商品及猪肉类7、蛋类8、蔬菜类9商品询价方式：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询价原则：在合同履行期间采购单位将按照《采购需求》明确的食材品种、质量、等级标准，通过市场询价的方式确定基准价。《采购需求》中未罗列的食材或未明确质量、等级标准的食材，则由采购单位在《食材配送通知单》中书面明确，此类食材质量、价格及违约责任均参照该章采购需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3.2、询价地点：在合同履行期间采购单位将向路桥区中心菜场、磨石桥菜场、路桥四号桥蔬菜批发市场、华联超市、世纪联华超市、大润发超市进行食材零售价的询价。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3.3、询价方式：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3.3.1、询价工作由采购单位指派的询价小组负责，所形成的基准价以书面的形式通知中标单位。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询价小组在询价前，通过随机的方式在上述询价地点确定1家菜场和1家超市作为询价地点，根据每家食材零售最低价的平均价作为询价日价格。在询价当日遇有商家进行促销活动的，则以促销前的原零售价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3.3.3、询价小组根据“先供货后结算”的原则，在每月的中旬分别进行询价。询价获得的各类食材询价日价格即作为当月食材价款的结算基准价。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3.4、价格差异的调整原则</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投标供应商需经常关注上述询价超市、中心菜场方面各类食材的销售情况，对采购单位的采购计划及《食材配送通知单》进行分析。如采购计划中出现超出上述询价点范围以外的商品时，中标单位应当及时提醒采购单位。由于投标供应商原因致使某类食材无法通过市场询价的方式确定结算基准价的，按照有利于采购单位的调整原则确定其结算基准价，投标供应商无条件予以接受。</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3.4.2、由于采购单位原因，造成无法通过市场询价的方式直接确定其结算基准价的，可按照以下调整原则确定：</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包装食品类应当采集相同品牌、等级、规格的商品零售价。如出现配送食材与询价商品的包装规格不同时，应当按照所询价的商品零售价换算成单位规格的单价后再测算结算基准价；如出现配送食材与询价商品的等级不同时，应当以低于配送食材等级的商品零售价确定其结算基准价。</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◆非预包装类食品或散装食品类原则上采集相同产地、等级、规格的商品零售价。如出现配送食材与询价商品的产地不同时，应当按照低价产地的商品零售价确定其结算基准价；其他原则同上。</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蔬菜或鲜活产品类采集相同产地、等级、规格的商品零售价。如出现配送食材与询价商品的产地不同时，应当按照低价产地的商品零售价确定其结算基准价；如配送食材与询价商品存在去皮、去叶、去壳（或含皮、含叶、含壳）差异的，应当根据实际差异情况对基准价进行5%的上下浮动。（如：已去皮、去叶、去壳的询价商品零售价下浮5%后可作为含皮、含叶、含壳配送食材的结算基准价；反之亦然）。</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3.4.3、结算基准价×（1-中标下浮率）= 每月结算价。每月结算价包括商品价款，包装、运输、搬运、贮存、调换费用，管理费，人工费，保险，税金，利润等一切费用，即投标供应商按采购单位要求将食材送达指定地点的包干价。</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3.4.4、如遇特殊情况（如代购），采购单位要求供应商2小时内送达的配送商品，供应商必须在规定时间内按要求送达，价格按上述询价方式确定。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3.4.5、供货商在特定时间举办的促销活动和优惠政策，如涉及协议供货产品的，采购单位有权参加其促销活动和享受其优惠政策。</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三、质量标准及要求：</w:t>
      </w:r>
    </w:p>
    <w:p>
      <w:pPr>
        <w:spacing w:line="360" w:lineRule="auto"/>
        <w:ind w:firstLine="480" w:firstLineChars="200"/>
        <w:rPr>
          <w:rFonts w:ascii="宋体" w:hAnsi="宋体" w:cs="宋体"/>
          <w:color w:val="auto"/>
          <w:sz w:val="24"/>
          <w:highlight w:val="none"/>
        </w:rPr>
      </w:pPr>
      <w:bookmarkStart w:id="46" w:name="_Toc246729514"/>
      <w:bookmarkStart w:id="47" w:name="_Toc246492264"/>
      <w:r>
        <w:rPr>
          <w:rFonts w:hint="eastAsia" w:ascii="宋体" w:hAnsi="宋体" w:cs="宋体"/>
          <w:color w:val="auto"/>
          <w:sz w:val="24"/>
          <w:highlight w:val="none"/>
        </w:rPr>
        <w:t>（1）所供应的蔬菜农残量不超过国家有关标准，送货时提交农残检测证明，使用单位48小时留菜品备查。所供应的畜肉类产品必须符合国家规定的质量和食品安全要求，提供检疫检验合格证与肉品品质合格证并附定点屠宰证明；</w:t>
      </w:r>
    </w:p>
    <w:p>
      <w:pPr>
        <w:numPr>
          <w:ilvl w:val="0"/>
          <w:numId w:val="1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所供应的蔬菜成熟度适中，为新鲜、安全的产品，不符合规定、腐烂变质或已受到污染的产品无条件退换；</w:t>
      </w:r>
    </w:p>
    <w:p>
      <w:pPr>
        <w:spacing w:line="360" w:lineRule="auto"/>
        <w:ind w:firstLine="480" w:firstLineChars="200"/>
        <w:rPr>
          <w:color w:val="auto"/>
          <w:highlight w:val="none"/>
        </w:rPr>
      </w:pPr>
      <w:r>
        <w:rPr>
          <w:rFonts w:hint="eastAsia" w:ascii="宋体" w:hAnsi="宋体" w:cs="宋体"/>
          <w:color w:val="auto"/>
          <w:sz w:val="24"/>
          <w:highlight w:val="none"/>
        </w:rPr>
        <w:t>（3）蔬菜应无烂叶、黄叶，按要求去皮、去壳、去泥等，适宜用切菜机操作；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（4）蛋类保证新鲜，完整。破碎或变质的无条件退换；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（5）豆制品类新鲜保质，纱布盛装，符合国家质量标准；香干、豆浆、千张、豆腐泡等要新鲜保质，符合国家质量标准。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（6）有明确保质期要求的产品，保质期不得过半。</w:t>
      </w:r>
      <w:bookmarkEnd w:id="46"/>
      <w:bookmarkEnd w:id="47"/>
    </w:p>
    <w:p>
      <w:pPr>
        <w:spacing w:line="360" w:lineRule="auto"/>
        <w:rPr>
          <w:rFonts w:ascii="宋体" w:hAnsi="宋体" w:cs="宋体"/>
          <w:b/>
          <w:color w:val="auto"/>
          <w:sz w:val="24"/>
          <w:highlight w:val="none"/>
        </w:rPr>
      </w:pPr>
      <w:r>
        <w:rPr>
          <w:rFonts w:hint="eastAsia" w:ascii="宋体" w:hAnsi="宋体" w:cs="宋体"/>
          <w:b/>
          <w:color w:val="auto"/>
          <w:sz w:val="24"/>
          <w:highlight w:val="none"/>
        </w:rPr>
        <w:t>四、蔬菜的质量验收标准：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1、叶菜类 包括白菜类、甘蓝类和绿叶菜类的各种蔬菜。属同一品种规格，肉持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2、茄果类 包括番茄、茄子、甜椒、辣椒等。属于同一品种规格，色鲜，果实圆整、光洁，成熟度适中，整齐，无烂果、异味、病虫和明显机械损伤。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3、瓜果 包括黄瓜、瓠瓜、越瓜、丝瓜、苦瓜、冬瓜、毛节瓜、南瓜、佛手瓜等。属于同一品种规格，形状、色泽一致，瓜条均匀，无疤点，无断裂，不带泥土，无畸形瓜、病虫害瓜、烂瓜，无明显机械伤。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4、根菜类 包括萝卜、胡萝卜、大头菜、芜菁甘蓝等。属于同一品种规格，皮细光滑，色泽良好，大小均匀，肉质脆嫩致密。新鲜，无畸形、裂痕、糠心、病虫害斑，一带泥沙，不带茎叶、须根。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5、薯芋类 包括马铃薯、薯蓣、芋、姜、豆薯等。属同一品种规格，色泽一致，不带泥沙，不带茎叶、须根，无机械和病虫害斑，无腐烂、干瘪。马铃薯皮不能变绿色。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6、葱蒜类 包括大葱、分葱、四季葱等。属同一品种规格，允许葱和大蒜的青蒜保留干净须根，去老叶，韭菜去根去老叶，蒜头、洋葱去要去枯叶；可食部分质地细嫩，不带泥沙杂质，无病虫害斑。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7、豆类 包括豇豆、菜豆、豌豆、蚕豆、刀豆、毛豆、扁豆等。属同一品种规格形态完整，成熟度适中，无病虫害斑。食荚类：豆荚新鲜幼嫩，均匀。食豆仁类：籽粒饱满较均匀，无发芽。不带泥土、杂质。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8、水生类 包括茭白、藕、荸荠、慈菇、菱角等。属同一品种规格，肉质嫩，成熟度适中，无泥土、杂质、机械伤，不干瘪，不腐烂霉变，茭白不黑心。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9、多年生类 包括竹笋、黄花菜、芦笋等。属同一品种规格，幼嫩，无病虫害斑，无明显机械伤。黄花菜鲜花不能直接煮食。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10、芽苗类 包括绿豆芽、黄豆芽、豌豆芽、香椿苗等。芽苗幼嫩，不带豆壳杂质，新鲜，不浸水。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kern w:val="0"/>
          <w:sz w:val="24"/>
          <w:highlight w:val="none"/>
        </w:rPr>
        <w:t>所有产品均为净菜（无烂叶、黄叶，按要求去泥、去皮、去叶等），</w:t>
      </w:r>
      <w:r>
        <w:rPr>
          <w:rFonts w:hint="eastAsia" w:ascii="宋体" w:hAnsi="宋体" w:cs="宋体"/>
          <w:color w:val="auto"/>
          <w:sz w:val="24"/>
          <w:highlight w:val="none"/>
        </w:rPr>
        <w:t>适宜用切菜机操作，利用率在98%以上，</w:t>
      </w:r>
      <w:r>
        <w:rPr>
          <w:rFonts w:hint="eastAsia" w:ascii="宋体" w:hAnsi="宋体" w:cs="宋体"/>
          <w:color w:val="auto"/>
          <w:kern w:val="0"/>
          <w:sz w:val="24"/>
          <w:highlight w:val="none"/>
        </w:rPr>
        <w:t>农药残留量不超过国家的有关标准，</w:t>
      </w:r>
      <w:r>
        <w:rPr>
          <w:rFonts w:hint="eastAsia" w:ascii="宋体" w:hAnsi="宋体" w:cs="宋体"/>
          <w:color w:val="auto"/>
          <w:sz w:val="24"/>
          <w:highlight w:val="none"/>
        </w:rPr>
        <w:t>每批蔬菜附有农药残留检测证明，腐烂度不得超过1%。</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五、水产质量要求：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（1）符合国家质量标准，所有商品进货渠道正规，不得是伪劣商品或以次充好。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（2）新鲜、不变质。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（3）冰冻水产，商品包冰率&lt;8%。</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w:t>
      </w:r>
      <w:r>
        <w:rPr>
          <w:rFonts w:hint="eastAsia" w:ascii="宋体" w:hAnsi="宋体" w:cs="宋体"/>
          <w:b/>
          <w:bCs/>
          <w:color w:val="auto"/>
          <w:sz w:val="24"/>
          <w:highlight w:val="none"/>
        </w:rPr>
        <w:t>畜</w:t>
      </w:r>
      <w:r>
        <w:rPr>
          <w:rFonts w:hint="eastAsia" w:ascii="宋体" w:hAnsi="宋体" w:cs="宋体"/>
          <w:b/>
          <w:color w:val="auto"/>
          <w:sz w:val="24"/>
          <w:highlight w:val="none"/>
        </w:rPr>
        <w:t>肉类质量要求：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国家食品卫生生产标准执行，所提供产品必须符合国家规定的质量和食品安全要求，其中挥发性盐基氨每100g≤20mg，汞每kg≤0.05mg，要求达到新鲜、外观、色泽、气味、弹性质量符合要求，畜肉新鲜嫩度合适，绝对不能掺杂老畜肉、病畜肉以及注水肉。</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七、供货、配送要求：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单位须指派专车、专人负责食材配送工作。其中食品接触人员须取得健康证，配送车辆须每日进行防疫消毒。中标单位在供货期间，如发生质量纠纷时采购单位须对被投诉食材质量进行检测的，不论检测结果如何，因检测产生的相关费用须由中标单位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要求：中标单位应当按照采购单位提供的《食材配送通知单》要求，在采购单位规定的时间前将所需食材送至指定地点。遇有紧急配送任务时，中标单位须按照采购单位的电话通知要求，在1小时之内送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（3）若因中标单位原因，给采购单位造成公共性食品安全危机的，中标单位应负全部责任。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（4）中标单位因送货出入采购单位单位的过程中，必须无条件遵守安全规定，服从工作人员指挥。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（5）不论以何种形式进行供货，中标单位都必须按照其在投标书中做出的服务承诺履行相关义务。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合同执行期间，中标单位因价格因素而放弃履行合同的，须以书面形式向采购单位提出申请，采购单位可视情解除与该中标单位的合同，中标单位已交纳的履约保证金不予退还。中标单位若无故拒绝履行合同的，采购单位将没收其全部履约保证金。</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（7）在合同履行期间，如原中标单位被解除合同的，则由中标候选人替补签订合同，如中标候选人放弃替补签订合同的权利的，则采购单位可重新组织招标。</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八、验收方面：</w:t>
      </w:r>
    </w:p>
    <w:p>
      <w:pPr>
        <w:spacing w:line="360" w:lineRule="auto"/>
        <w:ind w:firstLine="480" w:firstLineChars="200"/>
        <w:rPr>
          <w:color w:val="auto"/>
          <w:highlight w:val="none"/>
        </w:rPr>
      </w:pPr>
      <w:r>
        <w:rPr>
          <w:rFonts w:hint="eastAsia" w:ascii="宋体" w:hAnsi="宋体" w:cs="宋体"/>
          <w:bCs/>
          <w:color w:val="auto"/>
          <w:sz w:val="24"/>
          <w:highlight w:val="none"/>
        </w:rPr>
        <w:t>（1）交货时必须在采购单位指定的验收点进行验收，并由采购单位验收人员在中标单位的送货清单上签字确认。采购单位与中标单位人员共同当场进行清点，</w:t>
      </w:r>
      <w:r>
        <w:rPr>
          <w:rFonts w:hint="eastAsia" w:ascii="宋体" w:hAnsi="宋体" w:cs="宋体"/>
          <w:color w:val="auto"/>
          <w:sz w:val="24"/>
          <w:highlight w:val="none"/>
        </w:rPr>
        <w:t>如果发现数量不足或有质量等问题，供方应负责根据合同招标用户的要求采取补足，更换或收回等处理措施，并承担由此发生的一切损失和费用</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有外包装及冷冻产品现场不能确认的食材，以实际加工时拆袋或解冻后再认定其质量。如发现有质量问题，应及时通知中标单位更换或退货处理。中标单位应在接到采购单位异议通知后，及时派人员到场办理更换或退货手续（1小时以内到达）。逾期更换的，视为验收不合格。</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（3）确认签字后的送货单据双方各留存一份，此单据作为双方对账凭据。</w:t>
      </w:r>
    </w:p>
    <w:p>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豆制品类、酱菜类、禽肉冰冻类、主食类、调味类及其他类质量要求必须符合国家要求及相关食品安全的要求。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九、日常管理：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（1）中标单位按招标文件要求交纳履约保证金（履约保证金金额10万)，对出现违约问题扣款后，中标单位必须在当月及时补足差额款项。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由于中标单位工作失误，未能按时将货物送达采购单位指定地点，造成采购单位延误正常服务，由中标单位负责承担有关责任，第一次扣罚中标单位人民币1000元履约保证金；第二次扣罚中标单位人民币3000元履约保证金；第三次扣罚中标单位人民币5000元履约保证金。三次以上采购单位有权中止合同。</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单位供应的商品采购渠道不正规；肉类未经卫生检疫部门检验、蔬菜农药残留过高，达不到国家食品卫生安全标准：质保过期、“三无”品牌、假冒伪劣等商品，经采购单位检查发现，第一次扣罚中标单位人民币2000元履约保证金；第二次扣罚中标单位人民币5000元履约保证金；第三次扣罚中标单位人民币10000元履约保证金，三次以上采购单位有权中止合同。肉类的检疫合格证与农药残留检测报告必须每天随菜品一并提供，缺少一次扣500元，第二次扣1000元，第三次扣1500元，以此类推。每发现一起因中标单位原因不能及时供货的造成不良影响的扣罚履约保证金2000元，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如不按采购单位通知的数量送货，多送商品数量在10%以内的，甲方按实际数量验收结算；如果多送商品数量超过10%的，甲方按通知的数量验收结算，多余部分退回；如果乙方拒绝退回的，结算数量仍将按通知的数量结算。中标单位供应的商品不新鲜、有腐烂变质现象，破损严重，不符合采购清单及合同规定要求，经采购单位核查情况属实后，应立即无偿退换；中标单位供应的商品重量少于采购单位采购需求数量10%的，采购单位有权要求中标单位补足数量，中标单位必须在1小时内补足。如中标单位一个月内累计出现以上问题次数2次，采购单位有权扣罚中标单位1000元履约保证金；一个月内累计次数达到4次，采购单位有权扣罚中标单位人民币5000元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单位必须严格按采购单位《食材配送通知单》要求的品种供货，特别是时令蔬菜和季节性强的食材，不得因价格因素拒绝供货或少供货，也不得超通知单要求供货，如采购单位在验收时发现中标单位没有按规定品种进行送货，发现一次扣罚履约保证金人民币1000元，并有权要求中标单位在1小时内补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单位供应的商品存在卫生安全问题，导致采购单位群体性食物中毒事故，由中标单位承担所有事故责任与费用，并根据事故性质一次扣罚全部履约保证金。造成严重后果的，采购单位将依法提起诉讼，追究中标单位法律责任，同时取消中标资格，没收全部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（7）中标单位在供货过程中擅自篡改、伪造供货清单，出现清单与实物不符、虚增数量、抬高价格等违规情况的，一经查实，采购单位将取消中标单位供应资格，并扣除中标单位全部履约保证金。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（8）严禁中标单位将超市促销打折后的剩余商品配送到采购单位食堂，所送的食材必须新鲜、保质期须有1/2以上，否则采购单位将有权拒收，并扣罚履约保证金一次人民币1000元。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（9）采购单位如有紧急采购需求时，中标单位需在1小时内送达采购单位指定地点，不能在规定时间送达的，每次扣500元。</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十、商务要求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1、采购时按采购单位实际需求量为准，中标单位根据采购单位所通知的货物品种、数量、要求等送货到指定地点，车费、税务发票自负。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2、中标单位在供货期间，如发生质量纠纷时，招标单位须对产品进行检测的，不论检测结果如何，因检测产生的相关费用须由中标单位承担。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3、若因中标单位原因，造成采购单位公共性食品安全危机的，中标单位应负全部责任，并承担由此造成的经济损失。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4、中标单位应严格按照合同规定结算方式结算，不得应价格因素降低供货质量。</w:t>
      </w:r>
    </w:p>
    <w:p>
      <w:pPr>
        <w:spacing w:line="360" w:lineRule="auto"/>
        <w:ind w:firstLine="480" w:firstLineChars="200"/>
        <w:rPr>
          <w:color w:val="auto"/>
          <w:highlight w:val="none"/>
        </w:rPr>
      </w:pPr>
      <w:r>
        <w:rPr>
          <w:rFonts w:hint="eastAsia" w:ascii="宋体" w:hAnsi="宋体" w:cs="宋体"/>
          <w:color w:val="auto"/>
          <w:sz w:val="24"/>
          <w:highlight w:val="none"/>
        </w:rPr>
        <w:t>5、中标单位应严格按采购单位清单进行供货，特别是时令蔬菜，不得因价格问题而拒绝供货。</w:t>
      </w:r>
    </w:p>
    <w:p>
      <w:pPr>
        <w:spacing w:beforeLines="20" w:afterLines="20" w:line="360" w:lineRule="auto"/>
        <w:outlineLvl w:val="1"/>
        <w:rPr>
          <w:rFonts w:ascii="宋体" w:hAnsi="宋体" w:cs="宋体"/>
          <w:b/>
          <w:color w:val="auto"/>
          <w:sz w:val="24"/>
          <w:highlight w:val="none"/>
        </w:rPr>
      </w:pPr>
      <w:bookmarkStart w:id="48" w:name="_Toc487453741"/>
      <w:bookmarkStart w:id="49" w:name="_Toc488046672"/>
      <w:bookmarkStart w:id="50" w:name="_Toc480142115"/>
      <w:r>
        <w:rPr>
          <w:rFonts w:hint="eastAsia" w:ascii="宋体" w:hAnsi="宋体" w:cs="宋体"/>
          <w:b/>
          <w:color w:val="auto"/>
          <w:sz w:val="24"/>
          <w:highlight w:val="none"/>
        </w:rPr>
        <w:t>十一、报价标准</w:t>
      </w:r>
      <w:bookmarkEnd w:id="48"/>
      <w:bookmarkEnd w:id="49"/>
      <w:bookmarkEnd w:id="5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招标项目的报价内容均为下浮率，即投标供应商在招标文件规定的基准价基础上，结合自身企业经营情况填报的让利幅度。下浮率以百分比（%）进行表述，下浮率百分比数值越大，则报价越低（如：下浮率10%的报价低于下浮率8%）。要求投标供应商针对不同食材分别填报下浮率，食材的分类标准及下浮率的报价分值比重见评标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2、所有报价价格为送达物资的所有费用（含税），采购单位不必再为物资支付除报价价格外的任何额外费用。以元为单位，保留两位小数。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3、供货商在特定时间举办的促销活动和优惠政策，如涉及协议供货产品的，采购单位有权参加其促销活动和享受其优惠政策。</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十二、货款的结算及付款方式：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（一）货款结算方式</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1、豆制品类1、酱菜类2、禽牛羊肉冰冻熟食类3、主食类4、调味品类5、其他类6、蔬菜类10、水产类11商品的货款结算方式：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 = 招标文件规定的基准单价×（1-该类中标下浮率）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合同期内价格不再变动。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2、猪肉类7、鸡蛋类8、蔬菜类9商品的货款结算方式：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2.1根据“先供货后结算”的原则，在每月的中旬分别进行询价。询价获得的各类食材询价日价格即作为当月食材价款的结算基准价。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2.2计算公式：询价日价格=当月结算基准价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2.3结算价=当月结算基准价×（1-该类中标下浮率）</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3、目录清单外商品的货款结算方式：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3.1对应类别豆制品类1、酱菜类2、禽牛羊肉冰冻熟食类3、主食类4、调味品类5、其他类6、蔬菜类10、水产类11目录清单外的商品结算按首月询价所得基准价作为全年基准价，不再更改。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结算价=全年基准价*（1-该类中标下浮率）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3.2对应类别猪肉类7、鸡蛋类8、蔬菜类9目录清单外商品按每月询价所得基准价作为当月结算基准价。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结算价=当月结算基准价×（1-该类中标下浮率）</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1、结算日定为每月月底（遇节假日顺延），由中标人按月实际供应数量，凭食材验收单及正式的税务发票向采购人申请结算。月实际供应数量经采购人审核确定后，10个工作日内以转账的形式支付。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2、中标下浮率按照中标单位针对不同食材分别填报下浮率执行，食材的分类标准以招标文件要求执行。合同履行期间，中标下浮率不作调整。</w:t>
      </w:r>
    </w:p>
    <w:p>
      <w:pPr>
        <w:spacing w:line="360" w:lineRule="auto"/>
        <w:ind w:firstLine="602" w:firstLineChars="200"/>
        <w:rPr>
          <w:rFonts w:asciiTheme="minorEastAsia" w:hAnsiTheme="minorEastAsia" w:eastAsiaTheme="minorEastAsia"/>
          <w:b/>
          <w:color w:val="auto"/>
          <w:sz w:val="30"/>
          <w:szCs w:val="30"/>
          <w:highlight w:val="none"/>
        </w:rPr>
      </w:pPr>
    </w:p>
    <w:p>
      <w:pPr>
        <w:spacing w:line="360" w:lineRule="auto"/>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pStyle w:val="2"/>
        <w:rPr>
          <w:rFonts w:asciiTheme="minorEastAsia" w:hAnsiTheme="minorEastAsia" w:eastAsiaTheme="minorEastAsia"/>
          <w:b/>
          <w:color w:val="auto"/>
          <w:sz w:val="30"/>
          <w:szCs w:val="30"/>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合同主要条款</w:t>
      </w:r>
    </w:p>
    <w:p>
      <w:pPr>
        <w:widowControl/>
        <w:spacing w:after="1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以下为成交后签定本项目合同的通用条款，成交供应商不得提出实质性的修改，关于专用条款将由采购单位与成交供应商结合本项目具体情况协商后签订。</w:t>
      </w:r>
    </w:p>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台州市路桥区机关事务中心</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（中标单位）    </w:t>
      </w:r>
    </w:p>
    <w:p>
      <w:pPr>
        <w:spacing w:line="360" w:lineRule="auto"/>
        <w:rPr>
          <w:rFonts w:ascii="宋体" w:hAnsi="宋体" w:cs="宋体"/>
          <w:color w:val="auto"/>
          <w:sz w:val="24"/>
          <w:highlight w:val="none"/>
        </w:rPr>
      </w:pPr>
    </w:p>
    <w:p>
      <w:pPr>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甲方以公开采购单位式确定乙方为</w:t>
      </w:r>
      <w:r>
        <w:rPr>
          <w:rFonts w:hint="eastAsia" w:ascii="宋体" w:hAnsi="宋体" w:cs="宋体"/>
          <w:color w:val="auto"/>
          <w:sz w:val="24"/>
          <w:highlight w:val="none"/>
          <w:u w:val="single"/>
        </w:rPr>
        <w:t xml:space="preserve">                                  （项目名称、编号、标段序号）</w:t>
      </w:r>
      <w:r>
        <w:rPr>
          <w:rFonts w:hint="eastAsia" w:ascii="宋体" w:hAnsi="宋体" w:cs="宋体"/>
          <w:color w:val="auto"/>
          <w:sz w:val="24"/>
          <w:highlight w:val="none"/>
        </w:rPr>
        <w:t>项目的乙方，依据《中华人民共和国合同法》和《中华人民共和国产品质量法》及有关法规，结合项目实际，经双方协商，签订本合同：</w:t>
      </w:r>
    </w:p>
    <w:p>
      <w:pPr>
        <w:shd w:val="clear" w:color="auto" w:fill="FFFFFF"/>
        <w:spacing w:line="360" w:lineRule="auto"/>
        <w:rPr>
          <w:rFonts w:ascii="宋体" w:hAnsi="宋体" w:cs="宋体"/>
          <w:color w:val="auto"/>
          <w:sz w:val="24"/>
          <w:highlight w:val="none"/>
        </w:rPr>
      </w:pPr>
      <w:r>
        <w:rPr>
          <w:rFonts w:hint="eastAsia" w:ascii="宋体" w:hAnsi="宋体" w:cs="宋体"/>
          <w:color w:val="auto"/>
          <w:sz w:val="24"/>
          <w:highlight w:val="none"/>
        </w:rPr>
        <w:t>一、合同有效期限：12个月。</w:t>
      </w:r>
    </w:p>
    <w:p>
      <w:pPr>
        <w:shd w:val="clear" w:color="auto" w:fill="FFFFFF"/>
        <w:spacing w:line="360" w:lineRule="auto"/>
        <w:rPr>
          <w:rFonts w:ascii="宋体" w:hAnsi="宋体" w:cs="宋体"/>
          <w:color w:val="auto"/>
          <w:sz w:val="24"/>
          <w:highlight w:val="none"/>
        </w:rPr>
      </w:pPr>
      <w:r>
        <w:rPr>
          <w:rFonts w:hint="eastAsia" w:ascii="宋体" w:hAnsi="宋体" w:cs="宋体"/>
          <w:color w:val="auto"/>
          <w:sz w:val="24"/>
          <w:highlight w:val="none"/>
        </w:rPr>
        <w:t>二、结算依据</w:t>
      </w:r>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721"/>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721"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食材类别</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豆制品类1</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酱菜类2</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禽牛羊肉冰冻熟食类3</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主食类4</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调味品类5</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其他6</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猪肉类7</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蛋类8</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蔬菜类9</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蔬菜类10</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721" w:type="dxa"/>
            <w:noWrap/>
            <w:vAlign w:val="center"/>
          </w:tcPr>
          <w:p>
            <w:pPr>
              <w:pStyle w:val="14"/>
              <w:widowControl w:val="0"/>
              <w:rPr>
                <w:rFonts w:ascii="宋体" w:hAnsi="宋体" w:cs="宋体"/>
                <w:color w:val="auto"/>
                <w:sz w:val="24"/>
                <w:szCs w:val="24"/>
                <w:highlight w:val="none"/>
              </w:rPr>
            </w:pPr>
            <w:r>
              <w:rPr>
                <w:rFonts w:hint="eastAsia" w:ascii="宋体" w:hAnsi="宋体"/>
                <w:color w:val="auto"/>
                <w:sz w:val="24"/>
                <w:szCs w:val="24"/>
                <w:highlight w:val="none"/>
              </w:rPr>
              <w:t>水产类11</w:t>
            </w:r>
          </w:p>
        </w:tc>
        <w:tc>
          <w:tcPr>
            <w:tcW w:w="5198" w:type="dxa"/>
            <w:noWrap/>
            <w:vAlign w:val="center"/>
          </w:tcPr>
          <w:p>
            <w:pPr>
              <w:pStyle w:val="14"/>
              <w:widowControl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下浮率承诺, 大写：百分之，小写：%；</w:t>
            </w:r>
          </w:p>
        </w:tc>
      </w:tr>
    </w:tbl>
    <w:p>
      <w:pPr>
        <w:spacing w:line="360" w:lineRule="auto"/>
        <w:rPr>
          <w:rFonts w:ascii="宋体" w:hAnsi="宋体" w:cs="宋体"/>
          <w:bCs/>
          <w:color w:val="auto"/>
          <w:sz w:val="24"/>
          <w:highlight w:val="none"/>
        </w:rPr>
      </w:pPr>
      <w:r>
        <w:rPr>
          <w:rFonts w:hint="eastAsia" w:ascii="宋体" w:hAnsi="宋体" w:cs="宋体"/>
          <w:color w:val="auto"/>
          <w:sz w:val="24"/>
          <w:highlight w:val="none"/>
        </w:rPr>
        <w:t>备注：</w:t>
      </w:r>
      <w:r>
        <w:rPr>
          <w:rFonts w:hint="eastAsia" w:ascii="宋体" w:hAnsi="宋体" w:cs="宋体"/>
          <w:bCs/>
          <w:color w:val="auto"/>
          <w:sz w:val="24"/>
          <w:highlight w:val="none"/>
        </w:rPr>
        <w:t>1、以上清单不代表清单外商品不采购，参考数量只供参考不代表实际需求，采购清单外商品具体结算以招标文件为准。</w:t>
      </w:r>
    </w:p>
    <w:p>
      <w:pPr>
        <w:spacing w:line="360" w:lineRule="auto"/>
        <w:ind w:firstLine="42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b/>
          <w:color w:val="auto"/>
          <w:sz w:val="24"/>
          <w:highlight w:val="none"/>
        </w:rPr>
        <w:t>目录清单外商品及猪肉类7、蛋类8、蔬菜类9商品询价方式：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询价原则：在合同履行期间甲方将按照《采购需求》明确的食材品种、质量、等级标准，通过市场询价的方式确定基准价。《采购需求》中未罗列的食材或未明确质量、等级标准的食材，则由甲方在《食材配送通知单》中书面明确，此类食材质量、价格及违约责任均参照该章采购需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2.2、询价地点：在合同履行期间甲方将向路桥区中心菜场、磨石桥菜场、路桥四号桥蔬菜批发市场、华联超市、世纪联华超市、大润发超市进行食材零售价的询价。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2.3、询价方式：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2.3.1、询价工作由甲方指派的询价小组负责，所形成的基准价以书面的形式通知乙方。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询价小组在询价前，通过随机的方式在上述询价地点确定1家菜场和1家超市作为询价地点，根据每家食材零售最低价的平均价作为询价日价格。在询价当日遇有商家进行促销活动的，则以促销前的原零售价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2.3.3、询价小组根据“先供货后结算”的原则，在每月的中旬分别进行询价。询价获得的各类食材询价日价格即作为当月食材价款的结算基准价。</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三、质量标准及要求：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（1）蔬菜应无烂叶、黄叶，按要求去皮、去壳、去泥等，适宜用切菜机操作；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（2）所供应的蔬菜成熟度适中，为新鲜、安全的产品，不符合规定、腐烂变质或已受到污染的产品无条件退换；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（3）所供应的蔬菜农残量不超过国家有关标准，送货时提交农残检测证明，使用单位48小时留菜品备查。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（4）蛋类保证新鲜，完整。破碎或变质的无条件退换。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（5）豆制品类新鲜保质，纱布盛装，符合国家质量标准；香干、豆浆、千张、豆腐泡等要新鲜保质，符合国家质量标准。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（6）乙方在供货期间，如发生质量纠纷时，招标单位须对被投诉质量进行检测的，不论检测结果如何，因检测产生的相关费用须由乙方承担。</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（7）若因乙方原因，造成员工食堂公共性食品安全危机的，乙方应负全部责任，并承担由此造成的经济损失。</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四、商务要求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1、采购时按甲方实际需求量为准，乙方根据甲方所通知的货物品种、数量、要求等送货到指定位置，车费、税务发票自负。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2、乙方在供货期间，如发生质量纠纷时，招标单位须对产品进行检测的，不论检测结果如何，因检测产生的相关费用须由乙方承担。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3、若因乙方原因，造成甲方公共性食品安全危机的，乙方应负全部责任，并承担由此造成的经济损失。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4、乙方应严格按照合同规定结算方式结算，不得应价格因素降低供货质量。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5、乙方应严格按甲方清单进行供货，特别是时令蔬菜，不得因价格问题而拒绝供货。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6、乙方不得将超市或市场打折处理的蔬菜及其它货物配送给甲方。</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五、供货及配送要求：</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须指派专车、专人负责食材配送工作。其中食品接触人员须取得健康证，配送车辆须每日进行防疫消毒。乙方在供货期间，如发生质量纠纷时甲方须对被投诉食材质量进行检测的，不论检测结果如何，因检测产生的相关费用须由乙方承担。</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（2）送货要求：乙方应当按照甲方提供的《食材配送通知单》要求，在甲方规定的时间前将所需食材送至指定地点。遇有紧急配送任务时，乙方须按照甲方的电话通知要求，在1小时之内送到。</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（3）若因乙方原因，给甲方造成公共性食品安全危机的，乙方应负全部责任。</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（4）乙方因送货出入甲方单位的过程中，必须无条件遵守安全规定，服从工作人员指挥。</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（5）不论以何种形式进行供货，乙方都必须按照其在投标书中做出的服务承诺履行相关义务。</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合同执行期间，乙方因价格因素而放弃履行合同的，须以书面形式向甲方提出申请，甲方可视情解除与该乙方的合同，乙方已交纳的履约保证金不予退还。乙方若无故拒绝履行合同的，甲方将没收其全部履约保证金。</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（7）在合同履行期间，如原乙方被解除合同的，则由中标候选人替补签订合同，如中标候选人放弃替补签订合同的权利的，则甲方可重新组织招标。</w:t>
      </w:r>
    </w:p>
    <w:p>
      <w:pPr>
        <w:shd w:val="clear" w:color="auto" w:fill="FFFFFF"/>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六、履约保证金：</w:t>
      </w:r>
      <w:r>
        <w:rPr>
          <w:rFonts w:hint="eastAsia" w:ascii="宋体" w:hAnsi="宋体" w:cs="宋体"/>
          <w:b/>
          <w:color w:val="auto"/>
          <w:sz w:val="24"/>
          <w:highlight w:val="none"/>
          <w:lang w:val="en-US" w:eastAsia="zh-CN"/>
        </w:rPr>
        <w:t>10</w:t>
      </w:r>
      <w:r>
        <w:rPr>
          <w:rFonts w:hint="eastAsia" w:ascii="宋体" w:hAnsi="宋体" w:cs="宋体"/>
          <w:color w:val="auto"/>
          <w:sz w:val="24"/>
          <w:highlight w:val="none"/>
        </w:rPr>
        <w:t>万元整，按照规定在签订合同前，打入甲方指定账户,合同期满后，乙方凭无违约证明申请返还，甲方1个月内将履约保证金汇入乙方帐户。</w:t>
      </w:r>
    </w:p>
    <w:p>
      <w:pPr>
        <w:shd w:val="clear" w:color="auto" w:fill="FFFFFF"/>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七、付款方式或结算方式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1、结算日定为每月月底（遇节假日顺延），由中标人按月实际供应数量，凭食材验收单及正式的税务发票向采购人申请结算。月实际供应数量经采购人审核确定后，10个工作日内以转账的形式支付。</w:t>
      </w:r>
    </w:p>
    <w:p>
      <w:pPr>
        <w:pStyle w:val="2"/>
        <w:rPr>
          <w:rFonts w:ascii="宋体" w:hAnsi="宋体" w:cs="宋体"/>
          <w:color w:val="auto"/>
          <w:highlight w:val="none"/>
        </w:rPr>
      </w:pPr>
      <w:r>
        <w:rPr>
          <w:rFonts w:hint="eastAsia" w:ascii="宋体" w:hAnsi="宋体" w:cs="宋体"/>
          <w:color w:val="auto"/>
          <w:highlight w:val="none"/>
        </w:rPr>
        <w:t>2、中标下浮率按照乙方针对不同食材分别填报下浮率执行，食材的分类标准以招标文件要求执行。合同履行期间，中标下浮率不作调整。</w:t>
      </w:r>
    </w:p>
    <w:p>
      <w:pPr>
        <w:pStyle w:val="2"/>
        <w:ind w:firstLine="480" w:firstLineChars="200"/>
        <w:rPr>
          <w:color w:val="auto"/>
          <w:highlight w:val="none"/>
        </w:rPr>
      </w:pPr>
      <w:r>
        <w:rPr>
          <w:rFonts w:hint="eastAsia" w:ascii="宋体" w:hAnsi="宋体" w:cs="宋体"/>
          <w:color w:val="auto"/>
          <w:highlight w:val="none"/>
        </w:rPr>
        <w:t>（二）结算方式：</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1、豆制品类1、酱菜类2、禽牛羊肉冰冻熟食类3、主食类4、调味品类5、其他类6、蔬菜类10、水产类11商品的货款结算方式：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 = 招标文件规定的基准单价×（1-该类中标下浮率）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合同期内价格不再变动。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2、猪肉类7、鸡蛋类8、蔬菜类9商品的货款结算方式：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2.1根据“先供货后结算”的原则，在每月的中旬分别进行询价。询价获得的各类食材询价日价格即作为当月食材价款的结算基准价。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2.2计算公式：询价日价格=当月结算基准价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2.3结算价=当月结算基准价×（1-该类中标下浮率）</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3、目录清单外商品的货款结算方式：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3.1对应类别豆制品类1、酱菜类2、禽牛羊肉冰冻熟食类3、主食类4、调味品类5、其他类6、蔬菜类10、水产类11目录清单外的商品结算按首月询价所得基准价作为全年基准价，不再更改。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结算价=全年基准价*（1-该类中标下浮率）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3.2对应类别猪肉类7、鸡蛋类8、蔬菜类9目录清单外商品按每月询价所得基准价作为当月结算基准价。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结算价=当月结算基准价×（1-该类中标下浮率）</w:t>
      </w:r>
    </w:p>
    <w:p>
      <w:pPr>
        <w:spacing w:line="360" w:lineRule="auto"/>
        <w:rPr>
          <w:rFonts w:ascii="宋体" w:hAnsi="宋体" w:cs="宋体"/>
          <w:color w:val="auto"/>
          <w:sz w:val="24"/>
          <w:highlight w:val="none"/>
        </w:rPr>
      </w:pPr>
      <w:r>
        <w:rPr>
          <w:rFonts w:hint="eastAsia" w:ascii="宋体" w:hAnsi="宋体" w:cs="宋体"/>
          <w:color w:val="auto"/>
          <w:sz w:val="24"/>
          <w:highlight w:val="none"/>
        </w:rPr>
        <w:t>（三）价格差异的调整原则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需经常关注上述询价超市、中心菜场方面各类食材的销售情况，对甲方的采购计划及《食材配送通知单》进行分析。如采购计划中出现超出上述6家询价点范围以外的商品时，乙方应当及时提醒甲方。由于投标供应商原因致使某类食材无法通过市场询价的方式确定结算基准价的，询价小组按照有利于甲方的调整原则确定其结算基准价，投标供应商无条件予以接受。</w:t>
      </w:r>
    </w:p>
    <w:p>
      <w:pPr>
        <w:shd w:val="clear" w:color="auto" w:fill="FFFFFF"/>
        <w:spacing w:line="360" w:lineRule="auto"/>
        <w:rPr>
          <w:rFonts w:ascii="宋体" w:hAnsi="宋体" w:cs="宋体"/>
          <w:color w:val="auto"/>
          <w:sz w:val="24"/>
          <w:highlight w:val="none"/>
        </w:rPr>
      </w:pPr>
      <w:r>
        <w:rPr>
          <w:rFonts w:hint="eastAsia" w:ascii="宋体" w:hAnsi="宋体" w:cs="宋体"/>
          <w:b/>
          <w:color w:val="auto"/>
          <w:sz w:val="24"/>
          <w:highlight w:val="none"/>
        </w:rPr>
        <w:t>八、验收标准：</w:t>
      </w:r>
      <w:r>
        <w:rPr>
          <w:rFonts w:hint="eastAsia" w:ascii="宋体" w:hAnsi="宋体" w:cs="宋体"/>
          <w:color w:val="auto"/>
          <w:sz w:val="24"/>
          <w:highlight w:val="none"/>
          <w:u w:val="single"/>
        </w:rPr>
        <w:t xml:space="preserve">      （招标文件相关条款执行）               。</w:t>
      </w:r>
    </w:p>
    <w:p>
      <w:pPr>
        <w:shd w:val="clear" w:color="auto" w:fill="FFFFFF"/>
        <w:spacing w:line="360" w:lineRule="auto"/>
        <w:rPr>
          <w:rFonts w:ascii="宋体" w:hAnsi="宋体" w:cs="宋体"/>
          <w:b/>
          <w:color w:val="auto"/>
          <w:sz w:val="24"/>
          <w:highlight w:val="none"/>
          <w:u w:val="single"/>
        </w:rPr>
      </w:pPr>
      <w:r>
        <w:rPr>
          <w:rFonts w:hint="eastAsia" w:ascii="宋体" w:hAnsi="宋体" w:cs="宋体"/>
          <w:b/>
          <w:color w:val="auto"/>
          <w:sz w:val="24"/>
          <w:highlight w:val="none"/>
        </w:rPr>
        <w:t>九、定点配送日常管理：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（1）乙方按招标文件要求交纳履约保证金（履约保证金金额10万)，对出现违约问题扣款后，乙方必须在当月及时补足差额款项。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由于乙方工作失误，未能按时将货物送达甲方指定地点，造成甲方延误正常服务，由乙方负责承担有关责任，第一次扣罚乙方人民币1000元履约保证金；第二次扣罚乙方人民币3000元履约保证金；第三次扣罚乙方人民币5000元履约保证金。三次以上甲方可以中止合同。</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供应的商品采购渠道不正规；肉类未经卫生检疫部门检验、蔬菜农药残留过高，达不到国家食品卫生安全标准：质保过期、“三无”品牌、假冒伪劣等商品，经甲方检查发现，第一次扣罚乙方人民币5000元履约保证金；第二次扣罚乙方人民币20000元履约保证金；第三次没收乙方全部履约保证金，并取消乙方的供应资格。肉类的检疫合格证与农药残留检测报告必须每天随菜品一并提供，缺少一次扣500元，第二次扣1000元，第三次扣1500元，以此类推。每发现一起因乙方原因不能及时供货的造成不良影响的扣罚履约保证金2000元，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如不按甲方通知的数量送货，多送商品数量在10%以内的，甲方按实际数量验收结算；如果多送商品数量超过10%的，甲方按通知的数量验收结算，多余部分退回；如果乙方拒绝退回的，结算数量仍将按通知的数量结算。乙方供应的商品不新鲜、有腐烂变质现象，破损严重，不符合采购清单及合同规定要求，经甲方核查情况属实后，应立即无偿退换；乙方供应的商品重量少于甲方采购需求数量10%的，甲方有权要求乙方补足数量，乙方必须在1小时内补足。如乙方一个月内累计出现以上问题次数2次，甲方有权扣罚乙方1000元履约保证金；一个月内累计次数达到4次，甲方有权扣罚乙方人民币5000元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必须严格按甲方《食材配送通知单》要求的品种供货，特别是时令蔬菜和季节性强的食材，不得因价格因素拒绝供货或少供货，也不得超通知单要求供货，如甲方在验收时发现乙方没有按规定品种进行送货，发现一次扣罚履约保证金人民币1000元，并有权要求乙方在1小时内补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乙方供应的商品存在卫生安全问题，导致甲方群体性食物中毒事故，由乙方承担所有事故责任与费用，并根据事故性质一次扣罚全部履约保证金。造成严重后果的，甲方将依法提起诉讼，追究乙方法律责任，同时取消中标资格，没收全部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（7）乙方在供货过程中擅自篡改、伪造供货清单，出现清单与实物不符、虚增数量、抬高价格等违规情况的，一经查实，甲方将取消乙方供应资格，并扣除乙方全部履约保证金。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（8）严禁乙方将超市促销打折后的剩余商品配送到甲方食堂，所送的食材必须新鲜、保质期须有1/2以上，否则甲方将有权拒收，并扣罚履约保证金一次人民币1000元。</w:t>
      </w:r>
    </w:p>
    <w:p>
      <w:pPr>
        <w:shd w:val="clear" w:color="auto" w:fill="FFFFFF"/>
        <w:spacing w:line="360" w:lineRule="auto"/>
        <w:rPr>
          <w:rFonts w:ascii="宋体" w:hAnsi="宋体" w:cs="宋体"/>
          <w:color w:val="auto"/>
          <w:sz w:val="24"/>
          <w:highlight w:val="none"/>
        </w:rPr>
      </w:pPr>
      <w:r>
        <w:rPr>
          <w:rFonts w:hint="eastAsia" w:ascii="宋体" w:hAnsi="宋体" w:cs="宋体"/>
          <w:color w:val="auto"/>
          <w:sz w:val="24"/>
          <w:highlight w:val="none"/>
        </w:rPr>
        <w:t>（9）甲方如有紧急采购需求时，乙方需在1小时内送达甲方指定地点，不能在规定时间送达的，每次扣500元。</w:t>
      </w:r>
    </w:p>
    <w:p>
      <w:pPr>
        <w:shd w:val="clear" w:color="auto" w:fill="FFFFFF"/>
        <w:spacing w:line="360" w:lineRule="auto"/>
        <w:rPr>
          <w:rFonts w:ascii="宋体" w:hAnsi="宋体" w:cs="宋体"/>
          <w:b/>
          <w:color w:val="auto"/>
          <w:sz w:val="24"/>
          <w:highlight w:val="none"/>
        </w:rPr>
      </w:pPr>
      <w:r>
        <w:rPr>
          <w:rFonts w:hint="eastAsia" w:ascii="宋体" w:hAnsi="宋体" w:cs="宋体"/>
          <w:b/>
          <w:color w:val="auto"/>
          <w:sz w:val="24"/>
          <w:highlight w:val="none"/>
        </w:rPr>
        <w:t>十、违约责任</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1、违约情形的认定</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（1）无正当理由拒绝配送甲方指定食材；</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（2）未按照合同规定要求擅自抬高收费价格；</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（3）被甲方书面要求退货、换货后，仍拒不履行的；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（4）擅自将食材配送业务转包、分包给第三人经营，经查实的；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（5）通过给予回扣或变相给予回扣等方式谋取不当利益，经查实的；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（6）发生质量纠纷时，拒不履行检测义务的；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（7）因乙方原因造成食品安全责任事故的；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（8）因乙方原因给甲方造成负面社会影响，或负面舆论的；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（9）因乙方原因在甲方单位内造成安全事故，且影响恶劣的；</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（10）其它严重违约行为。</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2、违约处罚</w:t>
      </w:r>
    </w:p>
    <w:p>
      <w:pPr>
        <w:shd w:val="clear" w:color="auto" w:fill="FFFFFF"/>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在食材定点配送服务期间，乙方如出现上述违约情形之一者，经查实并报上级部门批准后，除了进行日常管理的处理，甲方还将根据情节轻重及负责影响程度对乙方作如下处理：</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（1）甲方单方面终止合同，取消其台州市路桥区机关事务中心食材定点配送单位的资格。</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（2）没收其履约保证金。对甲方造成损失的，由违约单位负责赔偿。</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（3）取消其参与其台州市路桥区机关事务中心下一轮食材定点配送单位选定项目的投标资格；</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（4）情节恶劣造成严重负面影响的，甲方将报送至其台州市路桥区机关事务中心列入“供应商黑名单”。</w:t>
      </w:r>
    </w:p>
    <w:p>
      <w:pPr>
        <w:shd w:val="clear" w:color="auto" w:fill="FFFFFF"/>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十一、合同的修改与终止</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1．经甲、乙双方协商，方可修订本合同，但不得违背招标文件规定的实质性条款。</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2．任何一方如因发生不可抗拒事件而丧失履行合同能力，本合同可自行终止。</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3．如遇上级部门政策调整，采购合同自动终止。</w:t>
      </w:r>
    </w:p>
    <w:p>
      <w:pPr>
        <w:shd w:val="clear" w:color="auto" w:fill="FFFFFF"/>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十二、争议及解决</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如双方在履行合同时发生纠纷，应协商解决；协商不成，任何一方可到台州市人民法院诉讼解决。</w:t>
      </w:r>
    </w:p>
    <w:p>
      <w:pPr>
        <w:shd w:val="clear" w:color="auto" w:fill="FFFFFF"/>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十三、其他</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本合同未尽事宜，可以补充合同。补充合同与本合同具有同样的法律效力。</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《招标文件》、补充文件以及中标的《投标书》为本合同的有效组成部分。</w:t>
      </w:r>
    </w:p>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十四、本合同壹式陆份，其中甲乙双方各执贰份，代理机构留档贰份。自签字盖章之后生效。</w:t>
      </w:r>
    </w:p>
    <w:p>
      <w:pPr>
        <w:shd w:val="clear" w:color="auto" w:fill="FFFFFF"/>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十五、 其他补充条款：。</w:t>
      </w:r>
    </w:p>
    <w:p>
      <w:pPr>
        <w:pStyle w:val="2"/>
        <w:rPr>
          <w:color w:val="auto"/>
          <w:highlight w:val="none"/>
        </w:rPr>
      </w:pPr>
    </w:p>
    <w:p>
      <w:pPr>
        <w:shd w:val="clear" w:color="auto" w:fill="FFFFFF"/>
        <w:spacing w:after="6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甲方（公章）：                          乙方（公章）：</w:t>
      </w:r>
    </w:p>
    <w:p>
      <w:pPr>
        <w:shd w:val="clear" w:color="auto" w:fill="FFFFFF"/>
        <w:spacing w:after="6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法定代表人（或委托代理人）：             法定代表人（或委托代理人）：</w:t>
      </w:r>
    </w:p>
    <w:p>
      <w:pPr>
        <w:shd w:val="clear" w:color="auto" w:fill="FFFFFF"/>
        <w:spacing w:after="6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pPr>
        <w:shd w:val="clear" w:color="auto" w:fill="FFFFFF"/>
        <w:spacing w:after="60"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邮编：                                 邮编： </w:t>
      </w:r>
    </w:p>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电话：                                  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                              签订时间：</w:t>
      </w:r>
    </w:p>
    <w:p>
      <w:pPr>
        <w:widowControl/>
        <w:spacing w:line="360" w:lineRule="auto"/>
        <w:ind w:firstLine="480"/>
        <w:rPr>
          <w:rFonts w:ascii="宋体" w:hAnsi="宋体" w:cs="宋体"/>
          <w:color w:val="auto"/>
          <w:sz w:val="24"/>
          <w:highlight w:val="none"/>
        </w:rPr>
      </w:pPr>
    </w:p>
    <w:p>
      <w:pPr>
        <w:widowControl/>
        <w:spacing w:line="360" w:lineRule="auto"/>
        <w:ind w:firstLine="480"/>
        <w:rPr>
          <w:rFonts w:ascii="宋体" w:hAnsi="宋体"/>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鉴证方（鉴证章）：</w:t>
      </w: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color w:val="auto"/>
          <w:sz w:val="30"/>
          <w:szCs w:val="30"/>
          <w:highlight w:val="non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pStyle w:val="2"/>
        <w:rPr>
          <w:rFonts w:ascii="仿宋_GB2312" w:hAnsi="宋体" w:eastAsia="仿宋_GB2312"/>
          <w:b/>
          <w:color w:val="auto"/>
          <w:sz w:val="36"/>
          <w:szCs w:val="36"/>
          <w:highlight w:val="none"/>
        </w:rPr>
      </w:pPr>
    </w:p>
    <w:p>
      <w:pPr>
        <w:pStyle w:val="2"/>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11"/>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11"/>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11"/>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pStyle w:val="2"/>
        <w:rPr>
          <w:rFonts w:ascii="宋体" w:hAnsi="宋体"/>
          <w:b/>
          <w:color w:val="auto"/>
          <w:sz w:val="28"/>
          <w:highlight w:val="none"/>
        </w:rPr>
      </w:pPr>
    </w:p>
    <w:p>
      <w:pPr>
        <w:spacing w:line="360" w:lineRule="auto"/>
        <w:rPr>
          <w:rFonts w:ascii="宋体" w:hAnsi="宋体"/>
          <w:b/>
          <w:color w:val="auto"/>
          <w:kern w:val="0"/>
          <w:sz w:val="32"/>
          <w:szCs w:val="32"/>
          <w:highlight w:val="none"/>
          <w:lang w:val="zh-CN"/>
        </w:rPr>
      </w:pPr>
      <w:r>
        <w:rPr>
          <w:rFonts w:hint="eastAsia" w:ascii="宋体" w:hAnsi="宋体"/>
          <w:b/>
          <w:color w:val="auto"/>
          <w:sz w:val="28"/>
          <w:highlight w:val="none"/>
        </w:rPr>
        <w:t xml:space="preserve">附件2                  </w:t>
      </w:r>
      <w:r>
        <w:rPr>
          <w:rFonts w:hint="eastAsia" w:ascii="宋体" w:hAnsi="宋体"/>
          <w:b/>
          <w:color w:val="auto"/>
          <w:kern w:val="0"/>
          <w:sz w:val="32"/>
          <w:szCs w:val="32"/>
          <w:highlight w:val="none"/>
          <w:lang w:val="zh-CN"/>
        </w:rPr>
        <w:t>投标声明书</w:t>
      </w:r>
    </w:p>
    <w:p>
      <w:pPr>
        <w:snapToGrid w:val="0"/>
        <w:spacing w:beforeLines="50" w:after="50"/>
        <w:jc w:val="left"/>
        <w:rPr>
          <w:rFonts w:ascii="宋体" w:hAnsi="宋体" w:cs="宋体"/>
          <w:color w:val="auto"/>
          <w:kern w:val="0"/>
          <w:sz w:val="24"/>
          <w:highlight w:val="none"/>
        </w:rPr>
      </w:pPr>
      <w:r>
        <w:rPr>
          <w:rFonts w:hint="eastAsia" w:ascii="宋体" w:hAnsi="宋体" w:cstheme="minorBidi"/>
          <w:color w:val="auto"/>
          <w:sz w:val="24"/>
          <w:highlight w:val="none"/>
          <w:u w:val="single"/>
        </w:rPr>
        <w:t>浙江五石工程咨询有限公司</w:t>
      </w:r>
      <w:r>
        <w:rPr>
          <w:rFonts w:hint="eastAsia" w:ascii="宋体" w:hAnsi="宋体" w:cs="宋体"/>
          <w:color w:val="auto"/>
          <w:kern w:val="0"/>
          <w:sz w:val="24"/>
          <w:highlight w:val="none"/>
        </w:rPr>
        <w:t>：</w:t>
      </w:r>
    </w:p>
    <w:p>
      <w:pPr>
        <w:snapToGrid w:val="0"/>
        <w:spacing w:beforeLines="50" w:after="50"/>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（投标供应商名称）系中华人民共和国合法企业，经营地址。</w:t>
      </w:r>
    </w:p>
    <w:p>
      <w:pPr>
        <w:snapToGrid w:val="0"/>
        <w:spacing w:beforeLines="50" w:after="50"/>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snapToGrid w:val="0"/>
        <w:spacing w:beforeLines="50" w:after="50"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w:t>
      </w:r>
      <w:r>
        <w:rPr>
          <w:rFonts w:hint="eastAsia" w:ascii="宋体" w:hAnsi="宋体" w:cs="宋体"/>
          <w:color w:val="auto"/>
          <w:kern w:val="0"/>
          <w:sz w:val="24"/>
          <w:highlight w:val="none"/>
        </w:rPr>
        <w:t>投标供应商</w:t>
      </w:r>
      <w:r>
        <w:rPr>
          <w:rFonts w:ascii="宋体" w:hAnsi="宋体" w:cs="宋体"/>
          <w:color w:val="auto"/>
          <w:kern w:val="0"/>
          <w:sz w:val="24"/>
          <w:highlight w:val="none"/>
        </w:rPr>
        <w:t>的内容，我方同意招标文件的相关条款，放弃对招标文件提出误解和质疑的一切权</w:t>
      </w:r>
      <w:r>
        <w:rPr>
          <w:rFonts w:hint="eastAsia" w:ascii="宋体" w:hAnsi="宋体" w:cs="宋体"/>
          <w:color w:val="auto"/>
          <w:kern w:val="0"/>
          <w:sz w:val="24"/>
          <w:highlight w:val="none"/>
        </w:rPr>
        <w:t>利。</w:t>
      </w:r>
    </w:p>
    <w:p>
      <w:pPr>
        <w:numPr>
          <w:ilvl w:val="255"/>
          <w:numId w:val="0"/>
        </w:numPr>
        <w:snapToGrid w:val="0"/>
        <w:spacing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不是采购单位的附属机构；在获知本项目采购信息后，与采购单位聘请的为此项目提供咨询服务的公司及其附属机构没有任何联系。</w:t>
      </w:r>
    </w:p>
    <w:p>
      <w:pPr>
        <w:snapToGrid w:val="0"/>
        <w:spacing w:beforeLines="50" w:after="50"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采购单位在中华人民共和国境内使用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投标货物、资料、技术、服务或其任何一部分时，享有不受限制的无偿使用权，如有第三方向采购单位提出侵犯其专利权、商标权或其它知识产权的主张，该责任由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Lines="50" w:after="50"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Lines="50" w:after="50"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320" w:firstLineChars="1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投标供应商名称(公章)：</w:t>
      </w:r>
    </w:p>
    <w:p>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日期：年月日</w:t>
      </w:r>
    </w:p>
    <w:p>
      <w:pPr>
        <w:pStyle w:val="2"/>
        <w:rPr>
          <w:rFonts w:ascii="宋体" w:hAnsi="宋体"/>
          <w:b/>
          <w:color w:val="auto"/>
          <w:sz w:val="28"/>
          <w:highlight w:val="none"/>
        </w:rPr>
      </w:pPr>
    </w:p>
    <w:p>
      <w:pPr>
        <w:pStyle w:val="2"/>
        <w:rPr>
          <w:rFonts w:ascii="宋体" w:hAnsi="宋体"/>
          <w:b/>
          <w:color w:val="auto"/>
          <w:sz w:val="28"/>
          <w:highlight w:val="none"/>
        </w:rPr>
      </w:pPr>
    </w:p>
    <w:p>
      <w:pPr>
        <w:adjustRightInd w:val="0"/>
        <w:snapToGrid w:val="0"/>
        <w:spacing w:line="360" w:lineRule="auto"/>
        <w:ind w:right="480"/>
        <w:rPr>
          <w:rFonts w:hAnsi="宋体"/>
          <w:b/>
          <w:color w:val="auto"/>
          <w:sz w:val="32"/>
          <w:szCs w:val="32"/>
          <w:highlight w:val="none"/>
          <w:u w:val="single"/>
        </w:rPr>
      </w:pPr>
      <w:r>
        <w:rPr>
          <w:rFonts w:hint="eastAsia" w:ascii="宋体" w:hAnsi="宋体"/>
          <w:b/>
          <w:color w:val="auto"/>
          <w:sz w:val="28"/>
          <w:highlight w:val="none"/>
        </w:rPr>
        <w:t xml:space="preserve">附件3                   </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浙江五石工程咨询有限公司</w:t>
      </w:r>
      <w:r>
        <w:rPr>
          <w:rFonts w:hint="eastAsia" w:ascii="宋体" w:hAnsi="宋体" w:cs="宋体"/>
          <w:color w:val="auto"/>
          <w:kern w:val="0"/>
          <w:sz w:val="24"/>
          <w:highlight w:val="none"/>
        </w:rPr>
        <w:t>：</w:t>
      </w:r>
    </w:p>
    <w:p>
      <w:pPr>
        <w:pStyle w:val="9"/>
        <w:spacing w:line="500" w:lineRule="exact"/>
        <w:ind w:left="240" w:hanging="240" w:hangingChars="1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投标供应商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（授权委托代理人</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授权委托代理人</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我方对授权委托代理人的签字事项负全部责任。</w:t>
      </w:r>
    </w:p>
    <w:p>
      <w:pPr>
        <w:pStyle w:val="9"/>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在撤销授权的书面通知以前，本授权书一直有效。授权委托代理人在授权委托书有效期内签署的所有文件不因授权的撤销而失效。</w:t>
      </w:r>
    </w:p>
    <w:p>
      <w:pPr>
        <w:pStyle w:val="9"/>
        <w:spacing w:line="500" w:lineRule="exact"/>
        <w:ind w:left="139" w:leftChars="66" w:firstLine="480" w:firstLineChars="200"/>
        <w:rPr>
          <w:rFonts w:hAnsi="宋体"/>
          <w:color w:val="auto"/>
          <w:sz w:val="24"/>
          <w:highlight w:val="none"/>
        </w:rPr>
      </w:pPr>
      <w:r>
        <w:rPr>
          <w:rFonts w:hint="eastAsia" w:hAnsi="宋体"/>
          <w:color w:val="auto"/>
          <w:sz w:val="24"/>
          <w:highlight w:val="none"/>
        </w:rPr>
        <w:t>授权委托代理人无转委托权，特此委托。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投标供应商全称（公章）：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color w:val="auto"/>
                <w:sz w:val="24"/>
                <w:highlight w:val="none"/>
              </w:rPr>
            </w:pPr>
            <w:r>
              <w:rPr>
                <w:rFonts w:hint="eastAsia" w:ascii="宋体"/>
                <w:b/>
                <w:color w:val="auto"/>
                <w:sz w:val="24"/>
                <w:highlight w:val="none"/>
              </w:rPr>
              <w:t>授权委托代理人身份证复印件粘帖处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授权委托代理人姓名：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hAnsi="宋体"/>
          <w:b/>
          <w:color w:val="auto"/>
          <w:sz w:val="28"/>
          <w:highlight w:val="none"/>
        </w:rPr>
      </w:pPr>
      <w:r>
        <w:rPr>
          <w:rFonts w:hint="eastAsia" w:ascii="宋体"/>
          <w:color w:val="auto"/>
          <w:sz w:val="24"/>
          <w:highlight w:val="none"/>
        </w:rPr>
        <w:t>邮政编码：</w:t>
      </w:r>
    </w:p>
    <w:p>
      <w:pPr>
        <w:snapToGrid w:val="0"/>
        <w:spacing w:beforeLines="50" w:after="50" w:line="360" w:lineRule="auto"/>
        <w:rPr>
          <w:rFonts w:ascii="宋体" w:hAnsi="宋体"/>
          <w:color w:val="auto"/>
          <w:spacing w:val="40"/>
          <w:sz w:val="52"/>
          <w:szCs w:val="52"/>
          <w:highlight w:val="none"/>
        </w:rPr>
      </w:pPr>
      <w:r>
        <w:rPr>
          <w:rFonts w:hint="eastAsia" w:ascii="宋体" w:hAnsi="宋体"/>
          <w:b/>
          <w:color w:val="auto"/>
          <w:sz w:val="28"/>
          <w:highlight w:val="none"/>
        </w:rPr>
        <w:t>附件4：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2"/>
        <w:rPr>
          <w:rFonts w:ascii="仿宋_GB2312" w:hAnsi="宋体" w:eastAsia="仿宋_GB2312"/>
          <w:b/>
          <w:color w:val="auto"/>
          <w:sz w:val="36"/>
          <w:szCs w:val="36"/>
          <w:highlight w:val="none"/>
        </w:rPr>
      </w:pPr>
    </w:p>
    <w:p>
      <w:pPr>
        <w:pStyle w:val="2"/>
        <w:rPr>
          <w:rFonts w:ascii="仿宋_GB2312" w:hAnsi="宋体" w:eastAsia="仿宋_GB2312"/>
          <w:b/>
          <w:color w:val="auto"/>
          <w:sz w:val="36"/>
          <w:szCs w:val="36"/>
          <w:highlight w:val="none"/>
        </w:rPr>
      </w:pPr>
    </w:p>
    <w:p>
      <w:pPr>
        <w:pStyle w:val="2"/>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snapToGrid w:val="0"/>
        <w:spacing w:line="360" w:lineRule="auto"/>
        <w:rPr>
          <w:rFonts w:ascii="宋体" w:hAnsi="宋体"/>
          <w:color w:val="auto"/>
          <w:sz w:val="24"/>
          <w:highlight w:val="none"/>
        </w:rPr>
      </w:pP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技术方案描述部分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投标供应商情况介绍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s="宋体"/>
          <w:color w:val="auto"/>
          <w:sz w:val="28"/>
          <w:szCs w:val="28"/>
          <w:highlight w:val="none"/>
        </w:rPr>
        <w:t>项目需求的理解与分析</w:t>
      </w:r>
      <w:r>
        <w:rPr>
          <w:rFonts w:hint="eastAsia" w:ascii="宋体" w:hAnsi="宋体"/>
          <w:color w:val="auto"/>
          <w:sz w:val="28"/>
          <w:szCs w:val="28"/>
          <w:highlight w:val="none"/>
        </w:rPr>
        <w:t>；</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项目组织实施方案(附件6)</w:t>
      </w:r>
      <w:r>
        <w:rPr>
          <w:rFonts w:ascii="宋体" w:hAnsi="宋体"/>
          <w:color w:val="auto"/>
          <w:sz w:val="28"/>
          <w:szCs w:val="28"/>
          <w:highlight w:val="none"/>
        </w:rPr>
        <w:t xml:space="preserve">； </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Theme="minorEastAsia" w:hAnsiTheme="minorEastAsia" w:eastAsiaTheme="minorEastAsia"/>
          <w:color w:val="auto"/>
          <w:kern w:val="0"/>
          <w:sz w:val="28"/>
          <w:szCs w:val="28"/>
          <w:highlight w:val="none"/>
        </w:rPr>
        <w:t>安装、调试及验收方案</w:t>
      </w:r>
      <w:r>
        <w:rPr>
          <w:rFonts w:hint="eastAsia" w:ascii="宋体" w:hAnsi="宋体"/>
          <w:color w:val="auto"/>
          <w:sz w:val="28"/>
          <w:szCs w:val="28"/>
          <w:highlight w:val="none"/>
        </w:rPr>
        <w:t>；</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rPr>
        <w:t>附件8</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2、</w:t>
      </w:r>
      <w:r>
        <w:rPr>
          <w:rFonts w:hint="eastAsia" w:ascii="宋体" w:hAnsi="宋体"/>
          <w:color w:val="auto"/>
          <w:sz w:val="28"/>
          <w:szCs w:val="28"/>
          <w:highlight w:val="none"/>
        </w:rPr>
        <w:t>投标供应商</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包括可能影响投标供应商技术性能评分项的各类证明材料）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1、证书一览表（附件9）；</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2、近三年来类似项目的成功案例（附件10）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3、售后服务描述及承诺（可视情选用附件11，附件12）；</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4、投标供应商需要说明的其他内容。（包括可能影响投标供应商企业实力及信誉评分项以及售后服务评分项的各类证明材料）</w:t>
      </w: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p>
    <w:p>
      <w:pPr>
        <w:pStyle w:val="26"/>
        <w:spacing w:before="0" w:beforeAutospacing="0" w:after="0" w:afterAutospacing="0" w:line="360" w:lineRule="auto"/>
        <w:rPr>
          <w:b/>
          <w:color w:val="auto"/>
          <w:sz w:val="28"/>
          <w:highlight w:val="none"/>
        </w:rPr>
      </w:pPr>
      <w:r>
        <w:rPr>
          <w:rFonts w:hint="eastAsia"/>
          <w:b/>
          <w:color w:val="auto"/>
          <w:sz w:val="28"/>
          <w:highlight w:val="none"/>
        </w:rPr>
        <w:t>附件5</w:t>
      </w:r>
    </w:p>
    <w:p>
      <w:pPr>
        <w:pStyle w:val="26"/>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投标供应商</w:t>
      </w:r>
      <w:r>
        <w:rPr>
          <w:rFonts w:hint="eastAsia"/>
          <w:b/>
          <w:bCs/>
          <w:color w:val="auto"/>
          <w:spacing w:val="21"/>
          <w:sz w:val="32"/>
          <w:szCs w:val="32"/>
          <w:highlight w:val="none"/>
        </w:rPr>
        <w:t>基本情况表</w:t>
      </w:r>
    </w:p>
    <w:tbl>
      <w:tblPr>
        <w:tblStyle w:val="1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26"/>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26"/>
              <w:spacing w:line="360" w:lineRule="auto"/>
              <w:rPr>
                <w:bCs/>
                <w:color w:val="auto"/>
                <w:highlight w:val="none"/>
              </w:rPr>
            </w:pPr>
          </w:p>
        </w:tc>
        <w:tc>
          <w:tcPr>
            <w:tcW w:w="2001" w:type="dxa"/>
            <w:gridSpan w:val="3"/>
          </w:tcPr>
          <w:p>
            <w:pPr>
              <w:pStyle w:val="26"/>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26"/>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26"/>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26"/>
              <w:spacing w:line="360" w:lineRule="auto"/>
              <w:rPr>
                <w:bCs/>
                <w:color w:val="auto"/>
                <w:spacing w:val="16"/>
                <w:highlight w:val="none"/>
              </w:rPr>
            </w:pPr>
          </w:p>
        </w:tc>
        <w:tc>
          <w:tcPr>
            <w:tcW w:w="2001" w:type="dxa"/>
            <w:gridSpan w:val="3"/>
          </w:tcPr>
          <w:p>
            <w:pPr>
              <w:pStyle w:val="26"/>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2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6"/>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26"/>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26"/>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26"/>
              <w:spacing w:line="360" w:lineRule="auto"/>
              <w:rPr>
                <w:bCs/>
                <w:color w:val="auto"/>
                <w:spacing w:val="16"/>
                <w:highlight w:val="none"/>
              </w:rPr>
            </w:pPr>
          </w:p>
        </w:tc>
        <w:tc>
          <w:tcPr>
            <w:tcW w:w="2001" w:type="dxa"/>
            <w:gridSpan w:val="3"/>
          </w:tcPr>
          <w:p>
            <w:pPr>
              <w:pStyle w:val="26"/>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26"/>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26"/>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26"/>
              <w:spacing w:line="360" w:lineRule="auto"/>
              <w:rPr>
                <w:bCs/>
                <w:color w:val="auto"/>
                <w:spacing w:val="16"/>
                <w:highlight w:val="none"/>
              </w:rPr>
            </w:pPr>
          </w:p>
        </w:tc>
        <w:tc>
          <w:tcPr>
            <w:tcW w:w="910" w:type="dxa"/>
            <w:gridSpan w:val="2"/>
            <w:tcBorders>
              <w:top w:val="nil"/>
              <w:bottom w:val="single" w:color="auto" w:sz="4" w:space="0"/>
            </w:tcBorders>
          </w:tcPr>
          <w:p>
            <w:pPr>
              <w:pStyle w:val="26"/>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26"/>
              <w:spacing w:line="360" w:lineRule="auto"/>
              <w:rPr>
                <w:bCs/>
                <w:color w:val="auto"/>
                <w:spacing w:val="16"/>
                <w:highlight w:val="none"/>
              </w:rPr>
            </w:pPr>
          </w:p>
        </w:tc>
        <w:tc>
          <w:tcPr>
            <w:tcW w:w="2001" w:type="dxa"/>
            <w:gridSpan w:val="3"/>
            <w:vMerge w:val="restart"/>
          </w:tcPr>
          <w:p>
            <w:pPr>
              <w:pStyle w:val="26"/>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2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6"/>
              <w:spacing w:line="360" w:lineRule="auto"/>
              <w:ind w:left="107"/>
              <w:rPr>
                <w:bCs/>
                <w:color w:val="auto"/>
                <w:highlight w:val="none"/>
              </w:rPr>
            </w:pPr>
          </w:p>
        </w:tc>
        <w:tc>
          <w:tcPr>
            <w:tcW w:w="701" w:type="dxa"/>
            <w:vMerge w:val="continue"/>
            <w:tcBorders>
              <w:bottom w:val="single" w:color="auto" w:sz="4" w:space="0"/>
            </w:tcBorders>
          </w:tcPr>
          <w:p>
            <w:pPr>
              <w:pStyle w:val="26"/>
              <w:spacing w:line="360" w:lineRule="auto"/>
              <w:rPr>
                <w:bCs/>
                <w:color w:val="auto"/>
                <w:spacing w:val="16"/>
                <w:highlight w:val="none"/>
              </w:rPr>
            </w:pPr>
          </w:p>
        </w:tc>
        <w:tc>
          <w:tcPr>
            <w:tcW w:w="910" w:type="dxa"/>
            <w:gridSpan w:val="2"/>
            <w:tcBorders>
              <w:bottom w:val="single" w:color="auto" w:sz="4" w:space="0"/>
            </w:tcBorders>
          </w:tcPr>
          <w:p>
            <w:pPr>
              <w:pStyle w:val="26"/>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26"/>
              <w:spacing w:line="360" w:lineRule="auto"/>
              <w:rPr>
                <w:bCs/>
                <w:color w:val="auto"/>
                <w:spacing w:val="16"/>
                <w:highlight w:val="none"/>
              </w:rPr>
            </w:pPr>
          </w:p>
        </w:tc>
        <w:tc>
          <w:tcPr>
            <w:tcW w:w="2001" w:type="dxa"/>
            <w:gridSpan w:val="3"/>
            <w:vMerge w:val="continue"/>
          </w:tcPr>
          <w:p>
            <w:pPr>
              <w:pStyle w:val="26"/>
              <w:spacing w:line="360" w:lineRule="auto"/>
              <w:rPr>
                <w:bCs/>
                <w:color w:val="auto"/>
                <w:spacing w:val="16"/>
                <w:highlight w:val="none"/>
              </w:rPr>
            </w:pPr>
          </w:p>
        </w:tc>
        <w:tc>
          <w:tcPr>
            <w:tcW w:w="2151" w:type="dxa"/>
            <w:gridSpan w:val="2"/>
            <w:vMerge w:val="continue"/>
          </w:tcPr>
          <w:p>
            <w:pPr>
              <w:pStyle w:val="2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26"/>
              <w:spacing w:line="360" w:lineRule="auto"/>
              <w:ind w:left="107"/>
              <w:rPr>
                <w:bCs/>
                <w:color w:val="auto"/>
                <w:highlight w:val="none"/>
              </w:rPr>
            </w:pPr>
            <w:r>
              <w:rPr>
                <w:bCs/>
                <w:color w:val="auto"/>
                <w:highlight w:val="none"/>
              </w:rPr>
              <w:t>1</w:t>
            </w:r>
            <w:r>
              <w:rPr>
                <w:rFonts w:hint="eastAsia"/>
                <w:bCs/>
                <w:color w:val="auto"/>
                <w:highlight w:val="none"/>
              </w:rPr>
              <w:t>.</w:t>
            </w:r>
          </w:p>
          <w:p>
            <w:pPr>
              <w:pStyle w:val="26"/>
              <w:spacing w:line="360" w:lineRule="auto"/>
              <w:ind w:left="107"/>
              <w:rPr>
                <w:bCs/>
                <w:color w:val="auto"/>
                <w:highlight w:val="none"/>
              </w:rPr>
            </w:pPr>
            <w:r>
              <w:rPr>
                <w:rFonts w:hint="eastAsia"/>
                <w:bCs/>
                <w:color w:val="auto"/>
                <w:highlight w:val="none"/>
              </w:rPr>
              <w:t>企</w:t>
            </w:r>
          </w:p>
          <w:p>
            <w:pPr>
              <w:pStyle w:val="26"/>
              <w:spacing w:line="360" w:lineRule="auto"/>
              <w:ind w:left="107"/>
              <w:rPr>
                <w:bCs/>
                <w:color w:val="auto"/>
                <w:highlight w:val="none"/>
              </w:rPr>
            </w:pPr>
            <w:r>
              <w:rPr>
                <w:rFonts w:hint="eastAsia"/>
                <w:bCs/>
                <w:color w:val="auto"/>
                <w:highlight w:val="none"/>
              </w:rPr>
              <w:t>业</w:t>
            </w:r>
          </w:p>
          <w:p>
            <w:pPr>
              <w:pStyle w:val="26"/>
              <w:spacing w:line="360" w:lineRule="auto"/>
              <w:ind w:left="107"/>
              <w:rPr>
                <w:bCs/>
                <w:color w:val="auto"/>
                <w:spacing w:val="27"/>
                <w:highlight w:val="none"/>
              </w:rPr>
            </w:pPr>
            <w:r>
              <w:rPr>
                <w:rFonts w:hint="eastAsia"/>
                <w:bCs/>
                <w:color w:val="auto"/>
                <w:spacing w:val="27"/>
                <w:highlight w:val="none"/>
              </w:rPr>
              <w:t>概</w:t>
            </w:r>
          </w:p>
          <w:p>
            <w:pPr>
              <w:pStyle w:val="26"/>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26"/>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26"/>
              <w:spacing w:line="360" w:lineRule="auto"/>
              <w:rPr>
                <w:bCs/>
                <w:color w:val="auto"/>
                <w:spacing w:val="16"/>
                <w:highlight w:val="none"/>
              </w:rPr>
            </w:pPr>
          </w:p>
        </w:tc>
        <w:tc>
          <w:tcPr>
            <w:tcW w:w="1163" w:type="dxa"/>
            <w:tcBorders>
              <w:top w:val="nil"/>
            </w:tcBorders>
          </w:tcPr>
          <w:p>
            <w:pPr>
              <w:pStyle w:val="26"/>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26"/>
              <w:spacing w:line="360" w:lineRule="auto"/>
              <w:rPr>
                <w:bCs/>
                <w:color w:val="auto"/>
                <w:spacing w:val="16"/>
                <w:highlight w:val="none"/>
              </w:rPr>
            </w:pPr>
          </w:p>
        </w:tc>
        <w:tc>
          <w:tcPr>
            <w:tcW w:w="2001" w:type="dxa"/>
            <w:gridSpan w:val="3"/>
          </w:tcPr>
          <w:p>
            <w:pPr>
              <w:pStyle w:val="26"/>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2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26"/>
              <w:spacing w:line="360" w:lineRule="auto"/>
              <w:ind w:left="107"/>
              <w:rPr>
                <w:bCs/>
                <w:color w:val="auto"/>
                <w:highlight w:val="none"/>
              </w:rPr>
            </w:pPr>
          </w:p>
        </w:tc>
        <w:tc>
          <w:tcPr>
            <w:tcW w:w="701" w:type="dxa"/>
          </w:tcPr>
          <w:p>
            <w:pPr>
              <w:pStyle w:val="26"/>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26"/>
              <w:spacing w:line="360" w:lineRule="auto"/>
              <w:rPr>
                <w:bCs/>
                <w:color w:val="auto"/>
                <w:highlight w:val="none"/>
              </w:rPr>
            </w:pPr>
          </w:p>
        </w:tc>
        <w:tc>
          <w:tcPr>
            <w:tcW w:w="1163" w:type="dxa"/>
          </w:tcPr>
          <w:p>
            <w:pPr>
              <w:pStyle w:val="26"/>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26"/>
              <w:spacing w:line="360" w:lineRule="auto"/>
              <w:ind w:firstLine="480" w:firstLineChars="200"/>
              <w:rPr>
                <w:bCs/>
                <w:color w:val="auto"/>
                <w:highlight w:val="none"/>
              </w:rPr>
            </w:pPr>
            <w:r>
              <w:rPr>
                <w:rFonts w:hint="eastAsia"/>
                <w:bCs/>
                <w:color w:val="auto"/>
                <w:highlight w:val="none"/>
              </w:rPr>
              <w:t xml:space="preserve">平方米 </w:t>
            </w:r>
          </w:p>
          <w:p>
            <w:pPr>
              <w:pStyle w:val="26"/>
              <w:spacing w:line="360" w:lineRule="auto"/>
              <w:rPr>
                <w:bCs/>
                <w:color w:val="auto"/>
                <w:highlight w:val="none"/>
              </w:rPr>
            </w:pPr>
            <w:r>
              <w:rPr>
                <w:rFonts w:hint="eastAsia"/>
                <w:bCs/>
                <w:color w:val="auto"/>
                <w:spacing w:val="16"/>
                <w:highlight w:val="none"/>
              </w:rPr>
              <w:t>□自有□租赁</w:t>
            </w:r>
          </w:p>
        </w:tc>
        <w:tc>
          <w:tcPr>
            <w:tcW w:w="2001" w:type="dxa"/>
            <w:gridSpan w:val="3"/>
          </w:tcPr>
          <w:p>
            <w:pPr>
              <w:pStyle w:val="26"/>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26"/>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26"/>
              <w:spacing w:line="360" w:lineRule="auto"/>
              <w:ind w:left="107"/>
              <w:rPr>
                <w:bCs/>
                <w:color w:val="auto"/>
                <w:highlight w:val="none"/>
              </w:rPr>
            </w:pPr>
          </w:p>
        </w:tc>
        <w:tc>
          <w:tcPr>
            <w:tcW w:w="701" w:type="dxa"/>
          </w:tcPr>
          <w:p>
            <w:pPr>
              <w:pStyle w:val="26"/>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26"/>
              <w:spacing w:line="360" w:lineRule="auto"/>
              <w:ind w:left="2"/>
              <w:rPr>
                <w:bCs/>
                <w:color w:val="auto"/>
                <w:highlight w:val="none"/>
              </w:rPr>
            </w:pPr>
          </w:p>
        </w:tc>
        <w:tc>
          <w:tcPr>
            <w:tcW w:w="1163" w:type="dxa"/>
          </w:tcPr>
          <w:p>
            <w:pPr>
              <w:pStyle w:val="26"/>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26"/>
              <w:spacing w:line="360" w:lineRule="auto"/>
              <w:ind w:left="107"/>
              <w:rPr>
                <w:bCs/>
                <w:color w:val="auto"/>
                <w:highlight w:val="none"/>
              </w:rPr>
            </w:pPr>
          </w:p>
        </w:tc>
        <w:tc>
          <w:tcPr>
            <w:tcW w:w="1218" w:type="dxa"/>
          </w:tcPr>
          <w:p>
            <w:pPr>
              <w:pStyle w:val="26"/>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26"/>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26"/>
              <w:spacing w:line="360" w:lineRule="auto"/>
              <w:ind w:left="107"/>
              <w:rPr>
                <w:bCs/>
                <w:color w:val="auto"/>
                <w:highlight w:val="none"/>
              </w:rPr>
            </w:pPr>
          </w:p>
        </w:tc>
        <w:tc>
          <w:tcPr>
            <w:tcW w:w="701" w:type="dxa"/>
          </w:tcPr>
          <w:p>
            <w:pPr>
              <w:pStyle w:val="26"/>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26"/>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26"/>
              <w:spacing w:line="360" w:lineRule="auto"/>
              <w:ind w:left="107"/>
              <w:rPr>
                <w:bCs/>
                <w:color w:val="auto"/>
                <w:highlight w:val="none"/>
              </w:rPr>
            </w:pPr>
          </w:p>
        </w:tc>
        <w:tc>
          <w:tcPr>
            <w:tcW w:w="8131" w:type="dxa"/>
            <w:gridSpan w:val="11"/>
          </w:tcPr>
          <w:p>
            <w:pPr>
              <w:pStyle w:val="26"/>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26"/>
              <w:spacing w:line="360" w:lineRule="auto"/>
              <w:ind w:left="107"/>
              <w:rPr>
                <w:bCs/>
                <w:color w:val="auto"/>
                <w:highlight w:val="none"/>
              </w:rPr>
            </w:pPr>
            <w:r>
              <w:rPr>
                <w:bCs/>
                <w:color w:val="auto"/>
                <w:highlight w:val="none"/>
              </w:rPr>
              <w:t>2</w:t>
            </w:r>
            <w:r>
              <w:rPr>
                <w:rFonts w:hint="eastAsia"/>
                <w:bCs/>
                <w:color w:val="auto"/>
                <w:highlight w:val="none"/>
              </w:rPr>
              <w:t>．</w:t>
            </w:r>
          </w:p>
          <w:p>
            <w:pPr>
              <w:pStyle w:val="26"/>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26"/>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26"/>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26"/>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26"/>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26"/>
              <w:spacing w:line="360" w:lineRule="auto"/>
              <w:jc w:val="center"/>
              <w:rPr>
                <w:bCs/>
                <w:color w:val="auto"/>
                <w:highlight w:val="none"/>
              </w:rPr>
            </w:pPr>
            <w:r>
              <w:rPr>
                <w:rFonts w:hint="eastAsia"/>
                <w:bCs/>
                <w:color w:val="auto"/>
                <w:spacing w:val="16"/>
                <w:highlight w:val="none"/>
              </w:rPr>
              <w:t>发证时间</w:t>
            </w:r>
          </w:p>
        </w:tc>
        <w:tc>
          <w:tcPr>
            <w:tcW w:w="933" w:type="dxa"/>
          </w:tcPr>
          <w:p>
            <w:pPr>
              <w:pStyle w:val="26"/>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26"/>
              <w:spacing w:line="360" w:lineRule="auto"/>
              <w:ind w:left="107"/>
              <w:rPr>
                <w:bCs/>
                <w:color w:val="auto"/>
                <w:highlight w:val="none"/>
              </w:rPr>
            </w:pPr>
          </w:p>
        </w:tc>
        <w:tc>
          <w:tcPr>
            <w:tcW w:w="1553" w:type="dxa"/>
            <w:gridSpan w:val="2"/>
            <w:vMerge w:val="continue"/>
          </w:tcPr>
          <w:p>
            <w:pPr>
              <w:pStyle w:val="26"/>
              <w:spacing w:line="360" w:lineRule="auto"/>
              <w:rPr>
                <w:bCs/>
                <w:color w:val="auto"/>
                <w:highlight w:val="none"/>
              </w:rPr>
            </w:pPr>
          </w:p>
        </w:tc>
        <w:tc>
          <w:tcPr>
            <w:tcW w:w="1333" w:type="dxa"/>
            <w:gridSpan w:val="3"/>
          </w:tcPr>
          <w:p>
            <w:pPr>
              <w:pStyle w:val="26"/>
              <w:spacing w:line="360" w:lineRule="auto"/>
              <w:rPr>
                <w:bCs/>
                <w:color w:val="auto"/>
                <w:highlight w:val="none"/>
              </w:rPr>
            </w:pPr>
          </w:p>
        </w:tc>
        <w:tc>
          <w:tcPr>
            <w:tcW w:w="1418" w:type="dxa"/>
            <w:gridSpan w:val="2"/>
          </w:tcPr>
          <w:p>
            <w:pPr>
              <w:pStyle w:val="26"/>
              <w:spacing w:line="360" w:lineRule="auto"/>
              <w:rPr>
                <w:bCs/>
                <w:color w:val="auto"/>
                <w:highlight w:val="none"/>
              </w:rPr>
            </w:pPr>
          </w:p>
        </w:tc>
        <w:tc>
          <w:tcPr>
            <w:tcW w:w="1276" w:type="dxa"/>
          </w:tcPr>
          <w:p>
            <w:pPr>
              <w:pStyle w:val="26"/>
              <w:spacing w:line="360" w:lineRule="auto"/>
              <w:rPr>
                <w:bCs/>
                <w:color w:val="auto"/>
                <w:highlight w:val="none"/>
              </w:rPr>
            </w:pPr>
          </w:p>
        </w:tc>
        <w:tc>
          <w:tcPr>
            <w:tcW w:w="2551" w:type="dxa"/>
            <w:gridSpan w:val="3"/>
          </w:tcPr>
          <w:p>
            <w:pPr>
              <w:pStyle w:val="26"/>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26"/>
              <w:spacing w:line="360" w:lineRule="auto"/>
              <w:ind w:left="107"/>
              <w:rPr>
                <w:bCs/>
                <w:color w:val="auto"/>
                <w:spacing w:val="16"/>
                <w:highlight w:val="none"/>
              </w:rPr>
            </w:pPr>
          </w:p>
        </w:tc>
        <w:tc>
          <w:tcPr>
            <w:tcW w:w="1553" w:type="dxa"/>
            <w:gridSpan w:val="2"/>
          </w:tcPr>
          <w:p>
            <w:pPr>
              <w:pStyle w:val="26"/>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2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26"/>
              <w:spacing w:line="360" w:lineRule="auto"/>
              <w:ind w:left="107"/>
              <w:rPr>
                <w:bCs/>
                <w:color w:val="auto"/>
                <w:spacing w:val="27"/>
                <w:highlight w:val="none"/>
              </w:rPr>
            </w:pPr>
          </w:p>
        </w:tc>
        <w:tc>
          <w:tcPr>
            <w:tcW w:w="1553" w:type="dxa"/>
            <w:gridSpan w:val="2"/>
          </w:tcPr>
          <w:p>
            <w:pPr>
              <w:pStyle w:val="26"/>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26"/>
              <w:spacing w:line="360" w:lineRule="auto"/>
              <w:rPr>
                <w:bCs/>
                <w:color w:val="auto"/>
                <w:spacing w:val="16"/>
                <w:highlight w:val="none"/>
              </w:rPr>
            </w:pPr>
          </w:p>
        </w:tc>
      </w:tr>
    </w:tbl>
    <w:p>
      <w:pPr>
        <w:pStyle w:val="26"/>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26"/>
        <w:numPr>
          <w:ilvl w:val="0"/>
          <w:numId w:val="12"/>
        </w:numPr>
        <w:spacing w:before="0" w:beforeAutospacing="0" w:after="0" w:afterAutospacing="0" w:line="360" w:lineRule="auto"/>
        <w:ind w:firstLine="484" w:firstLineChars="202"/>
        <w:rPr>
          <w:color w:val="auto"/>
          <w:highlight w:val="none"/>
        </w:rPr>
      </w:pPr>
      <w:r>
        <w:rPr>
          <w:rFonts w:hint="eastAsia"/>
          <w:color w:val="auto"/>
          <w:highlight w:val="none"/>
        </w:rPr>
        <w:t>姓名栏必须将所有股东都统计在内，若非股份公司此行（第三行）无需填写；</w:t>
      </w:r>
    </w:p>
    <w:p>
      <w:pPr>
        <w:pStyle w:val="26"/>
        <w:spacing w:before="0" w:beforeAutospacing="0" w:after="0" w:afterAutospacing="0" w:line="360" w:lineRule="auto"/>
        <w:rPr>
          <w:color w:val="auto"/>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投标供应商名称（盖章）：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职        务：</w:t>
      </w:r>
    </w:p>
    <w:p>
      <w:pPr>
        <w:pStyle w:val="26"/>
        <w:spacing w:before="0" w:beforeAutospacing="0" w:after="0" w:afterAutospacing="0" w:line="360" w:lineRule="auto"/>
        <w:ind w:firstLine="424" w:firstLineChars="177"/>
        <w:rPr>
          <w:b/>
          <w:color w:val="auto"/>
          <w:sz w:val="28"/>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 xml:space="preserve">附件6           </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1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附件7</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17"/>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规格型号</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产地</w:t>
            </w:r>
          </w:p>
        </w:tc>
        <w:tc>
          <w:tcPr>
            <w:tcW w:w="1559"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auto"/>
                <w:sz w:val="24"/>
                <w:highlight w:val="none"/>
              </w:rPr>
            </w:pPr>
          </w:p>
        </w:tc>
        <w:tc>
          <w:tcPr>
            <w:tcW w:w="2169"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bCs/>
          <w:color w:val="auto"/>
          <w:sz w:val="32"/>
          <w:szCs w:val="32"/>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r>
        <w:rPr>
          <w:rFonts w:hint="eastAsia" w:ascii="宋体" w:hAnsi="宋体"/>
          <w:b/>
          <w:bCs/>
          <w:color w:val="auto"/>
          <w:sz w:val="32"/>
          <w:szCs w:val="32"/>
          <w:highlight w:val="none"/>
        </w:rPr>
        <w:t>(第 标)</w:t>
      </w:r>
    </w:p>
    <w:p>
      <w:pPr>
        <w:spacing w:line="360" w:lineRule="auto"/>
        <w:rPr>
          <w:rFonts w:ascii="宋体" w:hAnsi="宋体"/>
          <w:color w:val="auto"/>
          <w:sz w:val="24"/>
          <w:highlight w:val="none"/>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hAns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auto"/>
                <w:sz w:val="24"/>
                <w:highlight w:val="none"/>
              </w:rPr>
            </w:pPr>
          </w:p>
        </w:tc>
        <w:tc>
          <w:tcPr>
            <w:tcW w:w="1785" w:type="dxa"/>
            <w:vAlign w:val="center"/>
          </w:tcPr>
          <w:p>
            <w:pPr>
              <w:spacing w:line="360" w:lineRule="auto"/>
              <w:rPr>
                <w:rFonts w:ascii="宋体" w:hAnsi="宋体"/>
                <w:color w:val="auto"/>
                <w:sz w:val="24"/>
                <w:highlight w:val="none"/>
              </w:rPr>
            </w:pPr>
          </w:p>
        </w:tc>
        <w:tc>
          <w:tcPr>
            <w:tcW w:w="1449" w:type="dxa"/>
            <w:vAlign w:val="center"/>
          </w:tcPr>
          <w:p>
            <w:pPr>
              <w:spacing w:line="360" w:lineRule="auto"/>
              <w:rPr>
                <w:rFonts w:ascii="宋体" w:hAnsi="宋体"/>
                <w:color w:val="auto"/>
                <w:sz w:val="24"/>
                <w:highlight w:val="none"/>
              </w:rPr>
            </w:pPr>
          </w:p>
        </w:tc>
        <w:tc>
          <w:tcPr>
            <w:tcW w:w="1560" w:type="dxa"/>
            <w:vAlign w:val="center"/>
          </w:tcPr>
          <w:p>
            <w:pPr>
              <w:spacing w:line="360" w:lineRule="auto"/>
              <w:rPr>
                <w:rFonts w:ascii="宋体" w:hAnsi="宋体"/>
                <w:color w:val="auto"/>
                <w:sz w:val="24"/>
                <w:highlight w:val="none"/>
              </w:rPr>
            </w:pPr>
          </w:p>
        </w:tc>
        <w:tc>
          <w:tcPr>
            <w:tcW w:w="1401" w:type="dxa"/>
            <w:vAlign w:val="center"/>
          </w:tcPr>
          <w:p>
            <w:pPr>
              <w:spacing w:line="360" w:lineRule="auto"/>
              <w:rPr>
                <w:rFonts w:ascii="宋体" w:hAnsi="宋体"/>
                <w:color w:val="auto"/>
                <w:sz w:val="24"/>
                <w:highlight w:val="none"/>
              </w:rPr>
            </w:pPr>
          </w:p>
        </w:tc>
        <w:tc>
          <w:tcPr>
            <w:tcW w:w="1365" w:type="dxa"/>
            <w:vAlign w:val="center"/>
          </w:tcPr>
          <w:p>
            <w:pPr>
              <w:spacing w:line="360" w:lineRule="auto"/>
              <w:rPr>
                <w:rFonts w:ascii="宋体" w:hAnsi="宋体"/>
                <w:color w:val="auto"/>
                <w:sz w:val="24"/>
                <w:highlight w:val="none"/>
              </w:rPr>
            </w:pPr>
          </w:p>
        </w:tc>
      </w:tr>
    </w:tbl>
    <w:p>
      <w:pPr>
        <w:pStyle w:val="28"/>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28"/>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28"/>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供应商应根据投标设备的性能指标、服务指标，对照招标文件要求在“偏离情况”栏注明“正偏离”、“负偏离”或“无偏离”。</w:t>
      </w:r>
    </w:p>
    <w:p>
      <w:pPr>
        <w:pStyle w:val="28"/>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29"/>
        <w:spacing w:line="360" w:lineRule="auto"/>
        <w:jc w:val="left"/>
        <w:rPr>
          <w:rFonts w:ascii="宋体" w:hAnsi="宋体"/>
          <w:b/>
          <w:color w:val="auto"/>
          <w:sz w:val="28"/>
          <w:highlight w:val="none"/>
        </w:rPr>
      </w:pPr>
      <w:r>
        <w:rPr>
          <w:rFonts w:hint="eastAsia" w:ascii="宋体" w:hAnsi="宋体"/>
          <w:b/>
          <w:color w:val="auto"/>
          <w:sz w:val="28"/>
          <w:highlight w:val="none"/>
        </w:rPr>
        <w:t>附件9</w:t>
      </w:r>
    </w:p>
    <w:p>
      <w:pPr>
        <w:pStyle w:val="3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30"/>
        <w:spacing w:line="360" w:lineRule="auto"/>
        <w:jc w:val="center"/>
        <w:rPr>
          <w:rFonts w:ascii="宋体" w:hAnsi="宋体" w:cs="Arial"/>
          <w:color w:val="auto"/>
          <w:sz w:val="28"/>
          <w:szCs w:val="28"/>
          <w:highlight w:val="none"/>
        </w:rPr>
      </w:pPr>
    </w:p>
    <w:tbl>
      <w:tblPr>
        <w:tblStyle w:val="1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30"/>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30"/>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30"/>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30"/>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auto"/>
                <w:szCs w:val="21"/>
                <w:highlight w:val="none"/>
              </w:rPr>
            </w:pPr>
          </w:p>
        </w:tc>
      </w:tr>
    </w:tbl>
    <w:p>
      <w:pPr>
        <w:pStyle w:val="30"/>
        <w:tabs>
          <w:tab w:val="left" w:pos="1050"/>
        </w:tabs>
        <w:spacing w:line="360" w:lineRule="auto"/>
        <w:rPr>
          <w:rFonts w:ascii="仿宋_GB2312" w:hAnsi="宋体" w:eastAsia="仿宋_GB2312"/>
          <w:color w:val="auto"/>
          <w:sz w:val="24"/>
          <w:highlight w:val="none"/>
        </w:rPr>
      </w:pPr>
    </w:p>
    <w:p>
      <w:pPr>
        <w:pStyle w:val="30"/>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1.填写投标供应商获得资质、认证或企业信誉证书；</w:t>
      </w:r>
    </w:p>
    <w:p>
      <w:pPr>
        <w:pStyle w:val="3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30"/>
        <w:tabs>
          <w:tab w:val="left" w:pos="1050"/>
        </w:tabs>
        <w:spacing w:line="360" w:lineRule="auto"/>
        <w:ind w:firstLine="720" w:firstLineChars="300"/>
        <w:rPr>
          <w:rFonts w:ascii="仿宋_GB2312" w:hAnsi="宋体" w:eastAsia="仿宋_GB2312"/>
          <w:color w:val="auto"/>
          <w:sz w:val="24"/>
          <w:highlight w:val="none"/>
        </w:rPr>
      </w:pPr>
    </w:p>
    <w:p>
      <w:pPr>
        <w:pStyle w:val="30"/>
        <w:tabs>
          <w:tab w:val="left" w:pos="1050"/>
        </w:tabs>
        <w:spacing w:line="360" w:lineRule="auto"/>
        <w:ind w:firstLine="720" w:firstLineChars="300"/>
        <w:rPr>
          <w:rFonts w:ascii="仿宋_GB2312" w:hAnsi="宋体" w:eastAsia="仿宋_GB2312"/>
          <w:color w:val="auto"/>
          <w:sz w:val="24"/>
          <w:highlight w:val="none"/>
        </w:rPr>
      </w:pPr>
    </w:p>
    <w:p>
      <w:pPr>
        <w:pStyle w:val="30"/>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26"/>
        <w:spacing w:before="0" w:beforeAutospacing="0" w:after="0" w:afterAutospacing="0" w:line="360" w:lineRule="auto"/>
        <w:ind w:firstLine="424" w:firstLineChars="177"/>
        <w:rPr>
          <w:color w:val="auto"/>
          <w:highlight w:val="none"/>
        </w:rPr>
      </w:pPr>
      <w:r>
        <w:rPr>
          <w:rFonts w:hint="eastAsia"/>
          <w:color w:val="auto"/>
          <w:highlight w:val="none"/>
        </w:rPr>
        <w:t>日        期：</w:t>
      </w:r>
    </w:p>
    <w:p>
      <w:pPr>
        <w:pStyle w:val="26"/>
        <w:spacing w:before="0" w:beforeAutospacing="0" w:after="0" w:afterAutospacing="0" w:line="360" w:lineRule="auto"/>
        <w:ind w:firstLine="424" w:firstLineChars="177"/>
        <w:rPr>
          <w:color w:val="auto"/>
          <w:highlight w:val="none"/>
        </w:rPr>
      </w:pPr>
    </w:p>
    <w:p>
      <w:pPr>
        <w:spacing w:line="360" w:lineRule="auto"/>
        <w:rPr>
          <w:rFonts w:ascii="宋体" w:hAnsi="宋体"/>
          <w:b/>
          <w:color w:val="auto"/>
          <w:sz w:val="28"/>
          <w:highlight w:val="none"/>
        </w:rPr>
      </w:pPr>
    </w:p>
    <w:p>
      <w:pPr>
        <w:pStyle w:val="2"/>
        <w:rPr>
          <w:color w:val="auto"/>
          <w:highlight w:val="none"/>
        </w:rPr>
      </w:pPr>
    </w:p>
    <w:p>
      <w:pPr>
        <w:pStyle w:val="2"/>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附件10</w:t>
      </w:r>
    </w:p>
    <w:p>
      <w:pPr>
        <w:pStyle w:val="2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投标供应商类似项目实施情况一览表</w:t>
      </w:r>
    </w:p>
    <w:p>
      <w:pPr>
        <w:pStyle w:val="29"/>
        <w:spacing w:line="360" w:lineRule="auto"/>
        <w:jc w:val="center"/>
        <w:rPr>
          <w:rFonts w:ascii="仿宋_GB2312" w:eastAsia="仿宋_GB2312"/>
          <w:b/>
          <w:color w:val="auto"/>
          <w:sz w:val="28"/>
          <w:szCs w:val="28"/>
          <w:highlight w:val="none"/>
        </w:rPr>
      </w:pPr>
    </w:p>
    <w:tbl>
      <w:tblPr>
        <w:tblStyle w:val="1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auto"/>
                <w:sz w:val="24"/>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复印件可只提供首页、含金额页、盖章页并加盖投标供应商公章</w:t>
      </w:r>
      <w:r>
        <w:rPr>
          <w:rFonts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pPr>
        <w:pStyle w:val="30"/>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附件11</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交货和服务</w:t>
            </w:r>
          </w:p>
          <w:p>
            <w:pPr>
              <w:snapToGrid w:val="0"/>
              <w:rPr>
                <w:rFonts w:ascii="宋体" w:hAns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rPr>
          <w:rFonts w:ascii="宋体" w:hAnsi="宋体"/>
          <w:b/>
          <w:color w:val="auto"/>
          <w:sz w:val="28"/>
          <w:highlight w:val="none"/>
        </w:rPr>
      </w:pPr>
      <w:r>
        <w:rPr>
          <w:rFonts w:hint="eastAsia" w:ascii="宋体" w:hAnsi="宋体"/>
          <w:b/>
          <w:color w:val="auto"/>
          <w:sz w:val="28"/>
          <w:highlight w:val="none"/>
        </w:rPr>
        <w:t>附件12</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31"/>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31"/>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投标供应商情况</w:t>
            </w:r>
          </w:p>
        </w:tc>
        <w:tc>
          <w:tcPr>
            <w:tcW w:w="1373" w:type="dxa"/>
            <w:vAlign w:val="center"/>
          </w:tcPr>
          <w:p>
            <w:pPr>
              <w:pStyle w:val="31"/>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31"/>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31"/>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31"/>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auto"/>
                <w:sz w:val="24"/>
                <w:highlight w:val="none"/>
              </w:rPr>
            </w:pPr>
          </w:p>
        </w:tc>
        <w:tc>
          <w:tcPr>
            <w:tcW w:w="2355" w:type="dxa"/>
            <w:vMerge w:val="continue"/>
            <w:vAlign w:val="center"/>
          </w:tcPr>
          <w:p>
            <w:pPr>
              <w:pStyle w:val="31"/>
              <w:widowControl/>
              <w:spacing w:line="360" w:lineRule="auto"/>
              <w:jc w:val="left"/>
              <w:rPr>
                <w:rFonts w:ascii="宋体" w:hAnsi="宋体" w:cs="Arial"/>
                <w:bCs/>
                <w:color w:val="auto"/>
                <w:sz w:val="24"/>
                <w:highlight w:val="none"/>
              </w:rPr>
            </w:pPr>
          </w:p>
        </w:tc>
        <w:tc>
          <w:tcPr>
            <w:tcW w:w="4061" w:type="dxa"/>
          </w:tcPr>
          <w:p>
            <w:pPr>
              <w:pStyle w:val="31"/>
              <w:spacing w:line="360" w:lineRule="auto"/>
              <w:rPr>
                <w:rFonts w:ascii="宋体" w:hAnsi="宋体" w:cs="Arial"/>
                <w:bCs/>
                <w:color w:val="auto"/>
                <w:sz w:val="24"/>
                <w:highlight w:val="none"/>
              </w:rPr>
            </w:pPr>
            <w:r>
              <w:rPr>
                <w:rFonts w:hint="eastAsia" w:ascii="宋体" w:hAnsi="宋体" w:cs="Arial"/>
                <w:bCs/>
                <w:color w:val="auto"/>
                <w:sz w:val="24"/>
                <w:highlight w:val="none"/>
              </w:rPr>
              <w:t>投标供应商售后服务情况：</w:t>
            </w:r>
          </w:p>
        </w:tc>
        <w:tc>
          <w:tcPr>
            <w:tcW w:w="1373" w:type="dxa"/>
          </w:tcPr>
          <w:p>
            <w:pPr>
              <w:pStyle w:val="31"/>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31"/>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31"/>
              <w:widowControl/>
              <w:spacing w:line="360" w:lineRule="auto"/>
              <w:jc w:val="left"/>
              <w:rPr>
                <w:rFonts w:ascii="宋体" w:hAnsi="宋体" w:cs="Arial"/>
                <w:bCs/>
                <w:color w:val="auto"/>
                <w:sz w:val="24"/>
                <w:highlight w:val="none"/>
              </w:rPr>
            </w:pPr>
          </w:p>
          <w:p>
            <w:pPr>
              <w:pStyle w:val="31"/>
              <w:widowControl/>
              <w:spacing w:line="360" w:lineRule="auto"/>
              <w:jc w:val="left"/>
              <w:rPr>
                <w:rFonts w:ascii="宋体" w:hAnsi="宋体" w:cs="Arial"/>
                <w:bCs/>
                <w:color w:val="auto"/>
                <w:sz w:val="24"/>
                <w:highlight w:val="none"/>
              </w:rPr>
            </w:pPr>
          </w:p>
          <w:p>
            <w:pPr>
              <w:pStyle w:val="31"/>
              <w:spacing w:line="360" w:lineRule="auto"/>
              <w:rPr>
                <w:rFonts w:ascii="宋体" w:hAnsi="宋体" w:cs="Arial"/>
                <w:bCs/>
                <w:color w:val="auto"/>
                <w:sz w:val="24"/>
                <w:highlight w:val="none"/>
              </w:rPr>
            </w:pPr>
          </w:p>
        </w:tc>
        <w:tc>
          <w:tcPr>
            <w:tcW w:w="1373" w:type="dxa"/>
          </w:tcPr>
          <w:p>
            <w:pPr>
              <w:pStyle w:val="31"/>
              <w:widowControl/>
              <w:spacing w:line="360" w:lineRule="auto"/>
              <w:jc w:val="left"/>
              <w:rPr>
                <w:rFonts w:ascii="宋体" w:hAnsi="宋体" w:cs="Arial"/>
                <w:bCs/>
                <w:color w:val="auto"/>
                <w:sz w:val="24"/>
                <w:highlight w:val="none"/>
              </w:rPr>
            </w:pPr>
          </w:p>
          <w:p>
            <w:pPr>
              <w:pStyle w:val="31"/>
              <w:widowControl/>
              <w:spacing w:line="360" w:lineRule="auto"/>
              <w:jc w:val="left"/>
              <w:rPr>
                <w:rFonts w:ascii="宋体" w:hAnsi="宋体" w:cs="Arial"/>
                <w:bCs/>
                <w:color w:val="auto"/>
                <w:sz w:val="24"/>
                <w:highlight w:val="none"/>
              </w:rPr>
            </w:pPr>
          </w:p>
          <w:p>
            <w:pPr>
              <w:pStyle w:val="31"/>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31"/>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31"/>
              <w:widowControl/>
              <w:spacing w:line="360" w:lineRule="auto"/>
              <w:jc w:val="left"/>
              <w:rPr>
                <w:rFonts w:ascii="宋体" w:hAnsi="宋体" w:cs="Arial"/>
                <w:bCs/>
                <w:color w:val="auto"/>
                <w:sz w:val="24"/>
                <w:highlight w:val="none"/>
              </w:rPr>
            </w:pPr>
          </w:p>
        </w:tc>
        <w:tc>
          <w:tcPr>
            <w:tcW w:w="1373" w:type="dxa"/>
          </w:tcPr>
          <w:p>
            <w:pPr>
              <w:pStyle w:val="31"/>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pStyle w:val="2"/>
        <w:rPr>
          <w:rFonts w:ascii="宋体" w:hAnsi="宋体"/>
          <w:color w:val="auto"/>
          <w:highlight w:val="none"/>
          <w:u w:val="single"/>
        </w:rPr>
      </w:pPr>
    </w:p>
    <w:p>
      <w:pPr>
        <w:pStyle w:val="2"/>
        <w:rPr>
          <w:rFonts w:ascii="宋体" w:hAnsi="宋体"/>
          <w:color w:val="auto"/>
          <w:highlight w:val="none"/>
          <w:u w:val="single"/>
        </w:rPr>
      </w:pPr>
    </w:p>
    <w:p>
      <w:pPr>
        <w:pStyle w:val="2"/>
        <w:rPr>
          <w:rFonts w:ascii="宋体" w:hAnsi="宋体"/>
          <w:color w:val="auto"/>
          <w:highlight w:val="none"/>
          <w:u w:val="single"/>
        </w:rPr>
      </w:pPr>
    </w:p>
    <w:p>
      <w:pPr>
        <w:pStyle w:val="2"/>
        <w:rPr>
          <w:rFonts w:ascii="宋体" w:hAnsi="宋体"/>
          <w:color w:val="auto"/>
          <w:highlight w:val="none"/>
          <w:u w:val="single"/>
        </w:rPr>
      </w:pPr>
    </w:p>
    <w:p>
      <w:pPr>
        <w:spacing w:line="360" w:lineRule="auto"/>
        <w:ind w:right="-110"/>
        <w:jc w:val="left"/>
        <w:rPr>
          <w:rFonts w:ascii="宋体" w:hAnsi="宋体"/>
          <w:color w:val="auto"/>
          <w:spacing w:val="40"/>
          <w:sz w:val="52"/>
          <w:szCs w:val="52"/>
          <w:highlight w:val="none"/>
        </w:rPr>
      </w:pPr>
      <w:r>
        <w:rPr>
          <w:rFonts w:hint="eastAsia" w:ascii="宋体" w:hAnsi="宋体"/>
          <w:b/>
          <w:color w:val="auto"/>
          <w:sz w:val="28"/>
          <w:highlight w:val="none"/>
        </w:rPr>
        <w:t>附件13</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1、开标一览表（附件14）；</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2、报价明细表（附件15）；</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3、针对报价投标供应商认为其他需要说明的；</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4、小微企业等声明函（附件16）；</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5、产品适用政府采购政策情况表（附件17）。</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附件14</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pStyle w:val="9"/>
        <w:spacing w:line="320" w:lineRule="exact"/>
        <w:rPr>
          <w:rFonts w:hAnsi="宋体"/>
          <w:b/>
          <w:color w:val="auto"/>
          <w:sz w:val="24"/>
          <w:highlight w:val="none"/>
        </w:rPr>
      </w:pPr>
      <w:r>
        <w:rPr>
          <w:rFonts w:hAnsi="宋体"/>
          <w:b/>
          <w:color w:val="auto"/>
          <w:sz w:val="24"/>
          <w:highlight w:val="none"/>
        </w:rPr>
        <w:t>项目编号：</w:t>
      </w:r>
    </w:p>
    <w:p>
      <w:pPr>
        <w:pStyle w:val="35"/>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[下浮率：%]</w:t>
      </w:r>
    </w:p>
    <w:tbl>
      <w:tblPr>
        <w:tblStyle w:val="17"/>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96"/>
        <w:gridCol w:w="5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ascii="宋体" w:hAnsi="宋体"/>
                <w:color w:val="auto"/>
                <w:sz w:val="21"/>
                <w:szCs w:val="21"/>
                <w:highlight w:val="none"/>
              </w:rPr>
              <w:t>序号</w:t>
            </w:r>
          </w:p>
        </w:tc>
        <w:tc>
          <w:tcPr>
            <w:tcW w:w="3296" w:type="dxa"/>
            <w:noWrap/>
            <w:vAlign w:val="center"/>
          </w:tcPr>
          <w:p>
            <w:pPr>
              <w:pStyle w:val="14"/>
              <w:widowControl w:val="0"/>
              <w:spacing w:line="240" w:lineRule="auto"/>
              <w:rPr>
                <w:rFonts w:ascii="宋体" w:hAnsi="宋体"/>
                <w:color w:val="auto"/>
                <w:sz w:val="21"/>
                <w:szCs w:val="21"/>
                <w:highlight w:val="none"/>
              </w:rPr>
            </w:pPr>
            <w:r>
              <w:rPr>
                <w:rFonts w:ascii="宋体" w:hAnsi="宋体"/>
                <w:color w:val="auto"/>
                <w:sz w:val="21"/>
                <w:szCs w:val="21"/>
                <w:highlight w:val="none"/>
              </w:rPr>
              <w:t>食材类别</w:t>
            </w:r>
          </w:p>
        </w:tc>
        <w:tc>
          <w:tcPr>
            <w:tcW w:w="52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4"/>
                <w:highlight w:val="none"/>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ascii="宋体" w:hAnsi="宋体"/>
                <w:color w:val="auto"/>
                <w:sz w:val="21"/>
                <w:szCs w:val="21"/>
                <w:highlight w:val="none"/>
              </w:rPr>
              <w:t>1</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豆制品类1</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2</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酱菜类2</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3</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禽牛羊肉冰冻熟食类3</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4</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主食类4</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5</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调味品类5</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6</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其他6</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7</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猪肉类7</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8</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蛋类8</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9</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蔬菜类9</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10</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蔬菜类10</w:t>
            </w:r>
          </w:p>
        </w:tc>
        <w:tc>
          <w:tcPr>
            <w:tcW w:w="5247" w:type="dxa"/>
            <w:noWrap/>
            <w:vAlign w:val="center"/>
          </w:tcPr>
          <w:p>
            <w:pPr>
              <w:pStyle w:val="14"/>
              <w:widowControl w:val="0"/>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noWrap/>
            <w:vAlign w:val="center"/>
          </w:tcPr>
          <w:p>
            <w:pPr>
              <w:pStyle w:val="14"/>
              <w:widowControl w:val="0"/>
              <w:spacing w:line="240" w:lineRule="auto"/>
              <w:rPr>
                <w:rFonts w:ascii="宋体" w:hAnsi="宋体"/>
                <w:color w:val="auto"/>
                <w:sz w:val="21"/>
                <w:szCs w:val="21"/>
                <w:highlight w:val="none"/>
              </w:rPr>
            </w:pPr>
            <w:r>
              <w:rPr>
                <w:rFonts w:hint="eastAsia" w:ascii="宋体" w:hAnsi="宋体"/>
                <w:color w:val="auto"/>
                <w:sz w:val="21"/>
                <w:szCs w:val="21"/>
                <w:highlight w:val="none"/>
              </w:rPr>
              <w:t>11</w:t>
            </w:r>
          </w:p>
        </w:tc>
        <w:tc>
          <w:tcPr>
            <w:tcW w:w="3296" w:type="dxa"/>
            <w:noWrap/>
            <w:vAlign w:val="center"/>
          </w:tcPr>
          <w:p>
            <w:pPr>
              <w:pStyle w:val="14"/>
              <w:widowControl w:val="0"/>
              <w:rPr>
                <w:rFonts w:ascii="宋体" w:hAnsi="宋体"/>
                <w:color w:val="auto"/>
                <w:sz w:val="21"/>
                <w:szCs w:val="21"/>
                <w:highlight w:val="none"/>
              </w:rPr>
            </w:pPr>
            <w:r>
              <w:rPr>
                <w:rFonts w:hint="eastAsia" w:ascii="宋体" w:hAnsi="宋体"/>
                <w:color w:val="auto"/>
                <w:sz w:val="24"/>
                <w:szCs w:val="24"/>
                <w:highlight w:val="none"/>
              </w:rPr>
              <w:t>水产类11</w:t>
            </w:r>
          </w:p>
        </w:tc>
        <w:tc>
          <w:tcPr>
            <w:tcW w:w="5247" w:type="dxa"/>
            <w:noWrap/>
            <w:vAlign w:val="center"/>
          </w:tcPr>
          <w:p>
            <w:pPr>
              <w:pStyle w:val="14"/>
              <w:widowControl w:val="0"/>
              <w:spacing w:line="240" w:lineRule="auto"/>
              <w:rPr>
                <w:rFonts w:ascii="宋体" w:hAnsi="宋体"/>
                <w:color w:val="auto"/>
                <w:sz w:val="21"/>
                <w:szCs w:val="21"/>
                <w:highlight w:val="none"/>
              </w:rPr>
            </w:pPr>
          </w:p>
        </w:tc>
      </w:tr>
    </w:tbl>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6"/>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2.报价一经涂改，应在涂改处加盖单位公章，或者由法定代表人或授权委托代理人签字或盖章，否则其投标作无效标处理。</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投标供应商名称（盖章）：</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投标供应商代表签字或盖章：</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职        务：</w:t>
      </w:r>
    </w:p>
    <w:p>
      <w:pPr>
        <w:spacing w:line="480" w:lineRule="auto"/>
        <w:ind w:firstLine="480" w:firstLineChars="200"/>
        <w:rPr>
          <w:color w:val="auto"/>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附件15</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90"/>
        <w:gridCol w:w="1453"/>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01"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0"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453"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559"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1" w:type="dxa"/>
            <w:vAlign w:val="center"/>
          </w:tcPr>
          <w:p>
            <w:pPr>
              <w:spacing w:line="360" w:lineRule="auto"/>
              <w:rPr>
                <w:rFonts w:ascii="宋体" w:hAnsi="宋体"/>
                <w:color w:val="auto"/>
                <w:sz w:val="24"/>
                <w:highlight w:val="none"/>
              </w:rPr>
            </w:pPr>
          </w:p>
        </w:tc>
        <w:tc>
          <w:tcPr>
            <w:tcW w:w="1290" w:type="dxa"/>
            <w:vAlign w:val="center"/>
          </w:tcPr>
          <w:p>
            <w:pPr>
              <w:spacing w:line="360" w:lineRule="auto"/>
              <w:rPr>
                <w:rFonts w:ascii="宋体" w:hAnsi="宋体"/>
                <w:color w:val="auto"/>
                <w:sz w:val="24"/>
                <w:highlight w:val="none"/>
              </w:rPr>
            </w:pPr>
          </w:p>
        </w:tc>
        <w:tc>
          <w:tcPr>
            <w:tcW w:w="145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01" w:type="dxa"/>
            <w:vAlign w:val="center"/>
          </w:tcPr>
          <w:p>
            <w:pPr>
              <w:spacing w:line="360" w:lineRule="auto"/>
              <w:rPr>
                <w:rFonts w:ascii="宋体" w:hAnsi="宋体"/>
                <w:color w:val="auto"/>
                <w:sz w:val="24"/>
                <w:highlight w:val="none"/>
              </w:rPr>
            </w:pPr>
          </w:p>
        </w:tc>
        <w:tc>
          <w:tcPr>
            <w:tcW w:w="1290" w:type="dxa"/>
            <w:vAlign w:val="center"/>
          </w:tcPr>
          <w:p>
            <w:pPr>
              <w:spacing w:line="360" w:lineRule="auto"/>
              <w:rPr>
                <w:rFonts w:ascii="宋体" w:hAnsi="宋体"/>
                <w:color w:val="auto"/>
                <w:sz w:val="24"/>
                <w:highlight w:val="none"/>
              </w:rPr>
            </w:pPr>
          </w:p>
        </w:tc>
        <w:tc>
          <w:tcPr>
            <w:tcW w:w="145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01" w:type="dxa"/>
            <w:vAlign w:val="center"/>
          </w:tcPr>
          <w:p>
            <w:pPr>
              <w:spacing w:line="360" w:lineRule="auto"/>
              <w:rPr>
                <w:rFonts w:ascii="宋体" w:hAnsi="宋体"/>
                <w:color w:val="auto"/>
                <w:sz w:val="24"/>
                <w:highlight w:val="none"/>
              </w:rPr>
            </w:pPr>
          </w:p>
        </w:tc>
        <w:tc>
          <w:tcPr>
            <w:tcW w:w="1290" w:type="dxa"/>
            <w:vAlign w:val="center"/>
          </w:tcPr>
          <w:p>
            <w:pPr>
              <w:spacing w:line="360" w:lineRule="auto"/>
              <w:rPr>
                <w:rFonts w:ascii="宋体" w:hAnsi="宋体"/>
                <w:color w:val="auto"/>
                <w:sz w:val="24"/>
                <w:highlight w:val="none"/>
              </w:rPr>
            </w:pPr>
          </w:p>
        </w:tc>
        <w:tc>
          <w:tcPr>
            <w:tcW w:w="145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01" w:type="dxa"/>
            <w:vAlign w:val="center"/>
          </w:tcPr>
          <w:p>
            <w:pPr>
              <w:spacing w:line="360" w:lineRule="auto"/>
              <w:rPr>
                <w:rFonts w:ascii="宋体" w:hAnsi="宋体"/>
                <w:color w:val="auto"/>
                <w:sz w:val="24"/>
                <w:highlight w:val="none"/>
              </w:rPr>
            </w:pPr>
          </w:p>
        </w:tc>
        <w:tc>
          <w:tcPr>
            <w:tcW w:w="1290" w:type="dxa"/>
            <w:vAlign w:val="center"/>
          </w:tcPr>
          <w:p>
            <w:pPr>
              <w:spacing w:line="360" w:lineRule="auto"/>
              <w:rPr>
                <w:rFonts w:ascii="宋体" w:hAnsi="宋体"/>
                <w:color w:val="auto"/>
                <w:sz w:val="24"/>
                <w:highlight w:val="none"/>
              </w:rPr>
            </w:pPr>
          </w:p>
        </w:tc>
        <w:tc>
          <w:tcPr>
            <w:tcW w:w="145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01" w:type="dxa"/>
            <w:vAlign w:val="center"/>
          </w:tcPr>
          <w:p>
            <w:pPr>
              <w:spacing w:line="360" w:lineRule="auto"/>
              <w:rPr>
                <w:rFonts w:ascii="宋体" w:hAnsi="宋体"/>
                <w:color w:val="auto"/>
                <w:sz w:val="24"/>
                <w:highlight w:val="none"/>
              </w:rPr>
            </w:pPr>
          </w:p>
        </w:tc>
        <w:tc>
          <w:tcPr>
            <w:tcW w:w="1290" w:type="dxa"/>
            <w:vAlign w:val="center"/>
          </w:tcPr>
          <w:p>
            <w:pPr>
              <w:spacing w:line="360" w:lineRule="auto"/>
              <w:rPr>
                <w:rFonts w:ascii="宋体" w:hAnsi="宋体"/>
                <w:color w:val="auto"/>
                <w:sz w:val="24"/>
                <w:highlight w:val="none"/>
              </w:rPr>
            </w:pPr>
          </w:p>
        </w:tc>
        <w:tc>
          <w:tcPr>
            <w:tcW w:w="145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本表为《开标一览表》的报价明细表，如有缺项、漏项，视为投标报价中已包含相关费用，采购单位无需另外支付任何费用。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auto"/>
          <w:szCs w:val="21"/>
          <w:highlight w:val="none"/>
          <w:lang w:val="zh-CN"/>
        </w:rPr>
      </w:pPr>
      <w:r>
        <w:rPr>
          <w:rFonts w:hint="eastAsia" w:ascii="宋体"/>
          <w:color w:val="auto"/>
          <w:szCs w:val="21"/>
          <w:highlight w:val="none"/>
          <w:lang w:val="zh-CN"/>
        </w:rPr>
        <w:t>▲4. 本表中的型号规格必须明确，招标文件中明确要求定制的除外。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供应商在投标时需提供本表的电子文档（单独封装，建议使用光盘），以便网上公示使用，电子文档将不予退还。</w:t>
      </w: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Lines="50" w:after="50" w:line="360" w:lineRule="auto"/>
        <w:rPr>
          <w:rFonts w:ascii="仿宋_GB2312" w:hAnsi="宋体"/>
          <w:bCs/>
          <w:color w:val="auto"/>
          <w:sz w:val="30"/>
          <w:szCs w:val="30"/>
          <w:highlight w:val="none"/>
        </w:rPr>
      </w:pPr>
      <w:r>
        <w:rPr>
          <w:rFonts w:hint="eastAsia" w:ascii="宋体" w:hAnsi="宋体"/>
          <w:b/>
          <w:color w:val="auto"/>
          <w:sz w:val="28"/>
          <w:highlight w:val="none"/>
        </w:rPr>
        <w:t>附件16</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rPr>
        <w:t>×××政府采购中心组织</w:t>
      </w:r>
      <w:r>
        <w:rPr>
          <w:rFonts w:hint="eastAsia" w:ascii="宋体" w:hAnsi="宋体"/>
          <w:color w:val="auto"/>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36"/>
        <w:spacing w:line="360" w:lineRule="auto"/>
        <w:ind w:firstLine="504" w:firstLineChars="200"/>
        <w:rPr>
          <w:rFonts w:ascii="宋体" w:hAnsi="宋体"/>
          <w:color w:val="auto"/>
          <w:spacing w:val="6"/>
          <w:sz w:val="24"/>
          <w:highlight w:val="none"/>
        </w:rPr>
      </w:pPr>
    </w:p>
    <w:p>
      <w:pPr>
        <w:pStyle w:val="36"/>
        <w:spacing w:line="360" w:lineRule="auto"/>
        <w:ind w:left="4253" w:leftChars="2025"/>
        <w:rPr>
          <w:rFonts w:ascii="宋体" w:hAnsi="宋体"/>
          <w:color w:val="auto"/>
          <w:sz w:val="24"/>
          <w:highlight w:val="none"/>
        </w:rPr>
      </w:pPr>
      <w:r>
        <w:rPr>
          <w:rFonts w:hint="eastAsia" w:ascii="宋体" w:hAnsi="宋体"/>
          <w:color w:val="auto"/>
          <w:sz w:val="24"/>
          <w:highlight w:val="none"/>
        </w:rPr>
        <w:t>投 标 人（单位公章）：</w:t>
      </w:r>
    </w:p>
    <w:p>
      <w:pPr>
        <w:pStyle w:val="36"/>
        <w:spacing w:line="360" w:lineRule="auto"/>
        <w:ind w:left="4253" w:leftChars="2025" w:right="360"/>
        <w:jc w:val="right"/>
        <w:rPr>
          <w:rFonts w:ascii="宋体" w:hAnsi="宋体"/>
          <w:color w:val="auto"/>
          <w:spacing w:val="6"/>
          <w:sz w:val="24"/>
          <w:highlight w:val="none"/>
        </w:rPr>
      </w:pPr>
      <w:r>
        <w:rPr>
          <w:rFonts w:hint="eastAsia" w:ascii="宋体" w:hAnsi="宋体"/>
          <w:color w:val="auto"/>
          <w:sz w:val="24"/>
          <w:highlight w:val="none"/>
        </w:rPr>
        <w:t>日期：</w:t>
      </w:r>
      <w:r>
        <w:rPr>
          <w:rFonts w:hint="eastAsia" w:ascii="宋体" w:hAnsi="宋体" w:cs="Arial"/>
          <w:color w:val="auto"/>
          <w:sz w:val="24"/>
          <w:highlight w:val="none"/>
        </w:rPr>
        <w:t>年月日</w:t>
      </w:r>
    </w:p>
    <w:p>
      <w:pPr>
        <w:pStyle w:val="36"/>
        <w:spacing w:line="360" w:lineRule="auto"/>
        <w:rPr>
          <w:rFonts w:ascii="宋体" w:hAnsi="宋体"/>
          <w:color w:val="auto"/>
          <w:sz w:val="24"/>
          <w:highlight w:val="none"/>
        </w:rPr>
      </w:pPr>
    </w:p>
    <w:p>
      <w:pPr>
        <w:pStyle w:val="36"/>
        <w:spacing w:line="360" w:lineRule="auto"/>
        <w:jc w:val="center"/>
        <w:rPr>
          <w:rFonts w:ascii="宋体" w:hAnsi="宋体"/>
          <w:b/>
          <w:color w:val="auto"/>
          <w:spacing w:val="6"/>
          <w:sz w:val="32"/>
          <w:szCs w:val="32"/>
          <w:highlight w:val="none"/>
        </w:rPr>
      </w:pPr>
      <w:r>
        <w:rPr>
          <w:rFonts w:hint="eastAsia" w:ascii="宋体" w:hAnsi="宋体"/>
          <w:b/>
          <w:color w:val="auto"/>
          <w:sz w:val="32"/>
          <w:szCs w:val="32"/>
          <w:highlight w:val="none"/>
          <w:lang w:val="en-GB"/>
        </w:rPr>
        <w:t>小微企业声明函（制造商）</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6"/>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36"/>
        <w:spacing w:line="360" w:lineRule="auto"/>
        <w:ind w:firstLine="504" w:firstLineChars="200"/>
        <w:rPr>
          <w:rFonts w:ascii="宋体" w:hAnsi="宋体"/>
          <w:color w:val="auto"/>
          <w:spacing w:val="6"/>
          <w:sz w:val="24"/>
          <w:highlight w:val="none"/>
        </w:rPr>
      </w:pPr>
    </w:p>
    <w:p>
      <w:pPr>
        <w:pStyle w:val="36"/>
        <w:spacing w:line="360" w:lineRule="auto"/>
        <w:ind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企业名称（单位公章）：</w:t>
      </w:r>
    </w:p>
    <w:p>
      <w:pPr>
        <w:pStyle w:val="36"/>
        <w:spacing w:line="360" w:lineRule="auto"/>
        <w:ind w:left="4253" w:leftChars="2025" w:right="360"/>
        <w:jc w:val="right"/>
        <w:rPr>
          <w:rFonts w:hAnsi="宋体"/>
          <w:b/>
          <w:color w:val="auto"/>
          <w:sz w:val="32"/>
          <w:szCs w:val="32"/>
          <w:highlight w:val="none"/>
          <w:lang w:val="en-GB"/>
        </w:rPr>
      </w:pPr>
      <w:r>
        <w:rPr>
          <w:rFonts w:hint="eastAsia" w:ascii="宋体" w:hAnsi="宋体"/>
          <w:color w:val="auto"/>
          <w:sz w:val="24"/>
          <w:highlight w:val="none"/>
        </w:rPr>
        <w:t>日期：</w:t>
      </w:r>
      <w:r>
        <w:rPr>
          <w:rFonts w:hint="eastAsia" w:ascii="宋体" w:hAnsi="宋体" w:cs="Arial"/>
          <w:color w:val="auto"/>
          <w:sz w:val="24"/>
          <w:highlight w:val="none"/>
        </w:rPr>
        <w:t>年月日</w:t>
      </w:r>
    </w:p>
    <w:p>
      <w:pPr>
        <w:pStyle w:val="9"/>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spacing w:line="360" w:lineRule="auto"/>
        <w:jc w:val="center"/>
        <w:rPr>
          <w:color w:val="auto"/>
          <w:sz w:val="24"/>
          <w:highlight w:val="none"/>
        </w:rPr>
      </w:pPr>
      <w:r>
        <w:rPr>
          <w:rFonts w:hint="eastAsia"/>
          <w:color w:val="auto"/>
          <w:sz w:val="24"/>
          <w:highlight w:val="none"/>
        </w:rPr>
        <w:t xml:space="preserve">            日期：年月日</w:t>
      </w: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p>
    <w:p>
      <w:pPr>
        <w:pStyle w:val="36"/>
        <w:spacing w:line="360" w:lineRule="auto"/>
        <w:rPr>
          <w:rFonts w:ascii="宋体" w:hAnsi="宋体"/>
          <w:b/>
          <w:color w:val="auto"/>
          <w:sz w:val="28"/>
          <w:szCs w:val="28"/>
          <w:highlight w:val="none"/>
        </w:rPr>
      </w:pPr>
      <w:r>
        <w:rPr>
          <w:rFonts w:hint="eastAsia" w:ascii="宋体" w:hAnsi="宋体"/>
          <w:b/>
          <w:color w:val="auto"/>
          <w:sz w:val="28"/>
          <w:szCs w:val="28"/>
          <w:highlight w:val="none"/>
        </w:rPr>
        <w:t>附件17</w:t>
      </w:r>
    </w:p>
    <w:p>
      <w:pPr>
        <w:pStyle w:val="37"/>
        <w:spacing w:line="360" w:lineRule="auto"/>
        <w:rPr>
          <w:color w:val="auto"/>
          <w:highlight w:val="none"/>
        </w:rPr>
      </w:pPr>
    </w:p>
    <w:p>
      <w:pPr>
        <w:pStyle w:val="34"/>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34"/>
        <w:spacing w:line="360" w:lineRule="auto"/>
        <w:jc w:val="center"/>
        <w:rPr>
          <w:rFonts w:ascii="宋体" w:hAnsi="宋体"/>
          <w:b/>
          <w:color w:val="auto"/>
          <w:sz w:val="32"/>
          <w:szCs w:val="32"/>
          <w:highlight w:val="none"/>
          <w:lang w:val="en-GB"/>
        </w:rPr>
      </w:pPr>
    </w:p>
    <w:tbl>
      <w:tblPr>
        <w:tblStyle w:val="17"/>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8111" w:type="dxa"/>
            <w:gridSpan w:val="3"/>
            <w:vAlign w:val="center"/>
          </w:tcPr>
          <w:tbl>
            <w:tblPr>
              <w:tblStyle w:val="17"/>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4"/>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bl>
          <w:p>
            <w:pPr>
              <w:pStyle w:val="34"/>
              <w:tabs>
                <w:tab w:val="left" w:pos="1260"/>
              </w:tabs>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auto"/>
                <w:sz w:val="24"/>
                <w:highlight w:val="none"/>
                <w:lang w:val="en-GB"/>
              </w:rPr>
            </w:pPr>
          </w:p>
        </w:tc>
        <w:tc>
          <w:tcPr>
            <w:tcW w:w="2679" w:type="dxa"/>
            <w:vAlign w:val="center"/>
          </w:tcPr>
          <w:p>
            <w:pPr>
              <w:pStyle w:val="3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3811" w:type="dxa"/>
            <w:vAlign w:val="center"/>
          </w:tcPr>
          <w:p>
            <w:pPr>
              <w:pStyle w:val="3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621" w:type="dxa"/>
            <w:vAlign w:val="center"/>
          </w:tcPr>
          <w:p>
            <w:pPr>
              <w:pStyle w:val="34"/>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auto"/>
                <w:sz w:val="24"/>
                <w:highlight w:val="none"/>
                <w:lang w:val="en-GB"/>
              </w:rPr>
            </w:pPr>
          </w:p>
        </w:tc>
        <w:tc>
          <w:tcPr>
            <w:tcW w:w="2679" w:type="dxa"/>
            <w:vAlign w:val="center"/>
          </w:tcPr>
          <w:p>
            <w:pPr>
              <w:pStyle w:val="34"/>
              <w:tabs>
                <w:tab w:val="left" w:pos="1260"/>
              </w:tabs>
              <w:jc w:val="center"/>
              <w:rPr>
                <w:rFonts w:ascii="宋体" w:hAnsi="宋体"/>
                <w:color w:val="auto"/>
                <w:sz w:val="24"/>
                <w:highlight w:val="none"/>
                <w:lang w:val="en-GB"/>
              </w:rPr>
            </w:pPr>
          </w:p>
        </w:tc>
        <w:tc>
          <w:tcPr>
            <w:tcW w:w="3811" w:type="dxa"/>
            <w:vAlign w:val="center"/>
          </w:tcPr>
          <w:p>
            <w:pPr>
              <w:pStyle w:val="34"/>
              <w:tabs>
                <w:tab w:val="left" w:pos="1260"/>
              </w:tabs>
              <w:jc w:val="center"/>
              <w:rPr>
                <w:rFonts w:ascii="宋体" w:hAnsi="宋体"/>
                <w:color w:val="auto"/>
                <w:sz w:val="24"/>
                <w:highlight w:val="none"/>
                <w:lang w:val="en-GB"/>
              </w:rPr>
            </w:pPr>
          </w:p>
        </w:tc>
        <w:tc>
          <w:tcPr>
            <w:tcW w:w="1621" w:type="dxa"/>
            <w:vAlign w:val="center"/>
          </w:tcPr>
          <w:p>
            <w:pPr>
              <w:pStyle w:val="3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auto"/>
                <w:sz w:val="24"/>
                <w:highlight w:val="none"/>
                <w:lang w:val="en-GB"/>
              </w:rPr>
            </w:pPr>
          </w:p>
        </w:tc>
        <w:tc>
          <w:tcPr>
            <w:tcW w:w="2679" w:type="dxa"/>
            <w:vAlign w:val="center"/>
          </w:tcPr>
          <w:p>
            <w:pPr>
              <w:pStyle w:val="34"/>
              <w:tabs>
                <w:tab w:val="left" w:pos="1260"/>
              </w:tabs>
              <w:jc w:val="center"/>
              <w:rPr>
                <w:rFonts w:ascii="宋体" w:hAnsi="宋体"/>
                <w:color w:val="auto"/>
                <w:sz w:val="24"/>
                <w:highlight w:val="none"/>
                <w:lang w:val="en-GB"/>
              </w:rPr>
            </w:pPr>
          </w:p>
        </w:tc>
        <w:tc>
          <w:tcPr>
            <w:tcW w:w="3811" w:type="dxa"/>
            <w:vAlign w:val="center"/>
          </w:tcPr>
          <w:p>
            <w:pPr>
              <w:pStyle w:val="34"/>
              <w:tabs>
                <w:tab w:val="left" w:pos="1260"/>
              </w:tabs>
              <w:jc w:val="center"/>
              <w:rPr>
                <w:rFonts w:ascii="宋体" w:hAnsi="宋体"/>
                <w:color w:val="auto"/>
                <w:sz w:val="24"/>
                <w:highlight w:val="none"/>
                <w:lang w:val="en-GB"/>
              </w:rPr>
            </w:pPr>
          </w:p>
        </w:tc>
        <w:tc>
          <w:tcPr>
            <w:tcW w:w="1621" w:type="dxa"/>
            <w:vAlign w:val="center"/>
          </w:tcPr>
          <w:p>
            <w:pPr>
              <w:pStyle w:val="3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auto"/>
                <w:sz w:val="24"/>
                <w:highlight w:val="none"/>
                <w:lang w:val="en-GB"/>
              </w:rPr>
            </w:pPr>
          </w:p>
        </w:tc>
        <w:tc>
          <w:tcPr>
            <w:tcW w:w="2679" w:type="dxa"/>
            <w:vAlign w:val="center"/>
          </w:tcPr>
          <w:p>
            <w:pPr>
              <w:pStyle w:val="34"/>
              <w:tabs>
                <w:tab w:val="left" w:pos="1260"/>
              </w:tabs>
              <w:jc w:val="center"/>
              <w:rPr>
                <w:rFonts w:ascii="宋体" w:hAnsi="宋体"/>
                <w:color w:val="auto"/>
                <w:sz w:val="24"/>
                <w:highlight w:val="none"/>
                <w:lang w:val="en-GB"/>
              </w:rPr>
            </w:pPr>
          </w:p>
        </w:tc>
        <w:tc>
          <w:tcPr>
            <w:tcW w:w="3811" w:type="dxa"/>
            <w:vAlign w:val="center"/>
          </w:tcPr>
          <w:p>
            <w:pPr>
              <w:pStyle w:val="34"/>
              <w:tabs>
                <w:tab w:val="left" w:pos="1260"/>
              </w:tabs>
              <w:jc w:val="center"/>
              <w:rPr>
                <w:rFonts w:ascii="宋体" w:hAnsi="宋体"/>
                <w:color w:val="auto"/>
                <w:sz w:val="24"/>
                <w:highlight w:val="none"/>
                <w:lang w:val="en-GB"/>
              </w:rPr>
            </w:pPr>
          </w:p>
        </w:tc>
        <w:tc>
          <w:tcPr>
            <w:tcW w:w="1621" w:type="dxa"/>
            <w:vAlign w:val="center"/>
          </w:tcPr>
          <w:p>
            <w:pPr>
              <w:pStyle w:val="34"/>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auto"/>
                <w:sz w:val="24"/>
                <w:highlight w:val="none"/>
                <w:lang w:val="en-GB"/>
              </w:rPr>
            </w:pPr>
          </w:p>
        </w:tc>
        <w:tc>
          <w:tcPr>
            <w:tcW w:w="6490" w:type="dxa"/>
            <w:gridSpan w:val="2"/>
            <w:vAlign w:val="center"/>
          </w:tcPr>
          <w:p>
            <w:pPr>
              <w:pStyle w:val="34"/>
              <w:tabs>
                <w:tab w:val="left" w:pos="1260"/>
              </w:tabs>
              <w:jc w:val="center"/>
              <w:rPr>
                <w:rFonts w:ascii="宋体" w:hAnsi="宋体"/>
                <w:color w:val="auto"/>
                <w:sz w:val="24"/>
                <w:highlight w:val="none"/>
                <w:lang w:val="en-GB"/>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p>
            <w:pPr>
              <w:rPr>
                <w:color w:val="auto"/>
                <w:highlight w:val="none"/>
              </w:rPr>
            </w:pPr>
          </w:p>
        </w:tc>
        <w:tc>
          <w:tcPr>
            <w:tcW w:w="1621" w:type="dxa"/>
            <w:vAlign w:val="center"/>
          </w:tcPr>
          <w:p>
            <w:pPr>
              <w:pStyle w:val="34"/>
              <w:tabs>
                <w:tab w:val="left" w:pos="1260"/>
              </w:tabs>
              <w:jc w:val="center"/>
              <w:rPr>
                <w:rFonts w:ascii="宋体" w:hAnsi="宋体"/>
                <w:color w:val="auto"/>
                <w:sz w:val="24"/>
                <w:highlight w:val="none"/>
                <w:lang w:val="en-GB"/>
              </w:rPr>
            </w:pPr>
          </w:p>
        </w:tc>
      </w:tr>
    </w:tbl>
    <w:p>
      <w:pPr>
        <w:pStyle w:val="34"/>
        <w:spacing w:line="360" w:lineRule="auto"/>
        <w:rPr>
          <w:rFonts w:ascii="宋体" w:hAnsi="宋体"/>
          <w:color w:val="auto"/>
          <w:szCs w:val="21"/>
          <w:highlight w:val="none"/>
          <w:lang w:val="en-GB"/>
        </w:rPr>
      </w:pPr>
    </w:p>
    <w:p>
      <w:pPr>
        <w:pStyle w:val="34"/>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34"/>
        <w:widowControl/>
        <w:numPr>
          <w:ilvl w:val="0"/>
          <w:numId w:val="13"/>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本表的产品名称、规格型号和注册商标、金额要与《报价明细表》一致。</w:t>
      </w:r>
    </w:p>
    <w:p>
      <w:pPr>
        <w:pStyle w:val="34"/>
        <w:widowControl/>
        <w:numPr>
          <w:ilvl w:val="0"/>
          <w:numId w:val="13"/>
        </w:numPr>
        <w:tabs>
          <w:tab w:val="left" w:pos="360"/>
        </w:tabs>
        <w:spacing w:line="360" w:lineRule="auto"/>
        <w:ind w:left="360" w:right="84" w:rightChars="40" w:hanging="36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4"/>
        <w:widowControl/>
        <w:numPr>
          <w:ilvl w:val="0"/>
          <w:numId w:val="13"/>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请投标供应商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auto"/>
          <w:kern w:val="0"/>
          <w:sz w:val="24"/>
          <w:highlight w:val="none"/>
          <w:lang w:val="en-GB"/>
        </w:rPr>
      </w:pPr>
    </w:p>
    <w:p>
      <w:pPr>
        <w:rPr>
          <w:color w:val="auto"/>
          <w:highlight w:val="none"/>
        </w:rPr>
      </w:pPr>
    </w:p>
    <w:p>
      <w:pPr>
        <w:snapToGrid w:val="0"/>
        <w:spacing w:line="360" w:lineRule="auto"/>
        <w:ind w:firstLine="480" w:firstLineChars="200"/>
        <w:jc w:val="left"/>
        <w:rPr>
          <w:rFonts w:asciiTheme="minorEastAsia" w:hAnsiTheme="minorEastAsia" w:eastAsiaTheme="minorEastAsia"/>
          <w:color w:val="auto"/>
          <w:sz w:val="24"/>
          <w:highlight w:val="none"/>
        </w:rPr>
      </w:pPr>
    </w:p>
    <w:p>
      <w:pPr>
        <w:rPr>
          <w:color w:val="auto"/>
          <w:highlight w:val="none"/>
        </w:rPr>
      </w:pPr>
    </w:p>
    <w:p>
      <w:pPr>
        <w:rPr>
          <w:color w:val="auto"/>
          <w:highlight w:val="none"/>
        </w:rPr>
      </w:pPr>
    </w:p>
    <w:sectPr>
      <w:headerReference r:id="rId5" w:type="default"/>
      <w:footerReference r:id="rId6"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政府采购招标文件                                </w:t>
    </w:r>
    <w:r>
      <w:rPr>
        <w:rFonts w:hint="eastAsia"/>
        <w:b/>
        <w:i/>
        <w:color w:val="000000" w:themeColor="text1"/>
        <w:kern w:val="0"/>
        <w:sz w:val="18"/>
        <w:u w:val="single"/>
        <w:lang w:val="en-US" w:eastAsia="zh-CN"/>
      </w:rPr>
      <w:t xml:space="preserve">                            </w:t>
    </w:r>
    <w:r>
      <w:rPr>
        <w:rFonts w:hint="eastAsia"/>
        <w:b/>
        <w:i/>
        <w:color w:val="000000" w:themeColor="text1"/>
        <w:kern w:val="0"/>
        <w:sz w:val="18"/>
        <w:u w:val="single"/>
      </w:rPr>
      <w:t xml:space="preserve">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1</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3</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政府采购招标文件                       </w:t>
    </w:r>
    <w:r>
      <w:rPr>
        <w:rFonts w:hint="eastAsia"/>
        <w:b/>
        <w:i/>
        <w:color w:val="000000" w:themeColor="text1"/>
        <w:kern w:val="0"/>
        <w:sz w:val="18"/>
        <w:u w:val="single"/>
        <w:lang w:val="en-US" w:eastAsia="zh-CN"/>
      </w:rPr>
      <w:t xml:space="preserve">                            </w:t>
    </w:r>
    <w:r>
      <w:rPr>
        <w:rFonts w:hint="eastAsia"/>
        <w:b/>
        <w:i/>
        <w:color w:val="000000" w:themeColor="text1"/>
        <w:kern w:val="0"/>
        <w:sz w:val="18"/>
        <w:u w:val="single"/>
      </w:rPr>
      <w:t xml:space="preserve">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64</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76</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BF7B3C6D"/>
    <w:multiLevelType w:val="singleLevel"/>
    <w:tmpl w:val="BF7B3C6D"/>
    <w:lvl w:ilvl="0" w:tentative="0">
      <w:start w:val="1"/>
      <w:numFmt w:val="decimal"/>
      <w:lvlText w:val="%1."/>
      <w:lvlJc w:val="left"/>
      <w:pPr>
        <w:tabs>
          <w:tab w:val="left" w:pos="312"/>
        </w:tabs>
      </w:pPr>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EA16FC32"/>
    <w:multiLevelType w:val="singleLevel"/>
    <w:tmpl w:val="EA16FC32"/>
    <w:lvl w:ilvl="0" w:tentative="0">
      <w:start w:val="2"/>
      <w:numFmt w:val="decimal"/>
      <w:suff w:val="nothing"/>
      <w:lvlText w:val="（%1）"/>
      <w:lvlJc w:val="left"/>
    </w:lvl>
  </w:abstractNum>
  <w:abstractNum w:abstractNumId="6">
    <w:nsid w:val="EC904F45"/>
    <w:multiLevelType w:val="singleLevel"/>
    <w:tmpl w:val="EC904F45"/>
    <w:lvl w:ilvl="0" w:tentative="0">
      <w:start w:val="1"/>
      <w:numFmt w:val="chineseCounting"/>
      <w:suff w:val="nothing"/>
      <w:lvlText w:val="%1、"/>
      <w:lvlJc w:val="left"/>
      <w:rPr>
        <w:rFonts w:hint="eastAsia"/>
      </w:rPr>
    </w:lvl>
  </w:abstractNum>
  <w:abstractNum w:abstractNumId="7">
    <w:nsid w:val="13C640F2"/>
    <w:multiLevelType w:val="singleLevel"/>
    <w:tmpl w:val="13C640F2"/>
    <w:lvl w:ilvl="0" w:tentative="0">
      <w:start w:val="2"/>
      <w:numFmt w:val="chineseCounting"/>
      <w:suff w:val="nothing"/>
      <w:lvlText w:val="%1、"/>
      <w:lvlJc w:val="left"/>
      <w:rPr>
        <w:rFonts w:hint="eastAsia"/>
      </w:rPr>
    </w:lvl>
  </w:abstractNum>
  <w:abstractNum w:abstractNumId="8">
    <w:nsid w:val="1B92C416"/>
    <w:multiLevelType w:val="singleLevel"/>
    <w:tmpl w:val="1B92C416"/>
    <w:lvl w:ilvl="0" w:tentative="0">
      <w:start w:val="2"/>
      <w:numFmt w:val="decimal"/>
      <w:suff w:val="nothing"/>
      <w:lvlText w:val="%1、"/>
      <w:lvlJc w:val="left"/>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1">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2">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1"/>
  </w:num>
  <w:num w:numId="2">
    <w:abstractNumId w:val="1"/>
  </w:num>
  <w:num w:numId="3">
    <w:abstractNumId w:val="10"/>
  </w:num>
  <w:num w:numId="4">
    <w:abstractNumId w:val="6"/>
  </w:num>
  <w:num w:numId="5">
    <w:abstractNumId w:val="8"/>
  </w:num>
  <w:num w:numId="6">
    <w:abstractNumId w:val="9"/>
  </w:num>
  <w:num w:numId="7">
    <w:abstractNumId w:val="2"/>
  </w:num>
  <w:num w:numId="8">
    <w:abstractNumId w:val="4"/>
  </w:num>
  <w:num w:numId="9">
    <w:abstractNumId w:val="7"/>
  </w:num>
  <w:num w:numId="10">
    <w:abstractNumId w:val="5"/>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47517"/>
    <w:rsid w:val="0006294D"/>
    <w:rsid w:val="00062AB3"/>
    <w:rsid w:val="000D032C"/>
    <w:rsid w:val="00107BF6"/>
    <w:rsid w:val="001409BC"/>
    <w:rsid w:val="00165F2A"/>
    <w:rsid w:val="001D4305"/>
    <w:rsid w:val="001E07FF"/>
    <w:rsid w:val="00201D62"/>
    <w:rsid w:val="00210A7D"/>
    <w:rsid w:val="0021318F"/>
    <w:rsid w:val="002164C4"/>
    <w:rsid w:val="002476CC"/>
    <w:rsid w:val="002A1620"/>
    <w:rsid w:val="003102FB"/>
    <w:rsid w:val="00332E30"/>
    <w:rsid w:val="00354307"/>
    <w:rsid w:val="003664BE"/>
    <w:rsid w:val="00386999"/>
    <w:rsid w:val="003C5E00"/>
    <w:rsid w:val="003C619E"/>
    <w:rsid w:val="003E2AA5"/>
    <w:rsid w:val="003E7310"/>
    <w:rsid w:val="003F595C"/>
    <w:rsid w:val="003F78E0"/>
    <w:rsid w:val="00441FAE"/>
    <w:rsid w:val="00446CEF"/>
    <w:rsid w:val="004530CF"/>
    <w:rsid w:val="004744C4"/>
    <w:rsid w:val="00491BDF"/>
    <w:rsid w:val="004B4165"/>
    <w:rsid w:val="004F762C"/>
    <w:rsid w:val="005A6E28"/>
    <w:rsid w:val="00616E31"/>
    <w:rsid w:val="006248B0"/>
    <w:rsid w:val="0065402D"/>
    <w:rsid w:val="00655E3C"/>
    <w:rsid w:val="00674C42"/>
    <w:rsid w:val="00687BAB"/>
    <w:rsid w:val="00693310"/>
    <w:rsid w:val="006F4DFE"/>
    <w:rsid w:val="00734EB3"/>
    <w:rsid w:val="00797311"/>
    <w:rsid w:val="007A0253"/>
    <w:rsid w:val="007A2629"/>
    <w:rsid w:val="007C1005"/>
    <w:rsid w:val="00802325"/>
    <w:rsid w:val="00815EE0"/>
    <w:rsid w:val="00836408"/>
    <w:rsid w:val="00847BE5"/>
    <w:rsid w:val="0088066B"/>
    <w:rsid w:val="008915C6"/>
    <w:rsid w:val="008E50AD"/>
    <w:rsid w:val="00912983"/>
    <w:rsid w:val="0095418E"/>
    <w:rsid w:val="00960F5E"/>
    <w:rsid w:val="009B3E22"/>
    <w:rsid w:val="009B609B"/>
    <w:rsid w:val="009F3459"/>
    <w:rsid w:val="00A30B75"/>
    <w:rsid w:val="00A730CA"/>
    <w:rsid w:val="00AC55C9"/>
    <w:rsid w:val="00AD5192"/>
    <w:rsid w:val="00B27B66"/>
    <w:rsid w:val="00B9411E"/>
    <w:rsid w:val="00BF4342"/>
    <w:rsid w:val="00C24419"/>
    <w:rsid w:val="00C52E14"/>
    <w:rsid w:val="00C767D4"/>
    <w:rsid w:val="00CC232E"/>
    <w:rsid w:val="00CD1804"/>
    <w:rsid w:val="00D00C03"/>
    <w:rsid w:val="00D933A2"/>
    <w:rsid w:val="00D96582"/>
    <w:rsid w:val="00DD4C8B"/>
    <w:rsid w:val="00E319E7"/>
    <w:rsid w:val="00EC06F5"/>
    <w:rsid w:val="00EF2797"/>
    <w:rsid w:val="00EF47CE"/>
    <w:rsid w:val="00F127FF"/>
    <w:rsid w:val="00F60C53"/>
    <w:rsid w:val="00FA6ABD"/>
    <w:rsid w:val="00FE09DD"/>
    <w:rsid w:val="01935887"/>
    <w:rsid w:val="0221574F"/>
    <w:rsid w:val="02B245CD"/>
    <w:rsid w:val="04CC341D"/>
    <w:rsid w:val="05137CD7"/>
    <w:rsid w:val="05E30629"/>
    <w:rsid w:val="060B26E0"/>
    <w:rsid w:val="06AC0A7D"/>
    <w:rsid w:val="089D1C65"/>
    <w:rsid w:val="0C1E2BA0"/>
    <w:rsid w:val="0C765CB2"/>
    <w:rsid w:val="0CAE7506"/>
    <w:rsid w:val="0E970358"/>
    <w:rsid w:val="0F532D3F"/>
    <w:rsid w:val="10392EAE"/>
    <w:rsid w:val="10706EC2"/>
    <w:rsid w:val="10C013EC"/>
    <w:rsid w:val="12185C60"/>
    <w:rsid w:val="12807280"/>
    <w:rsid w:val="13804F2E"/>
    <w:rsid w:val="148463E6"/>
    <w:rsid w:val="14D20D9B"/>
    <w:rsid w:val="153E2FE5"/>
    <w:rsid w:val="15A72BED"/>
    <w:rsid w:val="1621170E"/>
    <w:rsid w:val="181C0774"/>
    <w:rsid w:val="18B91D2B"/>
    <w:rsid w:val="18C40414"/>
    <w:rsid w:val="19FF496B"/>
    <w:rsid w:val="1A4B72D8"/>
    <w:rsid w:val="1A6A6D44"/>
    <w:rsid w:val="1A817123"/>
    <w:rsid w:val="1C093ECB"/>
    <w:rsid w:val="1CE4433A"/>
    <w:rsid w:val="1D06612A"/>
    <w:rsid w:val="1D5B1481"/>
    <w:rsid w:val="1E744C5E"/>
    <w:rsid w:val="1EE84AA8"/>
    <w:rsid w:val="1F6D7F01"/>
    <w:rsid w:val="217514B2"/>
    <w:rsid w:val="228447E5"/>
    <w:rsid w:val="23424F53"/>
    <w:rsid w:val="236E14E2"/>
    <w:rsid w:val="24FC002A"/>
    <w:rsid w:val="252E622E"/>
    <w:rsid w:val="275F033F"/>
    <w:rsid w:val="291B621C"/>
    <w:rsid w:val="29D148D0"/>
    <w:rsid w:val="2AC803DC"/>
    <w:rsid w:val="2EB76EAD"/>
    <w:rsid w:val="30143D85"/>
    <w:rsid w:val="31752B09"/>
    <w:rsid w:val="33783791"/>
    <w:rsid w:val="341548E3"/>
    <w:rsid w:val="37712A39"/>
    <w:rsid w:val="37ED0F95"/>
    <w:rsid w:val="3AE50133"/>
    <w:rsid w:val="3B345EA5"/>
    <w:rsid w:val="3C385091"/>
    <w:rsid w:val="3DB531EC"/>
    <w:rsid w:val="3F2E4570"/>
    <w:rsid w:val="42080498"/>
    <w:rsid w:val="43036342"/>
    <w:rsid w:val="4563730C"/>
    <w:rsid w:val="48694FA0"/>
    <w:rsid w:val="488E768B"/>
    <w:rsid w:val="49F41D5E"/>
    <w:rsid w:val="4A1C6CD9"/>
    <w:rsid w:val="4A5B0704"/>
    <w:rsid w:val="4B1E31F7"/>
    <w:rsid w:val="4BC76857"/>
    <w:rsid w:val="4BCB3573"/>
    <w:rsid w:val="4CC92F01"/>
    <w:rsid w:val="4CE75373"/>
    <w:rsid w:val="4D420168"/>
    <w:rsid w:val="4F485B7E"/>
    <w:rsid w:val="4FD43B16"/>
    <w:rsid w:val="5038127C"/>
    <w:rsid w:val="559C6DBF"/>
    <w:rsid w:val="566D4B95"/>
    <w:rsid w:val="572656D4"/>
    <w:rsid w:val="5799417D"/>
    <w:rsid w:val="59AD06A4"/>
    <w:rsid w:val="5A4D586D"/>
    <w:rsid w:val="5A574CB4"/>
    <w:rsid w:val="5A6249B0"/>
    <w:rsid w:val="5E1369C5"/>
    <w:rsid w:val="5EE84C68"/>
    <w:rsid w:val="617D01D1"/>
    <w:rsid w:val="621D5BA4"/>
    <w:rsid w:val="62D724EA"/>
    <w:rsid w:val="62DB5E6E"/>
    <w:rsid w:val="630A48BB"/>
    <w:rsid w:val="635B6748"/>
    <w:rsid w:val="63947A95"/>
    <w:rsid w:val="64C75D8B"/>
    <w:rsid w:val="64DE2FAD"/>
    <w:rsid w:val="67B05ABC"/>
    <w:rsid w:val="67B167D1"/>
    <w:rsid w:val="6802398B"/>
    <w:rsid w:val="685F1C50"/>
    <w:rsid w:val="691F4B2B"/>
    <w:rsid w:val="6973141B"/>
    <w:rsid w:val="699022E9"/>
    <w:rsid w:val="6A714498"/>
    <w:rsid w:val="6CA478CE"/>
    <w:rsid w:val="6EAA4780"/>
    <w:rsid w:val="70E8313A"/>
    <w:rsid w:val="745919C6"/>
    <w:rsid w:val="7461281E"/>
    <w:rsid w:val="74702A9A"/>
    <w:rsid w:val="761C2BBB"/>
    <w:rsid w:val="77112DC3"/>
    <w:rsid w:val="77134F68"/>
    <w:rsid w:val="776A1DE8"/>
    <w:rsid w:val="785D00CA"/>
    <w:rsid w:val="79DB6F85"/>
    <w:rsid w:val="7A2B5423"/>
    <w:rsid w:val="7AC50EEB"/>
    <w:rsid w:val="7BCF45D9"/>
    <w:rsid w:val="7D4F793D"/>
    <w:rsid w:val="7DDD6CEA"/>
    <w:rsid w:val="7E636E14"/>
    <w:rsid w:val="7EA0264D"/>
    <w:rsid w:val="7EFE4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szCs w:val="20"/>
    </w:rPr>
  </w:style>
  <w:style w:type="paragraph" w:styleId="7">
    <w:name w:val="annotation text"/>
    <w:basedOn w:val="1"/>
    <w:link w:val="38"/>
    <w:qFormat/>
    <w:uiPriority w:val="0"/>
    <w:pPr>
      <w:jc w:val="left"/>
    </w:pPr>
  </w:style>
  <w:style w:type="paragraph" w:styleId="8">
    <w:name w:val="Body Text Indent"/>
    <w:basedOn w:val="1"/>
    <w:link w:val="41"/>
    <w:qFormat/>
    <w:uiPriority w:val="0"/>
    <w:pPr>
      <w:spacing w:after="120"/>
      <w:ind w:left="420" w:leftChars="200"/>
    </w:pPr>
  </w:style>
  <w:style w:type="paragraph" w:styleId="9">
    <w:name w:val="Plain Text"/>
    <w:basedOn w:val="1"/>
    <w:qFormat/>
    <w:uiPriority w:val="0"/>
    <w:rPr>
      <w:rFonts w:ascii="宋体" w:hAnsi="Courier New" w:cstheme="minorBidi"/>
    </w:rPr>
  </w:style>
  <w:style w:type="paragraph" w:styleId="10">
    <w:name w:val="Date"/>
    <w:basedOn w:val="1"/>
    <w:next w:val="1"/>
    <w:qFormat/>
    <w:uiPriority w:val="0"/>
    <w:pPr>
      <w:ind w:left="2500" w:leftChars="2500"/>
    </w:pPr>
    <w:rPr>
      <w:rFonts w:eastAsia="楷体_GB2312" w:asciiTheme="minorHAnsi" w:hAnsiTheme="minorHAnsi" w:cstheme="minorBidi"/>
      <w:sz w:val="32"/>
      <w:szCs w:val="22"/>
    </w:rPr>
  </w:style>
  <w:style w:type="paragraph" w:styleId="11">
    <w:name w:val="Balloon Text"/>
    <w:basedOn w:val="1"/>
    <w:link w:val="4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annotation subject"/>
    <w:basedOn w:val="7"/>
    <w:next w:val="7"/>
    <w:link w:val="39"/>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4">
    <w:name w:val="列出段落1"/>
    <w:basedOn w:val="1"/>
    <w:qFormat/>
    <w:uiPriority w:val="0"/>
    <w:pPr>
      <w:ind w:firstLine="420" w:firstLineChars="200"/>
    </w:pPr>
    <w:rPr>
      <w:rFonts w:ascii="Calibri" w:hAnsi="Calibri"/>
      <w:kern w:val="0"/>
      <w:szCs w:val="20"/>
    </w:rPr>
  </w:style>
  <w:style w:type="paragraph" w:customStyle="1" w:styleId="2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4"/>
    <w:qFormat/>
    <w:uiPriority w:val="0"/>
    <w:rPr>
      <w:rFonts w:ascii="Times New Roman" w:hAnsi="Times New Roman" w:eastAsia="宋体" w:cs="Times New Roman"/>
      <w:sz w:val="21"/>
      <w:szCs w:val="22"/>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纯文本_3"/>
    <w:basedOn w:val="31"/>
    <w:qFormat/>
    <w:uiPriority w:val="0"/>
    <w:pPr>
      <w:widowControl/>
      <w:jc w:val="left"/>
    </w:pPr>
    <w:rPr>
      <w:rFonts w:ascii="宋体" w:hAnsi="Courier New" w:eastAsiaTheme="minorEastAsia" w:cstheme="minorBidi"/>
      <w:szCs w:val="21"/>
    </w:rPr>
  </w:style>
  <w:style w:type="paragraph" w:customStyle="1" w:styleId="33">
    <w:name w:val="纯文本_0_1"/>
    <w:basedOn w:val="1"/>
    <w:qFormat/>
    <w:uiPriority w:val="0"/>
    <w:pPr>
      <w:widowControl/>
      <w:jc w:val="left"/>
    </w:pPr>
    <w:rPr>
      <w:rFonts w:ascii="宋体" w:hAnsi="Courier New" w:eastAsiaTheme="minorEastAsia" w:cstheme="minorBidi"/>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批注文字 Char"/>
    <w:basedOn w:val="19"/>
    <w:link w:val="7"/>
    <w:qFormat/>
    <w:uiPriority w:val="0"/>
    <w:rPr>
      <w:rFonts w:ascii="Times New Roman" w:hAnsi="Times New Roman" w:eastAsia="宋体" w:cs="Times New Roman"/>
      <w:kern w:val="2"/>
      <w:sz w:val="21"/>
      <w:szCs w:val="24"/>
    </w:rPr>
  </w:style>
  <w:style w:type="character" w:customStyle="1" w:styleId="39">
    <w:name w:val="批注主题 Char"/>
    <w:basedOn w:val="38"/>
    <w:link w:val="16"/>
    <w:qFormat/>
    <w:uiPriority w:val="0"/>
    <w:rPr>
      <w:rFonts w:ascii="Times New Roman" w:hAnsi="Times New Roman" w:eastAsia="宋体" w:cs="Times New Roman"/>
      <w:b/>
      <w:bCs/>
      <w:kern w:val="2"/>
      <w:sz w:val="21"/>
      <w:szCs w:val="24"/>
    </w:rPr>
  </w:style>
  <w:style w:type="character" w:customStyle="1" w:styleId="40">
    <w:name w:val="批注框文本 Char"/>
    <w:basedOn w:val="19"/>
    <w:link w:val="11"/>
    <w:qFormat/>
    <w:uiPriority w:val="0"/>
    <w:rPr>
      <w:rFonts w:ascii="Times New Roman" w:hAnsi="Times New Roman" w:eastAsia="宋体" w:cs="Times New Roman"/>
      <w:kern w:val="2"/>
      <w:sz w:val="18"/>
      <w:szCs w:val="18"/>
    </w:rPr>
  </w:style>
  <w:style w:type="character" w:customStyle="1" w:styleId="41">
    <w:name w:val="正文文本缩进 Char"/>
    <w:basedOn w:val="19"/>
    <w:link w:val="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6616</Words>
  <Characters>37716</Characters>
  <Lines>314</Lines>
  <Paragraphs>88</Paragraphs>
  <TotalTime>14</TotalTime>
  <ScaleCrop>false</ScaleCrop>
  <LinksUpToDate>false</LinksUpToDate>
  <CharactersWithSpaces>44244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2019-11-22T00:31:00Z</dcterms:created>
  <dc:creator>S-mile</dc:creator>
  <cp:lastModifiedBy>徐名峰</cp:lastModifiedBy>
  <dcterms:modified xsi:type="dcterms:W3CDTF">2019-12-02T02:21:46Z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