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spacing w:line="360" w:lineRule="auto"/>
        <w:jc w:val="center"/>
        <w:textAlignment w:val="bottom"/>
        <w:rPr>
          <w:rFonts w:ascii="宋体" w:hAnsi="宋体" w:cs="宋体"/>
          <w:b/>
          <w:color w:val="000000" w:themeColor="text1"/>
          <w:kern w:val="0"/>
          <w:sz w:val="52"/>
          <w:szCs w:val="52"/>
          <w:highlight w:val="none"/>
          <w14:textFill>
            <w14:solidFill>
              <w14:schemeClr w14:val="tx1"/>
            </w14:solidFill>
          </w14:textFill>
        </w:rPr>
      </w:pPr>
    </w:p>
    <w:p>
      <w:pPr>
        <w:shd w:val="clear"/>
        <w:jc w:val="center"/>
        <w:rPr>
          <w:rFonts w:ascii="宋体" w:hAnsi="宋体" w:cs="宋体"/>
          <w:color w:val="000000" w:themeColor="text1"/>
          <w:sz w:val="36"/>
          <w:szCs w:val="36"/>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a:xfrm>
                      <a:off x="0" y="0"/>
                      <a:ext cx="2971800" cy="2091690"/>
                    </a:xfrm>
                    <a:prstGeom prst="rect">
                      <a:avLst/>
                    </a:prstGeom>
                    <a:noFill/>
                    <a:ln>
                      <a:noFill/>
                    </a:ln>
                  </pic:spPr>
                </pic:pic>
              </a:graphicData>
            </a:graphic>
          </wp:anchor>
        </w:drawing>
      </w:r>
    </w:p>
    <w:p>
      <w:pPr>
        <w:shd w:val="clear"/>
        <w:jc w:val="center"/>
        <w:rPr>
          <w:rFonts w:ascii="宋体" w:hAnsi="宋体" w:cs="宋体"/>
          <w:color w:val="000000" w:themeColor="text1"/>
          <w:sz w:val="52"/>
          <w:szCs w:val="52"/>
          <w:highlight w:val="none"/>
          <w14:textFill>
            <w14:solidFill>
              <w14:schemeClr w14:val="tx1"/>
            </w14:solidFill>
          </w14:textFill>
        </w:rPr>
      </w:pPr>
    </w:p>
    <w:p>
      <w:pPr>
        <w:shd w:val="clear"/>
        <w:jc w:val="center"/>
        <w:rPr>
          <w:rFonts w:ascii="宋体" w:hAnsi="宋体" w:cs="宋体"/>
          <w:color w:val="000000" w:themeColor="text1"/>
          <w:sz w:val="72"/>
          <w:szCs w:val="72"/>
          <w:highlight w:val="none"/>
          <w14:textFill>
            <w14:solidFill>
              <w14:schemeClr w14:val="tx1"/>
            </w14:solidFill>
          </w14:textFill>
        </w:rPr>
      </w:pPr>
      <w:r>
        <w:rPr>
          <w:rFonts w:hint="eastAsia" w:ascii="宋体" w:hAnsi="宋体" w:cs="宋体"/>
          <w:color w:val="000000" w:themeColor="text1"/>
          <w:sz w:val="72"/>
          <w:szCs w:val="72"/>
          <w:highlight w:val="none"/>
          <w14:textFill>
            <w14:solidFill>
              <w14:schemeClr w14:val="tx1"/>
            </w14:solidFill>
          </w14:textFill>
        </w:rPr>
        <w:t xml:space="preserve">         F-STONE</w:t>
      </w:r>
    </w:p>
    <w:p>
      <w:pPr>
        <w:shd w:val="clear"/>
        <w:jc w:val="center"/>
        <w:rPr>
          <w:rFonts w:ascii="宋体" w:hAnsi="宋体" w:cs="宋体"/>
          <w:color w:val="000000" w:themeColor="text1"/>
          <w:sz w:val="36"/>
          <w:szCs w:val="36"/>
          <w:highlight w:val="none"/>
          <w14:textFill>
            <w14:solidFill>
              <w14:schemeClr w14:val="tx1"/>
            </w14:solidFill>
          </w14:textFill>
        </w:rPr>
      </w:pPr>
    </w:p>
    <w:p>
      <w:pPr>
        <w:shd w:val="clear"/>
        <w:jc w:val="center"/>
        <w:rPr>
          <w:rFonts w:ascii="宋体" w:hAnsi="宋体" w:cs="宋体"/>
          <w:b/>
          <w:color w:val="000000" w:themeColor="text1"/>
          <w:sz w:val="72"/>
          <w:szCs w:val="72"/>
          <w:highlight w:val="none"/>
          <w14:textFill>
            <w14:solidFill>
              <w14:schemeClr w14:val="tx1"/>
            </w14:solidFill>
          </w14:textFill>
        </w:rPr>
      </w:pPr>
    </w:p>
    <w:p>
      <w:pPr>
        <w:shd w:val="clear" w:color="auto"/>
        <w:spacing w:line="360" w:lineRule="auto"/>
        <w:jc w:val="center"/>
        <w:textAlignment w:val="bottom"/>
        <w:rPr>
          <w:rFonts w:ascii="宋体" w:hAnsi="宋体" w:cs="宋体"/>
          <w:b/>
          <w:color w:val="000000" w:themeColor="text1"/>
          <w:kern w:val="0"/>
          <w:sz w:val="52"/>
          <w:szCs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政府采购招标文件</w:t>
      </w:r>
    </w:p>
    <w:p>
      <w:pPr>
        <w:shd w:val="clear" w:color="auto"/>
        <w:spacing w:line="360" w:lineRule="auto"/>
        <w:jc w:val="center"/>
        <w:textAlignment w:val="bottom"/>
        <w:rPr>
          <w:rFonts w:ascii="宋体" w:hAnsi="宋体" w:cs="宋体"/>
          <w:color w:val="000000" w:themeColor="text1"/>
          <w:sz w:val="28"/>
          <w:szCs w:val="28"/>
          <w:highlight w:val="none"/>
          <w14:textFill>
            <w14:solidFill>
              <w14:schemeClr w14:val="tx1"/>
            </w14:solidFill>
          </w14:textFill>
        </w:rPr>
      </w:pPr>
    </w:p>
    <w:p>
      <w:pPr>
        <w:shd w:val="clear" w:color="auto"/>
        <w:spacing w:line="360" w:lineRule="auto"/>
        <w:jc w:val="center"/>
        <w:textAlignment w:val="bottom"/>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项目编号：ZJWS2022-LQ23</w:t>
      </w:r>
    </w:p>
    <w:p>
      <w:pPr>
        <w:shd w:val="clear" w:color="auto"/>
        <w:tabs>
          <w:tab w:val="left" w:pos="1860"/>
        </w:tabs>
        <w:spacing w:line="360" w:lineRule="auto"/>
        <w:textAlignment w:val="bottom"/>
        <w:rPr>
          <w:rFonts w:ascii="宋体" w:hAnsi="宋体" w:cs="宋体"/>
          <w:color w:val="000000" w:themeColor="text1"/>
          <w:kern w:val="0"/>
          <w:sz w:val="28"/>
          <w:highlight w:val="none"/>
          <w14:textFill>
            <w14:solidFill>
              <w14:schemeClr w14:val="tx1"/>
            </w14:solidFill>
          </w14:textFill>
        </w:rPr>
      </w:pPr>
    </w:p>
    <w:p>
      <w:pPr>
        <w:shd w:val="clear" w:color="auto"/>
        <w:spacing w:line="360" w:lineRule="auto"/>
        <w:textAlignment w:val="bottom"/>
        <w:rPr>
          <w:rFonts w:ascii="宋体" w:hAnsi="宋体" w:cs="宋体"/>
          <w:color w:val="000000" w:themeColor="text1"/>
          <w:kern w:val="0"/>
          <w:sz w:val="28"/>
          <w:highlight w:val="none"/>
          <w14:textFill>
            <w14:solidFill>
              <w14:schemeClr w14:val="tx1"/>
            </w14:solidFill>
          </w14:textFill>
        </w:rPr>
      </w:pPr>
    </w:p>
    <w:p>
      <w:pPr>
        <w:shd w:val="clea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 xml:space="preserve">           采购项目：2022年度台州市路桥区图书馆本馆普通图书、   分馆普通图书、和合书吧普通图书采购项目</w:t>
      </w:r>
    </w:p>
    <w:p>
      <w:pPr>
        <w:shd w:val="clear"/>
        <w:autoSpaceDE w:val="0"/>
        <w:autoSpaceDN w:val="0"/>
        <w:adjustRightInd w:val="0"/>
        <w:spacing w:line="360" w:lineRule="auto"/>
        <w:ind w:firstLine="1680" w:firstLineChars="600"/>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采购单位：台州市路桥区图书馆</w:t>
      </w:r>
    </w:p>
    <w:p>
      <w:pPr>
        <w:shd w:val="clea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p>
    <w:p>
      <w:pPr>
        <w:shd w:val="clea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p>
    <w:p>
      <w:pPr>
        <w:shd w:val="clea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采购代理机构：浙江五石中正工程咨询有限公司</w:t>
      </w:r>
    </w:p>
    <w:p>
      <w:pPr>
        <w:shd w:val="clea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二○二二年三月</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pPr>
        <w:shd w:val="clea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pPr>
        <w:shd w:val="clear"/>
        <w:spacing w:line="360" w:lineRule="auto"/>
        <w:rPr>
          <w:rFonts w:ascii="宋体" w:hAnsi="宋体" w:cs="宋体"/>
          <w:color w:val="000000" w:themeColor="text1"/>
          <w:sz w:val="28"/>
          <w:szCs w:val="28"/>
          <w:highlight w:val="none"/>
          <w14:textFill>
            <w14:solidFill>
              <w14:schemeClr w14:val="tx1"/>
            </w14:solidFill>
          </w14:textFill>
        </w:rPr>
      </w:pPr>
    </w:p>
    <w:p>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第一章 公开招标采购公告</w:t>
      </w:r>
    </w:p>
    <w:p>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第二章 投标人须知</w:t>
      </w:r>
    </w:p>
    <w:p>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第三章 评标办法及评分标准</w:t>
      </w:r>
    </w:p>
    <w:p>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第四章 公开招标需求</w:t>
      </w:r>
    </w:p>
    <w:p>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第五章 政府采购合同主要条款指引</w:t>
      </w:r>
    </w:p>
    <w:p>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第六章 投标文件格式附件</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第一章 公开招标采购公告</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000000" w:themeColor="text1"/>
          <w:sz w:val="24"/>
          <w:szCs w:val="32"/>
          <w:highlight w:val="none"/>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受</w:t>
      </w:r>
      <w:r>
        <w:rPr>
          <w:rFonts w:hint="eastAsia" w:ascii="宋体" w:hAnsi="宋体" w:cs="宋体"/>
          <w:b/>
          <w:bCs/>
          <w:color w:val="000000" w:themeColor="text1"/>
          <w:sz w:val="24"/>
          <w:szCs w:val="32"/>
          <w:highlight w:val="none"/>
          <w14:textFill>
            <w14:solidFill>
              <w14:schemeClr w14:val="tx1"/>
            </w14:solidFill>
          </w14:textFill>
        </w:rPr>
        <w:t>台州市路桥区图书馆</w:t>
      </w:r>
      <w:r>
        <w:rPr>
          <w:rFonts w:hint="eastAsia" w:ascii="宋体" w:hAnsi="宋体" w:cs="宋体"/>
          <w:color w:val="000000" w:themeColor="text1"/>
          <w:sz w:val="24"/>
          <w:szCs w:val="32"/>
          <w:highlight w:val="none"/>
          <w14:textFill>
            <w14:solidFill>
              <w14:schemeClr w14:val="tx1"/>
            </w14:solidFill>
          </w14:textFill>
        </w:rPr>
        <w:t>委托，现就其</w:t>
      </w:r>
      <w:r>
        <w:rPr>
          <w:rFonts w:hint="eastAsia" w:ascii="宋体" w:hAnsi="宋体" w:cs="宋体"/>
          <w:b/>
          <w:bCs/>
          <w:color w:val="000000" w:themeColor="text1"/>
          <w:sz w:val="24"/>
          <w:szCs w:val="32"/>
          <w:highlight w:val="none"/>
          <w14:textFill>
            <w14:solidFill>
              <w14:schemeClr w14:val="tx1"/>
            </w14:solidFill>
          </w14:textFill>
        </w:rPr>
        <w:t>2022年度台州市路桥区图书馆本馆普通图书、分馆普通图书、和合书吧普通图书采购项目</w:t>
      </w:r>
      <w:r>
        <w:rPr>
          <w:rFonts w:hint="eastAsia" w:ascii="宋体" w:hAnsi="宋体" w:cs="宋体"/>
          <w:color w:val="000000" w:themeColor="text1"/>
          <w:sz w:val="24"/>
          <w:szCs w:val="32"/>
          <w:highlight w:val="none"/>
          <w14:textFill>
            <w14:solidFill>
              <w14:schemeClr w14:val="tx1"/>
            </w14:solidFill>
          </w14:textFill>
        </w:rPr>
        <w:t>进行公开招标采购，欢迎合格供应商前来投标。</w:t>
      </w:r>
    </w:p>
    <w:p>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一、项目编号：</w:t>
      </w:r>
      <w:r>
        <w:rPr>
          <w:rFonts w:hint="eastAsia" w:ascii="宋体" w:hAnsi="宋体" w:cs="宋体"/>
          <w:color w:val="000000" w:themeColor="text1"/>
          <w:sz w:val="24"/>
          <w:szCs w:val="32"/>
          <w:highlight w:val="none"/>
          <w14:textFill>
            <w14:solidFill>
              <w14:schemeClr w14:val="tx1"/>
            </w14:solidFill>
          </w14:textFill>
        </w:rPr>
        <w:t>ZJWS2022-LQ23</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二、招标项目概况：</w:t>
      </w:r>
    </w:p>
    <w:tbl>
      <w:tblPr>
        <w:tblStyle w:val="26"/>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287"/>
        <w:gridCol w:w="522"/>
        <w:gridCol w:w="522"/>
        <w:gridCol w:w="765"/>
        <w:gridCol w:w="976"/>
        <w:gridCol w:w="1477"/>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1"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标段号</w:t>
            </w:r>
          </w:p>
        </w:tc>
        <w:tc>
          <w:tcPr>
            <w:tcW w:w="1980" w:type="dxa"/>
            <w:vAlign w:val="center"/>
          </w:tcPr>
          <w:p>
            <w:pPr>
              <w:shd w:val="clear"/>
              <w:tabs>
                <w:tab w:val="left" w:pos="8280"/>
              </w:tabs>
              <w:autoSpaceDE w:val="0"/>
              <w:autoSpaceDN w:val="0"/>
              <w:adjustRightInd w:val="0"/>
              <w:ind w:right="25" w:firstLine="120" w:firstLineChars="5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1287"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简要技术要求</w:t>
            </w:r>
          </w:p>
        </w:tc>
        <w:tc>
          <w:tcPr>
            <w:tcW w:w="522"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522"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单位</w:t>
            </w:r>
          </w:p>
        </w:tc>
        <w:tc>
          <w:tcPr>
            <w:tcW w:w="765"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预算（万元）</w:t>
            </w:r>
          </w:p>
        </w:tc>
        <w:tc>
          <w:tcPr>
            <w:tcW w:w="976"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w:t>
            </w:r>
          </w:p>
        </w:tc>
        <w:tc>
          <w:tcPr>
            <w:tcW w:w="1477" w:type="dxa"/>
            <w:vAlign w:val="center"/>
          </w:tcPr>
          <w:p>
            <w:pPr>
              <w:shd w:val="clear"/>
              <w:tabs>
                <w:tab w:val="left" w:pos="8280"/>
              </w:tabs>
              <w:autoSpaceDE w:val="0"/>
              <w:autoSpaceDN w:val="0"/>
              <w:adjustRightInd w:val="0"/>
              <w:ind w:right="25" w:firstLine="24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交货期</w:t>
            </w:r>
          </w:p>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（合同签订后几天内）</w:t>
            </w:r>
          </w:p>
        </w:tc>
        <w:tc>
          <w:tcPr>
            <w:tcW w:w="1035" w:type="dxa"/>
            <w:vAlign w:val="center"/>
          </w:tcPr>
          <w:p>
            <w:pPr>
              <w:shd w:val="clea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交货地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21"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980"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2022年度台州市路桥区图书馆本馆普通图书采购</w:t>
            </w:r>
          </w:p>
        </w:tc>
        <w:tc>
          <w:tcPr>
            <w:tcW w:w="1287"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详见具体技术需求</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批</w:t>
            </w:r>
          </w:p>
        </w:tc>
        <w:tc>
          <w:tcPr>
            <w:tcW w:w="765"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80</w:t>
            </w:r>
          </w:p>
        </w:tc>
        <w:tc>
          <w:tcPr>
            <w:tcW w:w="976"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折扣率78%</w:t>
            </w:r>
          </w:p>
        </w:tc>
        <w:tc>
          <w:tcPr>
            <w:tcW w:w="1477"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合同生效日起至2022年11月30日</w:t>
            </w:r>
          </w:p>
        </w:tc>
        <w:tc>
          <w:tcPr>
            <w:tcW w:w="1035" w:type="dxa"/>
            <w:vMerge w:val="restart"/>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台州市路桥区图书馆指定地点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21"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980"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2022年度台州市路桥区图书馆和合书吧普通图书采购</w:t>
            </w:r>
          </w:p>
        </w:tc>
        <w:tc>
          <w:tcPr>
            <w:tcW w:w="1287"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详见具体技术需求</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批</w:t>
            </w:r>
          </w:p>
        </w:tc>
        <w:tc>
          <w:tcPr>
            <w:tcW w:w="765"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w:t>
            </w:r>
          </w:p>
        </w:tc>
        <w:tc>
          <w:tcPr>
            <w:tcW w:w="976"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折扣率78%</w:t>
            </w:r>
          </w:p>
        </w:tc>
        <w:tc>
          <w:tcPr>
            <w:tcW w:w="1477"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合同生效日起至2022年11月30日</w:t>
            </w:r>
          </w:p>
        </w:tc>
        <w:tc>
          <w:tcPr>
            <w:tcW w:w="1035" w:type="dxa"/>
            <w:vMerge w:val="continue"/>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21"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980"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2022年度台州市路桥区图书馆分馆普通图书采购</w:t>
            </w:r>
          </w:p>
        </w:tc>
        <w:tc>
          <w:tcPr>
            <w:tcW w:w="1287"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详见具体技术需求</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批</w:t>
            </w:r>
          </w:p>
        </w:tc>
        <w:tc>
          <w:tcPr>
            <w:tcW w:w="765"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35.3</w:t>
            </w:r>
          </w:p>
        </w:tc>
        <w:tc>
          <w:tcPr>
            <w:tcW w:w="976"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折扣率78%</w:t>
            </w:r>
          </w:p>
        </w:tc>
        <w:tc>
          <w:tcPr>
            <w:tcW w:w="1477"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合同生效日起至2022年11月30日</w:t>
            </w:r>
          </w:p>
        </w:tc>
        <w:tc>
          <w:tcPr>
            <w:tcW w:w="1035" w:type="dxa"/>
            <w:vMerge w:val="continue"/>
            <w:vAlign w:val="center"/>
          </w:tcPr>
          <w:p>
            <w:pPr>
              <w:shd w:val="clear"/>
              <w:jc w:val="center"/>
              <w:rPr>
                <w:rFonts w:ascii="宋体" w:hAnsi="宋体" w:cs="宋体"/>
                <w:color w:val="000000" w:themeColor="text1"/>
                <w:sz w:val="24"/>
                <w:highlight w:val="none"/>
                <w14:textFill>
                  <w14:solidFill>
                    <w14:schemeClr w14:val="tx1"/>
                  </w14:solidFill>
                </w14:textFill>
              </w:rPr>
            </w:pPr>
          </w:p>
        </w:tc>
      </w:tr>
    </w:tbl>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注：折扣率=实洋/码洋*100%</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三、合格投标人的资格条件：</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①符合《中华人民共和国政府采购法》第二十二条及其他法律、行政法规规定的对投标主体的要求；</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②本项目不接受联合体投标。</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四、招标文件获取的方式、时间：</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1、本项目招标文件实行“政府采购云平台”在线获取，不提供招标文件纸质版。供应商获取招标文件前应先完成“政府采购云平台”的账号注册。</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获取时间：自本公告发布之日起至响应文件递交截止时间止（以供应商完成获取采购文件申请后下载采购文件的时间为准）。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3、地点：</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"http://zfcg.czt.zj.gov.cn/"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http：//zfcg.czt.zj.gov.cn</w:t>
      </w:r>
      <w:r>
        <w:rPr>
          <w:rFonts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（2）供应商网上报名操作指南：“浙江政府采购网-办事指南-省采中心-网上报名”（http：//zfcg.czt.zj.gov.cn/bs_other/2018-03-30/12002.html）。</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五、投标说明：</w:t>
      </w:r>
    </w:p>
    <w:p>
      <w:pPr>
        <w:shd w:val="clea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hd w:val="clea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2.投标人通过政采云平台电子投标工具制作投标文件，电子投标工具请供应商自行前往浙江政府采购网下载并安装（下载网址：http：//www.zjzfcg.gov.cn/bidClientTemplate/2019-05-27/12946.html）。</w:t>
      </w:r>
    </w:p>
    <w:p>
      <w:pPr>
        <w:shd w:val="clea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3.投标人应在开标前完成CA数字证书办理。（办理流程详见</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"http://www.zjzfcg.gov.cn/bidClientTemplate/2019-05-27/12945.html"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4"/>
          <w:highlight w:val="none"/>
          <w:u w:val="single"/>
          <w14:textFill>
            <w14:solidFill>
              <w14:schemeClr w14:val="tx1"/>
            </w14:solidFill>
          </w14:textFill>
        </w:rPr>
        <w:t>http：//www.zjzfcg.gov.cn/bidClientTemplate/2019-05-27/12945.html</w:t>
      </w:r>
      <w:r>
        <w:rPr>
          <w:rFonts w:ascii="宋体" w:hAnsi="宋体" w:cs="宋体"/>
          <w:color w:val="000000" w:themeColor="text1"/>
          <w:kern w:val="0"/>
          <w:sz w:val="24"/>
          <w:highlight w:val="none"/>
          <w:u w:val="single"/>
          <w14:textFill>
            <w14:solidFill>
              <w14:schemeClr w14:val="tx1"/>
            </w14:solidFill>
          </w14:textFill>
        </w:rPr>
        <w:fldChar w:fldCharType="end"/>
      </w:r>
      <w:r>
        <w:rPr>
          <w:rFonts w:hint="eastAsia" w:ascii="宋体" w:hAnsi="宋体" w:cs="宋体"/>
          <w:color w:val="000000" w:themeColor="text1"/>
          <w:kern w:val="0"/>
          <w:sz w:val="24"/>
          <w:highlight w:val="none"/>
          <w:u w:val="single"/>
          <w14:textFill>
            <w14:solidFill>
              <w14:schemeClr w14:val="tx1"/>
            </w14:solidFill>
          </w14:textFill>
        </w:rPr>
        <w:t>，完成CA数字证书办理预计一周左右，请各投标人自行把握时间）</w:t>
      </w:r>
    </w:p>
    <w:p>
      <w:pPr>
        <w:shd w:val="clea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000000" w:themeColor="text1"/>
          <w:kern w:val="0"/>
          <w:sz w:val="24"/>
          <w:highlight w:val="none"/>
          <w:u w:val="single"/>
          <w:lang w:val="en-GB"/>
          <w14:textFill>
            <w14:solidFill>
              <w14:schemeClr w14:val="tx1"/>
            </w14:solidFill>
          </w14:textFill>
        </w:rPr>
        <w:t>在开标后规定的投标有效期内，投标人不能撤销投标文件。</w:t>
      </w:r>
    </w:p>
    <w:p>
      <w:pPr>
        <w:shd w:val="clea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5.投标文件的组成、份数、密封、效力</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本项目实行电子投标，供应商应准备电子投标文件、以介质（U盘）存储的数据电文形式、纸质备份投标文件三类：</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5.1电子投标文件，按政采云平台项目采购--电子招投标操作指南及本招标文件要求编制。</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w:t>
      </w:r>
      <w:bookmarkStart w:id="0" w:name="_Hlk34638143"/>
      <w:r>
        <w:rPr>
          <w:rFonts w:hint="eastAsia" w:ascii="宋体" w:hAnsi="宋体" w:cs="宋体"/>
          <w:color w:val="000000" w:themeColor="text1"/>
          <w:sz w:val="24"/>
          <w:highlight w:val="none"/>
          <w14:textFill>
            <w14:solidFill>
              <w14:schemeClr w14:val="tx1"/>
            </w14:solidFill>
          </w14:textFill>
        </w:rPr>
        <w:t>纸质</w:t>
      </w:r>
      <w:bookmarkEnd w:id="0"/>
      <w:r>
        <w:rPr>
          <w:rFonts w:hint="eastAsia" w:ascii="宋体" w:hAnsi="宋体" w:cs="宋体"/>
          <w:color w:val="000000" w:themeColor="text1"/>
          <w:sz w:val="24"/>
          <w:highlight w:val="none"/>
          <w14:textFill>
            <w14:solidFill>
              <w14:schemeClr w14:val="tx1"/>
            </w14:solidFill>
          </w14:textFill>
        </w:rPr>
        <w:t>备份投标文件以纸质文件的形式编制，按资格证明文件、商务技术文件、报价文件三部分分别编制并单独装订成册，</w:t>
      </w:r>
      <w:r>
        <w:rPr>
          <w:rFonts w:hint="eastAsia" w:ascii="宋体" w:hAnsi="宋体" w:cs="宋体"/>
          <w:b/>
          <w:bCs/>
          <w:color w:val="000000" w:themeColor="text1"/>
          <w:sz w:val="24"/>
          <w:highlight w:val="none"/>
          <w14:textFill>
            <w14:solidFill>
              <w14:schemeClr w14:val="tx1"/>
            </w14:solidFill>
          </w14:textFill>
        </w:rPr>
        <w:t>数量均为2份（一正一副）</w:t>
      </w:r>
      <w:r>
        <w:rPr>
          <w:rFonts w:hint="eastAsia" w:ascii="宋体" w:hAnsi="宋体" w:cs="宋体"/>
          <w:color w:val="000000" w:themeColor="text1"/>
          <w:sz w:val="24"/>
          <w:highlight w:val="none"/>
          <w14:textFill>
            <w14:solidFill>
              <w14:schemeClr w14:val="tx1"/>
            </w14:solidFill>
          </w14:textFill>
        </w:rPr>
        <w:t>。资格证明文件、商务技术文件、报价文件三部分须分别密封封装，</w:t>
      </w:r>
      <w:r>
        <w:rPr>
          <w:rFonts w:hint="eastAsia" w:ascii="宋体" w:hAnsi="宋体" w:cs="宋体"/>
          <w:color w:val="000000" w:themeColor="text1"/>
          <w:sz w:val="24"/>
          <w:highlight w:val="none"/>
          <w:u w:val="single"/>
          <w14:textFill>
            <w14:solidFill>
              <w14:schemeClr w14:val="tx1"/>
            </w14:solidFill>
          </w14:textFill>
        </w:rPr>
        <w:t>资格证明文件、商务技术文件、报价文件三部分未分别密封的投标文件将为无效。</w:t>
      </w:r>
    </w:p>
    <w:p>
      <w:pPr>
        <w:shd w:val="clea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bookmarkStart w:id="1" w:name="_Hlk34639647"/>
      <w:r>
        <w:rPr>
          <w:rFonts w:hint="eastAsia" w:ascii="宋体" w:hAnsi="宋体" w:cs="宋体"/>
          <w:color w:val="000000" w:themeColor="text1"/>
          <w:sz w:val="24"/>
          <w:highlight w:val="none"/>
          <w14:textFill>
            <w14:solidFill>
              <w14:schemeClr w14:val="tx1"/>
            </w14:solidFill>
          </w14:textFill>
        </w:rPr>
        <w:t>5.3</w:t>
      </w:r>
      <w:r>
        <w:rPr>
          <w:rFonts w:hint="eastAsia" w:ascii="宋体" w:hAnsi="宋体" w:cs="宋体"/>
          <w:color w:val="000000" w:themeColor="text1"/>
          <w:sz w:val="24"/>
          <w:highlight w:val="none"/>
          <w:u w:val="single"/>
          <w14:textFill>
            <w14:solidFill>
              <w14:schemeClr w14:val="tx1"/>
            </w14:solidFill>
          </w14:textFill>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①在投标截止时间前送交到开标地点；</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采用邮寄方式，邮寄公司统一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1"/>
    <w:p>
      <w:pPr>
        <w:shd w:val="clea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bookmarkStart w:id="2" w:name="_Hlk34638256"/>
      <w:r>
        <w:rPr>
          <w:rFonts w:hint="eastAsia" w:ascii="宋体" w:hAnsi="宋体" w:cs="宋体"/>
          <w:color w:val="000000" w:themeColor="text1"/>
          <w:sz w:val="24"/>
          <w:highlight w:val="none"/>
          <w:u w:val="single"/>
          <w14:textFill>
            <w14:solidFill>
              <w14:schemeClr w14:val="tx1"/>
            </w14:solidFill>
          </w14:textFill>
        </w:rPr>
        <w:t>5.5投标文件启用顺序和效力：投标文件的启用，按先后顺位分别为</w:t>
      </w:r>
      <w:bookmarkStart w:id="3" w:name="_Hlk34637932"/>
      <w:r>
        <w:rPr>
          <w:rFonts w:hint="eastAsia" w:ascii="宋体" w:hAnsi="宋体" w:cs="宋体"/>
          <w:color w:val="000000" w:themeColor="text1"/>
          <w:sz w:val="24"/>
          <w:highlight w:val="none"/>
          <w:u w:val="single"/>
          <w14:textFill>
            <w14:solidFill>
              <w14:schemeClr w14:val="tx1"/>
            </w14:solidFill>
          </w14:textFill>
        </w:rPr>
        <w:t>电子投标文件</w:t>
      </w:r>
      <w:bookmarkEnd w:id="3"/>
      <w:r>
        <w:rPr>
          <w:rFonts w:hint="eastAsia" w:ascii="宋体" w:hAnsi="宋体" w:cs="宋体"/>
          <w:color w:val="000000" w:themeColor="text1"/>
          <w:sz w:val="24"/>
          <w:highlight w:val="none"/>
          <w:u w:val="single"/>
          <w14:textFill>
            <w14:solidFill>
              <w14:schemeClr w14:val="tx1"/>
            </w14:solidFill>
          </w14:textFill>
        </w:rPr>
        <w:t>、以介质（U盘）存储的数据电文形式的备份投标文件和纸质备份投标文件。</w:t>
      </w:r>
      <w:bookmarkStart w:id="4" w:name="_Hlk34637983"/>
      <w:r>
        <w:rPr>
          <w:rFonts w:hint="eastAsia" w:ascii="宋体" w:hAnsi="宋体" w:cs="宋体"/>
          <w:color w:val="000000" w:themeColor="text1"/>
          <w:sz w:val="24"/>
          <w:highlight w:val="none"/>
          <w:u w:val="single"/>
          <w14:textFill>
            <w14:solidFill>
              <w14:schemeClr w14:val="tx1"/>
            </w14:solidFill>
          </w14:textFill>
        </w:rPr>
        <w:t>全部投标人的</w:t>
      </w:r>
      <w:bookmarkStart w:id="5" w:name="_Hlk34638083"/>
      <w:r>
        <w:rPr>
          <w:rFonts w:hint="eastAsia" w:ascii="宋体" w:hAnsi="宋体" w:cs="宋体"/>
          <w:color w:val="000000" w:themeColor="text1"/>
          <w:sz w:val="24"/>
          <w:highlight w:val="none"/>
          <w:u w:val="single"/>
          <w14:textFill>
            <w14:solidFill>
              <w14:schemeClr w14:val="tx1"/>
            </w14:solidFill>
          </w14:textFill>
        </w:rPr>
        <w:t>电子投标文件均已按时解密的，</w:t>
      </w:r>
      <w:bookmarkEnd w:id="5"/>
      <w:r>
        <w:rPr>
          <w:rFonts w:hint="eastAsia" w:ascii="宋体" w:hAnsi="宋体" w:cs="宋体"/>
          <w:color w:val="000000" w:themeColor="text1"/>
          <w:sz w:val="24"/>
          <w:highlight w:val="none"/>
          <w:u w:val="single"/>
          <w14:textFill>
            <w14:solidFill>
              <w14:schemeClr w14:val="tx1"/>
            </w14:solidFill>
          </w14:textFill>
        </w:rPr>
        <w:t>备份投标文件自动失效，全部投标人的电子投标文件均无法按时解密的，</w:t>
      </w:r>
      <w:bookmarkStart w:id="6" w:name="_Hlk34638161"/>
      <w:r>
        <w:rPr>
          <w:rFonts w:hint="eastAsia" w:ascii="宋体" w:hAnsi="宋体" w:cs="宋体"/>
          <w:color w:val="000000" w:themeColor="text1"/>
          <w:sz w:val="24"/>
          <w:highlight w:val="none"/>
          <w:u w:val="single"/>
          <w14:textFill>
            <w14:solidFill>
              <w14:schemeClr w14:val="tx1"/>
            </w14:solidFill>
          </w14:textFill>
        </w:rPr>
        <w:t>启用纸质备份投标文件进行线下开评标。</w:t>
      </w:r>
      <w:bookmarkEnd w:id="6"/>
      <w:r>
        <w:rPr>
          <w:rFonts w:hint="eastAsia" w:ascii="宋体" w:hAnsi="宋体" w:cs="宋体"/>
          <w:color w:val="000000" w:themeColor="text1"/>
          <w:sz w:val="24"/>
          <w:highlight w:val="none"/>
          <w:u w:val="single"/>
          <w14:textFill>
            <w14:solidFill>
              <w14:schemeClr w14:val="tx1"/>
            </w14:solidFill>
          </w14:textFill>
        </w:rPr>
        <w:t>如果某位投标人的电子</w:t>
      </w:r>
      <w:bookmarkStart w:id="7" w:name="_Hlk34638115"/>
      <w:r>
        <w:rPr>
          <w:rFonts w:hint="eastAsia" w:ascii="宋体" w:hAnsi="宋体" w:cs="宋体"/>
          <w:color w:val="000000" w:themeColor="text1"/>
          <w:sz w:val="24"/>
          <w:highlight w:val="none"/>
          <w:u w:val="single"/>
          <w14:textFill>
            <w14:solidFill>
              <w14:schemeClr w14:val="tx1"/>
            </w14:solidFill>
          </w14:textFill>
        </w:rPr>
        <w:t>投标文件</w:t>
      </w:r>
      <w:bookmarkEnd w:id="7"/>
      <w:r>
        <w:rPr>
          <w:rFonts w:hint="eastAsia" w:ascii="宋体" w:hAnsi="宋体" w:cs="宋体"/>
          <w:color w:val="000000" w:themeColor="text1"/>
          <w:sz w:val="24"/>
          <w:highlight w:val="none"/>
          <w:u w:val="single"/>
          <w14:textFill>
            <w14:solidFill>
              <w14:schemeClr w14:val="tx1"/>
            </w14:solidFill>
          </w14:textFill>
        </w:rPr>
        <w:t>无法按时解密的，其投标文件为无效标，不启用纸质备份投标文件。</w:t>
      </w:r>
      <w:bookmarkEnd w:id="2"/>
      <w:bookmarkEnd w:id="4"/>
    </w:p>
    <w:p>
      <w:pPr>
        <w:shd w:val="clea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5.6▲未传输递交电子投标文件的，投标无效。未按规定提供相应的备份投标文件，造成项目开评标活动无法进行下去的，投标无效。</w:t>
      </w:r>
    </w:p>
    <w:p>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六、投标截止时间及开标时间：</w:t>
      </w:r>
      <w:r>
        <w:rPr>
          <w:rFonts w:hint="eastAsia" w:ascii="宋体" w:hAnsi="宋体" w:cs="宋体"/>
          <w:color w:val="000000" w:themeColor="text1"/>
          <w:sz w:val="24"/>
          <w:szCs w:val="32"/>
          <w:highlight w:val="none"/>
          <w14:textFill>
            <w14:solidFill>
              <w14:schemeClr w14:val="tx1"/>
            </w14:solidFill>
          </w14:textFill>
        </w:rPr>
        <w:t>2022年</w:t>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cs="宋体"/>
          <w:color w:val="000000" w:themeColor="text1"/>
          <w:sz w:val="24"/>
          <w:szCs w:val="32"/>
          <w:highlight w:val="none"/>
          <w14:textFill>
            <w14:solidFill>
              <w14:schemeClr w14:val="tx1"/>
            </w14:solidFill>
          </w14:textFill>
        </w:rPr>
        <w:t>月</w:t>
      </w:r>
      <w:r>
        <w:rPr>
          <w:rFonts w:hint="eastAsia" w:ascii="宋体" w:hAnsi="宋体" w:cs="宋体"/>
          <w:color w:val="000000" w:themeColor="text1"/>
          <w:sz w:val="24"/>
          <w:szCs w:val="32"/>
          <w:highlight w:val="none"/>
          <w:lang w:val="en-US" w:eastAsia="zh-CN"/>
          <w14:textFill>
            <w14:solidFill>
              <w14:schemeClr w14:val="tx1"/>
            </w14:solidFill>
          </w14:textFill>
        </w:rPr>
        <w:t>19</w:t>
      </w:r>
      <w:r>
        <w:rPr>
          <w:rFonts w:hint="eastAsia" w:ascii="宋体" w:hAnsi="宋体" w:cs="宋体"/>
          <w:color w:val="000000" w:themeColor="text1"/>
          <w:sz w:val="24"/>
          <w:szCs w:val="32"/>
          <w:highlight w:val="none"/>
          <w14:textFill>
            <w14:solidFill>
              <w14:schemeClr w14:val="tx1"/>
            </w14:solidFill>
          </w14:textFill>
        </w:rPr>
        <w:t>日</w:t>
      </w:r>
      <w:r>
        <w:rPr>
          <w:rFonts w:hint="eastAsia" w:ascii="宋体" w:hAnsi="宋体" w:cs="宋体"/>
          <w:color w:val="000000" w:themeColor="text1"/>
          <w:sz w:val="24"/>
          <w:szCs w:val="32"/>
          <w:highlight w:val="none"/>
          <w:lang w:val="en-US" w:eastAsia="zh-CN"/>
          <w14:textFill>
            <w14:solidFill>
              <w14:schemeClr w14:val="tx1"/>
            </w14:solidFill>
          </w14:textFill>
        </w:rPr>
        <w:t>下</w:t>
      </w:r>
      <w:r>
        <w:rPr>
          <w:rFonts w:hint="eastAsia" w:ascii="宋体" w:hAnsi="宋体" w:cs="宋体"/>
          <w:color w:val="000000" w:themeColor="text1"/>
          <w:sz w:val="24"/>
          <w:szCs w:val="32"/>
          <w:highlight w:val="none"/>
          <w14:textFill>
            <w14:solidFill>
              <w14:schemeClr w14:val="tx1"/>
            </w14:solidFill>
          </w14:textFill>
        </w:rPr>
        <w:t>午</w:t>
      </w:r>
      <w:r>
        <w:rPr>
          <w:rFonts w:hint="eastAsia" w:ascii="宋体" w:hAnsi="宋体" w:cs="宋体"/>
          <w:color w:val="000000" w:themeColor="text1"/>
          <w:sz w:val="24"/>
          <w:szCs w:val="32"/>
          <w:highlight w:val="none"/>
          <w:lang w:val="en-US" w:eastAsia="zh-CN"/>
          <w14:textFill>
            <w14:solidFill>
              <w14:schemeClr w14:val="tx1"/>
            </w14:solidFill>
          </w14:textFill>
        </w:rPr>
        <w:t>14</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0</w:t>
      </w:r>
      <w:r>
        <w:rPr>
          <w:rFonts w:hint="eastAsia" w:ascii="宋体" w:hAnsi="宋体" w:cs="宋体"/>
          <w:color w:val="000000" w:themeColor="text1"/>
          <w:sz w:val="24"/>
          <w:szCs w:val="32"/>
          <w:highlight w:val="none"/>
          <w14:textFill>
            <w14:solidFill>
              <w14:schemeClr w14:val="tx1"/>
            </w14:solidFill>
          </w14:textFill>
        </w:rPr>
        <w:t>0</w:t>
      </w:r>
    </w:p>
    <w:p>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七、投标及开标地址：</w:t>
      </w:r>
      <w:r>
        <w:rPr>
          <w:rFonts w:hint="eastAsia" w:ascii="宋体" w:hAnsi="宋体" w:cs="宋体"/>
          <w:color w:val="000000" w:themeColor="text1"/>
          <w:sz w:val="24"/>
          <w:szCs w:val="32"/>
          <w:highlight w:val="none"/>
          <w14:textFill>
            <w14:solidFill>
              <w14:schemeClr w14:val="tx1"/>
            </w14:solidFill>
          </w14:textFill>
        </w:rPr>
        <w:t>台州市路桥区财富大道999号区政府商城办公区（商城国际）五楼政府采购中心开标室（</w:t>
      </w:r>
      <w:r>
        <w:rPr>
          <w:rFonts w:hint="eastAsia" w:ascii="宋体" w:hAnsi="宋体" w:cs="宋体"/>
          <w:color w:val="000000" w:themeColor="text1"/>
          <w:sz w:val="24"/>
          <w:szCs w:val="32"/>
          <w:highlight w:val="none"/>
          <w:lang w:val="en-US" w:eastAsia="zh-CN"/>
          <w14:textFill>
            <w14:solidFill>
              <w14:schemeClr w14:val="tx1"/>
            </w14:solidFill>
          </w14:textFill>
        </w:rPr>
        <w:t>二</w:t>
      </w:r>
      <w:r>
        <w:rPr>
          <w:rFonts w:hint="eastAsia" w:ascii="宋体" w:hAnsi="宋体" w:cs="宋体"/>
          <w:color w:val="000000" w:themeColor="text1"/>
          <w:sz w:val="24"/>
          <w:szCs w:val="32"/>
          <w:highlight w:val="none"/>
          <w14:textFill>
            <w14:solidFill>
              <w14:schemeClr w14:val="tx1"/>
            </w14:solidFill>
          </w14:textFill>
        </w:rPr>
        <w:t>）。</w:t>
      </w:r>
    </w:p>
    <w:p>
      <w:pPr>
        <w:shd w:val="clear"/>
        <w:spacing w:line="360" w:lineRule="auto"/>
        <w:ind w:firstLine="482" w:firstLineChars="200"/>
        <w:outlineLvl w:val="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八、相关注意事项：</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供应商如对招标文件有异议应按规定的时间提出，逾期提出的，采购组织机构可不予受理、答复。</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2.根据财库[2016]125号《关于在政府采购活动中查询及使用信用记录有关问题的通知》要求，采购代理机构会对供应商信用记录进行查询并甄别。</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1）信用信息查询的截止时点：投标截止前一个工作日；</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2）查询渠道：“信用中国”（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www.creditchina.gov.cn</w:t>
      </w:r>
      <w:r>
        <w:rPr>
          <w:rFonts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www.ccgp.gov.cn</w:t>
      </w:r>
      <w:r>
        <w:rPr>
          <w:rFonts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www.zjzfcg.gov.cn</w:t>
      </w:r>
      <w:r>
        <w:rPr>
          <w:rFonts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3）信用信息查询记录和证据留存具体方式：采购代理机构经办人将查询网页打印与其他采购文件一并保存；</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4）信用信息的使用规则：投标人存在不良信用记录的，其投标将被作为无效投标被拒绝。</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3.不良信用记录指：被列入失信被执行人、重大税收违法案件当事人名单、政府采购严重违法失信行为记录名单或浙江政府采购网曝光台中尚在行政处罚期内的。</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4.开标时间后30分钟内，供应商须登录“政采云”平台，用“项目采购-开标评标”功能解密投标文件，投标人未按时解密或解密失败的，其上传的电子投标文件自动失效。电脑及CA解密设备自备。</w:t>
      </w:r>
    </w:p>
    <w:p>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九、联系方式：</w:t>
      </w:r>
    </w:p>
    <w:p>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1、采购代理机构：</w:t>
      </w:r>
      <w:r>
        <w:rPr>
          <w:rFonts w:hint="eastAsia" w:ascii="宋体" w:hAnsi="宋体" w:cs="宋体"/>
          <w:color w:val="000000" w:themeColor="text1"/>
          <w:sz w:val="24"/>
          <w:szCs w:val="32"/>
          <w:highlight w:val="none"/>
          <w14:textFill>
            <w14:solidFill>
              <w14:schemeClr w14:val="tx1"/>
            </w14:solidFill>
          </w14:textFill>
        </w:rPr>
        <w:t>浙江五石中正工程咨询有限公司；</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项目负责人：徐名峰；联系电话：15088711407；</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质疑接收人：</w:t>
      </w:r>
      <w:r>
        <w:rPr>
          <w:rFonts w:hint="eastAsia" w:ascii="宋体" w:hAnsi="宋体" w:cs="宋体"/>
          <w:color w:val="000000" w:themeColor="text1"/>
          <w:sz w:val="24"/>
          <w:szCs w:val="32"/>
          <w:highlight w:val="none"/>
          <w:lang w:eastAsia="zh-CN"/>
          <w14:textFill>
            <w14:solidFill>
              <w14:schemeClr w14:val="tx1"/>
            </w14:solidFill>
          </w14:textFill>
        </w:rPr>
        <w:t>徐少媚</w:t>
      </w:r>
      <w:r>
        <w:rPr>
          <w:rFonts w:hint="eastAsia" w:ascii="宋体" w:hAnsi="宋体" w:cs="宋体"/>
          <w:color w:val="000000" w:themeColor="text1"/>
          <w:sz w:val="24"/>
          <w:szCs w:val="32"/>
          <w:highlight w:val="none"/>
          <w14:textFill>
            <w14:solidFill>
              <w14:schemeClr w14:val="tx1"/>
            </w14:solidFill>
          </w14:textFill>
        </w:rPr>
        <w:t>；联系电话：057</w:t>
      </w:r>
      <w:r>
        <w:rPr>
          <w:rFonts w:hint="eastAsia" w:ascii="宋体" w:hAnsi="宋体" w:cs="宋体"/>
          <w:color w:val="000000" w:themeColor="text1"/>
          <w:sz w:val="24"/>
          <w:szCs w:val="32"/>
          <w:highlight w:val="none"/>
          <w:lang w:val="en-US" w:eastAsia="zh-CN"/>
          <w14:textFill>
            <w14:solidFill>
              <w14:schemeClr w14:val="tx1"/>
            </w14:solidFill>
          </w14:textFill>
        </w:rPr>
        <w:t>6-88785265</w:t>
      </w:r>
      <w:r>
        <w:rPr>
          <w:rFonts w:hint="eastAsia" w:ascii="宋体" w:hAnsi="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报名联系人：高女士；联系电话：0571-85334203；传真：0571-85342190；</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地址：杭州市</w:t>
      </w:r>
      <w:r>
        <w:rPr>
          <w:rFonts w:hint="eastAsia" w:ascii="宋体" w:hAnsi="宋体" w:cs="宋体"/>
          <w:color w:val="000000" w:themeColor="text1"/>
          <w:sz w:val="24"/>
          <w:szCs w:val="32"/>
          <w:highlight w:val="none"/>
          <w:lang w:val="en-US" w:eastAsia="zh-CN"/>
          <w14:textFill>
            <w14:solidFill>
              <w14:schemeClr w14:val="tx1"/>
            </w14:solidFill>
          </w14:textFill>
        </w:rPr>
        <w:t>拱墅区</w:t>
      </w:r>
      <w:r>
        <w:rPr>
          <w:rFonts w:hint="eastAsia" w:ascii="宋体" w:hAnsi="宋体" w:cs="宋体"/>
          <w:color w:val="000000" w:themeColor="text1"/>
          <w:sz w:val="24"/>
          <w:szCs w:val="32"/>
          <w:highlight w:val="none"/>
          <w14:textFill>
            <w14:solidFill>
              <w14:schemeClr w14:val="tx1"/>
            </w14:solidFill>
          </w14:textFill>
        </w:rPr>
        <w:t>白石路318号中国（杭州）人力资源服务产业园北楼512室；</w:t>
      </w:r>
    </w:p>
    <w:p>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2、采购单位：</w:t>
      </w:r>
      <w:r>
        <w:rPr>
          <w:rFonts w:hint="eastAsia" w:ascii="宋体" w:hAnsi="宋体" w:cs="宋体"/>
          <w:color w:val="000000" w:themeColor="text1"/>
          <w:sz w:val="24"/>
          <w:szCs w:val="32"/>
          <w:highlight w:val="none"/>
          <w14:textFill>
            <w14:solidFill>
              <w14:schemeClr w14:val="tx1"/>
            </w14:solidFill>
          </w14:textFill>
        </w:rPr>
        <w:t>台州市路桥区图书馆；</w:t>
      </w:r>
    </w:p>
    <w:p>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联系人：郑先生；联系电话：0</w:t>
      </w:r>
      <w:r>
        <w:rPr>
          <w:rFonts w:ascii="宋体" w:hAnsi="宋体" w:cs="宋体"/>
          <w:color w:val="000000" w:themeColor="text1"/>
          <w:sz w:val="24"/>
          <w:szCs w:val="32"/>
          <w:highlight w:val="none"/>
          <w14:textFill>
            <w14:solidFill>
              <w14:schemeClr w14:val="tx1"/>
            </w14:solidFill>
          </w14:textFill>
        </w:rPr>
        <w:t>576-89212170</w:t>
      </w:r>
      <w:r>
        <w:rPr>
          <w:rFonts w:hint="eastAsia" w:ascii="宋体" w:hAnsi="宋体" w:cs="宋体"/>
          <w:color w:val="000000" w:themeColor="text1"/>
          <w:sz w:val="24"/>
          <w:szCs w:val="32"/>
          <w:highlight w:val="none"/>
          <w:lang w:eastAsia="zh-CN"/>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质疑联系人：罗先生；联系电话：0</w:t>
      </w:r>
      <w:r>
        <w:rPr>
          <w:rFonts w:ascii="宋体" w:hAnsi="宋体" w:cs="宋体"/>
          <w:color w:val="000000" w:themeColor="text1"/>
          <w:sz w:val="24"/>
          <w:szCs w:val="32"/>
          <w:highlight w:val="none"/>
          <w14:textFill>
            <w14:solidFill>
              <w14:schemeClr w14:val="tx1"/>
            </w14:solidFill>
          </w14:textFill>
        </w:rPr>
        <w:t>576-89212167</w:t>
      </w:r>
      <w:r>
        <w:rPr>
          <w:rFonts w:hint="eastAsia" w:ascii="宋体" w:hAnsi="宋体" w:cs="宋体"/>
          <w:color w:val="000000" w:themeColor="text1"/>
          <w:sz w:val="24"/>
          <w:szCs w:val="32"/>
          <w:highlight w:val="none"/>
          <w:lang w:eastAsia="zh-CN"/>
          <w14:textFill>
            <w14:solidFill>
              <w14:schemeClr w14:val="tx1"/>
            </w14:solidFill>
          </w14:textFill>
        </w:rPr>
        <w:t>；</w:t>
      </w:r>
    </w:p>
    <w:p>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地址：浙江省台州市路桥区腾达路1300号</w:t>
      </w:r>
      <w:r>
        <w:rPr>
          <w:rFonts w:hint="eastAsia" w:ascii="宋体" w:hAnsi="宋体" w:cs="宋体"/>
          <w:color w:val="000000" w:themeColor="text1"/>
          <w:sz w:val="24"/>
          <w:szCs w:val="32"/>
          <w:highlight w:val="none"/>
          <w:lang w:eastAsia="zh-CN"/>
          <w14:textFill>
            <w14:solidFill>
              <w14:schemeClr w14:val="tx1"/>
            </w14:solidFill>
          </w14:textFill>
        </w:rPr>
        <w:t>；</w:t>
      </w:r>
    </w:p>
    <w:p>
      <w:pPr>
        <w:shd w:val="clear"/>
        <w:spacing w:line="360" w:lineRule="auto"/>
        <w:ind w:firstLine="482"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3、同级政府采购监管管理部门：</w:t>
      </w:r>
      <w:r>
        <w:rPr>
          <w:rFonts w:hint="eastAsia" w:ascii="宋体" w:hAnsi="宋体" w:cs="宋体"/>
          <w:color w:val="000000" w:themeColor="text1"/>
          <w:sz w:val="24"/>
          <w:szCs w:val="32"/>
          <w:highlight w:val="none"/>
          <w14:textFill>
            <w14:solidFill>
              <w14:schemeClr w14:val="tx1"/>
            </w14:solidFill>
          </w14:textFill>
        </w:rPr>
        <w:t>台州市路桥区财政局监督绩效管理与采购监管科；</w:t>
      </w:r>
    </w:p>
    <w:p>
      <w:pPr>
        <w:shd w:val="clea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联系人：吴女士；监督投诉电话：0576-82517851；</w:t>
      </w:r>
    </w:p>
    <w:p>
      <w:pPr>
        <w:shd w:val="clea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地址：台州市路桥区西路桥大道58号。</w:t>
      </w:r>
    </w:p>
    <w:p>
      <w:pPr>
        <w:shd w:val="clea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4、银行（中标项目贷款咨询）</w:t>
      </w:r>
    </w:p>
    <w:p>
      <w:pPr>
        <w:shd w:val="clea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中标人可根据项目情况及自身需求向以下银行申请企业贷款，利率从优。</w:t>
      </w: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4559"/>
        <w:gridCol w:w="1755"/>
        <w:gridCol w:w="1050"/>
        <w:gridCol w:w="1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序号</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银行名称</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政采贷年利率</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中国建设银行股份有限公司台州路桥支行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4.80%</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徐剑鸿</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15167671223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中国工商银行股份有限公司台州路桥支行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3.8%起</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倪  昊</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15968680259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中国农业银行股份有限公司台州路桥支行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3.85%起</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丁道兵</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13606668045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中国银行股份有限公司台州市路桥区支行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车  斌</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13750661198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台州银行股份有限公司</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7.08%</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黄红芹</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13968689000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浙江泰隆商业银行股份有限公司</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7.08%</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冯观凤</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17858683988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中国邮政储蓄银行股份有限公司台州市路桥区支行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4.35%起</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沈丹华</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13306566969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交通银行股份有限公司台州路桥支行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3.80%</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刘鲁浙</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15968662111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兴业银行股份有限公司台州路桥支行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4%起</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蒋  峰</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13586088395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中信银行股份有限公司台州路桥支行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4.15%起</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曹筱婕</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18105768199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浙商银行股份有限公司台州路桥小微企业专营支行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6.75%</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庄道勇</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13867611023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广发银行股份有限公司台州路桥小微企业专营支行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5.65%</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林  春</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13858687790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平安银行股份有限公司台州路桥小微企业专营支行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李俊丽</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15906861025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宁波银行股份有限公司台州路桥小微企业专营支行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5%-6%</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李诚杰</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13395745558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4559"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浙江台州路桥富民村镇银行股份有限公司</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7.80%</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金根灵</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13157608788</w:t>
            </w:r>
          </w:p>
        </w:tc>
      </w:tr>
    </w:tbl>
    <w:p>
      <w:pPr>
        <w:widowControl/>
        <w:shd w:val="clear"/>
        <w:jc w:val="center"/>
        <w:textAlignment w:val="center"/>
        <w:rPr>
          <w:rFonts w:ascii="宋体" w:hAnsi="宋体" w:cs="宋体"/>
          <w:color w:val="000000" w:themeColor="text1"/>
          <w:kern w:val="0"/>
          <w:sz w:val="24"/>
          <w:highlight w:val="none"/>
          <w:lang w:bidi="ar"/>
          <w14:textFill>
            <w14:solidFill>
              <w14:schemeClr w14:val="tx1"/>
            </w14:solidFill>
          </w14:textFill>
        </w:rPr>
      </w:pPr>
    </w:p>
    <w:p>
      <w:pPr>
        <w:pStyle w:val="2"/>
        <w:shd w:val="clear"/>
        <w:jc w:val="right"/>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浙江五石中正工程咨询有限公司</w:t>
      </w:r>
    </w:p>
    <w:p>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202</w:t>
      </w:r>
      <w:r>
        <w:rPr>
          <w:rFonts w:hint="eastAsia" w:ascii="宋体" w:hAnsi="宋体" w:cs="宋体"/>
          <w:color w:val="000000" w:themeColor="text1"/>
          <w:sz w:val="24"/>
          <w:highlight w:val="none"/>
          <w14:textFill>
            <w14:solidFill>
              <w14:schemeClr w14:val="tx1"/>
            </w14:solidFill>
          </w14:textFill>
        </w:rPr>
        <w:t>2年3月</w:t>
      </w:r>
    </w:p>
    <w:p>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第二章 投标人须知</w:t>
      </w:r>
    </w:p>
    <w:p>
      <w:pPr>
        <w:shd w:val="clear"/>
        <w:spacing w:line="360" w:lineRule="auto"/>
        <w:ind w:firstLine="482" w:firstLineChars="200"/>
        <w:jc w:val="center"/>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前附表</w:t>
      </w:r>
    </w:p>
    <w:tbl>
      <w:tblPr>
        <w:tblStyle w:val="26"/>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30"/>
        <w:gridCol w:w="7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53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w:t>
            </w:r>
          </w:p>
        </w:tc>
        <w:tc>
          <w:tcPr>
            <w:tcW w:w="772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53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供应商特定资格要求</w:t>
            </w:r>
          </w:p>
        </w:tc>
        <w:tc>
          <w:tcPr>
            <w:tcW w:w="7720"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4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53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答疑会或</w:t>
            </w:r>
            <w:r>
              <w:rPr>
                <w:rFonts w:hint="eastAsia" w:ascii="宋体" w:hAnsi="宋体" w:cs="宋体"/>
                <w:color w:val="000000" w:themeColor="text1"/>
                <w:sz w:val="24"/>
                <w:highlight w:val="none"/>
                <w14:textFill>
                  <w14:solidFill>
                    <w14:schemeClr w14:val="tx1"/>
                  </w14:solidFill>
                </w14:textFill>
              </w:rPr>
              <w:t>现场踏勘</w:t>
            </w:r>
          </w:p>
        </w:tc>
        <w:tc>
          <w:tcPr>
            <w:tcW w:w="7720"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4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530" w:type="dxa"/>
            <w:vAlign w:val="center"/>
          </w:tcPr>
          <w:p>
            <w:pPr>
              <w:shd w:val="clea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投标文件的组成、份数、效力</w:t>
            </w:r>
          </w:p>
        </w:tc>
        <w:tc>
          <w:tcPr>
            <w:tcW w:w="7720" w:type="dxa"/>
            <w:vAlign w:val="center"/>
          </w:tcPr>
          <w:p>
            <w:pPr>
              <w:shd w:val="clea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本项目实行电子投标，供应商应准备电子投标文件、以介质（U盘）存储的数据电文形式的备份投标文件、纸质备份投标文件三类：</w:t>
            </w:r>
          </w:p>
          <w:p>
            <w:pPr>
              <w:shd w:val="clea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1.电子投标文件，按政采云平台项目采购--电子招投标操作指南及本招标文件要求编制、递交。</w:t>
            </w:r>
          </w:p>
          <w:p>
            <w:pPr>
              <w:shd w:val="clea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2.以介质（U盘）存储的数据电文形式的备份投标文件，按政采云平台项目采购-电子招投标操作指南中上传的电子投标文件格式，以U盘形式提供。</w:t>
            </w:r>
          </w:p>
          <w:p>
            <w:pPr>
              <w:shd w:val="clea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3.纸质备份投标文件以纸质文件的形式编制，按资格证明文件、商务技术文件、报价文件三部分分别编制并单独装订成册，</w:t>
            </w:r>
            <w:r>
              <w:rPr>
                <w:rFonts w:hint="eastAsia" w:ascii="宋体" w:hAnsi="宋体" w:cs="宋体"/>
                <w:b/>
                <w:bCs/>
                <w:color w:val="000000" w:themeColor="text1"/>
                <w:sz w:val="24"/>
                <w:highlight w:val="none"/>
                <w14:textFill>
                  <w14:solidFill>
                    <w14:schemeClr w14:val="tx1"/>
                  </w14:solidFill>
                </w14:textFill>
              </w:rPr>
              <w:t>数量均为2份（一正一副）</w:t>
            </w:r>
            <w:r>
              <w:rPr>
                <w:rFonts w:hint="eastAsia" w:ascii="宋体" w:hAnsi="宋体" w:cs="宋体"/>
                <w:color w:val="000000" w:themeColor="text1"/>
                <w:sz w:val="24"/>
                <w:highlight w:val="none"/>
                <w14:textFill>
                  <w14:solidFill>
                    <w14:schemeClr w14:val="tx1"/>
                  </w14:solidFill>
                </w14:textFill>
              </w:rPr>
              <w:t>。资格证明文件、商务技术文件、报价文件三部分须分别密封封装，资格证明文件、商务技术文件、报价文件三部分未分别密封的投标文件将为无效。</w:t>
            </w:r>
          </w:p>
          <w:p>
            <w:pPr>
              <w:shd w:val="clea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pPr>
              <w:shd w:val="clea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53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7720"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投标有效期为开标后90天，</w:t>
            </w:r>
            <w:r>
              <w:rPr>
                <w:rFonts w:hint="eastAsia" w:ascii="宋体" w:hAnsi="宋体" w:cs="宋体"/>
                <w:color w:val="000000" w:themeColor="text1"/>
                <w:kern w:val="0"/>
                <w:sz w:val="24"/>
                <w:highlight w:val="none"/>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4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53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w:t>
            </w:r>
          </w:p>
        </w:tc>
        <w:tc>
          <w:tcPr>
            <w:tcW w:w="7720"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截止时间：北京时间</w:t>
            </w:r>
            <w:r>
              <w:rPr>
                <w:rFonts w:hint="eastAsia" w:ascii="宋体" w:hAnsi="宋体" w:cs="宋体"/>
                <w:color w:val="000000" w:themeColor="text1"/>
                <w:sz w:val="24"/>
                <w:szCs w:val="32"/>
                <w:highlight w:val="none"/>
                <w14:textFill>
                  <w14:solidFill>
                    <w14:schemeClr w14:val="tx1"/>
                  </w14:solidFill>
                </w14:textFill>
              </w:rPr>
              <w:t>2022年</w:t>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cs="宋体"/>
                <w:color w:val="000000" w:themeColor="text1"/>
                <w:sz w:val="24"/>
                <w:szCs w:val="32"/>
                <w:highlight w:val="none"/>
                <w14:textFill>
                  <w14:solidFill>
                    <w14:schemeClr w14:val="tx1"/>
                  </w14:solidFill>
                </w14:textFill>
              </w:rPr>
              <w:t>月</w:t>
            </w:r>
            <w:r>
              <w:rPr>
                <w:rFonts w:hint="eastAsia" w:ascii="宋体" w:hAnsi="宋体" w:cs="宋体"/>
                <w:color w:val="000000" w:themeColor="text1"/>
                <w:sz w:val="24"/>
                <w:szCs w:val="32"/>
                <w:highlight w:val="none"/>
                <w:lang w:val="en-US" w:eastAsia="zh-CN"/>
                <w14:textFill>
                  <w14:solidFill>
                    <w14:schemeClr w14:val="tx1"/>
                  </w14:solidFill>
                </w14:textFill>
              </w:rPr>
              <w:t>19</w:t>
            </w:r>
            <w:r>
              <w:rPr>
                <w:rFonts w:hint="eastAsia" w:ascii="宋体" w:hAnsi="宋体" w:cs="宋体"/>
                <w:color w:val="000000" w:themeColor="text1"/>
                <w:sz w:val="24"/>
                <w:szCs w:val="32"/>
                <w:highlight w:val="none"/>
                <w14:textFill>
                  <w14:solidFill>
                    <w14:schemeClr w14:val="tx1"/>
                  </w14:solidFill>
                </w14:textFill>
              </w:rPr>
              <w:t>日</w:t>
            </w:r>
            <w:r>
              <w:rPr>
                <w:rFonts w:hint="eastAsia" w:ascii="宋体" w:hAnsi="宋体" w:cs="宋体"/>
                <w:color w:val="000000" w:themeColor="text1"/>
                <w:sz w:val="24"/>
                <w:szCs w:val="32"/>
                <w:highlight w:val="none"/>
                <w:lang w:val="en-US" w:eastAsia="zh-CN"/>
                <w14:textFill>
                  <w14:solidFill>
                    <w14:schemeClr w14:val="tx1"/>
                  </w14:solidFill>
                </w14:textFill>
              </w:rPr>
              <w:t>下</w:t>
            </w:r>
            <w:r>
              <w:rPr>
                <w:rFonts w:hint="eastAsia" w:ascii="宋体" w:hAnsi="宋体" w:cs="宋体"/>
                <w:color w:val="000000" w:themeColor="text1"/>
                <w:sz w:val="24"/>
                <w:szCs w:val="32"/>
                <w:highlight w:val="none"/>
                <w14:textFill>
                  <w14:solidFill>
                    <w14:schemeClr w14:val="tx1"/>
                  </w14:solidFill>
                </w14:textFill>
              </w:rPr>
              <w:t>午</w:t>
            </w:r>
            <w:r>
              <w:rPr>
                <w:rFonts w:hint="eastAsia" w:ascii="宋体" w:hAnsi="宋体" w:cs="宋体"/>
                <w:color w:val="000000" w:themeColor="text1"/>
                <w:sz w:val="24"/>
                <w:szCs w:val="32"/>
                <w:highlight w:val="none"/>
                <w:lang w:val="en-US" w:eastAsia="zh-CN"/>
                <w14:textFill>
                  <w14:solidFill>
                    <w14:schemeClr w14:val="tx1"/>
                  </w14:solidFill>
                </w14:textFill>
              </w:rPr>
              <w:t>14</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0</w:t>
            </w:r>
            <w:r>
              <w:rPr>
                <w:rFonts w:hint="eastAsia" w:ascii="宋体" w:hAnsi="宋体" w:cs="宋体"/>
                <w:color w:val="000000" w:themeColor="text1"/>
                <w:sz w:val="24"/>
                <w:szCs w:val="32"/>
                <w:highlight w:val="none"/>
                <w14:textFill>
                  <w14:solidFill>
                    <w14:schemeClr w14:val="tx1"/>
                  </w14:solidFill>
                </w14:textFill>
              </w:rPr>
              <w:t>0</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投标供应商应当在投标截止时间前将生成的“电子加密投标文件”上传递交至“政府采购云平台”，并在开标当日投标截止时间前提交纸质备份投标文件。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4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53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开标时间及地点</w:t>
            </w:r>
          </w:p>
        </w:tc>
        <w:tc>
          <w:tcPr>
            <w:tcW w:w="7720"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时间：北京时间</w:t>
            </w:r>
            <w:r>
              <w:rPr>
                <w:rFonts w:hint="eastAsia" w:ascii="宋体" w:hAnsi="宋体" w:cs="宋体"/>
                <w:color w:val="000000" w:themeColor="text1"/>
                <w:sz w:val="24"/>
                <w:szCs w:val="32"/>
                <w:highlight w:val="none"/>
                <w14:textFill>
                  <w14:solidFill>
                    <w14:schemeClr w14:val="tx1"/>
                  </w14:solidFill>
                </w14:textFill>
              </w:rPr>
              <w:t>2022年</w:t>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cs="宋体"/>
                <w:color w:val="000000" w:themeColor="text1"/>
                <w:sz w:val="24"/>
                <w:szCs w:val="32"/>
                <w:highlight w:val="none"/>
                <w14:textFill>
                  <w14:solidFill>
                    <w14:schemeClr w14:val="tx1"/>
                  </w14:solidFill>
                </w14:textFill>
              </w:rPr>
              <w:t>月</w:t>
            </w:r>
            <w:r>
              <w:rPr>
                <w:rFonts w:hint="eastAsia" w:ascii="宋体" w:hAnsi="宋体" w:cs="宋体"/>
                <w:color w:val="000000" w:themeColor="text1"/>
                <w:sz w:val="24"/>
                <w:szCs w:val="32"/>
                <w:highlight w:val="none"/>
                <w:lang w:val="en-US" w:eastAsia="zh-CN"/>
                <w14:textFill>
                  <w14:solidFill>
                    <w14:schemeClr w14:val="tx1"/>
                  </w14:solidFill>
                </w14:textFill>
              </w:rPr>
              <w:t>19</w:t>
            </w:r>
            <w:r>
              <w:rPr>
                <w:rFonts w:hint="eastAsia" w:ascii="宋体" w:hAnsi="宋体" w:cs="宋体"/>
                <w:color w:val="000000" w:themeColor="text1"/>
                <w:sz w:val="24"/>
                <w:szCs w:val="32"/>
                <w:highlight w:val="none"/>
                <w14:textFill>
                  <w14:solidFill>
                    <w14:schemeClr w14:val="tx1"/>
                  </w14:solidFill>
                </w14:textFill>
              </w:rPr>
              <w:t>日</w:t>
            </w:r>
            <w:r>
              <w:rPr>
                <w:rFonts w:hint="eastAsia" w:ascii="宋体" w:hAnsi="宋体" w:cs="宋体"/>
                <w:color w:val="000000" w:themeColor="text1"/>
                <w:sz w:val="24"/>
                <w:szCs w:val="32"/>
                <w:highlight w:val="none"/>
                <w:lang w:val="en-US" w:eastAsia="zh-CN"/>
                <w14:textFill>
                  <w14:solidFill>
                    <w14:schemeClr w14:val="tx1"/>
                  </w14:solidFill>
                </w14:textFill>
              </w:rPr>
              <w:t>下</w:t>
            </w:r>
            <w:r>
              <w:rPr>
                <w:rFonts w:hint="eastAsia" w:ascii="宋体" w:hAnsi="宋体" w:cs="宋体"/>
                <w:color w:val="000000" w:themeColor="text1"/>
                <w:sz w:val="24"/>
                <w:szCs w:val="32"/>
                <w:highlight w:val="none"/>
                <w14:textFill>
                  <w14:solidFill>
                    <w14:schemeClr w14:val="tx1"/>
                  </w14:solidFill>
                </w14:textFill>
              </w:rPr>
              <w:t>午</w:t>
            </w:r>
            <w:r>
              <w:rPr>
                <w:rFonts w:hint="eastAsia" w:ascii="宋体" w:hAnsi="宋体" w:cs="宋体"/>
                <w:color w:val="000000" w:themeColor="text1"/>
                <w:sz w:val="24"/>
                <w:szCs w:val="32"/>
                <w:highlight w:val="none"/>
                <w:lang w:val="en-US" w:eastAsia="zh-CN"/>
                <w14:textFill>
                  <w14:solidFill>
                    <w14:schemeClr w14:val="tx1"/>
                  </w14:solidFill>
                </w14:textFill>
              </w:rPr>
              <w:t>14</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0</w:t>
            </w:r>
            <w:r>
              <w:rPr>
                <w:rFonts w:hint="eastAsia" w:ascii="宋体" w:hAnsi="宋体" w:cs="宋体"/>
                <w:color w:val="000000" w:themeColor="text1"/>
                <w:sz w:val="24"/>
                <w:szCs w:val="32"/>
                <w:highlight w:val="none"/>
                <w14:textFill>
                  <w14:solidFill>
                    <w14:schemeClr w14:val="tx1"/>
                  </w14:solidFill>
                </w14:textFill>
              </w:rPr>
              <w:t>0</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szCs w:val="32"/>
                <w:highlight w:val="none"/>
                <w14:textFill>
                  <w14:solidFill>
                    <w14:schemeClr w14:val="tx1"/>
                  </w14:solidFill>
                </w14:textFill>
              </w:rPr>
              <w:t>台州市路桥区财富大道999号区政府商城办公区（商城国际）五楼政府采购中心开标室（</w:t>
            </w:r>
            <w:r>
              <w:rPr>
                <w:rFonts w:hint="eastAsia" w:ascii="宋体" w:hAnsi="宋体" w:cs="宋体"/>
                <w:color w:val="000000" w:themeColor="text1"/>
                <w:sz w:val="24"/>
                <w:szCs w:val="32"/>
                <w:highlight w:val="none"/>
                <w:lang w:val="en-US" w:eastAsia="zh-CN"/>
                <w14:textFill>
                  <w14:solidFill>
                    <w14:schemeClr w14:val="tx1"/>
                  </w14:solidFill>
                </w14:textFill>
              </w:rPr>
              <w:t>二</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53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p>
        </w:tc>
        <w:tc>
          <w:tcPr>
            <w:tcW w:w="7720"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签订合同前</w:t>
            </w:r>
            <w:r>
              <w:rPr>
                <w:rFonts w:hint="eastAsia" w:ascii="宋体" w:hAnsi="宋体" w:cs="宋体"/>
                <w:color w:val="000000" w:themeColor="text1"/>
                <w:sz w:val="24"/>
                <w:highlight w:val="none"/>
                <w14:textFill>
                  <w14:solidFill>
                    <w14:schemeClr w14:val="tx1"/>
                  </w14:solidFill>
                </w14:textFill>
              </w:rPr>
              <w:t>中标供应商</w:t>
            </w:r>
            <w:r>
              <w:rPr>
                <w:rFonts w:hint="eastAsia" w:ascii="宋体" w:hAnsi="宋体" w:cs="宋体"/>
                <w:color w:val="000000" w:themeColor="text1"/>
                <w:sz w:val="24"/>
                <w:highlight w:val="none"/>
                <w:lang w:val="zh-CN"/>
                <w14:textFill>
                  <w14:solidFill>
                    <w14:schemeClr w14:val="tx1"/>
                  </w14:solidFill>
                </w14:textFill>
              </w:rPr>
              <w:t>须</w:t>
            </w:r>
            <w:r>
              <w:rPr>
                <w:rFonts w:hint="eastAsia" w:ascii="宋体" w:hAnsi="宋体" w:cs="宋体"/>
                <w:color w:val="000000" w:themeColor="text1"/>
                <w:sz w:val="24"/>
                <w:highlight w:val="none"/>
                <w14:textFill>
                  <w14:solidFill>
                    <w14:schemeClr w14:val="tx1"/>
                  </w14:solidFill>
                </w14:textFill>
              </w:rPr>
              <w:t>向采购人</w:t>
            </w:r>
            <w:r>
              <w:rPr>
                <w:rFonts w:hint="eastAsia" w:ascii="宋体" w:hAnsi="宋体" w:cs="宋体"/>
                <w:color w:val="000000" w:themeColor="text1"/>
                <w:sz w:val="24"/>
                <w:highlight w:val="none"/>
                <w:lang w:val="zh-CN"/>
                <w14:textFill>
                  <w14:solidFill>
                    <w14:schemeClr w14:val="tx1"/>
                  </w14:solidFill>
                </w14:textFill>
              </w:rPr>
              <w:t>交纳本项目合同金额的</w:t>
            </w:r>
            <w:r>
              <w:rPr>
                <w:rFonts w:hint="eastAsia" w:ascii="宋体" w:hAnsi="宋体" w:cs="宋体"/>
                <w:color w:val="000000" w:themeColor="text1"/>
                <w:sz w:val="24"/>
                <w:highlight w:val="none"/>
                <w:u w:val="single"/>
                <w14:textFill>
                  <w14:solidFill>
                    <w14:schemeClr w14:val="tx1"/>
                  </w14:solidFill>
                </w14:textFill>
              </w:rPr>
              <w:t>2.5</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作为履约保证金，履约保证金在项目验收合格后无息退还。（履约保证金可以采用保函、担保、转账等形式）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530" w:type="dxa"/>
            <w:vAlign w:val="center"/>
          </w:tcPr>
          <w:p>
            <w:pPr>
              <w:shd w:val="clear"/>
              <w:autoSpaceDE w:val="0"/>
              <w:autoSpaceDN w:val="0"/>
              <w:adjustRightIn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实质性条款</w:t>
            </w:r>
          </w:p>
        </w:tc>
        <w:tc>
          <w:tcPr>
            <w:tcW w:w="7720"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带“</w:t>
            </w:r>
            <w:r>
              <w:rPr>
                <w:rFonts w:hint="eastAsia" w:ascii="宋体" w:hAnsi="宋体" w:cs="宋体"/>
                <w:color w:val="000000" w:themeColor="text1"/>
                <w:sz w:val="24"/>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530"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样品及演示</w:t>
            </w:r>
          </w:p>
        </w:tc>
        <w:tc>
          <w:tcPr>
            <w:tcW w:w="7720" w:type="dxa"/>
            <w:vAlign w:val="center"/>
          </w:tcPr>
          <w:p>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53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节能环保</w:t>
            </w:r>
          </w:p>
        </w:tc>
        <w:tc>
          <w:tcPr>
            <w:tcW w:w="772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53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772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本招标文件解释权属于采购人和浙江五石中正工程咨询有限公司。</w:t>
            </w:r>
          </w:p>
        </w:tc>
      </w:tr>
    </w:tbl>
    <w:p>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 、总  则</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 适用范围</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本招标文件适用于本次项目的招标、投标、评标、定标、验收、合同履约、付款等行为（法律、法规另有规定的，从其规定）。</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（二）定义</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zh-CN"/>
          <w14:textFill>
            <w14:solidFill>
              <w14:schemeClr w14:val="tx1"/>
            </w14:solidFill>
          </w14:textFill>
        </w:rPr>
        <w:t>“采购组织机构”指采购人委托组织招标的采购代理机构。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2、采购人：是指委托采购代理机构采购本次项目的国家机关、事业单位和团体组织。</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3、投标人：是指向采购</w:t>
      </w:r>
      <w:r>
        <w:rPr>
          <w:rFonts w:hint="eastAsia" w:ascii="宋体" w:hAnsi="宋体" w:cs="宋体"/>
          <w:color w:val="000000" w:themeColor="text1"/>
          <w:sz w:val="24"/>
          <w:szCs w:val="32"/>
          <w:highlight w:val="none"/>
          <w:lang w:val="zh-CN"/>
          <w14:textFill>
            <w14:solidFill>
              <w14:schemeClr w14:val="tx1"/>
            </w14:solidFill>
          </w14:textFill>
        </w:rPr>
        <w:t>组织</w:t>
      </w:r>
      <w:r>
        <w:rPr>
          <w:rFonts w:hint="eastAsia" w:ascii="宋体" w:hAnsi="宋体" w:cs="宋体"/>
          <w:color w:val="000000" w:themeColor="text1"/>
          <w:sz w:val="24"/>
          <w:szCs w:val="32"/>
          <w:highlight w:val="none"/>
          <w14:textFill>
            <w14:solidFill>
              <w14:schemeClr w14:val="tx1"/>
            </w14:solidFill>
          </w14:textFill>
        </w:rPr>
        <w:t>机构提交投标文件的单位或个人。</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4、货物：是指各种形态和种类的物品，包括原材料、燃料、设备、产品等。</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6、“书面形式”包括信函、传真等。</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7、“▲”系指实质性要求条款。</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（三）投标费用</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不论投标结果如何，投标人均应自行承担所有与投标有关的全部费用（招标文件有相关规定除外）。</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（四）特别说明</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000000" w:themeColor="text1"/>
          <w:sz w:val="24"/>
          <w:szCs w:val="32"/>
          <w:highlight w:val="none"/>
          <w14:textFill>
            <w14:solidFill>
              <w14:schemeClr w14:val="tx1"/>
            </w14:solidFill>
          </w14:textFill>
        </w:rPr>
        <w:tab/>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3、投标人不得相互串通投标报价，不得妨碍其他投标人的公平竞争，不得损害采购人或其他投标人的合法权益，投标人不得以向采购人、评标委员会成员行贿或者采取其他不正当手段谋取中标。</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4、为采购项目提供整体设计、规范编制或者项目管理、监理、检测等服务的供应商，不得再参加该采购项目的其他采购活动。</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5、投标文件格式中的表格式样可以根据项目差别做适当调整,但应当保持表格样式基本形态不变。</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6、单位负责人为同一人或者存在直接控股、管理关系的不同供应商，不得参加同一合同项下的政府采购活动。</w:t>
      </w:r>
    </w:p>
    <w:p>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二、招标文件</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（一）招标文件由招标文件总目录所列内容组成。</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（二）招标文件的澄清或修改</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三、投标文件</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lang w:val="zh-CN"/>
          <w14:textFill>
            <w14:solidFill>
              <w14:schemeClr w14:val="tx1"/>
            </w14:solidFill>
          </w14:textFill>
        </w:rPr>
        <w:t>（一）</w:t>
      </w:r>
      <w:r>
        <w:rPr>
          <w:rFonts w:hint="eastAsia" w:ascii="宋体" w:hAnsi="宋体" w:cs="宋体"/>
          <w:b/>
          <w:bCs/>
          <w:color w:val="000000" w:themeColor="text1"/>
          <w:sz w:val="24"/>
          <w:szCs w:val="32"/>
          <w:highlight w:val="none"/>
          <w14:textFill>
            <w14:solidFill>
              <w14:schemeClr w14:val="tx1"/>
            </w14:solidFill>
          </w14:textFill>
        </w:rPr>
        <w:t>投标文件的组成</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投标人接到招标文件后，按照采购组织机构的要求提供：资格证明文件、商务与技术文件和报价文件。</w:t>
      </w:r>
      <w:r>
        <w:rPr>
          <w:rFonts w:hint="eastAsia" w:ascii="宋体" w:hAnsi="宋体" w:cs="宋体"/>
          <w:color w:val="000000" w:themeColor="text1"/>
          <w:sz w:val="24"/>
          <w:szCs w:val="32"/>
          <w:highlight w:val="none"/>
          <w:lang w:val="zh-CN"/>
          <w14:textFill>
            <w14:solidFill>
              <w14:schemeClr w14:val="tx1"/>
            </w14:solidFill>
          </w14:textFill>
        </w:rPr>
        <w:t>【特别提示：如有要求提供资料原件的，原件另行包装，并与投标文件一起提交，投标截止时间后所有原件不予接收。资料原件也可以用与原件相符的公证原件替代】</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1、资格证明文件的组成：</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（1）投标声明书；</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（2）授权委托书（法定代表人亲自办理投标事宜的，则无需提交）；</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（3）法人或者其他组织的营业执照等证明文件，自然人的身份证明；</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（4）具有良好的商业信誉和健全的财务会计制度的承诺；</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（5）依法缴纳税收和社会保障资金的承诺；</w:t>
      </w:r>
    </w:p>
    <w:p>
      <w:pPr>
        <w:shd w:val="clea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（6）参加政府采购活动前三年内，在经营活动中没有重大违法记录；</w:t>
      </w:r>
    </w:p>
    <w:p>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（7）提供采购公告中符合供应商特定条件的有效资质证书复印件（投标供应商特定条件中有要求的必须提供），以及需要说明的其他资料。</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2、商务与技术文件的组成：</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（1）投标人情况介绍。</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（2）投标方案描述：</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A.项目需求的理解与分析(投标人对项目现状及需求的理解情况，对项目现状和需求描述的全面性、准确性、针对性，对项目重点、难点的把握，解决方案及合理化建议)。</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B.项目组织实施方案（包括确保项目服务质量的措施或方案、项目实施人员及项目负责人的资质、类似经验及社保证明等）。</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（可根据投标人对招标任务的理解和自身情况编制，利用投标文件中承诺提供的设备、人员等资源围绕采购人的服务质量要求、工作的实际要求如何实现这些要求，如何保质保量按时完成任务。）</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（3）投标人通过的质量管理和质量保证体系、环保体系、自主创新相关证书等等与本项目相关的认证证书或文件；</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（4）近三年来类似项目的成功案例（投标人类似项目实施情况一览表、合同复印件及其相应的发票、用户验收报告等；</w:t>
      </w:r>
    </w:p>
    <w:p>
      <w:pPr>
        <w:shd w:val="clea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（5）投标人认为需要提供的其他资料（包括可能影响投标人商务与技术文件评分的各类证明材料）。</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（6）售后服务描述及承诺：</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A.距采购人最近的服务网点详细介绍（包括地理位置、资质资格、技术力量、工作业绩、服务内容及联系电话等）。</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B.针对本项目的售后服务措施及承诺（售后技术服务方案、人员配备、故障响应时间、技术培训方案等）。</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3、报价文件的组成</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（1）报价文件由开标一览表、小微企业等声明函、情况表，（不符合小微企业要求的无需提供）以及投标人认为其他需要说明的内容组成。</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（2）此报价为投标人一次性报出唯一的最终价格，包含其它一切所要涉及到的费用，有选择的报价将被拒绝。</w:t>
      </w:r>
    </w:p>
    <w:p>
      <w:pPr>
        <w:shd w:val="clea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本项目投标报价为完成本项目的所有费用，投标人应考虑企业自身实力、经验及项目实施过程中的各种因素，在投标报价中应充分考虑所有可能发生的费用，否则采购人将视投标报价中已包括所有费用。</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4</w:t>
      </w: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政府采购优惠政策相关资料、情况表（如有）。</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（6）投标报价应按招标文件中相关附表格式填写。</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（二）投标文件的制作及递交要求</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1、投标文件的制作要求</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（1）投标人应按照投标文件组成内容及项目招标需求制作投标文件，不按招标文件要求制作投标文件的将视情处理（拒收、扣分等），由此产生的责任由投标人自行承担。</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（2）投标人应对所提供的全部资料的真实性承担法律责任，</w:t>
      </w:r>
      <w:r>
        <w:rPr>
          <w:rFonts w:hint="eastAsia" w:ascii="宋体" w:hAnsi="宋体" w:cs="宋体"/>
          <w:color w:val="000000" w:themeColor="text1"/>
          <w:sz w:val="24"/>
          <w:szCs w:val="32"/>
          <w:highlight w:val="none"/>
          <w:lang w:val="zh-CN"/>
          <w14:textFill>
            <w14:solidFill>
              <w14:schemeClr w14:val="tx1"/>
            </w14:solidFill>
          </w14:textFill>
        </w:rPr>
        <w:t>投标文件内容中有要求盖章或签字的地方，必须加盖投标人的公章以及法定代表人或授权委托代理人盖章或签字。</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投标文件以及投标人与采购组织机构就有关投标事宜的所有来往函电，均应以中文汉语书写。除签字、盖章、专用名称等特殊情形外，以中文汉语以外的文字表述的投标文件视同未提供。</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（4）投标计量单位，招标文件已有明确规定的，使用招标文件规定的计量单位；招标文件没有规定的，应采用中华人民共和国法定计量单位（货币单位：人民币元）。</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（5）若投标人不按招标文件的要求提供资格审查材料，其风险由投标人自行承担。</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（6）与本次投标无关的内容请不要制作在内，确保投标文件有针对性、简洁明了。</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①投标文件的编制</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本项目实行电子投标，</w:t>
      </w:r>
      <w:r>
        <w:rPr>
          <w:rFonts w:hint="eastAsia" w:ascii="宋体" w:hAnsi="宋体" w:cs="宋体"/>
          <w:color w:val="000000" w:themeColor="text1"/>
          <w:sz w:val="24"/>
          <w:highlight w:val="none"/>
          <w14:textFill>
            <w14:solidFill>
              <w14:schemeClr w14:val="tx1"/>
            </w14:solidFill>
          </w14:textFill>
        </w:rPr>
        <w:t>供应商应准备电子投标文件、以介质（U盘）存储的数据电文形式的备份投标文件、纸质备份投标文件三类</w:t>
      </w:r>
      <w:r>
        <w:rPr>
          <w:rFonts w:hint="eastAsia" w:ascii="宋体" w:hAnsi="宋体" w:cs="宋体"/>
          <w:color w:val="000000" w:themeColor="text1"/>
          <w:sz w:val="24"/>
          <w:szCs w:val="32"/>
          <w:highlight w:val="none"/>
          <w14:textFill>
            <w14:solidFill>
              <w14:schemeClr w14:val="tx1"/>
            </w14:solidFill>
          </w14:textFill>
        </w:rPr>
        <w:t>：</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（1）按政采云平台项目采购--电子招投标操作指南及本招标文件要求编制。</w:t>
      </w:r>
      <w:r>
        <w:rPr>
          <w:rFonts w:hint="eastAsia" w:ascii="宋体" w:hAnsi="宋体" w:cs="宋体"/>
          <w:color w:val="000000" w:themeColor="text1"/>
          <w:sz w:val="24"/>
          <w:szCs w:val="32"/>
          <w:highlight w:val="none"/>
          <w:lang w:val="en-GB"/>
          <w14:textFill>
            <w14:solidFill>
              <w14:schemeClr w14:val="tx1"/>
            </w14:solidFill>
          </w14:textFill>
        </w:rPr>
        <w:t>投标人应通过“政采云电子交易客户端”，并按照本招标文件和“政府采购云平台”的要求编制并加密投标文件。</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投标人应当按照本章节 “投标文件组成”规定的内容及顺序在“政采云电子交易客户端”编制投标文件。其中《</w:t>
      </w:r>
      <w:r>
        <w:rPr>
          <w:rFonts w:hint="eastAsia" w:ascii="宋体" w:hAnsi="宋体" w:cs="宋体"/>
          <w:color w:val="000000" w:themeColor="text1"/>
          <w:sz w:val="24"/>
          <w:szCs w:val="32"/>
          <w:highlight w:val="none"/>
          <w14:textFill>
            <w14:solidFill>
              <w14:schemeClr w14:val="tx1"/>
            </w14:solidFill>
          </w14:textFill>
        </w:rPr>
        <w:t>资格证明文件</w:t>
      </w:r>
      <w:r>
        <w:rPr>
          <w:rFonts w:hint="eastAsia" w:ascii="宋体" w:hAnsi="宋体" w:cs="宋体"/>
          <w:color w:val="000000" w:themeColor="text1"/>
          <w:sz w:val="24"/>
          <w:szCs w:val="32"/>
          <w:highlight w:val="none"/>
          <w:lang w:val="en-GB"/>
          <w14:textFill>
            <w14:solidFill>
              <w14:schemeClr w14:val="tx1"/>
            </w14:solidFill>
          </w14:textFill>
        </w:rPr>
        <w:t>》和《</w:t>
      </w:r>
      <w:r>
        <w:rPr>
          <w:rFonts w:hint="eastAsia" w:ascii="宋体" w:hAnsi="宋体" w:cs="宋体"/>
          <w:color w:val="000000" w:themeColor="text1"/>
          <w:sz w:val="24"/>
          <w:szCs w:val="32"/>
          <w:highlight w:val="none"/>
          <w14:textFill>
            <w14:solidFill>
              <w14:schemeClr w14:val="tx1"/>
            </w14:solidFill>
          </w14:textFill>
        </w:rPr>
        <w:t>商务技术文件</w:t>
      </w:r>
      <w:r>
        <w:rPr>
          <w:rFonts w:hint="eastAsia" w:ascii="宋体" w:hAnsi="宋体" w:cs="宋体"/>
          <w:color w:val="000000" w:themeColor="text1"/>
          <w:sz w:val="24"/>
          <w:szCs w:val="32"/>
          <w:highlight w:val="none"/>
          <w:lang w:val="en-GB"/>
          <w14:textFill>
            <w14:solidFill>
              <w14:schemeClr w14:val="tx1"/>
            </w14:solidFill>
          </w14:textFill>
        </w:rPr>
        <w:t>》中不得出现本项目投标报价，如因投标人原因提前泄露投标报价，是投标人的责任。</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投标文件分为</w:t>
      </w:r>
      <w:r>
        <w:rPr>
          <w:rFonts w:hint="eastAsia" w:ascii="宋体" w:hAnsi="宋体" w:cs="宋体"/>
          <w:color w:val="000000" w:themeColor="text1"/>
          <w:sz w:val="24"/>
          <w:szCs w:val="32"/>
          <w:highlight w:val="none"/>
          <w:lang w:val="en-GB"/>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lang w:val="zh-CN"/>
          <w14:textFill>
            <w14:solidFill>
              <w14:schemeClr w14:val="tx1"/>
            </w14:solidFill>
          </w14:textFill>
        </w:rPr>
        <w:t>。各投标人在编制投标文件时请按照采购文件第六章规定的格式进行，</w:t>
      </w:r>
      <w:r>
        <w:rPr>
          <w:rFonts w:hint="eastAsia" w:ascii="宋体" w:hAnsi="宋体" w:cs="宋体"/>
          <w:color w:val="000000" w:themeColor="text1"/>
          <w:sz w:val="24"/>
          <w:szCs w:val="32"/>
          <w:highlight w:val="none"/>
          <w:lang w:val="en-GB"/>
          <w14:textFill>
            <w14:solidFill>
              <w14:schemeClr w14:val="tx1"/>
            </w14:solidFill>
          </w14:textFill>
        </w:rPr>
        <w:t>并按格式要求在指定位置根据要求进行签章，否则视为未提供，未提供格式的，请各投标人自行拟定格式，并加盖单位公章并由法定代表人或其授权委托代理人签署（签字或盖章），否则视为未提供。</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1.3《投标文件》内容不完整、</w:t>
      </w:r>
      <w:r>
        <w:rPr>
          <w:rFonts w:hint="eastAsia" w:ascii="宋体" w:hAnsi="宋体" w:cs="宋体"/>
          <w:color w:val="000000" w:themeColor="text1"/>
          <w:sz w:val="24"/>
          <w:szCs w:val="32"/>
          <w:highlight w:val="none"/>
          <w:lang w:val="zh-CN"/>
          <w14:textFill>
            <w14:solidFill>
              <w14:schemeClr w14:val="tx1"/>
            </w14:solidFill>
          </w14:textFill>
        </w:rPr>
        <w:t>混乱的编排导致投标文件被误读或评标委员会查找不到有效文件是投标人的责任。</w:t>
      </w:r>
      <w:r>
        <w:rPr>
          <w:rFonts w:hint="eastAsia" w:ascii="宋体" w:hAnsi="宋体" w:cs="宋体"/>
          <w:color w:val="000000" w:themeColor="text1"/>
          <w:sz w:val="24"/>
          <w:szCs w:val="32"/>
          <w:highlight w:val="none"/>
          <w:lang w:val="en-GB"/>
          <w14:textFill>
            <w14:solidFill>
              <w14:schemeClr w14:val="tx1"/>
            </w14:solidFill>
          </w14:textFill>
        </w:rPr>
        <w:t>《投标文件》因字迹潦草或表达不清所引起的后果由投标人负责，▲投标文件未按规定的格式编制的，投标无效。</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（2）以介质</w:t>
      </w:r>
      <w:r>
        <w:rPr>
          <w:rFonts w:hint="eastAsia" w:ascii="宋体" w:hAnsi="宋体" w:cs="宋体"/>
          <w:color w:val="000000" w:themeColor="text1"/>
          <w:sz w:val="24"/>
          <w:highlight w:val="none"/>
          <w14:textFill>
            <w14:solidFill>
              <w14:schemeClr w14:val="tx1"/>
            </w14:solidFill>
          </w14:textFill>
        </w:rPr>
        <w:t>（U盘）</w:t>
      </w:r>
      <w:r>
        <w:rPr>
          <w:rFonts w:hint="eastAsia" w:ascii="宋体" w:hAnsi="宋体" w:cs="宋体"/>
          <w:color w:val="000000" w:themeColor="text1"/>
          <w:sz w:val="24"/>
          <w:szCs w:val="32"/>
          <w:highlight w:val="none"/>
          <w14:textFill>
            <w14:solidFill>
              <w14:schemeClr w14:val="tx1"/>
            </w14:solidFill>
          </w14:textFill>
        </w:rPr>
        <w:t>存储的数据电文形式的备份投标文件，按政采云平台项目采购-电子招投标操作指南中上传的电子投标文件格式，以U盘形式提供。数量为1份。</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（3）纸质备份投标文件以纸质文件的形式编制，按</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分别编制并单独装订成册，</w:t>
      </w:r>
      <w:r>
        <w:rPr>
          <w:rFonts w:hint="eastAsia" w:ascii="宋体" w:hAnsi="宋体" w:cs="宋体"/>
          <w:b/>
          <w:bCs/>
          <w:color w:val="000000" w:themeColor="text1"/>
          <w:sz w:val="24"/>
          <w:highlight w:val="none"/>
          <w14:textFill>
            <w14:solidFill>
              <w14:schemeClr w14:val="tx1"/>
            </w14:solidFill>
          </w14:textFill>
        </w:rPr>
        <w:t>数量均为2份（一正一副）</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须分别密封封装，</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未分别密封的投标文件将为无效。除报价文件外其余一律不准出现数字报价。如有不同标段，请按标段号分别装订，密封要求同上。</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Ⅰ电子投标文件</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电子投标文件如内容不完整、编排混乱导致投标文件被误读、漏读，或者在按采购文件规定的部位查找不到相关内容的，由投标人自行承担。</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2.温馨提醒：CA签章上目前没有法人或授权委托代理人签字信息，需要投标人联系</w:t>
      </w:r>
      <w:r>
        <w:rPr>
          <w:rFonts w:hint="eastAsia" w:ascii="宋体" w:hAnsi="宋体" w:cs="宋体"/>
          <w:b/>
          <w:bCs/>
          <w:color w:val="000000" w:themeColor="text1"/>
          <w:sz w:val="24"/>
          <w:szCs w:val="32"/>
          <w:highlight w:val="none"/>
          <w14:textFill>
            <w14:solidFill>
              <w14:schemeClr w14:val="tx1"/>
            </w14:solidFill>
          </w14:textFill>
        </w:rPr>
        <w:t>浙江杭州汇信科技有限公司（400-8884636）</w:t>
      </w:r>
      <w:r>
        <w:rPr>
          <w:rFonts w:hint="eastAsia" w:ascii="宋体" w:hAnsi="宋体" w:cs="宋体"/>
          <w:color w:val="000000" w:themeColor="text1"/>
          <w:sz w:val="24"/>
          <w:szCs w:val="32"/>
          <w:highlight w:val="none"/>
          <w14:textFill>
            <w14:solidFill>
              <w14:schemeClr w14:val="tx1"/>
            </w14:solidFill>
          </w14:textFill>
        </w:rPr>
        <w:t>等相应公司进行办理，或在投标文件中涉及到签字的位置线下签好字然后扫描或者拍照做成PDF的格式亦可。</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b/>
          <w:bCs/>
          <w:color w:val="000000" w:themeColor="text1"/>
          <w:sz w:val="24"/>
          <w:szCs w:val="32"/>
          <w:highlight w:val="none"/>
          <w14:textFill>
            <w14:solidFill>
              <w14:schemeClr w14:val="tx1"/>
            </w14:solidFill>
          </w14:textFill>
        </w:rPr>
        <w:t>以介质（U盘）存储的数据电文形式的备份投标文件</w:t>
      </w:r>
      <w:r>
        <w:rPr>
          <w:rFonts w:hint="eastAsia" w:ascii="宋体" w:hAnsi="宋体" w:cs="宋体"/>
          <w:color w:val="000000" w:themeColor="text1"/>
          <w:sz w:val="24"/>
          <w:szCs w:val="32"/>
          <w:highlight w:val="none"/>
          <w14:textFill>
            <w14:solidFill>
              <w14:schemeClr w14:val="tx1"/>
            </w14:solidFill>
          </w14:textFill>
        </w:rPr>
        <w:t>，按政采云平台项目采购-电子招投标操作指南中上传的电子投标文件格式，以U盘形式提供。数量为1份。</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Ⅱ纸质备份投标文件</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1.所有纸质投标资料应按投标文件的组成所列内容及顺序装订成册，</w:t>
      </w:r>
      <w:r>
        <w:rPr>
          <w:rFonts w:hint="eastAsia" w:ascii="宋体" w:hAnsi="宋体" w:cs="宋体"/>
          <w:color w:val="000000" w:themeColor="text1"/>
          <w:sz w:val="24"/>
          <w:szCs w:val="32"/>
          <w:highlight w:val="none"/>
          <w:lang w:val="zh-CN"/>
          <w14:textFill>
            <w14:solidFill>
              <w14:schemeClr w14:val="tx1"/>
            </w14:solidFill>
          </w14:textFill>
        </w:rPr>
        <w:t>并逐页连续标注页码。因投标文件内容不完整、编排混乱导致投标文件被误读、漏读或者查找不到相关内容的责任由投标人自行承担。</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2.投标人应按</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分别编制并单独装订成册，活页装订的投标文件将被拒绝。投标文件需打印或用不褪色的墨水填写。</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3.投标人应按</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分别密封封装纸质备份投标文件。</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w:t>
      </w:r>
      <w:r>
        <w:rPr>
          <w:rFonts w:hint="eastAsia" w:ascii="宋体" w:hAnsi="宋体" w:cs="宋体"/>
          <w:color w:val="000000" w:themeColor="text1"/>
          <w:sz w:val="24"/>
          <w:szCs w:val="32"/>
          <w:highlight w:val="none"/>
          <w14:textFill>
            <w14:solidFill>
              <w14:schemeClr w14:val="tx1"/>
            </w14:solidFill>
          </w14:textFill>
        </w:rPr>
        <w:t>）”、“开标时启封”字样，未按上述要求密封及加写标记，采购组织机构对投标文件的误投和提前启封不负责任。</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4.项目如分标段，各标段投标文件必须分开编制，并按上述份数要求单独密封包装。</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w:t>
      </w:r>
      <w:r>
        <w:rPr>
          <w:rFonts w:hint="eastAsia" w:ascii="宋体" w:hAnsi="宋体" w:cs="宋体"/>
          <w:color w:val="000000" w:themeColor="text1"/>
          <w:sz w:val="24"/>
          <w:szCs w:val="32"/>
          <w:highlight w:val="none"/>
          <w:lang w:val="zh-CN"/>
          <w14:textFill>
            <w14:solidFill>
              <w14:schemeClr w14:val="tx1"/>
            </w14:solidFill>
          </w14:textFill>
        </w:rPr>
        <w:t>因密封不严、标记不明而造成失密、拒收、过早启封等情况，采购组织机构概不负责。</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7.纸质备份投标文件须由投标人在规定位置盖章并由法定代表人签署或盖章，投标人应写全称。纸质备份投标文件未按照招标文件要求签署、盖章的，其投标无效。</w:t>
      </w:r>
    </w:p>
    <w:p>
      <w:pPr>
        <w:shd w:val="clear"/>
        <w:spacing w:line="360" w:lineRule="auto"/>
        <w:ind w:firstLine="480"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8.纸质备份投标文件不得涂改，若有修改错漏处，须加盖单位公章或法定代表人或授权委托人签字或盖章。投标文件因字迹潦草或表达不清所引起的后果由投标人负责。</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2、投标文件的递交要求</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）“投标文件”的上传、递交：见《前附表》。▲未传输递交电子投标文件的，投标无效。</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（2）以介质</w:t>
      </w:r>
      <w:r>
        <w:rPr>
          <w:rFonts w:hint="eastAsia" w:ascii="宋体" w:hAnsi="宋体" w:cs="宋体"/>
          <w:color w:val="000000" w:themeColor="text1"/>
          <w:sz w:val="24"/>
          <w:highlight w:val="none"/>
          <w14:textFill>
            <w14:solidFill>
              <w14:schemeClr w14:val="tx1"/>
            </w14:solidFill>
          </w14:textFill>
        </w:rPr>
        <w:t>（U盘）</w:t>
      </w:r>
      <w:r>
        <w:rPr>
          <w:rFonts w:hint="eastAsia" w:ascii="宋体" w:hAnsi="宋体" w:cs="宋体"/>
          <w:color w:val="000000" w:themeColor="text1"/>
          <w:sz w:val="24"/>
          <w:szCs w:val="32"/>
          <w:highlight w:val="none"/>
          <w14:textFill>
            <w14:solidFill>
              <w14:schemeClr w14:val="tx1"/>
            </w14:solidFill>
          </w14:textFill>
        </w:rPr>
        <w:t>存储的数据电文形式的备份投标文件和纸质备份投标文件必须在规定时间前送达或邮寄至</w:t>
      </w:r>
      <w:r>
        <w:rPr>
          <w:rFonts w:hint="eastAsia" w:ascii="宋体" w:hAnsi="宋体" w:cs="宋体"/>
          <w:color w:val="000000" w:themeColor="text1"/>
          <w:sz w:val="24"/>
          <w:highlight w:val="none"/>
          <w:lang w:val="en-GB"/>
          <w14:textFill>
            <w14:solidFill>
              <w14:schemeClr w14:val="tx1"/>
            </w14:solidFill>
          </w14:textFill>
        </w:rPr>
        <w:t>公告规定的</w:t>
      </w:r>
      <w:r>
        <w:rPr>
          <w:rFonts w:hint="eastAsia" w:ascii="宋体" w:hAnsi="宋体" w:cs="宋体"/>
          <w:color w:val="000000" w:themeColor="text1"/>
          <w:sz w:val="24"/>
          <w:szCs w:val="32"/>
          <w:highlight w:val="none"/>
          <w14:textFill>
            <w14:solidFill>
              <w14:schemeClr w14:val="tx1"/>
            </w14:solidFill>
          </w14:textFill>
        </w:rPr>
        <w:t>地点。备份投标文件在截止时间后提交，采购组织机构将拒绝接收。</w:t>
      </w:r>
      <w:r>
        <w:rPr>
          <w:rFonts w:hint="eastAsia" w:ascii="宋体" w:hAnsi="宋体" w:cs="宋体"/>
          <w:color w:val="000000" w:themeColor="text1"/>
          <w:sz w:val="24"/>
          <w:highlight w:val="none"/>
          <w:lang w:val="en-GB"/>
          <w14:textFill>
            <w14:solidFill>
              <w14:schemeClr w14:val="tx1"/>
            </w14:solidFill>
          </w14:textFill>
        </w:rPr>
        <w:t>▲未按规定提供相应的备份投标文件，造成项目开评标活动无法进行下去的，投标无效。</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（3）如有特殊情况，采购组织机构延长截止时间和开标时间，采购组织机构和投标人的权利和义务将受到新的截止时间和开标时间的约束。</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4</w:t>
      </w:r>
      <w:r>
        <w:rPr>
          <w:rFonts w:hint="eastAsia" w:ascii="宋体" w:hAnsi="宋体" w:cs="宋体"/>
          <w:color w:val="000000" w:themeColor="text1"/>
          <w:sz w:val="24"/>
          <w:szCs w:val="32"/>
          <w:highlight w:val="none"/>
          <w:lang w:val="en-GB"/>
          <w14:textFill>
            <w14:solidFill>
              <w14:schemeClr w14:val="tx1"/>
            </w14:solidFill>
          </w14:textFill>
        </w:rPr>
        <w:t>）投标文件的备选方案</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投标人不得递交任何的投标备选（替代）方案，否则其投标文件将作无效标处理。与“电子加密投标文件”同时生成的“备份投标文件”不是投标备选（替代）方案。</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（三）投标文件的有效期</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自投标截止日起90天投标文件应保持有效。有效期不足的投标文件将被拒绝。</w:t>
      </w:r>
    </w:p>
    <w:p>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en-GB"/>
          <w14:textFill>
            <w14:solidFill>
              <w14:schemeClr w14:val="tx1"/>
            </w14:solidFill>
          </w14:textFill>
        </w:rPr>
        <w:t>在特殊情况下，采购人可与投标人协商延长投标文件的有效期，这种要求和答复均以书面形式进行。</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3.中标人的投标文件自开标之日起至合同履行完毕均应保持有效。</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四、</w:t>
      </w:r>
      <w:r>
        <w:rPr>
          <w:rFonts w:hint="eastAsia" w:ascii="宋体" w:hAnsi="宋体" w:cs="宋体"/>
          <w:b/>
          <w:bCs/>
          <w:color w:val="000000" w:themeColor="text1"/>
          <w:sz w:val="24"/>
          <w:szCs w:val="32"/>
          <w:highlight w:val="none"/>
          <w14:textFill>
            <w14:solidFill>
              <w14:schemeClr w14:val="tx1"/>
            </w14:solidFill>
          </w14:textFill>
        </w:rPr>
        <w:t>开标</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（一）开标事项</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采购组织机构在“招标公告”规定的时间和地点公开开标，本次招标采用先评审商务资格和技术服务方案，后公开并评审报价的办法实施。</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（1）电子交易平台发生故障而无法登录访问的； </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（2）电子交易平台应用或数据库出现错误，不能进行正常操作的；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（3）电子交易平台发现严重安全漏洞，有潜在泄密危险的；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（4）病毒导致不能进行正常操作的；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（5）其他无法保证电子交易的公平、公正和安全的情况。</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 开标程序：</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1、开标会由招标项目负责人主持，主持人宣布开标会议开始；</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2、主持人介绍参加开标会的人员名单； </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3、主持人宣布评标期间的有关事项，告知应当回避的情形，提请有关人员回避；对投标人进行签到验证。</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4、向各投标人发出电子加密投标文件【开始解密】通知，由投标人按招标文件规定的时间内自行进行投标文件解密。投标文件的制作和解密应使用同一个数字证书，否则将可能解密失败。</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5、采购组织机构点击【开启标书信息】，开启标书成功后进入开标流程。</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w:t>
      </w:r>
      <w:r>
        <w:rPr>
          <w:rFonts w:hint="eastAsia" w:ascii="宋体" w:hAnsi="宋体" w:cs="宋体"/>
          <w:color w:val="000000" w:themeColor="text1"/>
          <w:sz w:val="24"/>
          <w:szCs w:val="32"/>
          <w:highlight w:val="none"/>
          <w:lang w:val="zh-CN"/>
          <w14:textFill>
            <w14:solidFill>
              <w14:schemeClr w14:val="tx1"/>
            </w14:solidFill>
          </w14:textFill>
        </w:rPr>
        <w:t>资格证明文件和商务技术文件</w:t>
      </w:r>
      <w:r>
        <w:rPr>
          <w:rFonts w:hint="eastAsia" w:ascii="宋体" w:hAnsi="宋体" w:cs="宋体"/>
          <w:color w:val="000000" w:themeColor="text1"/>
          <w:sz w:val="24"/>
          <w:szCs w:val="32"/>
          <w:highlight w:val="none"/>
          <w14:textFill>
            <w14:solidFill>
              <w14:schemeClr w14:val="tx1"/>
            </w14:solidFill>
          </w14:textFill>
        </w:rPr>
        <w:t>评审；</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7、由主持人公布无效投标的投标人名单、投标无效的原因及其他有效投标的评分汇总分；</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8、开启报价响应文件：采购代理机构成功开启报价响应文件后，方可查看各供应商报价情况。</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9、报价文件评审；</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10、由主持人公布无效投标的投标人名单、投标无效的原因及其他有效投标的报价文件得分；</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11、宣布综合得分结果及中标候选人名单；</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12、开标会议结束。</w:t>
      </w:r>
    </w:p>
    <w:p>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五、评标</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（一）组建评标委员会</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评标委员会由采购人代表和评审专家组成，成员人数为5人以上单数，其中评审专家不得少于成员总数的三分之二。</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（二）评标程序</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1、资格审查</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2、符合性审查</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3、综合比较与评价</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（3）评标时，评标委员会各成员应当独立对每个投标人的投标文件进行评价，并汇总每个投标人的得分。</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4、得分确认及评审报告编写</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（1）评标委员会对报价文件进行复核，对于系统计算出的价格分及总得分进行确认；</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（3）评标委员会按评标原则及得分情况编写评审报告。</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5、评价</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采购组织机构对评标委员会评审专家进行评价。</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（三）澄清问题的形式</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投标人的澄清、说明或者补正应当采用书面形式，并加盖公章，或者由法定代理人或其授权委托代理人签字，并不得超出投标文件的范围或者改变投标文件的实质性内容。</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（四）错误修正</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投标文件报价出现前后不一致的，除招标文件另有规定外，按照下列规定修正：</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1、投标文件中开标一览表（报价表）内容与投标文件中相应内容不一致的，以开标一览表（报价表）为准；</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2、大写金额和小写金额不一致的，以大写金额为准；</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3、单价金额小数点或者百分比有明显错位的，以开标一览表的总价为准，并修改单价；</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4、总价金额与按单价汇总金额不一致的，以单价金额计算结果为准。</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（五）投标人存在下列情况之一的，投标无效：</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1、电子投标文件及纸质备份投标文件在指定页面无法定代表人盖章或签字、未在指定页面盖公章、在指定页面无被授权人签字或未提供法定代表人授权委托书。</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cs="宋体"/>
          <w:color w:val="000000" w:themeColor="text1"/>
          <w:sz w:val="24"/>
          <w:szCs w:val="32"/>
          <w:highlight w:val="none"/>
          <w14:textFill>
            <w14:solidFill>
              <w14:schemeClr w14:val="tx1"/>
            </w14:solidFill>
          </w14:textFill>
        </w:rPr>
        <w:t>跟报价文件出现混装或在</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cs="宋体"/>
          <w:color w:val="000000" w:themeColor="text1"/>
          <w:sz w:val="24"/>
          <w:szCs w:val="32"/>
          <w:highlight w:val="none"/>
          <w14:textFill>
            <w14:solidFill>
              <w14:schemeClr w14:val="tx1"/>
            </w14:solidFill>
          </w14:textFill>
        </w:rPr>
        <w:t>中出现投标报价的，或者报价文件中报价的货物跟</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cs="宋体"/>
          <w:color w:val="000000" w:themeColor="text1"/>
          <w:sz w:val="24"/>
          <w:szCs w:val="32"/>
          <w:highlight w:val="none"/>
          <w14:textFill>
            <w14:solidFill>
              <w14:schemeClr w14:val="tx1"/>
            </w14:solidFill>
          </w14:textFill>
        </w:rPr>
        <w:t>中的投标货物出现重大偏差的。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3、不具备招标文件中规定的资格要求的。</w:t>
      </w:r>
      <w:r>
        <w:rPr>
          <w:rFonts w:hint="eastAsia" w:ascii="宋体" w:hAnsi="宋体" w:cs="宋体"/>
          <w:color w:val="000000" w:themeColor="text1"/>
          <w:sz w:val="24"/>
          <w:szCs w:val="32"/>
          <w:highlight w:val="none"/>
          <w14:textFill>
            <w14:solidFill>
              <w14:schemeClr w14:val="tx1"/>
            </w14:solidFill>
          </w14:textFill>
        </w:rPr>
        <w:tab/>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4、投标文件含有采购人不能接受的附加条件的。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5、授权委托代理人未能出具身份证明或与法定代表人授权委托代理人身份不符的。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7、报价超过招标文件中规定的预算金额/最高限价。</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8、投标参数未如实填写，完全复制粘贴招标参数的。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9、投标文件提供虚假材料的。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10、投标人的电子投标文件无法按时解密的。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11、不符合中华人民共和国财政部令第87号《政府采购货物和服务招标投标管理办法》第三十七条情形之一的，视为投标人串通投标，其投标无效，并移送采购监管部门：</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（1）不同投标人的投标文件由同一单位或者个人编制；不同投标人的投标文件，由同一台电脑编制；</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（2）不同投标人委托同一单位或者个人办理投标事宜；</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（3）不同投标人的投标文件载明的项目管理成员或者联系人员为同一人；</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（4）不同投标人的投标文件异常一致或者投标报价呈规律性差异；</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（5）不同投标人的投标文件相互混装。</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12、不符合法律、法规和招标文件中规定的其他实质性要求的（招标文件中打“▲”内容及被拒绝的条款）。</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13、未传输递交电子投标文件的或者未按规定提供相应的备份投标文件，造成项目开评标活动无法进行下去的。</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（六）有下列情况之一的，本次招标作为废标处理：</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1、出现影响采购公正的违法、违规行为的；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3、因重大变故，采购任务取消的；</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4、法律、法规和招标文件规定的其他导致评标结果无效的。</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（七）评标原则和评标办法</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2、评标办法。具体评标内容及评分标准等详见《第三章 评标方法及评分标准》。</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（八）评标过程的监控</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六、定标</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3、发出中标通知书。采购组织机构在发布中标结果的同时，向中标人发出中标通知书。</w:t>
      </w:r>
    </w:p>
    <w:p>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招标代理费用：标段一壹万贰仟元整，标段二柒仟伍佰元整，标段三肆仟伍佰元整向中标单位收取招标代理费，该费用中标方须在中标通知书发出后一次性付清。（户名：浙江五石中正工程咨询有限公司；账号：1202003209900014176；开户银行：中国工商银行杭州市潮王路支行）财务电话：0571-88271625。</w:t>
      </w:r>
    </w:p>
    <w:p>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七、合同签订及公告</w:t>
      </w:r>
      <w:bookmarkStart w:id="12" w:name="_GoBack"/>
      <w:bookmarkEnd w:id="12"/>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（一）签订合同</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1、采购人应当自中标通知书发出之日起30天内，按照招标文件和中标人投标文件的规定，与中标人签订书面合同。所签订的合同不得对招标文件确定的事项和中标人投标文件作实质性修改。</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2、采购人不得向中标人提出任何不合理的要求作为签订合同的条件。</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3、中标供应商无故拖延、拒签合同的，取消中标资格。</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（二）合同公告及备案</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1、采购人应当自政府采购合同签订之日起2个工作日内，在省级以上财政部门指定的政府采购信息发布媒体及相关网站上公告。</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第三章 评标办法及评分标准</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一、采购组织机构将组织评标委员会，对投标人提供的投标文件进行综合评审。</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二、本次招标项目的评标方法为综合评分法，总计100分。</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（一）商务与技术文件中的客观分由评标委员会讨论后统一打分；其余在规定的分值内单独评定打分。</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（二）各投标人商务与技术文件得分按照评标委员会成员的独立评分结果汇总后的算术平均分计算，计算公式为：</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商务与技术文件得分</w:t>
      </w:r>
      <w:r>
        <w:rPr>
          <w:rFonts w:hint="eastAsia" w:ascii="宋体" w:hAnsi="宋体" w:cs="宋体"/>
          <w:color w:val="000000" w:themeColor="text1"/>
          <w:sz w:val="24"/>
          <w:szCs w:val="32"/>
          <w:highlight w:val="none"/>
          <w:lang w:val="zh-CN"/>
          <w14:textFill>
            <w14:solidFill>
              <w14:schemeClr w14:val="tx1"/>
            </w14:solidFill>
          </w14:textFill>
        </w:rPr>
        <w:t>=评标委员会所有成员评分合计数/评标委员会组成人员数。</w:t>
      </w:r>
    </w:p>
    <w:p>
      <w:pPr>
        <w:shd w:val="clear"/>
        <w:spacing w:line="46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商务报价标满分30分（在计算过程中</w:t>
      </w:r>
      <w:r>
        <w:rPr>
          <w:rFonts w:hint="eastAsia" w:ascii="宋体" w:hAnsi="宋体" w:cs="宋体"/>
          <w:bCs/>
          <w:color w:val="000000" w:themeColor="text1"/>
          <w:sz w:val="24"/>
          <w:highlight w:val="none"/>
          <w14:textFill>
            <w14:solidFill>
              <w14:schemeClr w14:val="tx1"/>
            </w14:solidFill>
          </w14:textFill>
        </w:rPr>
        <w:t>采用四舍五入法，</w:t>
      </w:r>
      <w:r>
        <w:rPr>
          <w:rFonts w:hint="eastAsia" w:ascii="宋体" w:hAnsi="宋体" w:cs="宋体"/>
          <w:color w:val="000000" w:themeColor="text1"/>
          <w:sz w:val="24"/>
          <w:highlight w:val="none"/>
          <w14:textFill>
            <w14:solidFill>
              <w14:schemeClr w14:val="tx1"/>
            </w14:solidFill>
          </w14:textFill>
        </w:rPr>
        <w:t>小数点后</w:t>
      </w:r>
      <w:r>
        <w:rPr>
          <w:rFonts w:hint="eastAsia" w:ascii="宋体" w:hAnsi="宋体" w:cs="宋体"/>
          <w:bCs/>
          <w:color w:val="000000" w:themeColor="text1"/>
          <w:sz w:val="24"/>
          <w:highlight w:val="none"/>
          <w14:textFill>
            <w14:solidFill>
              <w14:schemeClr w14:val="tx1"/>
            </w14:solidFill>
          </w14:textFill>
        </w:rPr>
        <w:t>保留</w:t>
      </w:r>
      <w:r>
        <w:rPr>
          <w:rFonts w:hint="eastAsia" w:ascii="宋体" w:hAnsi="宋体" w:cs="宋体"/>
          <w:color w:val="000000" w:themeColor="text1"/>
          <w:sz w:val="24"/>
          <w:highlight w:val="none"/>
          <w14:textFill>
            <w14:solidFill>
              <w14:schemeClr w14:val="tx1"/>
            </w14:solidFill>
          </w14:textFill>
        </w:rPr>
        <w:t>2位）。评标委员会根据投标人的商务报价标分别进行评审。报价分采用低价优先法计算，即</w:t>
      </w:r>
      <w:r>
        <w:rPr>
          <w:rFonts w:hint="eastAsia" w:ascii="宋体" w:hAnsi="宋体" w:cs="宋体"/>
          <w:bCs/>
          <w:color w:val="000000" w:themeColor="text1"/>
          <w:sz w:val="24"/>
          <w:highlight w:val="none"/>
          <w14:textFill>
            <w14:solidFill>
              <w14:schemeClr w14:val="tx1"/>
            </w14:solidFill>
          </w14:textFill>
        </w:rPr>
        <w:t>从投标人有效投标报价中选取</w:t>
      </w:r>
      <w:r>
        <w:rPr>
          <w:rFonts w:hint="eastAsia" w:ascii="宋体" w:hAnsi="宋体" w:cs="宋体"/>
          <w:b/>
          <w:bCs/>
          <w:color w:val="000000" w:themeColor="text1"/>
          <w:sz w:val="24"/>
          <w:highlight w:val="none"/>
          <w14:textFill>
            <w14:solidFill>
              <w14:schemeClr w14:val="tx1"/>
            </w14:solidFill>
          </w14:textFill>
        </w:rPr>
        <w:t>最低折扣率</w:t>
      </w:r>
      <w:r>
        <w:rPr>
          <w:rFonts w:hint="eastAsia" w:ascii="宋体" w:hAnsi="宋体" w:cs="宋体"/>
          <w:bCs/>
          <w:color w:val="000000" w:themeColor="text1"/>
          <w:sz w:val="24"/>
          <w:highlight w:val="none"/>
          <w14:textFill>
            <w14:solidFill>
              <w14:schemeClr w14:val="tx1"/>
            </w14:solidFill>
          </w14:textFill>
        </w:rPr>
        <w:t>为评标基准价，按比例分别计算投标人的折扣率得分</w:t>
      </w:r>
      <w:r>
        <w:rPr>
          <w:rFonts w:hint="eastAsia" w:ascii="宋体" w:hAnsi="宋体" w:cs="宋体"/>
          <w:color w:val="000000" w:themeColor="text1"/>
          <w:sz w:val="24"/>
          <w:highlight w:val="none"/>
          <w14:textFill>
            <w14:solidFill>
              <w14:schemeClr w14:val="tx1"/>
            </w14:solidFill>
          </w14:textFill>
        </w:rPr>
        <w:t>，其他投标人的价格分按照下列公式计算：</w:t>
      </w:r>
    </w:p>
    <w:p>
      <w:pPr>
        <w:shd w:val="clear"/>
        <w:spacing w:line="460" w:lineRule="exact"/>
        <w:ind w:firstLine="480" w:firstLineChars="200"/>
        <w:textAlignment w:val="baseline"/>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折扣率=实洋/码洋*100%</w:t>
      </w:r>
    </w:p>
    <w:p>
      <w:pPr>
        <w:shd w:val="clear"/>
        <w:spacing w:line="460" w:lineRule="exact"/>
        <w:ind w:firstLine="480" w:firstLineChars="200"/>
        <w:textAlignment w:val="baseline"/>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商务报价标得分＝（</w:t>
      </w:r>
      <w:r>
        <w:rPr>
          <w:rFonts w:hint="eastAsia" w:ascii="宋体" w:hAnsi="宋体" w:cs="宋体"/>
          <w:bCs/>
          <w:color w:val="000000" w:themeColor="text1"/>
          <w:sz w:val="24"/>
          <w:highlight w:val="none"/>
          <w:u w:val="single"/>
          <w14:textFill>
            <w14:solidFill>
              <w14:schemeClr w14:val="tx1"/>
            </w14:solidFill>
          </w14:textFill>
        </w:rPr>
        <w:t>最低有效折扣率</w:t>
      </w:r>
      <w:r>
        <w:rPr>
          <w:rFonts w:hint="eastAsia" w:ascii="宋体" w:hAnsi="宋体" w:cs="宋体"/>
          <w:bCs/>
          <w:color w:val="000000" w:themeColor="text1"/>
          <w:sz w:val="28"/>
          <w:szCs w:val="28"/>
          <w:highlight w:val="none"/>
          <w:u w:val="single"/>
          <w14:textFill>
            <w14:solidFill>
              <w14:schemeClr w14:val="tx1"/>
            </w14:solidFill>
          </w14:textFill>
        </w:rPr>
        <w:t>÷</w:t>
      </w:r>
      <w:r>
        <w:rPr>
          <w:rFonts w:hint="eastAsia" w:ascii="宋体" w:hAnsi="宋体" w:cs="宋体"/>
          <w:bCs/>
          <w:color w:val="000000" w:themeColor="text1"/>
          <w:sz w:val="24"/>
          <w:highlight w:val="none"/>
          <w:u w:val="single"/>
          <w14:textFill>
            <w14:solidFill>
              <w14:schemeClr w14:val="tx1"/>
            </w14:solidFill>
          </w14:textFill>
        </w:rPr>
        <w:t>投标人有效折扣率</w:t>
      </w:r>
      <w:r>
        <w:rPr>
          <w:rFonts w:hint="eastAsia"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szCs w:val="32"/>
          <w:highlight w:val="none"/>
          <w:u w:val="single"/>
          <w14:textFill>
            <w14:solidFill>
              <w14:schemeClr w14:val="tx1"/>
            </w14:solidFill>
          </w14:textFill>
        </w:rPr>
        <w:t>0%×100</w:t>
      </w:r>
    </w:p>
    <w:p>
      <w:pPr>
        <w:shd w:val="clear"/>
        <w:spacing w:line="460" w:lineRule="exact"/>
        <w:ind w:firstLine="480" w:firstLineChars="200"/>
        <w:textAlignment w:val="baseline"/>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w:t>
      </w:r>
      <w:r>
        <w:rPr>
          <w:rFonts w:hint="eastAsia" w:ascii="宋体" w:hAnsi="宋体" w:cs="宋体"/>
          <w:bCs/>
          <w:color w:val="000000" w:themeColor="text1"/>
          <w:sz w:val="24"/>
          <w:highlight w:val="none"/>
          <w14:textFill>
            <w14:solidFill>
              <w14:schemeClr w14:val="tx1"/>
            </w14:solidFill>
          </w14:textFill>
        </w:rPr>
        <w:t>最高折扣率限额</w:t>
      </w:r>
      <w:r>
        <w:rPr>
          <w:rFonts w:hint="eastAsia" w:ascii="宋体" w:hAnsi="宋体" w:cs="宋体"/>
          <w:color w:val="000000" w:themeColor="text1"/>
          <w:sz w:val="24"/>
          <w:highlight w:val="none"/>
          <w14:textFill>
            <w14:solidFill>
              <w14:schemeClr w14:val="tx1"/>
            </w14:solidFill>
          </w14:textFill>
        </w:rPr>
        <w:t>已在招标文件中公布，</w:t>
      </w:r>
      <w:r>
        <w:rPr>
          <w:rFonts w:hint="eastAsia" w:ascii="宋体" w:hAnsi="宋体" w:cs="宋体"/>
          <w:b/>
          <w:color w:val="000000" w:themeColor="text1"/>
          <w:sz w:val="24"/>
          <w:highlight w:val="none"/>
          <w14:textFill>
            <w14:solidFill>
              <w14:schemeClr w14:val="tx1"/>
            </w14:solidFill>
          </w14:textFill>
        </w:rPr>
        <w:t>投标人报价超出</w:t>
      </w:r>
      <w:r>
        <w:rPr>
          <w:rFonts w:hint="eastAsia" w:ascii="宋体" w:hAnsi="宋体" w:cs="宋体"/>
          <w:b/>
          <w:bCs/>
          <w:color w:val="000000" w:themeColor="text1"/>
          <w:sz w:val="24"/>
          <w:highlight w:val="none"/>
          <w14:textFill>
            <w14:solidFill>
              <w14:schemeClr w14:val="tx1"/>
            </w14:solidFill>
          </w14:textFill>
        </w:rPr>
        <w:t>最高折扣率限额</w:t>
      </w:r>
      <w:r>
        <w:rPr>
          <w:rFonts w:hint="eastAsia" w:ascii="宋体" w:hAnsi="宋体" w:cs="宋体"/>
          <w:b/>
          <w:color w:val="000000" w:themeColor="text1"/>
          <w:sz w:val="24"/>
          <w:highlight w:val="none"/>
          <w14:textFill>
            <w14:solidFill>
              <w14:schemeClr w14:val="tx1"/>
            </w14:solidFill>
          </w14:textFill>
        </w:rPr>
        <w:t>的，投标无效。</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（四）政府采购政策及优惠：</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①组成联合体或者接受分包的小微企业与联合体内其他企业、分包企业之间存在直接控股、管理关系的，不享受价格扣除优惠政策。</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投标文件中须同时出具《政府采购促进中小企业发展管理办法》</w:t>
      </w:r>
      <w:r>
        <w:rPr>
          <w:rFonts w:hint="eastAsia" w:ascii="宋体" w:hAnsi="宋体" w:cs="宋体"/>
          <w:color w:val="000000" w:themeColor="text1"/>
          <w:sz w:val="24"/>
          <w:szCs w:val="32"/>
          <w:highlight w:val="non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【财库（2020）46号】规定的《中小企业声明函》，否则不得享受价格扣除。</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本项目对符合规定的小微企业（含小型企业）报价给予</w:t>
      </w:r>
      <w:r>
        <w:rPr>
          <w:rFonts w:hint="eastAsia" w:ascii="宋体" w:hAnsi="宋体" w:cs="宋体"/>
          <w:color w:val="000000" w:themeColor="text1"/>
          <w:sz w:val="24"/>
          <w:szCs w:val="32"/>
          <w:highlight w:val="none"/>
          <w14:textFill>
            <w14:solidFill>
              <w14:schemeClr w14:val="tx1"/>
            </w14:solidFill>
          </w14:textFill>
        </w:rPr>
        <w:t>10</w:t>
      </w:r>
      <w:r>
        <w:rPr>
          <w:rFonts w:hint="eastAsia" w:ascii="宋体" w:hAnsi="宋体" w:cs="宋体"/>
          <w:color w:val="000000" w:themeColor="text1"/>
          <w:sz w:val="24"/>
          <w:szCs w:val="32"/>
          <w:highlight w:val="none"/>
          <w:lang w:val="zh-CN"/>
          <w14:textFill>
            <w14:solidFill>
              <w14:schemeClr w14:val="tx1"/>
            </w14:solidFill>
          </w14:textFill>
        </w:rPr>
        <w:t>%的扣除。</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对符合规定的联合体或者大中型企业的报价给予</w:t>
      </w: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%的扣除。（不接受联合体投标的，本条不适用）。</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②根据《关于政府采购支持监狱企业发展有关问题的通知》（财库[2014]68号）的规定，供应商如为监狱企业且所投产品为小型或微型企业生产的，其投标报价扣除</w:t>
      </w:r>
      <w:r>
        <w:rPr>
          <w:rFonts w:hint="eastAsia" w:ascii="宋体" w:hAnsi="宋体" w:cs="宋体"/>
          <w:color w:val="000000" w:themeColor="text1"/>
          <w:sz w:val="24"/>
          <w:szCs w:val="32"/>
          <w:highlight w:val="none"/>
          <w14:textFill>
            <w14:solidFill>
              <w14:schemeClr w14:val="tx1"/>
            </w14:solidFill>
          </w14:textFill>
        </w:rPr>
        <w:t>10</w:t>
      </w:r>
      <w:r>
        <w:rPr>
          <w:rFonts w:hint="eastAsia" w:ascii="宋体" w:hAnsi="宋体" w:cs="宋体"/>
          <w:color w:val="000000" w:themeColor="text1"/>
          <w:sz w:val="24"/>
          <w:szCs w:val="32"/>
          <w:highlight w:val="none"/>
          <w:lang w:val="zh-CN"/>
          <w14:textFill>
            <w14:solidFill>
              <w14:schemeClr w14:val="tx1"/>
            </w14:solidFill>
          </w14:textFill>
        </w:rPr>
        <w:t>%后参与评审。</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投标文件中须同时提供：供应商的省级以上监狱管理局、戒毒管理局(含新疆生产建设兵团)出具的属于监狱企业的证明文件，未提供完整证明材料的，投标报价不予扣减。</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享受政府采购支持政策的残疾人福利性单位应当同时满足以下条件：</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（一）安置的残疾人占本单位在职职工人数的比例不低于25%（含25%），并且安置的残疾人人数不少于10人（含10人）；</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（二）依法与安置的每位残疾人签订了一年以上（含一年）的劳动合同或服务协议；</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（三）为安置的每位残疾人按月足额缴纳了基本养老保险、基本医疗保险、失业保险、工伤保险和生育保险等社会保险费；</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（四）通过银行等金融机构向安置的每位残疾人，按月支付了不低于单位所在区县适用的经省级人民政府批准的月最低工资标准的工资；</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注：得分以系统计算为准，保留2位小数。</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五、提供相同品牌产品的不同投标人参加同一合同项下投标的，按一家供应商认定：</w:t>
      </w:r>
    </w:p>
    <w:p>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评审后得分最高的同品牌投标人获得中标人推荐资格；评审得分相同的，由评标委员会集体推荐一个投标人作为中标候选人，其他同品牌投标人不作为中标候选人。</w:t>
      </w:r>
    </w:p>
    <w:p>
      <w:pPr>
        <w:numPr>
          <w:ilvl w:val="0"/>
          <w:numId w:val="2"/>
        </w:num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本次评分具体分值细化条款如下表：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6341"/>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Align w:val="center"/>
          </w:tcPr>
          <w:p>
            <w:pPr>
              <w:shd w:val="clear"/>
              <w:autoSpaceDE w:val="0"/>
              <w:autoSpaceDN w:val="0"/>
              <w:adjustRightIn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评分内容</w:t>
            </w:r>
          </w:p>
        </w:tc>
        <w:tc>
          <w:tcPr>
            <w:tcW w:w="6341" w:type="dxa"/>
            <w:vAlign w:val="center"/>
          </w:tcPr>
          <w:p>
            <w:pPr>
              <w:shd w:val="clear"/>
              <w:autoSpaceDE w:val="0"/>
              <w:autoSpaceDN w:val="0"/>
              <w:adjustRightIn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评分细则</w:t>
            </w:r>
          </w:p>
        </w:tc>
        <w:tc>
          <w:tcPr>
            <w:tcW w:w="792" w:type="dxa"/>
            <w:vAlign w:val="center"/>
          </w:tcPr>
          <w:p>
            <w:pPr>
              <w:shd w:val="clear"/>
              <w:autoSpaceDE w:val="0"/>
              <w:autoSpaceDN w:val="0"/>
              <w:adjustRightIn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restart"/>
            <w:vAlign w:val="center"/>
          </w:tcPr>
          <w:p>
            <w:pPr>
              <w:shd w:val="clea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企业资质与实力</w:t>
            </w:r>
          </w:p>
        </w:tc>
        <w:tc>
          <w:tcPr>
            <w:tcW w:w="6341" w:type="dxa"/>
            <w:vAlign w:val="center"/>
          </w:tcPr>
          <w:p>
            <w:pPr>
              <w:shd w:val="clea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企业情况：</w:t>
            </w:r>
          </w:p>
          <w:p>
            <w:pPr>
              <w:shd w:val="clea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.提供ISO9001质量管理认证证书得</w:t>
            </w:r>
            <w:r>
              <w:rPr>
                <w:rFonts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 xml:space="preserve">分。 </w:t>
            </w:r>
          </w:p>
          <w:p>
            <w:pPr>
              <w:shd w:val="clea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 xml:space="preserve">.提供环境管理体系认证证书得1分。 </w:t>
            </w:r>
          </w:p>
          <w:p>
            <w:pPr>
              <w:shd w:val="clea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 xml:space="preserve">.提供信用等级证书得1分。 </w:t>
            </w:r>
          </w:p>
          <w:p>
            <w:pPr>
              <w:shd w:val="clear"/>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注：以上证书须提供证书原件的扫描件。</w:t>
            </w:r>
          </w:p>
        </w:tc>
        <w:tc>
          <w:tcPr>
            <w:tcW w:w="792"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continue"/>
            <w:vAlign w:val="center"/>
          </w:tcPr>
          <w:p>
            <w:pPr>
              <w:shd w:val="clear"/>
              <w:autoSpaceDE w:val="0"/>
              <w:autoSpaceDN w:val="0"/>
              <w:adjustRightInd w:val="0"/>
              <w:spacing w:line="360" w:lineRule="auto"/>
              <w:ind w:left="113" w:right="113"/>
              <w:jc w:val="center"/>
              <w:rPr>
                <w:rFonts w:ascii="宋体" w:hAnsi="宋体" w:cs="宋体"/>
                <w:color w:val="000000" w:themeColor="text1"/>
                <w:sz w:val="24"/>
                <w:highlight w:val="none"/>
                <w14:textFill>
                  <w14:solidFill>
                    <w14:schemeClr w14:val="tx1"/>
                  </w14:solidFill>
                </w14:textFill>
              </w:rPr>
            </w:pPr>
          </w:p>
        </w:tc>
        <w:tc>
          <w:tcPr>
            <w:tcW w:w="6341" w:type="dxa"/>
            <w:vAlign w:val="center"/>
          </w:tcPr>
          <w:p>
            <w:pPr>
              <w:shd w:val="clea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项目案例和经验：</w:t>
            </w:r>
          </w:p>
          <w:p>
            <w:pPr>
              <w:shd w:val="clea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20</w:t>
            </w:r>
            <w:r>
              <w:rPr>
                <w:rFonts w:ascii="宋体" w:hAnsi="宋体" w:cs="宋体"/>
                <w:bCs/>
                <w:color w:val="000000" w:themeColor="text1"/>
                <w:sz w:val="24"/>
                <w:highlight w:val="none"/>
                <w14:textFill>
                  <w14:solidFill>
                    <w14:schemeClr w14:val="tx1"/>
                  </w14:solidFill>
                </w14:textFill>
              </w:rPr>
              <w:t>20</w:t>
            </w:r>
            <w:r>
              <w:rPr>
                <w:rFonts w:hint="eastAsia" w:ascii="宋体" w:hAnsi="宋体" w:cs="宋体"/>
                <w:bCs/>
                <w:color w:val="000000" w:themeColor="text1"/>
                <w:sz w:val="24"/>
                <w:highlight w:val="none"/>
                <w14:textFill>
                  <w14:solidFill>
                    <w14:schemeClr w14:val="tx1"/>
                  </w14:solidFill>
                </w14:textFill>
              </w:rPr>
              <w:t>年1月1日至今投标人为同类公共图书馆供应普通图书（不包括特价图书)项目合作情况（同个用户单位不重复计算）。以发票或收款证明、项目合同关键页为证，两者缺一不可，须提供证明材料的扫描件。</w:t>
            </w:r>
          </w:p>
          <w:p>
            <w:pPr>
              <w:shd w:val="clea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每提供1个得0.</w:t>
            </w:r>
            <w:r>
              <w:rPr>
                <w:rFonts w:ascii="宋体" w:hAnsi="宋体" w:cs="宋体"/>
                <w:bCs/>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分，满分3分（项目日期以签订合同日期为准）。</w:t>
            </w:r>
          </w:p>
          <w:p>
            <w:pPr>
              <w:pStyle w:val="10"/>
              <w:shd w:val="clear"/>
              <w:ind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b/>
                <w:bCs/>
                <w:color w:val="000000" w:themeColor="text1"/>
                <w:highlight w:val="none"/>
                <w14:textFill>
                  <w14:solidFill>
                    <w14:schemeClr w14:val="tx1"/>
                  </w14:solidFill>
                </w14:textFill>
              </w:rPr>
              <w:t>连锁经营模式书店，在承诺提供同等服务条件下，其连锁总部服务资历可视同为子公司服务资历。）</w:t>
            </w:r>
          </w:p>
        </w:tc>
        <w:tc>
          <w:tcPr>
            <w:tcW w:w="792" w:type="dxa"/>
            <w:vAlign w:val="center"/>
          </w:tcPr>
          <w:p>
            <w:pPr>
              <w:shd w:val="clear"/>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3分</w:t>
            </w:r>
          </w:p>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continue"/>
            <w:vAlign w:val="center"/>
          </w:tcPr>
          <w:p>
            <w:pPr>
              <w:shd w:val="clea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p>
        </w:tc>
        <w:tc>
          <w:tcPr>
            <w:tcW w:w="6341"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提供优质图书能力</w:t>
            </w:r>
            <w:r>
              <w:rPr>
                <w:rFonts w:hint="eastAsia" w:ascii="宋体" w:hAnsi="宋体" w:cs="宋体"/>
                <w:color w:val="000000" w:themeColor="text1"/>
                <w:sz w:val="24"/>
                <w:highlight w:val="none"/>
                <w14:textFill>
                  <w14:solidFill>
                    <w14:schemeClr w14:val="tx1"/>
                  </w14:solidFill>
                </w14:textFill>
              </w:rPr>
              <w:t>：</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投标人具备国内出版社图书供货能力，与本招标文件第四章第三条具体技术需求中附件的《国内出版社名单》名单建立合作关系，以供货合同或授权书复印件为准。每家计0.25分,依次累加，</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0家及以上最多得</w:t>
            </w:r>
            <w:r>
              <w:rPr>
                <w:rFonts w:ascii="宋体" w:hAnsi="宋体" w:cs="宋体"/>
                <w:color w:val="000000" w:themeColor="text1"/>
                <w:sz w:val="24"/>
                <w:highlight w:val="none"/>
                <w14:textFill>
                  <w14:solidFill>
                    <w14:schemeClr w14:val="tx1"/>
                  </w14:solidFill>
                </w14:textFill>
              </w:rPr>
              <w:t>12.5</w:t>
            </w:r>
            <w:r>
              <w:rPr>
                <w:rFonts w:hint="eastAsia" w:ascii="宋体" w:hAnsi="宋体" w:cs="宋体"/>
                <w:color w:val="000000" w:themeColor="text1"/>
                <w:sz w:val="24"/>
                <w:highlight w:val="none"/>
                <w14:textFill>
                  <w14:solidFill>
                    <w14:schemeClr w14:val="tx1"/>
                  </w14:solidFill>
                </w14:textFill>
              </w:rPr>
              <w:t>分。请投标人将证明材料按招标文件所列的出版社顺序排好并附上出版社联系人电话，不按顺序编制排列者0分。</w:t>
            </w:r>
          </w:p>
          <w:p>
            <w:pPr>
              <w:shd w:val="clea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、投标人保证通过合法渠道提供正版图书或音像，并承诺能根据采购单位需要及时提供合法渠道的凭证及进货证明得1分，无明确承诺或不提供承诺不得分。</w:t>
            </w:r>
          </w:p>
          <w:p>
            <w:pPr>
              <w:shd w:val="clea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、投标人具备省会级及以上版权局或新闻出版广电局颁发的“正版产品销售示范单位”称号或证明，得</w:t>
            </w:r>
            <w:r>
              <w:rPr>
                <w:rFonts w:ascii="宋体" w:hAnsi="宋体" w:cs="宋体"/>
                <w:bCs/>
                <w:color w:val="000000" w:themeColor="text1"/>
                <w:sz w:val="24"/>
                <w:highlight w:val="none"/>
                <w14:textFill>
                  <w14:solidFill>
                    <w14:schemeClr w14:val="tx1"/>
                  </w14:solidFill>
                </w14:textFill>
              </w:rPr>
              <w:t>1.5</w:t>
            </w:r>
            <w:r>
              <w:rPr>
                <w:rFonts w:hint="eastAsia" w:ascii="宋体" w:hAnsi="宋体" w:cs="宋体"/>
                <w:bCs/>
                <w:color w:val="000000" w:themeColor="text1"/>
                <w:sz w:val="24"/>
                <w:highlight w:val="none"/>
                <w14:textFill>
                  <w14:solidFill>
                    <w14:schemeClr w14:val="tx1"/>
                  </w14:solidFill>
                </w14:textFill>
              </w:rPr>
              <w:t>分。</w:t>
            </w:r>
          </w:p>
          <w:p>
            <w:pPr>
              <w:shd w:val="clea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、投标人20</w:t>
            </w:r>
            <w:r>
              <w:rPr>
                <w:rFonts w:ascii="宋体" w:hAnsi="宋体" w:cs="宋体"/>
                <w:bCs/>
                <w:color w:val="000000" w:themeColor="text1"/>
                <w:sz w:val="24"/>
                <w:highlight w:val="none"/>
                <w14:textFill>
                  <w14:solidFill>
                    <w14:schemeClr w14:val="tx1"/>
                  </w14:solidFill>
                </w14:textFill>
              </w:rPr>
              <w:t>19</w:t>
            </w:r>
            <w:r>
              <w:rPr>
                <w:rFonts w:hint="eastAsia" w:ascii="宋体" w:hAnsi="宋体" w:cs="宋体"/>
                <w:bCs/>
                <w:color w:val="000000" w:themeColor="text1"/>
                <w:sz w:val="24"/>
                <w:highlight w:val="none"/>
                <w14:textFill>
                  <w14:solidFill>
                    <w14:schemeClr w14:val="tx1"/>
                  </w14:solidFill>
                </w14:textFill>
              </w:rPr>
              <w:t>年至202</w:t>
            </w:r>
            <w:r>
              <w:rPr>
                <w:rFonts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年连续三年被《图书馆报》评选为全国优秀馆配商，得1分。</w:t>
            </w:r>
          </w:p>
        </w:tc>
        <w:tc>
          <w:tcPr>
            <w:tcW w:w="792"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continue"/>
            <w:vAlign w:val="center"/>
          </w:tcPr>
          <w:p>
            <w:pPr>
              <w:shd w:val="clea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p>
        </w:tc>
        <w:tc>
          <w:tcPr>
            <w:tcW w:w="6341"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自备书目响应能力</w:t>
            </w:r>
            <w:r>
              <w:rPr>
                <w:rFonts w:hint="eastAsia" w:ascii="宋体" w:hAnsi="宋体" w:cs="宋体"/>
                <w:color w:val="000000" w:themeColor="text1"/>
                <w:sz w:val="24"/>
                <w:highlight w:val="none"/>
                <w14:textFill>
                  <w14:solidFill>
                    <w14:schemeClr w14:val="tx1"/>
                  </w14:solidFill>
                </w14:textFill>
              </w:rPr>
              <w:t>：</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投标人提供响应方案（包括对读者推荐书目、自定主题较窄书目、自备订单书目）优于招标需求的得</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投标人提供响应方案（包括对读者推荐书目、自定主题较窄书目、自备订单书目）完全响应招标需求的得</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投标人提供响应方案（包括对读者推荐书目、自定主题较窄书目、自备订单书目）不响应招标需求的得</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缺项不得分。</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截止合同期满，对投标人（如中标）承诺有偏差将按照</w:t>
            </w:r>
            <w:r>
              <w:rPr>
                <w:rFonts w:hint="eastAsia" w:ascii="宋体" w:hAnsi="宋体" w:cs="宋体"/>
                <w:bCs/>
                <w:color w:val="000000" w:themeColor="text1"/>
                <w:sz w:val="24"/>
                <w:highlight w:val="none"/>
                <w14:textFill>
                  <w14:solidFill>
                    <w14:schemeClr w14:val="tx1"/>
                  </w14:solidFill>
                </w14:textFill>
              </w:rPr>
              <w:t>技术规格要求第（二）部分</w:t>
            </w:r>
            <w:r>
              <w:rPr>
                <w:rFonts w:hint="eastAsia" w:ascii="宋体" w:hAnsi="宋体" w:cs="宋体"/>
                <w:color w:val="000000" w:themeColor="text1"/>
                <w:sz w:val="24"/>
                <w:highlight w:val="none"/>
                <w14:textFill>
                  <w14:solidFill>
                    <w14:schemeClr w14:val="tx1"/>
                  </w14:solidFill>
                </w14:textFill>
              </w:rPr>
              <w:t>服务要求中的方法扣除履约保证金。</w:t>
            </w:r>
          </w:p>
        </w:tc>
        <w:tc>
          <w:tcPr>
            <w:tcW w:w="792"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continue"/>
            <w:vAlign w:val="center"/>
          </w:tcPr>
          <w:p>
            <w:pPr>
              <w:shd w:val="clea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p>
        </w:tc>
        <w:tc>
          <w:tcPr>
            <w:tcW w:w="6341"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现场采购</w:t>
            </w:r>
            <w:r>
              <w:rPr>
                <w:rFonts w:hint="eastAsia" w:ascii="宋体" w:hAnsi="宋体" w:cs="宋体"/>
                <w:color w:val="000000" w:themeColor="text1"/>
                <w:sz w:val="24"/>
                <w:highlight w:val="none"/>
                <w14:textFill>
                  <w14:solidFill>
                    <w14:schemeClr w14:val="tx1"/>
                  </w14:solidFill>
                </w14:textFill>
              </w:rPr>
              <w:t>：</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每年提供图书馆至少两名工作人员参加全国性大型书市现采，并承担工作人员外出费用及设备方面的便利，1次得1分，2次得2分；</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投标人现采场地≥10000平方米得</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分；7500平方米≤经营场地＜10000平方米得</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分；5000平方米≤经营场地＜7500平方米得</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分；3000平方米≤经营场地＜5000平方米得</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自有场地提供房产证明复印件，租赁场地的提供房产证明复印件及租赁协议复印件）。投标人现采场地小于3000平方米，但能组织采购单位参加包括：全国书市、北京图书订货会、上海书市等同等规模大型书市现采活动，提供</w:t>
            </w:r>
            <w:r>
              <w:rPr>
                <w:rFonts w:ascii="宋体" w:hAnsi="宋体" w:cs="宋体"/>
                <w:color w:val="000000" w:themeColor="text1"/>
                <w:sz w:val="24"/>
                <w:highlight w:val="none"/>
                <w14:textFill>
                  <w14:solidFill>
                    <w14:schemeClr w14:val="tx1"/>
                  </w14:solidFill>
                </w14:textFill>
              </w:rPr>
              <w:t>2019</w:t>
            </w:r>
            <w:r>
              <w:rPr>
                <w:rFonts w:hint="eastAsia" w:ascii="宋体" w:hAnsi="宋体" w:cs="宋体"/>
                <w:color w:val="000000" w:themeColor="text1"/>
                <w:sz w:val="24"/>
                <w:highlight w:val="none"/>
                <w14:textFill>
                  <w14:solidFill>
                    <w14:schemeClr w14:val="tx1"/>
                  </w14:solidFill>
                </w14:textFill>
              </w:rPr>
              <w:t>年后县级市以上三家公共馆出具的书面证明文件加盖公章，每份证明文件得1分，最高得3分。</w:t>
            </w:r>
          </w:p>
        </w:tc>
        <w:tc>
          <w:tcPr>
            <w:tcW w:w="792" w:type="dxa"/>
            <w:vAlign w:val="center"/>
          </w:tcPr>
          <w:p>
            <w:pPr>
              <w:shd w:val="clear"/>
              <w:jc w:val="cente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7</w:t>
            </w:r>
            <w:r>
              <w:rPr>
                <w:rFonts w:hint="eastAsia" w:ascii="宋体" w:hAnsi="宋体" w:cs="宋体"/>
                <w:bCs/>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restart"/>
            <w:vAlign w:val="center"/>
          </w:tcPr>
          <w:p>
            <w:pPr>
              <w:shd w:val="clea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对招标文件的响应程度</w:t>
            </w:r>
          </w:p>
        </w:tc>
        <w:tc>
          <w:tcPr>
            <w:tcW w:w="6341" w:type="dxa"/>
            <w:vAlign w:val="center"/>
          </w:tcPr>
          <w:p>
            <w:pPr>
              <w:shd w:val="clea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项目执行方案：</w:t>
            </w:r>
            <w:r>
              <w:rPr>
                <w:rFonts w:hint="eastAsia" w:ascii="宋体" w:hAnsi="宋体" w:cs="宋体"/>
                <w:color w:val="000000" w:themeColor="text1"/>
                <w:sz w:val="24"/>
                <w:highlight w:val="none"/>
                <w14:textFill>
                  <w14:solidFill>
                    <w14:schemeClr w14:val="tx1"/>
                  </w14:solidFill>
                </w14:textFill>
              </w:rPr>
              <w:t>投标人明确项目执行的供货计划得1分；有明确的图书现采计划得1分；有明确的图书到货率保证措施得1分；有明确的图书加工服务方案得1分。</w:t>
            </w:r>
          </w:p>
        </w:tc>
        <w:tc>
          <w:tcPr>
            <w:tcW w:w="792" w:type="dxa"/>
            <w:vAlign w:val="center"/>
          </w:tcPr>
          <w:p>
            <w:pPr>
              <w:shd w:val="clear"/>
              <w:jc w:val="cente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continue"/>
            <w:vAlign w:val="center"/>
          </w:tcPr>
          <w:p>
            <w:pPr>
              <w:shd w:val="clea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p>
        </w:tc>
        <w:tc>
          <w:tcPr>
            <w:tcW w:w="6341" w:type="dxa"/>
            <w:vAlign w:val="center"/>
          </w:tcPr>
          <w:p>
            <w:pPr>
              <w:shd w:val="clear"/>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网站建设</w:t>
            </w:r>
            <w:r>
              <w:rPr>
                <w:rFonts w:hint="eastAsia" w:ascii="宋体" w:hAnsi="宋体" w:cs="宋体"/>
                <w:bCs/>
                <w:color w:val="000000" w:themeColor="text1"/>
                <w:sz w:val="24"/>
                <w:highlight w:val="none"/>
                <w14:textFill>
                  <w14:solidFill>
                    <w14:schemeClr w14:val="tx1"/>
                  </w14:solidFill>
                </w14:textFill>
              </w:rPr>
              <w:t>：具有独立且有较完备专业功能的网站，能定期发布各类图书书目信息及满足采购单位书目及订单下载等相关功能。功能齐全能满足采购单位所有要求得</w:t>
            </w:r>
            <w:r>
              <w:rPr>
                <w:rFonts w:ascii="宋体" w:hAnsi="宋体" w:cs="宋体"/>
                <w:bCs/>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w:t>
            </w:r>
            <w:r>
              <w:rPr>
                <w:rFonts w:ascii="宋体" w:hAnsi="宋体" w:cs="宋体"/>
                <w:bCs/>
                <w:color w:val="000000" w:themeColor="text1"/>
                <w:sz w:val="24"/>
                <w:highlight w:val="none"/>
                <w14:textFill>
                  <w14:solidFill>
                    <w14:schemeClr w14:val="tx1"/>
                  </w14:solidFill>
                </w14:textFill>
              </w:rPr>
              <w:t>5</w:t>
            </w:r>
            <w:r>
              <w:rPr>
                <w:rFonts w:hint="eastAsia" w:ascii="宋体" w:hAnsi="宋体" w:cs="宋体"/>
                <w:bCs/>
                <w:color w:val="000000" w:themeColor="text1"/>
                <w:sz w:val="24"/>
                <w:highlight w:val="none"/>
                <w14:textFill>
                  <w14:solidFill>
                    <w14:schemeClr w14:val="tx1"/>
                  </w14:solidFill>
                </w14:textFill>
              </w:rPr>
              <w:t>分，功能缺项得0-</w:t>
            </w:r>
            <w:r>
              <w:rPr>
                <w:rFonts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.9分。各投标人在标书内明确表述网站功能并提供网站登录账号及密码，保证评审人员能顺利登录网站查看相关内容。</w:t>
            </w:r>
            <w:r>
              <w:rPr>
                <w:rFonts w:hint="eastAsia" w:ascii="宋体" w:hAnsi="宋体" w:cs="宋体"/>
                <w:b/>
                <w:bCs/>
                <w:color w:val="000000" w:themeColor="text1"/>
                <w:sz w:val="24"/>
                <w:highlight w:val="none"/>
                <w14:textFill>
                  <w14:solidFill>
                    <w14:schemeClr w14:val="tx1"/>
                  </w14:solidFill>
                </w14:textFill>
              </w:rPr>
              <w:t>投标人应根据需要进行现场演示（请自带演示工具）。</w:t>
            </w:r>
          </w:p>
        </w:tc>
        <w:tc>
          <w:tcPr>
            <w:tcW w:w="792" w:type="dxa"/>
            <w:vAlign w:val="center"/>
          </w:tcPr>
          <w:p>
            <w:pPr>
              <w:shd w:val="clear"/>
              <w:tabs>
                <w:tab w:val="left" w:pos="720"/>
              </w:tabs>
              <w:spacing w:after="158" w:afterLines="50"/>
              <w:jc w:val="cente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5</w:t>
            </w:r>
            <w:r>
              <w:rPr>
                <w:rFonts w:hint="eastAsia" w:ascii="宋体" w:hAnsi="宋体" w:cs="宋体"/>
                <w:bCs/>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continue"/>
            <w:vAlign w:val="center"/>
          </w:tcPr>
          <w:p>
            <w:pPr>
              <w:shd w:val="clear"/>
              <w:autoSpaceDE w:val="0"/>
              <w:autoSpaceDN w:val="0"/>
              <w:adjustRightInd w:val="0"/>
              <w:spacing w:line="360" w:lineRule="auto"/>
              <w:jc w:val="center"/>
              <w:rPr>
                <w:rFonts w:ascii="宋体" w:hAnsi="宋体" w:cs="宋体"/>
                <w:bCs/>
                <w:color w:val="000000" w:themeColor="text1"/>
                <w:sz w:val="24"/>
                <w:highlight w:val="none"/>
                <w14:textFill>
                  <w14:solidFill>
                    <w14:schemeClr w14:val="tx1"/>
                  </w14:solidFill>
                </w14:textFill>
              </w:rPr>
            </w:pPr>
          </w:p>
        </w:tc>
        <w:tc>
          <w:tcPr>
            <w:tcW w:w="6341"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图书编目数据来源性：</w:t>
            </w:r>
            <w:r>
              <w:rPr>
                <w:rFonts w:ascii="宋体" w:hAnsi="宋体" w:cs="宋体"/>
                <w:color w:val="000000" w:themeColor="text1"/>
                <w:sz w:val="24"/>
                <w:highlight w:val="none"/>
                <w14:textFill>
                  <w14:solidFill>
                    <w14:schemeClr w14:val="tx1"/>
                  </w14:solidFill>
                </w14:textFill>
              </w:rPr>
              <w:t xml:space="preserve"> </w:t>
            </w:r>
          </w:p>
          <w:p>
            <w:pPr>
              <w:pStyle w:val="2"/>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能提供《国图联编中心签约的数据下载协议书》、《浙江图书馆数据下载协议书》、《上海市文献联合编目中心下载协议书》、《calis联机编目服务协议书》其中之一的，计3分。无上述协议者，能提供同级别（或以上）图书馆数据合作协议或合作证明文件2份（每份1.5分）得3分。</w:t>
            </w:r>
          </w:p>
        </w:tc>
        <w:tc>
          <w:tcPr>
            <w:tcW w:w="792" w:type="dxa"/>
            <w:vAlign w:val="center"/>
          </w:tcPr>
          <w:p>
            <w:pPr>
              <w:shd w:val="clear"/>
              <w:jc w:val="cente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continue"/>
            <w:vAlign w:val="center"/>
          </w:tcPr>
          <w:p>
            <w:pPr>
              <w:shd w:val="clea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p>
        </w:tc>
        <w:tc>
          <w:tcPr>
            <w:tcW w:w="6341" w:type="dxa"/>
            <w:vAlign w:val="center"/>
          </w:tcPr>
          <w:p>
            <w:pPr>
              <w:shd w:val="clea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图书到货能力</w:t>
            </w:r>
            <w:r>
              <w:rPr>
                <w:rFonts w:hint="eastAsia" w:ascii="宋体" w:hAnsi="宋体" w:cs="宋体"/>
                <w:color w:val="000000" w:themeColor="text1"/>
                <w:sz w:val="24"/>
                <w:highlight w:val="none"/>
                <w14:textFill>
                  <w14:solidFill>
                    <w14:schemeClr w14:val="tx1"/>
                  </w14:solidFill>
                </w14:textFill>
              </w:rPr>
              <w:t>：20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年以来由同类公共图书馆出具的国内版图书或音像制品供货到货率为90%以上的证明材料，每份证明得1分，4份及以上得4分。</w:t>
            </w:r>
          </w:p>
        </w:tc>
        <w:tc>
          <w:tcPr>
            <w:tcW w:w="792" w:type="dxa"/>
            <w:vAlign w:val="center"/>
          </w:tcPr>
          <w:p>
            <w:pPr>
              <w:shd w:val="clear"/>
              <w:tabs>
                <w:tab w:val="left" w:pos="720"/>
              </w:tabs>
              <w:spacing w:after="158" w:afterLines="5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continue"/>
            <w:vAlign w:val="center"/>
          </w:tcPr>
          <w:p>
            <w:pPr>
              <w:shd w:val="clea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p>
        </w:tc>
        <w:tc>
          <w:tcPr>
            <w:tcW w:w="6341" w:type="dxa"/>
            <w:vAlign w:val="center"/>
          </w:tcPr>
          <w:p>
            <w:pPr>
              <w:shd w:val="clear"/>
              <w:spacing w:before="60" w:after="60"/>
              <w:ind w:right="6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图书全加工：</w:t>
            </w:r>
          </w:p>
          <w:p>
            <w:pPr>
              <w:shd w:val="clear"/>
              <w:spacing w:before="60" w:after="60"/>
              <w:ind w:right="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1、承诺按照台州市路桥区图书馆规范，加工图书章、书标、条码、保护膜、图书标签及保护膜、磁条，承诺得2分，未承诺不得分。</w:t>
            </w:r>
          </w:p>
          <w:p>
            <w:pPr>
              <w:shd w:val="clear"/>
              <w:spacing w:before="60" w:after="60"/>
              <w:ind w:right="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2、保证到馆全加工人员一年内更换不得超过两人次，承诺得2分，未承诺不得分。</w:t>
            </w:r>
          </w:p>
          <w:p>
            <w:pPr>
              <w:shd w:val="clear"/>
              <w:spacing w:before="60" w:after="60"/>
              <w:ind w:right="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3、到馆编目人员具备相关编目资格证书，得1分。</w:t>
            </w:r>
          </w:p>
        </w:tc>
        <w:tc>
          <w:tcPr>
            <w:tcW w:w="792" w:type="dxa"/>
            <w:vAlign w:val="center"/>
          </w:tcPr>
          <w:p>
            <w:pPr>
              <w:shd w:val="clear"/>
              <w:tabs>
                <w:tab w:val="left" w:pos="720"/>
              </w:tabs>
              <w:spacing w:after="158" w:afterLines="5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restart"/>
            <w:vAlign w:val="center"/>
          </w:tcPr>
          <w:p>
            <w:pPr>
              <w:shd w:val="clea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售后服务</w:t>
            </w:r>
          </w:p>
        </w:tc>
        <w:tc>
          <w:tcPr>
            <w:tcW w:w="6341" w:type="dxa"/>
            <w:vAlign w:val="center"/>
          </w:tcPr>
          <w:p>
            <w:pPr>
              <w:shd w:val="clear"/>
              <w:spacing w:before="60" w:after="60"/>
              <w:ind w:right="6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售后服务机构：</w:t>
            </w:r>
            <w:r>
              <w:rPr>
                <w:rFonts w:hint="eastAsia" w:ascii="宋体" w:hAnsi="宋体" w:cs="宋体"/>
                <w:color w:val="000000" w:themeColor="text1"/>
                <w:sz w:val="24"/>
                <w:highlight w:val="none"/>
                <w14:textFill>
                  <w14:solidFill>
                    <w14:schemeClr w14:val="tx1"/>
                  </w14:solidFill>
                </w14:textFill>
              </w:rPr>
              <w:t>投标人具有本地化服务能力，能及时提供售后服务（提供本地化设立的服务机构（或办事处）或提供本地化的派遣人员合同）得3分；服务机构（或办事处）能较近提供服务的得1分。（提供服务机构营业执照复印件或办事处注册证明复印件或提供不少于5名的派遣人员合同，复印件加盖公章）。</w:t>
            </w:r>
          </w:p>
        </w:tc>
        <w:tc>
          <w:tcPr>
            <w:tcW w:w="792" w:type="dxa"/>
            <w:vAlign w:val="center"/>
          </w:tcPr>
          <w:p>
            <w:pPr>
              <w:shd w:val="clear"/>
              <w:tabs>
                <w:tab w:val="left" w:pos="720"/>
              </w:tabs>
              <w:spacing w:after="158" w:afterLines="5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continue"/>
            <w:vAlign w:val="center"/>
          </w:tcPr>
          <w:p>
            <w:pPr>
              <w:shd w:val="clea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p>
        </w:tc>
        <w:tc>
          <w:tcPr>
            <w:tcW w:w="6341"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退换货保证</w:t>
            </w:r>
            <w:r>
              <w:rPr>
                <w:rFonts w:hint="eastAsia" w:ascii="宋体" w:hAnsi="宋体" w:cs="宋体"/>
                <w:color w:val="000000" w:themeColor="text1"/>
                <w:sz w:val="24"/>
                <w:highlight w:val="none"/>
                <w14:textFill>
                  <w14:solidFill>
                    <w14:schemeClr w14:val="tx1"/>
                  </w14:solidFill>
                </w14:textFill>
              </w:rPr>
              <w:t>：对因预订调整、馆藏不符等原因退货无条件接受，并承担退货、更换等费用。对预定图书或音像，但因投标人原因不能及时到达，采购单位有权采取相应的补救措施，投标人承诺承担对上述造成的各项损失或增加的各项费用。退换货方案符合实际，易实施得</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分，方案内容过于夸大且较难实行得0-</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.9分。</w:t>
            </w:r>
          </w:p>
        </w:tc>
        <w:tc>
          <w:tcPr>
            <w:tcW w:w="792" w:type="dxa"/>
            <w:vAlign w:val="center"/>
          </w:tcPr>
          <w:p>
            <w:pPr>
              <w:shd w:val="clear"/>
              <w:tabs>
                <w:tab w:val="left" w:pos="720"/>
              </w:tabs>
              <w:spacing w:after="158" w:afterLines="50"/>
              <w:jc w:val="cente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5</w:t>
            </w:r>
            <w:r>
              <w:rPr>
                <w:rFonts w:hint="eastAsia" w:ascii="宋体" w:hAnsi="宋体" w:cs="宋体"/>
                <w:bCs/>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continue"/>
            <w:vAlign w:val="center"/>
          </w:tcPr>
          <w:p>
            <w:pPr>
              <w:shd w:val="clear"/>
              <w:autoSpaceDE w:val="0"/>
              <w:autoSpaceDN w:val="0"/>
              <w:adjustRightInd w:val="0"/>
              <w:spacing w:line="360" w:lineRule="auto"/>
              <w:jc w:val="center"/>
              <w:rPr>
                <w:rFonts w:ascii="宋体" w:hAnsi="宋体" w:cs="宋体"/>
                <w:bCs/>
                <w:color w:val="000000" w:themeColor="text1"/>
                <w:sz w:val="24"/>
                <w:highlight w:val="none"/>
                <w14:textFill>
                  <w14:solidFill>
                    <w14:schemeClr w14:val="tx1"/>
                  </w14:solidFill>
                </w14:textFill>
              </w:rPr>
            </w:pPr>
          </w:p>
        </w:tc>
        <w:tc>
          <w:tcPr>
            <w:tcW w:w="6341" w:type="dxa"/>
            <w:vAlign w:val="center"/>
          </w:tcPr>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个性化服务</w:t>
            </w:r>
            <w:r>
              <w:rPr>
                <w:rFonts w:hint="eastAsia" w:ascii="宋体" w:hAnsi="宋体" w:cs="宋体"/>
                <w:color w:val="000000" w:themeColor="text1"/>
                <w:sz w:val="24"/>
                <w:highlight w:val="none"/>
                <w14:textFill>
                  <w14:solidFill>
                    <w14:schemeClr w14:val="tx1"/>
                  </w14:solidFill>
                </w14:textFill>
              </w:rPr>
              <w:t>：</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1.为采购单位提供特色书源；急需用书即时送货；得1分；</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2.协助采购单位完成书展阅读活动，如摆书花，热门图书推荐等；得1分；</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3.当年根据采购单位要求，安排讲座活动（至少1次）；得</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p>
            <w:pPr>
              <w:pStyle w:val="10"/>
              <w:shd w:val="clear"/>
              <w:ind w:firstLine="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4.每年为图书馆提供2篇原创性的阅读推广文章，得1分。</w:t>
            </w:r>
          </w:p>
          <w:p>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投标人根据自身情况如实给予服务承诺，如中标后未能响应承诺，招标人有权没收该投标人提交的履约保证金。</w:t>
            </w:r>
          </w:p>
        </w:tc>
        <w:tc>
          <w:tcPr>
            <w:tcW w:w="792" w:type="dxa"/>
            <w:vAlign w:val="center"/>
          </w:tcPr>
          <w:p>
            <w:pPr>
              <w:shd w:val="clear"/>
              <w:tabs>
                <w:tab w:val="left" w:pos="720"/>
              </w:tabs>
              <w:spacing w:after="158" w:afterLines="5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6分</w:t>
            </w:r>
          </w:p>
        </w:tc>
      </w:tr>
    </w:tbl>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pPr>
        <w:pStyle w:val="10"/>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10"/>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10"/>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10"/>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10"/>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10"/>
        <w:shd w:val="clear"/>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第四章 公开招标需求</w:t>
      </w:r>
    </w:p>
    <w:p>
      <w:pPr>
        <w:shd w:val="clea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一、招标项目一览表</w:t>
      </w:r>
    </w:p>
    <w:p>
      <w:pPr>
        <w:shd w:val="clea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本次招标共</w:t>
      </w:r>
      <w:r>
        <w:rPr>
          <w:rFonts w:hint="eastAsia" w:ascii="宋体" w:hAnsi="宋体" w:cs="宋体"/>
          <w:color w:val="000000" w:themeColor="text1"/>
          <w:sz w:val="24"/>
          <w:highlight w:val="none"/>
          <w:u w:val="single"/>
          <w14:textFill>
            <w14:solidFill>
              <w14:schemeClr w14:val="tx1"/>
            </w14:solidFill>
          </w14:textFill>
        </w:rPr>
        <w:t xml:space="preserve"> 3</w:t>
      </w:r>
      <w:r>
        <w:rPr>
          <w:rFonts w:hint="eastAsia" w:ascii="宋体" w:hAnsi="宋体" w:cs="宋体"/>
          <w:color w:val="000000" w:themeColor="text1"/>
          <w:sz w:val="24"/>
          <w:highlight w:val="none"/>
          <w14:textFill>
            <w14:solidFill>
              <w14:schemeClr w14:val="tx1"/>
            </w14:solidFill>
          </w14:textFill>
        </w:rPr>
        <w:t>个标段，具体内容如下表：</w:t>
      </w:r>
    </w:p>
    <w:tbl>
      <w:tblPr>
        <w:tblStyle w:val="26"/>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287"/>
        <w:gridCol w:w="522"/>
        <w:gridCol w:w="522"/>
        <w:gridCol w:w="765"/>
        <w:gridCol w:w="976"/>
        <w:gridCol w:w="1477"/>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1"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标段号</w:t>
            </w:r>
          </w:p>
        </w:tc>
        <w:tc>
          <w:tcPr>
            <w:tcW w:w="1980" w:type="dxa"/>
            <w:vAlign w:val="center"/>
          </w:tcPr>
          <w:p>
            <w:pPr>
              <w:shd w:val="clear"/>
              <w:tabs>
                <w:tab w:val="left" w:pos="8280"/>
              </w:tabs>
              <w:autoSpaceDE w:val="0"/>
              <w:autoSpaceDN w:val="0"/>
              <w:adjustRightInd w:val="0"/>
              <w:ind w:right="25" w:firstLine="120" w:firstLineChars="5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1287"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简要技术要求</w:t>
            </w:r>
          </w:p>
        </w:tc>
        <w:tc>
          <w:tcPr>
            <w:tcW w:w="522"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522"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单位</w:t>
            </w:r>
          </w:p>
        </w:tc>
        <w:tc>
          <w:tcPr>
            <w:tcW w:w="765"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预算（万元）</w:t>
            </w:r>
          </w:p>
        </w:tc>
        <w:tc>
          <w:tcPr>
            <w:tcW w:w="976" w:type="dxa"/>
            <w:vAlign w:val="center"/>
          </w:tcPr>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w:t>
            </w:r>
          </w:p>
        </w:tc>
        <w:tc>
          <w:tcPr>
            <w:tcW w:w="1477" w:type="dxa"/>
            <w:vAlign w:val="center"/>
          </w:tcPr>
          <w:p>
            <w:pPr>
              <w:shd w:val="clear"/>
              <w:tabs>
                <w:tab w:val="left" w:pos="8280"/>
              </w:tabs>
              <w:autoSpaceDE w:val="0"/>
              <w:autoSpaceDN w:val="0"/>
              <w:adjustRightInd w:val="0"/>
              <w:ind w:right="25" w:firstLine="24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交货期</w:t>
            </w:r>
          </w:p>
          <w:p>
            <w:pPr>
              <w:shd w:val="clear"/>
              <w:tabs>
                <w:tab w:val="left" w:pos="8280"/>
              </w:tabs>
              <w:autoSpaceDE w:val="0"/>
              <w:autoSpaceDN w:val="0"/>
              <w:adjustRightInd w:val="0"/>
              <w:ind w:right="25"/>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（合同签订后几天内）</w:t>
            </w:r>
          </w:p>
        </w:tc>
        <w:tc>
          <w:tcPr>
            <w:tcW w:w="1035" w:type="dxa"/>
            <w:vAlign w:val="center"/>
          </w:tcPr>
          <w:p>
            <w:pPr>
              <w:shd w:val="clea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交货地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21"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980"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2022年度台州市路桥区图书馆本馆普通图书采购</w:t>
            </w:r>
          </w:p>
        </w:tc>
        <w:tc>
          <w:tcPr>
            <w:tcW w:w="1287"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详见具体技术需求</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批</w:t>
            </w:r>
          </w:p>
        </w:tc>
        <w:tc>
          <w:tcPr>
            <w:tcW w:w="765"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80</w:t>
            </w:r>
          </w:p>
        </w:tc>
        <w:tc>
          <w:tcPr>
            <w:tcW w:w="976"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折扣率78%</w:t>
            </w:r>
          </w:p>
        </w:tc>
        <w:tc>
          <w:tcPr>
            <w:tcW w:w="1477"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合同生效日起至2022年11月30日</w:t>
            </w:r>
          </w:p>
        </w:tc>
        <w:tc>
          <w:tcPr>
            <w:tcW w:w="1035" w:type="dxa"/>
            <w:vMerge w:val="restart"/>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台州市路桥区图书馆指定地点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21"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980"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2022年度台州市路桥区图书馆和合书吧普通图书采购</w:t>
            </w:r>
          </w:p>
        </w:tc>
        <w:tc>
          <w:tcPr>
            <w:tcW w:w="1287"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详见具体技术需求</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批</w:t>
            </w:r>
          </w:p>
        </w:tc>
        <w:tc>
          <w:tcPr>
            <w:tcW w:w="765"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w:t>
            </w:r>
          </w:p>
        </w:tc>
        <w:tc>
          <w:tcPr>
            <w:tcW w:w="976"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折扣率78%</w:t>
            </w:r>
          </w:p>
        </w:tc>
        <w:tc>
          <w:tcPr>
            <w:tcW w:w="1477"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合同生效日起至2022年11月30日</w:t>
            </w:r>
          </w:p>
        </w:tc>
        <w:tc>
          <w:tcPr>
            <w:tcW w:w="1035" w:type="dxa"/>
            <w:vMerge w:val="continue"/>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21"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980"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2022年度台州市路桥区图书馆分馆普通图书采购</w:t>
            </w:r>
          </w:p>
        </w:tc>
        <w:tc>
          <w:tcPr>
            <w:tcW w:w="1287"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详见具体技术需求</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522"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批</w:t>
            </w:r>
          </w:p>
        </w:tc>
        <w:tc>
          <w:tcPr>
            <w:tcW w:w="765"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35.3</w:t>
            </w:r>
          </w:p>
        </w:tc>
        <w:tc>
          <w:tcPr>
            <w:tcW w:w="976" w:type="dxa"/>
            <w:vAlign w:val="center"/>
          </w:tcPr>
          <w:p>
            <w:pPr>
              <w:shd w:val="clear"/>
              <w:tabs>
                <w:tab w:val="left" w:pos="8280"/>
              </w:tabs>
              <w:autoSpaceDE w:val="0"/>
              <w:autoSpaceDN w:val="0"/>
              <w:adjustRightInd w:val="0"/>
              <w:ind w:right="2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折扣率78%</w:t>
            </w:r>
          </w:p>
        </w:tc>
        <w:tc>
          <w:tcPr>
            <w:tcW w:w="1477" w:type="dxa"/>
            <w:vAlign w:val="center"/>
          </w:tcPr>
          <w:p>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合同生效日起至2022年11月30日</w:t>
            </w:r>
          </w:p>
        </w:tc>
        <w:tc>
          <w:tcPr>
            <w:tcW w:w="1035" w:type="dxa"/>
            <w:vMerge w:val="continue"/>
            <w:vAlign w:val="center"/>
          </w:tcPr>
          <w:p>
            <w:pPr>
              <w:shd w:val="clear"/>
              <w:jc w:val="center"/>
              <w:rPr>
                <w:rFonts w:ascii="宋体" w:hAnsi="宋体" w:cs="宋体"/>
                <w:color w:val="000000" w:themeColor="text1"/>
                <w:sz w:val="24"/>
                <w:highlight w:val="none"/>
                <w14:textFill>
                  <w14:solidFill>
                    <w14:schemeClr w14:val="tx1"/>
                  </w14:solidFill>
                </w14:textFill>
              </w:rPr>
            </w:pPr>
          </w:p>
        </w:tc>
      </w:tr>
    </w:tbl>
    <w:p>
      <w:pPr>
        <w:shd w:val="clea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注：折扣率=实洋/码洋*100%</w:t>
      </w:r>
    </w:p>
    <w:p>
      <w:pPr>
        <w:shd w:val="clea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二、具体技术规格及要求</w:t>
      </w:r>
    </w:p>
    <w:p>
      <w:pPr>
        <w:shd w:val="clear"/>
        <w:spacing w:line="478"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（一）图书基本要求</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1、投标供应商对提供的图书作正版承诺：保证采购单位在使用该货物或货物的任何部分时，免受第三方提出的侵犯其著作权或其他知识产权的起诉。如中标，中标方承担由此产生的一切法律责任和费用。</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2、投标供应商应按采购人的订购书目提供</w:t>
      </w:r>
      <w:r>
        <w:rPr>
          <w:rFonts w:hint="eastAsia" w:ascii="宋体" w:hAnsi="宋体" w:cs="宋体"/>
          <w:b/>
          <w:color w:val="000000" w:themeColor="text1"/>
          <w:sz w:val="24"/>
          <w:highlight w:val="none"/>
          <w:u w:val="single"/>
          <w14:textFill>
            <w14:solidFill>
              <w14:schemeClr w14:val="tx1"/>
            </w14:solidFill>
          </w14:textFill>
        </w:rPr>
        <w:t>202</w:t>
      </w:r>
      <w:r>
        <w:rPr>
          <w:rFonts w:ascii="宋体" w:hAnsi="宋体" w:cs="宋体"/>
          <w:b/>
          <w:color w:val="000000" w:themeColor="text1"/>
          <w:sz w:val="24"/>
          <w:highlight w:val="none"/>
          <w:u w:val="single"/>
          <w14:textFill>
            <w14:solidFill>
              <w14:schemeClr w14:val="tx1"/>
            </w14:solidFill>
          </w14:textFill>
        </w:rPr>
        <w:t>1</w:t>
      </w:r>
      <w:r>
        <w:rPr>
          <w:rFonts w:hint="eastAsia" w:ascii="宋体" w:hAnsi="宋体" w:cs="宋体"/>
          <w:b/>
          <w:color w:val="000000" w:themeColor="text1"/>
          <w:sz w:val="24"/>
          <w:highlight w:val="none"/>
          <w:u w:val="single"/>
          <w14:textFill>
            <w14:solidFill>
              <w14:schemeClr w14:val="tx1"/>
            </w14:solidFill>
          </w14:textFill>
        </w:rPr>
        <w:t>-202</w:t>
      </w:r>
      <w:r>
        <w:rPr>
          <w:rFonts w:ascii="宋体" w:hAnsi="宋体" w:cs="宋体"/>
          <w:b/>
          <w:color w:val="000000" w:themeColor="text1"/>
          <w:sz w:val="24"/>
          <w:highlight w:val="none"/>
          <w:u w:val="single"/>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年出版的</w:t>
      </w:r>
      <w:r>
        <w:rPr>
          <w:rFonts w:hint="eastAsia" w:ascii="宋体" w:hAnsi="宋体" w:cs="宋体"/>
          <w:color w:val="000000" w:themeColor="text1"/>
          <w:sz w:val="24"/>
          <w:highlight w:val="none"/>
          <w14:textFill>
            <w14:solidFill>
              <w14:schemeClr w14:val="tx1"/>
            </w14:solidFill>
          </w14:textFill>
        </w:rPr>
        <w:t>未经使用的普通图书，</w:t>
      </w:r>
      <w:r>
        <w:rPr>
          <w:rFonts w:hint="eastAsia" w:ascii="宋体" w:hAnsi="宋体" w:cs="宋体"/>
          <w:b/>
          <w:bCs/>
          <w:color w:val="000000" w:themeColor="text1"/>
          <w:sz w:val="24"/>
          <w:highlight w:val="none"/>
          <w14:textFill>
            <w14:solidFill>
              <w14:schemeClr w14:val="tx1"/>
            </w14:solidFill>
          </w14:textFill>
        </w:rPr>
        <w:t>(个别特殊图书不在此限制范围内)</w:t>
      </w:r>
      <w:r>
        <w:rPr>
          <w:rFonts w:hint="eastAsia" w:ascii="宋体" w:hAnsi="宋体" w:cs="宋体"/>
          <w:color w:val="000000" w:themeColor="text1"/>
          <w:sz w:val="24"/>
          <w:highlight w:val="none"/>
          <w14:textFill>
            <w14:solidFill>
              <w14:schemeClr w14:val="tx1"/>
            </w14:solidFill>
          </w14:textFill>
        </w:rPr>
        <w:t>；投标供应商所提供的所有图书必须为正版产品，如经查实为盗版或非法出版物的，甲方有权终止合同，没收履约保证金，并交由新闻出版主管部门处理。</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3、同书异价的，即同版次图书定价高于或低于浙江图书馆、国家图书馆的馆藏图书价格的，作退货处理。浙江图书馆、国家图书馆无此藏书的，由采购单位参照国内其他大中型图书馆的藏书价格来认定。</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4、重印、再版图书在版编目数据（CIP）如与新闻出版署信息中心规定不符的，由采购单位参照国内大中型图书馆书目数据来认定。国内大中型图书馆皆无对应数据，印刷较差，不好确认，一律予以退回。</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5、投标供应商承诺，供路桥区图书馆采购的网络平台，采购清单，送样现采的图书中，不包含套书、礼品书、高码洋图书。如因上述图书造成路桥区图书馆误采、误购，无论图书加工与否，均无条件退货。</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6、部分体裁、主题相近图书，在路桥区图书馆馆藏中占有较高比例，由路桥区图书馆根据情况订单选购，各中标方不得私自配送。</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7、投标供应商承诺能够独立完成下列项目：投标人承诺能够独立完成下列项目：（1）组织指定《</w:t>
      </w:r>
      <w:bookmarkStart w:id="8" w:name="_Hlk68080278"/>
      <w:r>
        <w:rPr>
          <w:rFonts w:hint="eastAsia" w:ascii="宋体" w:hAnsi="宋体" w:cs="宋体"/>
          <w:color w:val="000000" w:themeColor="text1"/>
          <w:sz w:val="24"/>
          <w:highlight w:val="none"/>
          <w14:textFill>
            <w14:solidFill>
              <w14:schemeClr w14:val="tx1"/>
            </w14:solidFill>
          </w14:textFill>
        </w:rPr>
        <w:t>国内出版社名单</w:t>
      </w:r>
      <w:bookmarkEnd w:id="8"/>
      <w:r>
        <w:rPr>
          <w:rFonts w:hint="eastAsia" w:ascii="宋体" w:hAnsi="宋体" w:cs="宋体"/>
          <w:color w:val="000000" w:themeColor="text1"/>
          <w:sz w:val="24"/>
          <w:highlight w:val="none"/>
          <w14:textFill>
            <w14:solidFill>
              <w14:schemeClr w14:val="tx1"/>
            </w14:solidFill>
          </w14:textFill>
        </w:rPr>
        <w:t>》名单中的出版社2</w:t>
      </w:r>
      <w:r>
        <w:rPr>
          <w:rFonts w:ascii="宋体" w:hAnsi="宋体" w:cs="宋体"/>
          <w:color w:val="000000" w:themeColor="text1"/>
          <w:sz w:val="24"/>
          <w:highlight w:val="none"/>
          <w14:textFill>
            <w14:solidFill>
              <w14:schemeClr w14:val="tx1"/>
            </w14:solidFill>
          </w14:textFill>
        </w:rPr>
        <w:t>021-</w:t>
      </w:r>
      <w:r>
        <w:rPr>
          <w:rFonts w:hint="eastAsia" w:ascii="宋体" w:hAnsi="宋体" w:cs="宋体"/>
          <w:color w:val="000000" w:themeColor="text1"/>
          <w:sz w:val="24"/>
          <w:highlight w:val="none"/>
          <w14:textFill>
            <w14:solidFill>
              <w14:schemeClr w14:val="tx1"/>
            </w14:solidFill>
          </w14:textFill>
        </w:rPr>
        <w:t>202</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年出版图书书源；（2）通过采购单位提供2</w:t>
      </w:r>
      <w:r>
        <w:rPr>
          <w:rFonts w:ascii="宋体" w:hAnsi="宋体" w:cs="宋体"/>
          <w:color w:val="000000" w:themeColor="text1"/>
          <w:sz w:val="24"/>
          <w:highlight w:val="none"/>
          <w14:textFill>
            <w14:solidFill>
              <w14:schemeClr w14:val="tx1"/>
            </w14:solidFill>
          </w14:textFill>
        </w:rPr>
        <w:t>021-</w:t>
      </w:r>
      <w:r>
        <w:rPr>
          <w:rFonts w:hint="eastAsia" w:ascii="宋体" w:hAnsi="宋体" w:cs="宋体"/>
          <w:color w:val="000000" w:themeColor="text1"/>
          <w:sz w:val="24"/>
          <w:highlight w:val="none"/>
          <w14:textFill>
            <w14:solidFill>
              <w14:schemeClr w14:val="tx1"/>
            </w14:solidFill>
          </w14:textFill>
        </w:rPr>
        <w:t>202</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年社科新书目、科技新书目、全国新书目组织书源；（3）根据采购单位的具体工作要求，组织读者推荐书目、自定主题较窄书目、自备订单书目和其他书商无法采购的订单的书目。除不可抗拒力外，（1）（2）订到率和到货期不得低于最低订到率和到货周期要求。（3）订到率不得低于投标人承诺订到率和到货周期要求。</w:t>
      </w:r>
    </w:p>
    <w:p>
      <w:pPr>
        <w:shd w:val="clear"/>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以下情形的图书不在路桥区图书馆配书范围内：教辅用书、骑马装订图书、口袋书、少儿填色书、折纸书、一次使用后即告毁损的图书、卡片或附件中包含卡片的图书、挂图、法律法规及政策汇编、各类经典与名著路桥馆藏书达到3个以上版本的、各类有时效性的图书等。</w:t>
      </w:r>
    </w:p>
    <w:p>
      <w:pPr>
        <w:shd w:val="clear"/>
        <w:spacing w:line="478"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（二）服务要求</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1、以送样采购为主，网站订购、现场采购为辅。送样及退货产生的费用由中标人自理。</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2、现货采购自提交订单之日起1周内到货不低于60%，1个月内不低于90%， 6个月到货率达到98%；期货采购6个月到货率为60%，1年到货率达到90%。投标人须明确承诺所能达到的订到率和到货周期，低于最低要求的投标将被拒绝。</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方负责将采购方的货物送抵路桥区图书馆采编部或指定地点，包装箱中应包括装箱货物清单，一式两份：一份是汇总清单，一份是每包内明细单,同时提供一份总清单的电子文档(EXCEL格式)，电子文档须与纸质清单一致，并应包括：包号、书号、题名、出版社、责任者、单价、册数，每包的种、册、码洋的小计。</w:t>
      </w:r>
    </w:p>
    <w:p>
      <w:pPr>
        <w:shd w:val="clear"/>
        <w:spacing w:line="478" w:lineRule="exact"/>
        <w:ind w:firstLine="540" w:firstLineChars="2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提供规范的MARC书目数据，数据以《中国文献著录规则》和《中国机读目录格式使用手册》为依据，其数据须完全符合需方图书馆自动化集成系统（力博管理系统）要求，能在需方系统无障碍地使用。数据与分批次图书同步到达，并达到100%的覆盖率,没有编目数据或者编目数据错误的图书一律不予接受。</w:t>
      </w:r>
    </w:p>
    <w:p>
      <w:pPr>
        <w:shd w:val="clear"/>
        <w:tabs>
          <w:tab w:val="left" w:pos="0"/>
        </w:tabs>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5、根据《中国图书馆分类法》（第五版）进行分类，至最后一级类目，主题标引依据《中国分类主题词表》（第二版）。根据路桥区图书馆提供的规范，配好书次号。</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经路桥区图书馆验收合格后的货物，在图书馆指定的场所内，由中标方派人负责货物的全加工工作，工作包括图书编目、数据套录和修改、建立符合国图联编中心规范标准的书目数据（包括图书分类、取索书号）、馆藏分配、图书加工（包括盖馆藏章、贴条形码、打印书标、贴书标及书标保护膜、可充消磁条、贴路桥区图书馆指定型号的RFID芯片及保护贴纸、转换芯片数据）、图书堆放、清扫加工场所等。每本图书的加工材料、馆藏章及印油、加工费用并加10%损耗费用等全部由中标商承担，相关规范由路桥区图书馆提供</w:t>
      </w:r>
      <w:r>
        <w:rPr>
          <w:rFonts w:hint="eastAsia" w:ascii="宋体" w:hAnsi="宋体" w:cs="宋体"/>
          <w:b/>
          <w:color w:val="000000" w:themeColor="text1"/>
          <w:sz w:val="24"/>
          <w:highlight w:val="none"/>
          <w14:textFill>
            <w14:solidFill>
              <w14:schemeClr w14:val="tx1"/>
            </w14:solidFill>
          </w14:textFill>
        </w:rPr>
        <w:t>（电子标签的规范详见附件1</w:t>
      </w:r>
      <w:r>
        <w:rPr>
          <w:rFonts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：《RFID图书电子标签要求》）。</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7、如有货物质量问题，配送的图书污损、图文不清、缺页、缺附件、纸质粗糙、裁切有误等，无论是否加工或投入借阅，均无条件退货，图书已盖章的将加盖“退货专用章”后，无条件退货。</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中标方须具备我馆提供馆藏数据查重能力，以及能够对我馆移交其他供货商的数据查重，以保证对本馆按单配送图书与馆藏不重复，否则造成重复的图书一律退回（包括盖章的加工成品书，其中已盖章的图书，加盖退货专用章后，再行退货），由此造成的损失完全由中标方负责。</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凡送交到采购方的货物，以货物定价及系统软件财产登记作为计算款项的依据，经验收发现款项与发货单不相符的，采购方及时通知中标方派员到验收地核算，中标方接到通知之日起10个工作日内不能派员核算的，以采购方验收的实际数额计算款项金额。</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对于采购单位采购的货物，除不可抗拒力外等客观因素外，中标人在合同履行期未达到最低到货率，将被没收履约保证金。达到最低到货率，但未达到中标人承诺到货率，偏离程度10%以上，根据偏离程度从履约保证金扣除同比率金额。</w:t>
      </w:r>
    </w:p>
    <w:p>
      <w:pPr>
        <w:shd w:val="clear"/>
        <w:tabs>
          <w:tab w:val="left" w:pos="8280"/>
        </w:tabs>
        <w:autoSpaceDE w:val="0"/>
        <w:autoSpaceDN w:val="0"/>
        <w:adjustRightInd w:val="0"/>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、投标供应商夸大或虚假承诺，如中标不能完全履行基本服务要求或其自身服务承诺的，其供货商资格将被取消并被没收履约保证金。</w:t>
      </w:r>
    </w:p>
    <w:p>
      <w:pPr>
        <w:shd w:val="clear"/>
        <w:spacing w:line="478"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、报价含货物的一切费用和后期的处理加工费用。</w:t>
      </w:r>
    </w:p>
    <w:p>
      <w:pPr>
        <w:shd w:val="clear"/>
        <w:tabs>
          <w:tab w:val="left" w:pos="8280"/>
        </w:tabs>
        <w:autoSpaceDE w:val="0"/>
        <w:autoSpaceDN w:val="0"/>
        <w:adjustRightInd w:val="0"/>
        <w:spacing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三、出版社名单</w:t>
      </w:r>
    </w:p>
    <w:p>
      <w:pPr>
        <w:keepNext/>
        <w:keepLines/>
        <w:shd w:val="clear"/>
        <w:spacing w:line="360" w:lineRule="auto"/>
        <w:outlineLvl w:val="0"/>
        <w:rPr>
          <w:rFonts w:ascii="宋体" w:hAnsi="宋体"/>
          <w:b/>
          <w:bCs/>
          <w:color w:val="000000" w:themeColor="text1"/>
          <w:kern w:val="44"/>
          <w:sz w:val="24"/>
          <w:szCs w:val="44"/>
          <w:highlight w:val="none"/>
          <w14:textFill>
            <w14:solidFill>
              <w14:schemeClr w14:val="tx1"/>
            </w14:solidFill>
          </w14:textFill>
        </w:rPr>
      </w:pPr>
      <w:bookmarkStart w:id="9" w:name="OLE_LINK1"/>
      <w:r>
        <w:rPr>
          <w:rFonts w:hint="eastAsia" w:ascii="宋体" w:hAnsi="宋体"/>
          <w:bCs/>
          <w:color w:val="000000" w:themeColor="text1"/>
          <w:sz w:val="24"/>
          <w:szCs w:val="44"/>
          <w:highlight w:val="none"/>
          <w14:textFill>
            <w14:solidFill>
              <w14:schemeClr w14:val="tx1"/>
            </w14:solidFill>
          </w14:textFill>
        </w:rPr>
        <w:t>附：《</w:t>
      </w:r>
      <w:r>
        <w:rPr>
          <w:rFonts w:hint="eastAsia" w:ascii="宋体" w:hAnsi="宋体"/>
          <w:b/>
          <w:bCs/>
          <w:color w:val="000000" w:themeColor="text1"/>
          <w:kern w:val="44"/>
          <w:sz w:val="24"/>
          <w:szCs w:val="44"/>
          <w:highlight w:val="none"/>
          <w14:textFill>
            <w14:solidFill>
              <w14:schemeClr w14:val="tx1"/>
            </w14:solidFill>
          </w14:textFill>
        </w:rPr>
        <w:t>国内出版社名单》</w:t>
      </w:r>
    </w:p>
    <w:tbl>
      <w:tblPr>
        <w:tblStyle w:val="26"/>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1"/>
        <w:gridCol w:w="3379"/>
        <w:gridCol w:w="686"/>
        <w:gridCol w:w="3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出版社名称</w:t>
            </w:r>
          </w:p>
        </w:tc>
        <w:tc>
          <w:tcPr>
            <w:tcW w:w="686"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出版社名称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北京大学出版社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30</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生活·读书·新知三联书店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电子工业出版社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上海译文出版社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上海人民出版社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商务印书馆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二十一世纪出版社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社会科学文献出版社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江苏凤凰出版社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34</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青岛出版社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广西师范大学出版社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35</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西泠印社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国家图书馆出版社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新星出版社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海豚出版社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37</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译林出版社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湖南文艺出版社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38</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长江文艺出版社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湖南科学技术出版社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39</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浙江大学出版社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化学工业出版社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40</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浙江古籍出版社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机械工业出版社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41</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浙江人民出版社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科学出版社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42</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浙江人民美术出版社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接力出版社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43</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浙江少儿出版社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经济管理出版社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44</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中国大百科全书出版社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清华大学出版社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45</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中国人民大学出版社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中央编辑出版社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46</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中国少年儿童出版社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人民美术出版社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47</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浙江少年儿童出版社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19</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人民文学出版社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48</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中华书局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人民邮电出版社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49</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中信出版社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北京联合出版公司</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50</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重庆出版社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世界图书出版公司</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江西人民出版社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中国轻工业出版社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52</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南海出版社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24</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百花文艺出版社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53</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贵州人民出版社（过期）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法律出版社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54</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漓江出版社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26</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吉林出版集团</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55</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明天出版社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安徽少年儿童出版社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56</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江苏少年儿童出版社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28</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浙江摄影出版社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57</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上海文艺出版社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29</w:t>
            </w:r>
          </w:p>
        </w:tc>
        <w:tc>
          <w:tcPr>
            <w:tcW w:w="3379" w:type="dxa"/>
            <w:tcMar>
              <w:top w:w="15" w:type="dxa"/>
              <w:left w:w="15" w:type="dxa"/>
              <w:bottom w:w="0" w:type="dxa"/>
              <w:right w:w="15" w:type="dxa"/>
            </w:tcMar>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安徽人民出版社</w:t>
            </w:r>
          </w:p>
        </w:tc>
        <w:tc>
          <w:tcPr>
            <w:tcW w:w="686" w:type="dxa"/>
            <w:vAlign w:val="bottom"/>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58</w:t>
            </w:r>
          </w:p>
        </w:tc>
        <w:tc>
          <w:tcPr>
            <w:tcW w:w="3520" w:type="dxa"/>
            <w:vAlign w:val="center"/>
          </w:tcPr>
          <w:p>
            <w:pPr>
              <w:shd w:val="clea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黄山书社</w:t>
            </w:r>
          </w:p>
        </w:tc>
      </w:tr>
      <w:bookmarkEnd w:id="9"/>
    </w:tbl>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四、商务要求</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1、交货时间及地点：同前面“招标项目一览表”内所填的相关内容。</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2、付款方式：按采购方实际采购数量支付款项。</w:t>
      </w:r>
    </w:p>
    <w:p>
      <w:pPr>
        <w:pStyle w:val="2"/>
        <w:shd w:val="clear"/>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3、质保期：</w:t>
      </w:r>
      <w:r>
        <w:rPr>
          <w:color w:val="000000" w:themeColor="text1"/>
          <w:highlight w:val="none"/>
          <w14:textFill>
            <w14:solidFill>
              <w14:schemeClr w14:val="tx1"/>
            </w14:solidFill>
          </w14:textFill>
        </w:rPr>
        <w:t>按国家有关图书管理相关条款执行。</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五、其他要求</w:t>
      </w:r>
    </w:p>
    <w:p>
      <w:pPr>
        <w:pStyle w:val="2"/>
        <w:shd w:val="clea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每个投标人最多只能中标一个标段，若投标人中标标段一，则取消其标段二、标段三投标资格。（或者也可以投标人均能参加三个标段投标，但最多只能中标一个标段。若投标人得分在三个标段中均为第一，投标人需在开标一览表中注明优先选择标段几中标。剩余两个标段则由得分排名第二的投标人中标，若剩余两个标段第二名均为同一家单位，则投标人应在投标一览表中注明若在两个标段中均为第二，优先选择标段几。剩余标段则由第三名中标。）</w:t>
      </w: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3"/>
        <w:shd w:val="clear"/>
        <w:rPr>
          <w:rFonts w:ascii="宋体" w:hAnsi="宋体" w:cs="宋体"/>
          <w:color w:val="000000" w:themeColor="text1"/>
          <w:sz w:val="24"/>
          <w:szCs w:val="32"/>
          <w:highlight w:val="none"/>
          <w14:textFill>
            <w14:solidFill>
              <w14:schemeClr w14:val="tx1"/>
            </w14:solidFill>
          </w14:textFill>
        </w:rPr>
      </w:pPr>
    </w:p>
    <w:p>
      <w:pPr>
        <w:pStyle w:val="4"/>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3"/>
        <w:shd w:val="clear"/>
        <w:rPr>
          <w:rFonts w:ascii="宋体" w:hAnsi="宋体" w:cs="宋体"/>
          <w:color w:val="000000" w:themeColor="text1"/>
          <w:sz w:val="24"/>
          <w:szCs w:val="32"/>
          <w:highlight w:val="none"/>
          <w14:textFill>
            <w14:solidFill>
              <w14:schemeClr w14:val="tx1"/>
            </w14:solidFill>
          </w14:textFill>
        </w:rPr>
      </w:pPr>
    </w:p>
    <w:p>
      <w:pPr>
        <w:pStyle w:val="4"/>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3"/>
        <w:shd w:val="clear"/>
        <w:rPr>
          <w:rFonts w:ascii="宋体" w:hAnsi="宋体" w:cs="宋体"/>
          <w:color w:val="000000" w:themeColor="text1"/>
          <w:sz w:val="24"/>
          <w:szCs w:val="32"/>
          <w:highlight w:val="none"/>
          <w14:textFill>
            <w14:solidFill>
              <w14:schemeClr w14:val="tx1"/>
            </w14:solidFill>
          </w14:textFill>
        </w:rPr>
      </w:pPr>
    </w:p>
    <w:p>
      <w:pPr>
        <w:pStyle w:val="4"/>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3"/>
        <w:shd w:val="clear"/>
        <w:rPr>
          <w:rFonts w:ascii="宋体" w:hAnsi="宋体" w:cs="宋体"/>
          <w:color w:val="000000" w:themeColor="text1"/>
          <w:sz w:val="24"/>
          <w:szCs w:val="32"/>
          <w:highlight w:val="none"/>
          <w14:textFill>
            <w14:solidFill>
              <w14:schemeClr w14:val="tx1"/>
            </w14:solidFill>
          </w14:textFill>
        </w:rPr>
      </w:pPr>
    </w:p>
    <w:p>
      <w:pPr>
        <w:pStyle w:val="4"/>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pStyle w:val="3"/>
        <w:shd w:val="clear"/>
        <w:rPr>
          <w:rFonts w:ascii="宋体" w:hAnsi="宋体" w:cs="宋体"/>
          <w:color w:val="000000" w:themeColor="text1"/>
          <w:sz w:val="24"/>
          <w:szCs w:val="32"/>
          <w:highlight w:val="none"/>
          <w14:textFill>
            <w14:solidFill>
              <w14:schemeClr w14:val="tx1"/>
            </w14:solidFill>
          </w14:textFill>
        </w:rPr>
      </w:pPr>
    </w:p>
    <w:p>
      <w:pPr>
        <w:pStyle w:val="4"/>
        <w:shd w:val="clear"/>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第五章 合同主要条款</w:t>
      </w:r>
    </w:p>
    <w:p>
      <w:pPr>
        <w:shd w:val="clear"/>
        <w:spacing w:line="360" w:lineRule="auto"/>
        <w:jc w:val="center"/>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（此稿为合同样本，最终定稿待双方协商后定）</w:t>
      </w: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项目名称：2022年度台州市路桥区图书馆本馆普通图书、分馆普通图书、和合书吧普通图书采购项目</w:t>
      </w: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项目编号：ZJWS2022-LQ23</w:t>
      </w:r>
    </w:p>
    <w:p>
      <w:pPr>
        <w:pStyle w:val="2"/>
        <w:shd w:val="clea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标段：</w:t>
      </w:r>
    </w:p>
    <w:p>
      <w:pPr>
        <w:shd w:val="clear"/>
        <w:spacing w:line="360" w:lineRule="auto"/>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甲方（采购人）：</w:t>
      </w:r>
      <w:r>
        <w:rPr>
          <w:rFonts w:hint="eastAsia" w:ascii="宋体" w:hAnsi="宋体" w:cs="宋体"/>
          <w:color w:val="000000" w:themeColor="text1"/>
          <w:sz w:val="24"/>
          <w:szCs w:val="32"/>
          <w:highlight w:val="none"/>
          <w14:textFill>
            <w14:solidFill>
              <w14:schemeClr w14:val="tx1"/>
            </w14:solidFill>
          </w14:textFill>
        </w:rPr>
        <w:t>台州市路桥区图书馆</w:t>
      </w:r>
    </w:p>
    <w:p>
      <w:pPr>
        <w:shd w:val="clear"/>
        <w:spacing w:line="360" w:lineRule="auto"/>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 xml:space="preserve">乙方（供应商）： </w:t>
      </w:r>
    </w:p>
    <w:p>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甲、乙双方根据浙江五石中正工程咨询有限公司关于</w:t>
      </w:r>
      <w:r>
        <w:rPr>
          <w:rFonts w:hint="eastAsia" w:ascii="宋体" w:hAnsi="宋体" w:cs="宋体"/>
          <w:color w:val="000000" w:themeColor="text1"/>
          <w:sz w:val="24"/>
          <w:szCs w:val="32"/>
          <w:highlight w:val="none"/>
          <w:u w:val="single"/>
          <w:lang w:val="zh-CN"/>
          <w14:textFill>
            <w14:solidFill>
              <w14:schemeClr w14:val="tx1"/>
            </w14:solidFill>
          </w14:textFill>
        </w:rPr>
        <w:t>2022年度台州市路桥区图书馆本馆普通图书、分馆普通图书、和合书吧普通图书采购项目</w:t>
      </w:r>
      <w:r>
        <w:rPr>
          <w:rFonts w:hint="eastAsia" w:ascii="宋体" w:hAnsi="宋体" w:cs="宋体"/>
          <w:color w:val="000000" w:themeColor="text1"/>
          <w:sz w:val="24"/>
          <w:szCs w:val="32"/>
          <w:highlight w:val="none"/>
          <w:lang w:val="zh-CN"/>
          <w14:textFill>
            <w14:solidFill>
              <w14:schemeClr w14:val="tx1"/>
            </w14:solidFill>
          </w14:textFill>
        </w:rPr>
        <w:t>（编号为</w:t>
      </w:r>
      <w:r>
        <w:rPr>
          <w:rFonts w:hint="eastAsia" w:ascii="宋体" w:hAnsi="宋体" w:cs="宋体"/>
          <w:color w:val="000000" w:themeColor="text1"/>
          <w:sz w:val="24"/>
          <w:szCs w:val="32"/>
          <w:highlight w:val="none"/>
          <w:u w:val="single"/>
          <w14:textFill>
            <w14:solidFill>
              <w14:schemeClr w14:val="tx1"/>
            </w14:solidFill>
          </w14:textFill>
        </w:rPr>
        <w:t>ZJWS2022-LQ23</w:t>
      </w:r>
      <w:r>
        <w:rPr>
          <w:rFonts w:hint="eastAsia" w:ascii="宋体" w:hAnsi="宋体" w:cs="宋体"/>
          <w:color w:val="000000" w:themeColor="text1"/>
          <w:sz w:val="24"/>
          <w:szCs w:val="32"/>
          <w:highlight w:val="none"/>
          <w:lang w:val="zh-CN"/>
          <w14:textFill>
            <w14:solidFill>
              <w14:schemeClr w14:val="tx1"/>
            </w14:solidFill>
          </w14:textFill>
        </w:rPr>
        <w:t>）公开招标的结果，签署本合同。</w:t>
      </w:r>
    </w:p>
    <w:p>
      <w:pPr>
        <w:shd w:val="clear"/>
        <w:spacing w:line="360" w:lineRule="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一、合同文件： </w:t>
      </w:r>
    </w:p>
    <w:p>
      <w:pPr>
        <w:shd w:val="clea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1.合同条款。</w:t>
      </w:r>
    </w:p>
    <w:p>
      <w:pPr>
        <w:shd w:val="clea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2.中标通知书。</w:t>
      </w:r>
    </w:p>
    <w:p>
      <w:pPr>
        <w:shd w:val="clea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3.更正补充文件。</w:t>
      </w:r>
    </w:p>
    <w:p>
      <w:pPr>
        <w:shd w:val="clea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4.招标文件。</w:t>
      </w:r>
    </w:p>
    <w:p>
      <w:pPr>
        <w:shd w:val="clea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5.中标供应商投标文件。</w:t>
      </w:r>
    </w:p>
    <w:p>
      <w:pPr>
        <w:shd w:val="clea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6.其他。</w:t>
      </w:r>
    </w:p>
    <w:p>
      <w:pPr>
        <w:pStyle w:val="14"/>
        <w:shd w:val="clear"/>
        <w:snapToGrid w:val="0"/>
        <w:spacing w:line="360" w:lineRule="auto"/>
        <w:ind w:firstLine="480" w:firstLineChars="200"/>
        <w:rPr>
          <w:rFonts w:hAnsi="宋体" w:cs="宋体"/>
          <w:color w:val="000000" w:themeColor="text1"/>
          <w:sz w:val="24"/>
          <w:highlight w:val="none"/>
          <w:lang w:val="zh-CN"/>
          <w14:textFill>
            <w14:solidFill>
              <w14:schemeClr w14:val="tx1"/>
            </w14:solidFill>
          </w14:textFill>
        </w:rPr>
      </w:pPr>
      <w:r>
        <w:rPr>
          <w:rFonts w:hint="eastAsia" w:hAnsi="宋体" w:cs="宋体"/>
          <w:color w:val="000000" w:themeColor="text1"/>
          <w:sz w:val="24"/>
          <w:highlight w:val="none"/>
          <w:lang w:val="zh-CN"/>
          <w14:textFill>
            <w14:solidFill>
              <w14:schemeClr w14:val="tx1"/>
            </w14:solidFill>
          </w14:textFill>
        </w:rPr>
        <w:t>上述所指合同文件应认为是互相补充和解释的，但是有模棱两可或互相矛盾之处，以其所列内容顺序为准。</w:t>
      </w:r>
    </w:p>
    <w:p>
      <w:pPr>
        <w:pStyle w:val="14"/>
        <w:shd w:val="clear"/>
        <w:snapToGrid w:val="0"/>
        <w:spacing w:before="120" w:after="120" w:line="360" w:lineRule="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二、货物内容</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货物名称：</w:t>
      </w:r>
      <w:r>
        <w:rPr>
          <w:rFonts w:hint="eastAsia" w:hAnsi="宋体" w:cs="宋体"/>
          <w:color w:val="000000" w:themeColor="text1"/>
          <w:sz w:val="24"/>
          <w:szCs w:val="32"/>
          <w:highlight w:val="none"/>
          <w:lang w:val="zh-CN"/>
          <w14:textFill>
            <w14:solidFill>
              <w14:schemeClr w14:val="tx1"/>
            </w14:solidFill>
          </w14:textFill>
        </w:rPr>
        <w:t>图书</w:t>
      </w:r>
      <w:r>
        <w:rPr>
          <w:rFonts w:hint="eastAsia" w:hAnsi="宋体" w:cs="宋体"/>
          <w:color w:val="000000" w:themeColor="text1"/>
          <w:sz w:val="24"/>
          <w:highlight w:val="none"/>
          <w14:textFill>
            <w14:solidFill>
              <w14:schemeClr w14:val="tx1"/>
            </w14:solidFill>
          </w14:textFill>
        </w:rPr>
        <w:t>。</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数量（单位）：一批。</w:t>
      </w:r>
    </w:p>
    <w:p>
      <w:pPr>
        <w:pStyle w:val="14"/>
        <w:shd w:val="clear"/>
        <w:snapToGrid w:val="0"/>
        <w:spacing w:before="120" w:after="120" w:line="360" w:lineRule="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三、合同金额</w:t>
      </w:r>
    </w:p>
    <w:p>
      <w:pPr>
        <w:pStyle w:val="67"/>
        <w:framePr w:wrap="auto" w:vAnchor="margin" w:hAnchor="text" w:yAlign="inline"/>
        <w:shd w:val="clear"/>
        <w:spacing w:line="360" w:lineRule="auto"/>
        <w:rPr>
          <w:rFonts w:hint="default" w:ascii="宋体" w:hAnsi="宋体" w:eastAsia="宋体" w:cs="宋体"/>
          <w:color w:val="000000" w:themeColor="text1"/>
          <w:kern w:val="0"/>
          <w:sz w:val="24"/>
          <w:szCs w:val="24"/>
          <w:highlight w:val="none"/>
          <w:u w:val="singl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1、本项目折扣率</w:t>
      </w:r>
      <w:r>
        <w:rPr>
          <w:rFonts w:ascii="宋体" w:hAnsi="宋体" w:eastAsia="宋体" w:cs="宋体"/>
          <w:color w:val="000000" w:themeColor="text1"/>
          <w:kern w:val="0"/>
          <w:sz w:val="24"/>
          <w:szCs w:val="24"/>
          <w:highlight w:val="none"/>
          <w:u w:val="single"/>
          <w14:textFill>
            <w14:solidFill>
              <w14:schemeClr w14:val="tx1"/>
            </w14:solidFill>
          </w14:textFill>
        </w:rPr>
        <w:t>大写百分之         ，小写      %。</w:t>
      </w:r>
    </w:p>
    <w:p>
      <w:pPr>
        <w:pStyle w:val="67"/>
        <w:framePr w:wrap="auto" w:vAnchor="margin" w:hAnchor="text" w:yAlign="inline"/>
        <w:shd w:val="clear"/>
        <w:spacing w:line="360" w:lineRule="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lang w:val="zh-TW" w:eastAsia="zh-TW"/>
          <w14:textFill>
            <w14:solidFill>
              <w14:schemeClr w14:val="tx1"/>
            </w14:solidFill>
          </w14:textFill>
        </w:rPr>
        <w:t>货款总额等于中标折扣报价乘以所供书的标价总额。实际采购数量以每次签订合同为准。结算以每期实际供货量为准。</w:t>
      </w:r>
    </w:p>
    <w:p>
      <w:pPr>
        <w:pStyle w:val="14"/>
        <w:shd w:val="clear"/>
        <w:snapToGrid w:val="0"/>
        <w:spacing w:before="120" w:after="120" w:line="360" w:lineRule="auto"/>
        <w:rPr>
          <w:rFonts w:hAnsi="宋体" w:cs="宋体"/>
          <w:b/>
          <w:color w:val="000000" w:themeColor="text1"/>
          <w:sz w:val="24"/>
          <w:highlight w:val="none"/>
          <w14:textFill>
            <w14:solidFill>
              <w14:schemeClr w14:val="tx1"/>
            </w14:solidFill>
          </w14:textFill>
        </w:rPr>
      </w:pPr>
    </w:p>
    <w:p>
      <w:pPr>
        <w:pStyle w:val="14"/>
        <w:shd w:val="clear"/>
        <w:snapToGrid w:val="0"/>
        <w:spacing w:before="120" w:after="120" w:line="360" w:lineRule="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四、技术资料</w:t>
      </w:r>
    </w:p>
    <w:p>
      <w:pPr>
        <w:pStyle w:val="14"/>
        <w:shd w:val="clear"/>
        <w:snapToGrid w:val="0"/>
        <w:spacing w:before="120" w:after="120" w:line="360" w:lineRule="auto"/>
        <w:ind w:left="479" w:leftChars="228" w:firstLine="69" w:firstLineChars="29"/>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1.乙方应按招标文件规定的时间向甲方提供使用货物的有关技术资料。</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hd w:val="clear"/>
        <w:snapToGrid w:val="0"/>
        <w:spacing w:before="120" w:after="120" w:line="360" w:lineRule="auto"/>
        <w:ind w:left="412" w:hanging="412" w:hangingChars="17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五、知识产权</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1.乙方应保证所提供的货物或其任何一部分均不会侵犯任何第三方的知识产权。</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2.若侵犯,由乙方赔偿甲方因此遭受的损失（包括但不限于应对及追偿过程中所支付的律师费、差旅费、诉讼费、保全费、鉴定费、评估费等）。</w:t>
      </w:r>
    </w:p>
    <w:p>
      <w:pPr>
        <w:pStyle w:val="14"/>
        <w:shd w:val="clear"/>
        <w:snapToGrid w:val="0"/>
        <w:spacing w:before="120" w:after="120" w:line="360" w:lineRule="auto"/>
        <w:rPr>
          <w:rFonts w:hAnsi="宋体" w:cs="宋体"/>
          <w:color w:val="000000" w:themeColor="text1"/>
          <w:sz w:val="24"/>
          <w:highlight w:val="none"/>
          <w:u w:val="singl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六、产权担保</w:t>
      </w:r>
    </w:p>
    <w:p>
      <w:pPr>
        <w:pStyle w:val="14"/>
        <w:shd w:val="clear"/>
        <w:snapToGrid w:val="0"/>
        <w:spacing w:before="120" w:after="120" w:line="360" w:lineRule="auto"/>
        <w:ind w:firstLine="480" w:firstLineChars="200"/>
        <w:rPr>
          <w:rFonts w:hAnsi="宋体" w:cs="宋体"/>
          <w:color w:val="000000" w:themeColor="text1"/>
          <w:sz w:val="24"/>
          <w:highlight w:val="none"/>
          <w:u w:val="singl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乙方保证所交付的货物的所有权完全属于乙方且无任何抵押、查封等产权瑕疵。</w:t>
      </w:r>
    </w:p>
    <w:p>
      <w:pPr>
        <w:pStyle w:val="14"/>
        <w:shd w:val="clear"/>
        <w:snapToGrid w:val="0"/>
        <w:spacing w:before="120" w:after="120" w:line="360" w:lineRule="auto"/>
        <w:ind w:left="410" w:hanging="410" w:hangingChars="170"/>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七、履约保证金</w:t>
      </w:r>
    </w:p>
    <w:p>
      <w:pPr>
        <w:shd w:val="clear"/>
        <w:tabs>
          <w:tab w:val="left" w:pos="1418"/>
        </w:tabs>
        <w:autoSpaceDE w:val="0"/>
        <w:autoSpaceDN w:val="0"/>
        <w:adjustRightIn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本项目履约保证金为合同金额的</w:t>
      </w:r>
      <w:r>
        <w:rPr>
          <w:rFonts w:hint="eastAsia" w:ascii="宋体" w:hAnsi="宋体" w:cs="宋体"/>
          <w:color w:val="000000" w:themeColor="text1"/>
          <w:sz w:val="24"/>
          <w:highlight w:val="none"/>
          <w:u w:val="single"/>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[履约保证金交至采购人处，在合同约定交货验收合格满（</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）个月之日起5个工作日内无息退还]</w:t>
      </w:r>
    </w:p>
    <w:p>
      <w:pPr>
        <w:pStyle w:val="14"/>
        <w:shd w:val="clear"/>
        <w:snapToGrid w:val="0"/>
        <w:spacing w:before="120" w:after="120" w:line="360" w:lineRule="auto"/>
        <w:ind w:left="410" w:hanging="410" w:hangingChars="170"/>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八、转包或分包</w:t>
      </w:r>
    </w:p>
    <w:p>
      <w:pPr>
        <w:shd w:val="clear"/>
        <w:snapToGrid w:val="0"/>
        <w:spacing w:before="158" w:beforeLines="50" w:after="158" w:afterLines="50"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1.本合同范围的货物，应由乙方直接供应，不得转让他人供应；</w:t>
      </w:r>
    </w:p>
    <w:p>
      <w:pPr>
        <w:shd w:val="clear"/>
        <w:snapToGrid w:val="0"/>
        <w:spacing w:before="158" w:beforeLines="50" w:after="158" w:afterLines="50"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2.除非得到甲方的书面同意，乙方不得将本合同范围的货物全部或部分分包给他人供应；</w:t>
      </w:r>
    </w:p>
    <w:p>
      <w:pPr>
        <w:shd w:val="clear"/>
        <w:snapToGrid w:val="0"/>
        <w:spacing w:before="158" w:beforeLines="50" w:after="158" w:afterLines="50"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3.如有转让和未经甲方同意的分包行为，甲方有权解除合同，没收履约保证金并追究乙方的违约责任。</w:t>
      </w:r>
    </w:p>
    <w:p>
      <w:pPr>
        <w:pStyle w:val="14"/>
        <w:shd w:val="clear"/>
        <w:snapToGrid w:val="0"/>
        <w:spacing w:before="120" w:after="120" w:line="360" w:lineRule="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九、交货期、交货方式及交货地点</w:t>
      </w:r>
    </w:p>
    <w:p>
      <w:pPr>
        <w:pStyle w:val="14"/>
        <w:shd w:val="clear"/>
        <w:snapToGrid w:val="0"/>
        <w:spacing w:before="120" w:after="120" w:line="360" w:lineRule="auto"/>
        <w:ind w:firstLine="480" w:firstLineChars="200"/>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1. 交货期：</w:t>
      </w:r>
    </w:p>
    <w:p>
      <w:pPr>
        <w:pStyle w:val="14"/>
        <w:shd w:val="clear"/>
        <w:snapToGrid w:val="0"/>
        <w:spacing w:before="120" w:after="120" w:line="360" w:lineRule="auto"/>
        <w:ind w:firstLine="480" w:firstLineChars="200"/>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2. 交货方式：</w:t>
      </w:r>
    </w:p>
    <w:p>
      <w:pPr>
        <w:pStyle w:val="14"/>
        <w:shd w:val="clear"/>
        <w:snapToGrid w:val="0"/>
        <w:spacing w:before="120" w:after="120" w:line="360" w:lineRule="auto"/>
        <w:ind w:firstLine="480" w:firstLineChars="200"/>
        <w:rPr>
          <w:rFonts w:hAnsi="宋体" w:cs="宋体"/>
          <w:b/>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3. 交货地点：</w:t>
      </w:r>
    </w:p>
    <w:p>
      <w:pPr>
        <w:pStyle w:val="14"/>
        <w:shd w:val="clear"/>
        <w:snapToGrid w:val="0"/>
        <w:spacing w:before="120" w:after="120" w:line="360" w:lineRule="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十、货款支付</w:t>
      </w:r>
    </w:p>
    <w:p>
      <w:pPr>
        <w:pStyle w:val="14"/>
        <w:shd w:val="clear"/>
        <w:snapToGrid w:val="0"/>
        <w:spacing w:before="120" w:after="120" w:line="360" w:lineRule="auto"/>
        <w:ind w:firstLine="480" w:firstLineChars="200"/>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1. 付款方式：</w:t>
      </w:r>
      <w:r>
        <w:rPr>
          <w:rFonts w:hint="eastAsia" w:hAnsi="宋体" w:cs="宋体"/>
          <w:color w:val="000000" w:themeColor="text1"/>
          <w:sz w:val="24"/>
          <w:highlight w:val="none"/>
          <w:lang w:val="zh-TW" w:eastAsia="zh-TW"/>
          <w14:textFill>
            <w14:solidFill>
              <w14:schemeClr w14:val="tx1"/>
            </w14:solidFill>
          </w14:textFill>
        </w:rPr>
        <w:t>货款总额等于中标折扣报价乘以所供书的标价总额。实际采购数量以每次签订合同为准。结算以每期实际供货量为准。</w:t>
      </w:r>
    </w:p>
    <w:p>
      <w:pPr>
        <w:shd w:val="clear"/>
        <w:snapToGrid w:val="0"/>
        <w:spacing w:before="158" w:beforeLines="50" w:after="158" w:afterLines="50"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十一、税费</w:t>
      </w:r>
    </w:p>
    <w:p>
      <w:pPr>
        <w:shd w:val="clear"/>
        <w:snapToGrid w:val="0"/>
        <w:spacing w:before="158" w:beforeLines="50" w:after="158" w:afterLines="50"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本合同执行中相关的一切税费均由乙方负担。</w:t>
      </w:r>
    </w:p>
    <w:p>
      <w:pPr>
        <w:pStyle w:val="14"/>
        <w:shd w:val="clear"/>
        <w:snapToGrid w:val="0"/>
        <w:spacing w:before="120" w:after="120" w:line="360" w:lineRule="auto"/>
        <w:ind w:left="412" w:hanging="412" w:hangingChars="17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十二、质保期：</w:t>
      </w:r>
      <w:r>
        <w:rPr>
          <w:rFonts w:ascii="Times New Roman" w:hAnsi="Times New Roman"/>
          <w:color w:val="000000" w:themeColor="text1"/>
          <w:sz w:val="24"/>
          <w:highlight w:val="none"/>
          <w14:textFill>
            <w14:solidFill>
              <w14:schemeClr w14:val="tx1"/>
            </w14:solidFill>
          </w14:textFill>
        </w:rPr>
        <w:t>按国家有关图书管理相关条款执行。</w:t>
      </w:r>
    </w:p>
    <w:p>
      <w:pPr>
        <w:pStyle w:val="14"/>
        <w:shd w:val="clear"/>
        <w:snapToGrid w:val="0"/>
        <w:spacing w:before="120" w:after="120" w:line="360" w:lineRule="auto"/>
        <w:ind w:left="412" w:hanging="412" w:hangingChars="171"/>
        <w:rPr>
          <w:rFonts w:hAnsi="宋体" w:cs="宋体"/>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十三、质量保证及售后服务</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乙方应按招标文件规定的货物性能、技术要求、质量标准向甲方提供未经使用的全新产品。</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乙方提供的货物在质保期内因货物本身的质量问题发生故障，乙方应负责免费更换。对达不到技术要求者，根据实际情况，经双方协商，可按以下办法处理：</w:t>
      </w:r>
    </w:p>
    <w:p>
      <w:pPr>
        <w:pStyle w:val="14"/>
        <w:shd w:val="clear"/>
        <w:snapToGrid w:val="0"/>
        <w:spacing w:before="120" w:after="120"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⑴更换：由乙方承担所发生的全部费用。</w:t>
      </w:r>
    </w:p>
    <w:p>
      <w:pPr>
        <w:pStyle w:val="14"/>
        <w:shd w:val="clear"/>
        <w:snapToGrid w:val="0"/>
        <w:spacing w:before="120" w:after="120"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⑵贬值处理：由甲乙双方合议定价。</w:t>
      </w:r>
    </w:p>
    <w:p>
      <w:pPr>
        <w:pStyle w:val="14"/>
        <w:shd w:val="clear"/>
        <w:snapToGrid w:val="0"/>
        <w:spacing w:before="120" w:after="120" w:line="360" w:lineRule="auto"/>
        <w:ind w:left="420" w:left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⑶退货处理：乙方应退还甲方支付的合同款，同时应承担该货物的直接费用（运输、保险、检验、货款利息及银行手续费等）。</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 如在使用过程中发生质量问题，乙方在接到甲方通知后在</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小时内到达甲方现场。</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 在质保期内，乙方应对货物出现的质量及安全问题负责处理解决并承担一切费用。</w:t>
      </w:r>
    </w:p>
    <w:p>
      <w:pPr>
        <w:pStyle w:val="14"/>
        <w:shd w:val="clear"/>
        <w:snapToGrid w:val="0"/>
        <w:spacing w:before="120" w:after="120" w:line="360" w:lineRule="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十四、验收</w:t>
      </w:r>
    </w:p>
    <w:p>
      <w:pPr>
        <w:pStyle w:val="14"/>
        <w:shd w:val="clear"/>
        <w:snapToGrid w:val="0"/>
        <w:spacing w:before="120" w:after="120" w:line="360" w:lineRule="auto"/>
        <w:ind w:firstLine="480" w:firstLineChars="200"/>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甲方对乙方提交的货物依据招标文件上的技术规格要求和国家有关质量标准进行现场初步验收，外观、说明书符合招标文件技术要求的，给予签收，初步验收不合格的不予签收。货到后，甲方需在</w:t>
      </w:r>
      <w:r>
        <w:rPr>
          <w:rFonts w:hint="eastAsia" w:hAnsi="宋体" w:cs="宋体"/>
          <w:color w:val="000000" w:themeColor="text1"/>
          <w:sz w:val="24"/>
          <w:highlight w:val="none"/>
          <w:u w:val="single"/>
          <w14:textFill>
            <w14:solidFill>
              <w14:schemeClr w14:val="tx1"/>
            </w14:solidFill>
          </w14:textFill>
        </w:rPr>
        <w:t>五</w:t>
      </w:r>
      <w:r>
        <w:rPr>
          <w:rFonts w:hint="eastAsia" w:hAnsi="宋体" w:cs="宋体"/>
          <w:color w:val="000000" w:themeColor="text1"/>
          <w:sz w:val="24"/>
          <w:highlight w:val="none"/>
          <w14:textFill>
            <w14:solidFill>
              <w14:schemeClr w14:val="tx1"/>
            </w14:solidFill>
          </w14:textFill>
        </w:rPr>
        <w:t>个工作日内验收。</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乙方交货前应对产品作出全面检查和对验收文件进行整理，并列出清单，作为甲方收货验收和使用的技术条件依据，检验的结果应随货物交甲方。</w:t>
      </w:r>
    </w:p>
    <w:p>
      <w:pPr>
        <w:pStyle w:val="14"/>
        <w:shd w:val="clear"/>
        <w:snapToGrid w:val="0"/>
        <w:spacing w:before="120" w:after="120" w:line="360" w:lineRule="auto"/>
        <w:ind w:firstLine="480" w:firstLineChars="200"/>
        <w:rPr>
          <w:rFonts w:hAnsi="宋体" w:cs="宋体"/>
          <w:color w:val="000000" w:themeColor="text1"/>
          <w:sz w:val="24"/>
          <w:highlight w:val="none"/>
          <w:u w:val="singl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 甲方对乙方提供的货物在使用前进行调试时，乙方需负责安装并培训甲方的使用操作人员，并协助甲方一起调试，直到符合技术要求，甲方才做最终验收。</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4.对技术复杂的货物，甲方应请国家认可的专业检测机构参与初步验收及最终验收，并由其出具质量检测报告。</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5.验收时乙方必须在现场，验收完毕后作出验收结果报告；验收费用由甲方负责。</w:t>
      </w:r>
    </w:p>
    <w:p>
      <w:pPr>
        <w:pStyle w:val="14"/>
        <w:shd w:val="clear"/>
        <w:snapToGrid w:val="0"/>
        <w:spacing w:before="120" w:after="120" w:line="360" w:lineRule="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十五、货物包装、发运及运输</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乙方应在货物发运前对其进行满足运输距离、防潮、防震、防锈和防破损装卸等要求包装，以保证货物安全运达甲方指定地点。</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使用说明书、质量检验证明书、随配附件和工具以及清单一并附于货物内。</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 乙方在货物发运手续办理完毕后24小时内或货到甲方48小时前通知甲方，以准备接货。</w:t>
      </w:r>
    </w:p>
    <w:p>
      <w:pPr>
        <w:pStyle w:val="14"/>
        <w:shd w:val="clear"/>
        <w:snapToGrid w:val="0"/>
        <w:spacing w:before="120" w:after="120"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 货物在交付甲方前发生的风险均由乙方负责。</w:t>
      </w:r>
    </w:p>
    <w:p>
      <w:pPr>
        <w:pStyle w:val="14"/>
        <w:shd w:val="clear"/>
        <w:snapToGrid w:val="0"/>
        <w:spacing w:line="360" w:lineRule="auto"/>
        <w:ind w:right="26"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 货物在规定的交付期限内由乙方送达甲方指定的地点视为交付，乙方同时需通知甲方货物已送达。</w:t>
      </w:r>
    </w:p>
    <w:p>
      <w:pPr>
        <w:pStyle w:val="14"/>
        <w:shd w:val="clear"/>
        <w:snapToGrid w:val="0"/>
        <w:spacing w:before="120" w:after="120" w:line="360" w:lineRule="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十六、违约责任</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甲方无正当理由拒收货物的，甲方向乙方偿付拒收货款总值的</w:t>
      </w:r>
      <w:r>
        <w:rPr>
          <w:rFonts w:hint="eastAsia" w:hAnsi="宋体" w:cs="宋体"/>
          <w:color w:val="000000" w:themeColor="text1"/>
          <w:sz w:val="24"/>
          <w:highlight w:val="none"/>
          <w:u w:val="single"/>
          <w14:textFill>
            <w14:solidFill>
              <w14:schemeClr w14:val="tx1"/>
            </w14:solidFill>
          </w14:textFill>
        </w:rPr>
        <w:t>百分之五</w:t>
      </w:r>
      <w:r>
        <w:rPr>
          <w:rFonts w:hint="eastAsia" w:hAnsi="宋体" w:cs="宋体"/>
          <w:color w:val="000000" w:themeColor="text1"/>
          <w:sz w:val="24"/>
          <w:highlight w:val="none"/>
          <w14:textFill>
            <w14:solidFill>
              <w14:schemeClr w14:val="tx1"/>
            </w14:solidFill>
          </w14:textFill>
        </w:rPr>
        <w:t>违约金。</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甲方无故逾期验收和办理货款支付手续的,甲方应按逾期付款总额每日</w:t>
      </w:r>
      <w:r>
        <w:rPr>
          <w:rFonts w:hint="eastAsia" w:hAnsi="宋体" w:cs="宋体"/>
          <w:color w:val="000000" w:themeColor="text1"/>
          <w:sz w:val="24"/>
          <w:highlight w:val="none"/>
          <w:u w:val="single"/>
          <w14:textFill>
            <w14:solidFill>
              <w14:schemeClr w14:val="tx1"/>
            </w14:solidFill>
          </w14:textFill>
        </w:rPr>
        <w:t>万分之五</w:t>
      </w:r>
      <w:r>
        <w:rPr>
          <w:rFonts w:hint="eastAsia" w:hAnsi="宋体" w:cs="宋体"/>
          <w:color w:val="000000" w:themeColor="text1"/>
          <w:sz w:val="24"/>
          <w:highlight w:val="none"/>
          <w14:textFill>
            <w14:solidFill>
              <w14:schemeClr w14:val="tx1"/>
            </w14:solidFill>
          </w14:textFill>
        </w:rPr>
        <w:t>向乙方支付违约金。</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 乙方逾期交付货物的，乙方应按逾期交货总额每日</w:t>
      </w:r>
      <w:r>
        <w:rPr>
          <w:rFonts w:hint="eastAsia" w:hAnsi="宋体" w:cs="宋体"/>
          <w:color w:val="000000" w:themeColor="text1"/>
          <w:sz w:val="24"/>
          <w:highlight w:val="none"/>
          <w:u w:val="single"/>
          <w14:textFill>
            <w14:solidFill>
              <w14:schemeClr w14:val="tx1"/>
            </w14:solidFill>
          </w14:textFill>
        </w:rPr>
        <w:t>千分之六</w:t>
      </w:r>
      <w:r>
        <w:rPr>
          <w:rFonts w:hint="eastAsia" w:hAnsi="宋体" w:cs="宋体"/>
          <w:color w:val="000000" w:themeColor="text1"/>
          <w:sz w:val="24"/>
          <w:highlight w:val="none"/>
          <w14:textFill>
            <w14:solidFill>
              <w14:schemeClr w14:val="tx1"/>
            </w14:solidFill>
          </w14:textFill>
        </w:rPr>
        <w:t>向甲方支付违约金，由甲方从待付货款中扣除。逾期超过约定日期</w:t>
      </w:r>
      <w:r>
        <w:rPr>
          <w:rFonts w:hint="eastAsia" w:hAnsi="宋体" w:cs="宋体"/>
          <w:color w:val="000000" w:themeColor="text1"/>
          <w:sz w:val="24"/>
          <w:highlight w:val="none"/>
          <w:u w:val="single"/>
          <w14:textFill>
            <w14:solidFill>
              <w14:schemeClr w14:val="tx1"/>
            </w14:solidFill>
          </w14:textFill>
        </w:rPr>
        <w:t>10</w:t>
      </w:r>
      <w:r>
        <w:rPr>
          <w:rFonts w:hint="eastAsia" w:hAnsi="宋体" w:cs="宋体"/>
          <w:color w:val="000000" w:themeColor="text1"/>
          <w:sz w:val="24"/>
          <w:highlight w:val="none"/>
          <w14:textFill>
            <w14:solidFill>
              <w14:schemeClr w14:val="tx1"/>
            </w14:solidFill>
          </w14:textFill>
        </w:rPr>
        <w:t>个工作日不能交货的，甲方可解除本合同。乙方因逾期交货或因其他违约行为导致甲方解除合同的，乙方应向甲方支付合同总值</w:t>
      </w:r>
      <w:r>
        <w:rPr>
          <w:rFonts w:hint="eastAsia" w:hAnsi="宋体" w:cs="宋体"/>
          <w:color w:val="000000" w:themeColor="text1"/>
          <w:sz w:val="24"/>
          <w:highlight w:val="none"/>
          <w:u w:val="single"/>
          <w14:textFill>
            <w14:solidFill>
              <w14:schemeClr w14:val="tx1"/>
            </w14:solidFill>
          </w14:textFill>
        </w:rPr>
        <w:t>5%</w:t>
      </w:r>
      <w:r>
        <w:rPr>
          <w:rFonts w:hint="eastAsia" w:hAnsi="宋体" w:cs="宋体"/>
          <w:color w:val="000000" w:themeColor="text1"/>
          <w:sz w:val="24"/>
          <w:highlight w:val="none"/>
          <w14:textFill>
            <w14:solidFill>
              <w14:schemeClr w14:val="tx1"/>
            </w14:solidFill>
          </w14:textFill>
        </w:rPr>
        <w:t xml:space="preserve">的违约金，如造成甲方损失超过违约金的，超出部分由乙方继续承担赔偿责任。 </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5.若发生纠纷，由违约方赔偿守约方因纠纷所支付的费用（包括但不限于律师费、差旅费、诉讼费、保全费、鉴定费、评估费等）</w:t>
      </w:r>
    </w:p>
    <w:p>
      <w:pPr>
        <w:pStyle w:val="14"/>
        <w:shd w:val="clear"/>
        <w:snapToGrid w:val="0"/>
        <w:spacing w:before="120" w:after="120" w:line="360" w:lineRule="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十七、不可抗力事件处理</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在合同有效期内，任何一方因不可抗力事件导致不能履行合同，则合同履行期可延长，其延长期与不可抗力影响期相同。</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不可抗力事件发生后，应立即通知对方，并寄送有关权威机构出具的证明。</w:t>
      </w:r>
    </w:p>
    <w:p>
      <w:pPr>
        <w:pStyle w:val="14"/>
        <w:shd w:val="clear"/>
        <w:snapToGrid w:val="0"/>
        <w:spacing w:before="120" w:after="120"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 不可抗力事件延续120天以上，双方应通过友好协商，确定是否继续履行合同。</w:t>
      </w:r>
    </w:p>
    <w:p>
      <w:pPr>
        <w:pStyle w:val="14"/>
        <w:shd w:val="clear"/>
        <w:snapToGrid w:val="0"/>
        <w:spacing w:before="120" w:after="120" w:line="360" w:lineRule="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十八、解决争议的方法</w:t>
      </w:r>
    </w:p>
    <w:p>
      <w:pPr>
        <w:widowControl/>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如双方在履行合同时发生纠纷，应协商解决；协商不成时，可提请政府采购管理部门调解；调解不成的通过以下方式解决（两种解决方式只能择其一）：</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 xml:space="preserve">  （1） 提交</w:t>
      </w:r>
      <w:r>
        <w:rPr>
          <w:rFonts w:hint="eastAsia" w:ascii="宋体" w:hAnsi="宋体" w:cs="宋体"/>
          <w:color w:val="000000" w:themeColor="text1"/>
          <w:sz w:val="24"/>
          <w:highlight w:val="none"/>
          <w:u w:val="single"/>
          <w14:textFill>
            <w14:solidFill>
              <w14:schemeClr w14:val="tx1"/>
            </w14:solidFill>
          </w14:textFill>
        </w:rPr>
        <w:t>台州</w:t>
      </w:r>
      <w:r>
        <w:rPr>
          <w:rFonts w:hint="eastAsia" w:ascii="宋体" w:hAnsi="宋体" w:cs="宋体"/>
          <w:color w:val="000000" w:themeColor="text1"/>
          <w:kern w:val="0"/>
          <w:sz w:val="24"/>
          <w:highlight w:val="none"/>
          <w14:textFill>
            <w14:solidFill>
              <w14:schemeClr w14:val="tx1"/>
            </w14:solidFill>
          </w14:textFill>
        </w:rPr>
        <w:t>仲裁委员会仲裁。</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 xml:space="preserve">  （2） 依法向人民法院提起诉讼。 </w:t>
      </w:r>
    </w:p>
    <w:p>
      <w:pPr>
        <w:pStyle w:val="14"/>
        <w:shd w:val="clear"/>
        <w:tabs>
          <w:tab w:val="left" w:pos="5790"/>
        </w:tabs>
        <w:snapToGrid w:val="0"/>
        <w:spacing w:before="120" w:after="120" w:line="360" w:lineRule="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十九、合同生效及其它</w:t>
      </w:r>
      <w:r>
        <w:rPr>
          <w:rFonts w:hint="eastAsia" w:hAnsi="宋体" w:cs="宋体"/>
          <w:b/>
          <w:color w:val="000000" w:themeColor="text1"/>
          <w:sz w:val="24"/>
          <w:highlight w:val="none"/>
          <w14:textFill>
            <w14:solidFill>
              <w14:schemeClr w14:val="tx1"/>
            </w14:solidFill>
          </w14:textFill>
        </w:rPr>
        <w:tab/>
      </w:r>
    </w:p>
    <w:p>
      <w:pPr>
        <w:pStyle w:val="2"/>
        <w:widowControl/>
        <w:shd w:val="clear"/>
        <w:spacing w:line="360" w:lineRule="auto"/>
        <w:ind w:right="-88"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合同经双方法定代表人或授权委托代理人签字并加盖单位公章后生效。</w:t>
      </w:r>
    </w:p>
    <w:p>
      <w:pPr>
        <w:pStyle w:val="2"/>
        <w:widowControl/>
        <w:shd w:val="clear"/>
        <w:spacing w:line="360" w:lineRule="auto"/>
        <w:ind w:right="-88"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本合同未尽事宜，遵照《民法典》有关条文执行。</w:t>
      </w:r>
    </w:p>
    <w:p>
      <w:pPr>
        <w:pStyle w:val="2"/>
        <w:widowControl/>
        <w:shd w:val="clear"/>
        <w:spacing w:line="360" w:lineRule="auto"/>
        <w:ind w:right="-88"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本合同一式六份。甲、乙双方各执二份，采购组织机构及同级人民政府财政部门各执一份。本项目未尽事宜以招标文件、投标文件及澄清文件等为准。</w:t>
      </w:r>
    </w:p>
    <w:p>
      <w:pPr>
        <w:widowControl/>
        <w:shd w:val="clear"/>
        <w:spacing w:line="360" w:lineRule="auto"/>
        <w:rPr>
          <w:rFonts w:ascii="宋体" w:hAnsi="宋体" w:cs="宋体"/>
          <w:b/>
          <w:color w:val="000000" w:themeColor="text1"/>
          <w:sz w:val="24"/>
          <w:highlight w:val="none"/>
          <w14:textFill>
            <w14:solidFill>
              <w14:schemeClr w14:val="tx1"/>
            </w14:solidFill>
          </w14:textFill>
        </w:rPr>
      </w:pPr>
    </w:p>
    <w:p>
      <w:pPr>
        <w:widowControl/>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甲方（公章）                                     乙方（公章）</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                                 授权委托代理人：</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                                       联系电话：</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                                       开户银行：</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                                           账号：</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地址及邮编：                                     地址及邮编：</w:t>
      </w:r>
    </w:p>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360" w:lineRule="auto"/>
        <w:ind w:firstLine="4920" w:firstLineChars="20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签订时间：    年   月    日</w:t>
      </w: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鉴证方（鉴证章）：</w:t>
      </w: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日  期：</w:t>
      </w: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p>
    <w:p>
      <w:pPr>
        <w:pStyle w:val="3"/>
        <w:shd w:val="clear"/>
        <w:rPr>
          <w:rFonts w:ascii="宋体" w:hAnsi="宋体" w:cs="宋体"/>
          <w:color w:val="000000" w:themeColor="text1"/>
          <w:sz w:val="24"/>
          <w:szCs w:val="32"/>
          <w:highlight w:val="none"/>
          <w14:textFill>
            <w14:solidFill>
              <w14:schemeClr w14:val="tx1"/>
            </w14:solidFill>
          </w14:textFill>
        </w:rPr>
      </w:pPr>
    </w:p>
    <w:p>
      <w:pPr>
        <w:pStyle w:val="4"/>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3"/>
        <w:shd w:val="clear"/>
        <w:rPr>
          <w:rFonts w:ascii="宋体" w:hAnsi="宋体" w:cs="宋体"/>
          <w:color w:val="000000" w:themeColor="text1"/>
          <w:sz w:val="24"/>
          <w:szCs w:val="32"/>
          <w:highlight w:val="none"/>
          <w14:textFill>
            <w14:solidFill>
              <w14:schemeClr w14:val="tx1"/>
            </w14:solidFill>
          </w14:textFill>
        </w:rPr>
      </w:pPr>
    </w:p>
    <w:p>
      <w:pPr>
        <w:pStyle w:val="4"/>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3"/>
        <w:shd w:val="clear"/>
        <w:rPr>
          <w:rFonts w:ascii="宋体" w:hAnsi="宋体" w:cs="宋体"/>
          <w:color w:val="000000" w:themeColor="text1"/>
          <w:sz w:val="24"/>
          <w:szCs w:val="32"/>
          <w:highlight w:val="none"/>
          <w14:textFill>
            <w14:solidFill>
              <w14:schemeClr w14:val="tx1"/>
            </w14:solidFill>
          </w14:textFill>
        </w:rPr>
      </w:pPr>
    </w:p>
    <w:p>
      <w:pPr>
        <w:pStyle w:val="4"/>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3"/>
        <w:shd w:val="clear"/>
        <w:rPr>
          <w:rFonts w:ascii="宋体" w:hAnsi="宋体" w:cs="宋体"/>
          <w:color w:val="000000" w:themeColor="text1"/>
          <w:sz w:val="24"/>
          <w:szCs w:val="32"/>
          <w:highlight w:val="none"/>
          <w14:textFill>
            <w14:solidFill>
              <w14:schemeClr w14:val="tx1"/>
            </w14:solidFill>
          </w14:textFill>
        </w:rPr>
      </w:pPr>
    </w:p>
    <w:p>
      <w:pPr>
        <w:pStyle w:val="4"/>
        <w:shd w:val="clear"/>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color w:val="000000" w:themeColor="text1"/>
          <w:sz w:val="24"/>
          <w:szCs w:val="32"/>
          <w:highlight w:val="none"/>
          <w14:textFill>
            <w14:solidFill>
              <w14:schemeClr w14:val="tx1"/>
            </w14:solidFill>
          </w14:textFill>
        </w:rPr>
      </w:pPr>
    </w:p>
    <w:p>
      <w:pPr>
        <w:pStyle w:val="3"/>
        <w:shd w:val="clear"/>
        <w:rPr>
          <w:rFonts w:ascii="宋体" w:hAnsi="宋体" w:cs="宋体"/>
          <w:color w:val="000000" w:themeColor="text1"/>
          <w:highlight w:val="none"/>
          <w14:textFill>
            <w14:solidFill>
              <w14:schemeClr w14:val="tx1"/>
            </w14:solidFill>
          </w14:textFill>
        </w:rPr>
      </w:pP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p>
    <w:p>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rPr>
          <w:rFonts w:ascii="宋体" w:hAnsi="宋体" w:cs="宋体"/>
          <w:b/>
          <w:bCs/>
          <w:color w:val="000000" w:themeColor="text1"/>
          <w:sz w:val="36"/>
          <w:szCs w:val="44"/>
          <w:highlight w:val="none"/>
          <w14:textFill>
            <w14:solidFill>
              <w14:schemeClr w14:val="tx1"/>
            </w14:solidFill>
          </w14:textFill>
        </w:rPr>
      </w:pPr>
    </w:p>
    <w:p>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第六章 投标文件格式附件</w:t>
      </w:r>
    </w:p>
    <w:p>
      <w:pPr>
        <w:shd w:val="clea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附件1　</w:t>
      </w: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本</w:t>
      </w:r>
    </w:p>
    <w:p>
      <w:pPr>
        <w:shd w:val="clear"/>
        <w:autoSpaceDE w:val="0"/>
        <w:autoSpaceDN w:val="0"/>
        <w:adjustRightInd w:val="0"/>
        <w:spacing w:line="360" w:lineRule="auto"/>
        <w:ind w:firstLine="2880" w:firstLineChars="8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项目名称：     </w:t>
      </w:r>
    </w:p>
    <w:p>
      <w:pPr>
        <w:shd w:val="clear"/>
        <w:autoSpaceDE w:val="0"/>
        <w:autoSpaceDN w:val="0"/>
        <w:adjustRightInd w:val="0"/>
        <w:spacing w:line="360" w:lineRule="auto"/>
        <w:ind w:firstLine="2880" w:firstLineChars="800"/>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       标段（  ）</w:t>
      </w:r>
    </w:p>
    <w:p>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shd w:val="clea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hd w:val="clear"/>
        <w:autoSpaceDE w:val="0"/>
        <w:autoSpaceDN w:val="0"/>
        <w:adjustRightInd w:val="0"/>
        <w:spacing w:line="360" w:lineRule="auto"/>
        <w:jc w:val="center"/>
        <w:rPr>
          <w:rFonts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
          <w:color w:val="000000" w:themeColor="text1"/>
          <w:spacing w:val="40"/>
          <w:sz w:val="28"/>
          <w:szCs w:val="28"/>
          <w:highlight w:val="none"/>
          <w14:textFill>
            <w14:solidFill>
              <w14:schemeClr w14:val="tx1"/>
            </w14:solidFill>
          </w14:textFill>
        </w:rPr>
        <w:t>资格证明文件）</w:t>
      </w: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p>
    <w:p>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p>
    <w:p>
      <w:pPr>
        <w:pStyle w:val="2"/>
        <w:shd w:val="clear"/>
        <w:rPr>
          <w:rFonts w:ascii="宋体" w:hAnsi="宋体" w:cs="宋体"/>
          <w:b/>
          <w:bCs/>
          <w:color w:val="000000" w:themeColor="text1"/>
          <w:sz w:val="36"/>
          <w:szCs w:val="44"/>
          <w:highlight w:val="none"/>
          <w14:textFill>
            <w14:solidFill>
              <w14:schemeClr w14:val="tx1"/>
            </w14:solidFill>
          </w14:textFill>
        </w:rPr>
      </w:pPr>
    </w:p>
    <w:p>
      <w:pPr>
        <w:pStyle w:val="3"/>
        <w:shd w:val="clear"/>
        <w:rPr>
          <w:rFonts w:ascii="宋体" w:hAnsi="宋体" w:cs="宋体"/>
          <w:color w:val="000000" w:themeColor="text1"/>
          <w:highlight w:val="none"/>
          <w14:textFill>
            <w14:solidFill>
              <w14:schemeClr w14:val="tx1"/>
            </w14:solidFill>
          </w14:textFill>
        </w:rPr>
      </w:pPr>
    </w:p>
    <w:p>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资格证明文件目录</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1、投标声明书（附件2）；</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2、授权委托书（附件3）；</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3、法人或者其他组织的营业执照等证明文件，自然人的身份证明（附件4）；</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4、具有良好的商业信誉和健全的财务会计制度的承诺（附件5）；</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5、依法缴纳税收和社会保障资金的承诺（附件6）；</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6、参加政府采购活动前三年内，在经营活动中没有重大违法记录（附件7）；</w:t>
      </w:r>
    </w:p>
    <w:p>
      <w:pPr>
        <w:shd w:val="clear"/>
        <w:spacing w:line="360" w:lineRule="auto"/>
        <w:ind w:firstLine="56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6、</w:t>
      </w:r>
      <w:r>
        <w:rPr>
          <w:rFonts w:hint="eastAsia" w:ascii="宋体" w:hAnsi="宋体" w:cs="宋体"/>
          <w:color w:val="000000" w:themeColor="text1"/>
          <w:sz w:val="28"/>
          <w:szCs w:val="36"/>
          <w:highlight w:val="none"/>
          <w:lang w:val="zh-CN"/>
          <w14:textFill>
            <w14:solidFill>
              <w14:schemeClr w14:val="tx1"/>
            </w14:solidFill>
          </w14:textFill>
        </w:rPr>
        <w:t>采购公告中符合供应商特定条件的有效资质证书复印件（投标供应商特定条件中有要求的必须提供），以及需要说明的其他资料</w:t>
      </w:r>
      <w:r>
        <w:rPr>
          <w:rFonts w:hint="eastAsia" w:ascii="宋体" w:hAnsi="宋体" w:cs="宋体"/>
          <w:color w:val="000000" w:themeColor="text1"/>
          <w:sz w:val="28"/>
          <w:szCs w:val="36"/>
          <w:highlight w:val="none"/>
          <w14:textFill>
            <w14:solidFill>
              <w14:schemeClr w14:val="tx1"/>
            </w14:solidFill>
          </w14:textFill>
        </w:rPr>
        <w:t>。</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b/>
          <w:color w:val="000000" w:themeColor="text1"/>
          <w:sz w:val="28"/>
          <w:highlight w:val="none"/>
          <w14:textFill>
            <w14:solidFill>
              <w14:schemeClr w14:val="tx1"/>
            </w14:solidFill>
          </w14:textFill>
        </w:rPr>
      </w:pPr>
    </w:p>
    <w:p>
      <w:pPr>
        <w:shd w:val="clear"/>
        <w:spacing w:line="360" w:lineRule="auto"/>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 xml:space="preserve">附件2                  </w:t>
      </w:r>
      <w:r>
        <w:rPr>
          <w:rFonts w:hint="eastAsia" w:ascii="宋体" w:hAnsi="宋体" w:cs="宋体"/>
          <w:b/>
          <w:color w:val="000000" w:themeColor="text1"/>
          <w:kern w:val="0"/>
          <w:sz w:val="32"/>
          <w:szCs w:val="32"/>
          <w:highlight w:val="none"/>
          <w:lang w:val="zh-CN"/>
          <w14:textFill>
            <w14:solidFill>
              <w14:schemeClr w14:val="tx1"/>
            </w14:solidFill>
          </w14:textFill>
        </w:rPr>
        <w:t>投标声明书</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（采购代理机构名称）：</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（投标人名称）</w:t>
      </w:r>
      <w:r>
        <w:rPr>
          <w:rFonts w:hint="eastAsia" w:ascii="宋体" w:hAnsi="宋体" w:cs="宋体"/>
          <w:color w:val="000000" w:themeColor="text1"/>
          <w:sz w:val="24"/>
          <w:szCs w:val="32"/>
          <w:highlight w:val="none"/>
          <w14:textFill>
            <w14:solidFill>
              <w14:schemeClr w14:val="tx1"/>
            </w14:solidFill>
          </w14:textFill>
        </w:rPr>
        <w:t>系中华人民共和国合法企业，经营地址。</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我（</w:t>
      </w:r>
      <w:r>
        <w:rPr>
          <w:rFonts w:hint="eastAsia" w:ascii="宋体" w:hAnsi="宋体" w:cs="宋体"/>
          <w:color w:val="000000" w:themeColor="text1"/>
          <w:sz w:val="24"/>
          <w:szCs w:val="32"/>
          <w:highlight w:val="none"/>
          <w:u w:val="single"/>
          <w14:textFill>
            <w14:solidFill>
              <w14:schemeClr w14:val="tx1"/>
            </w14:solidFill>
          </w14:textFill>
        </w:rPr>
        <w:t xml:space="preserve"> 姓名 </w:t>
      </w:r>
      <w:r>
        <w:rPr>
          <w:rFonts w:hint="eastAsia" w:ascii="宋体" w:hAnsi="宋体" w:cs="宋体"/>
          <w:color w:val="000000" w:themeColor="text1"/>
          <w:sz w:val="24"/>
          <w:szCs w:val="32"/>
          <w:highlight w:val="none"/>
          <w14:textFill>
            <w14:solidFill>
              <w14:schemeClr w14:val="tx1"/>
            </w14:solidFill>
          </w14:textFill>
        </w:rPr>
        <w:t>）系（</w:t>
      </w:r>
      <w:r>
        <w:rPr>
          <w:rFonts w:hint="eastAsia" w:ascii="宋体" w:hAnsi="宋体" w:cs="宋体"/>
          <w:color w:val="000000" w:themeColor="text1"/>
          <w:sz w:val="24"/>
          <w:szCs w:val="32"/>
          <w:highlight w:val="none"/>
          <w:u w:val="single"/>
          <w14:textFill>
            <w14:solidFill>
              <w14:schemeClr w14:val="tx1"/>
            </w14:solidFill>
          </w14:textFill>
        </w:rPr>
        <w:t xml:space="preserve"> 投标人名称 </w:t>
      </w:r>
      <w:r>
        <w:rPr>
          <w:rFonts w:hint="eastAsia" w:ascii="宋体" w:hAnsi="宋体" w:cs="宋体"/>
          <w:color w:val="000000" w:themeColor="text1"/>
          <w:sz w:val="24"/>
          <w:szCs w:val="32"/>
          <w:highlight w:val="none"/>
          <w14:textFill>
            <w14:solidFill>
              <w14:schemeClr w14:val="tx1"/>
            </w14:solidFill>
          </w14:textFill>
        </w:rPr>
        <w:t>）的法定代表人，我公司自愿参加贵方组织的（</w:t>
      </w:r>
      <w:r>
        <w:rPr>
          <w:rFonts w:hint="eastAsia" w:ascii="宋体" w:hAnsi="宋体" w:cs="宋体"/>
          <w:color w:val="000000" w:themeColor="text1"/>
          <w:sz w:val="24"/>
          <w:szCs w:val="32"/>
          <w:highlight w:val="none"/>
          <w:u w:val="single"/>
          <w14:textFill>
            <w14:solidFill>
              <w14:schemeClr w14:val="tx1"/>
            </w14:solidFill>
          </w14:textFill>
        </w:rPr>
        <w:t xml:space="preserve"> 2022年度台州市路桥区图书馆本馆普通图书、分馆普通图书、和合书吧普通图书采购项目 </w:t>
      </w:r>
      <w:r>
        <w:rPr>
          <w:rFonts w:hint="eastAsia" w:ascii="宋体" w:hAnsi="宋体" w:cs="宋体"/>
          <w:color w:val="000000" w:themeColor="text1"/>
          <w:sz w:val="24"/>
          <w:szCs w:val="32"/>
          <w:highlight w:val="none"/>
          <w14:textFill>
            <w14:solidFill>
              <w14:schemeClr w14:val="tx1"/>
            </w14:solidFill>
          </w14:textFill>
        </w:rPr>
        <w:t>）（编号为</w:t>
      </w:r>
      <w:r>
        <w:rPr>
          <w:rFonts w:hint="eastAsia" w:ascii="宋体" w:hAnsi="宋体" w:cs="宋体"/>
          <w:color w:val="000000" w:themeColor="text1"/>
          <w:sz w:val="24"/>
          <w:szCs w:val="32"/>
          <w:highlight w:val="none"/>
          <w:u w:val="single"/>
          <w14:textFill>
            <w14:solidFill>
              <w14:schemeClr w14:val="tx1"/>
            </w14:solidFill>
          </w14:textFill>
        </w:rPr>
        <w:t xml:space="preserve"> ZJWS2022-LQ23 </w:t>
      </w:r>
      <w:r>
        <w:rPr>
          <w:rFonts w:hint="eastAsia" w:ascii="宋体" w:hAnsi="宋体" w:cs="宋体"/>
          <w:color w:val="000000" w:themeColor="text1"/>
          <w:sz w:val="24"/>
          <w:szCs w:val="32"/>
          <w:highlight w:val="none"/>
          <w14:textFill>
            <w14:solidFill>
              <w14:schemeClr w14:val="tx1"/>
            </w14:solidFill>
          </w14:textFill>
        </w:rPr>
        <w:t>）的投标，为此，我公司就本次投标有关事项郑重声明如下：</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不是采购人的附属机构；在获知本项目采购信息后，与采购人聘请的为此项目提供咨询服务的公司及其附属机构没有任何联系。</w:t>
      </w:r>
    </w:p>
    <w:p>
      <w:pPr>
        <w:shd w:val="clear"/>
        <w:spacing w:line="360" w:lineRule="auto"/>
        <w:ind w:firstLine="480" w:firstLineChars="200"/>
        <w:rPr>
          <w:rFonts w:ascii="宋体" w:hAnsi="宋体" w:cs="宋体"/>
          <w:color w:val="000000" w:themeColor="text1"/>
          <w:sz w:val="24"/>
          <w:szCs w:val="32"/>
          <w:highlight w:val="none"/>
          <w:lang w:val="af-ZA"/>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保证，</w:t>
      </w:r>
      <w:r>
        <w:rPr>
          <w:rFonts w:hint="eastAsia" w:ascii="宋体" w:hAnsi="宋体" w:cs="宋体"/>
          <w:color w:val="000000" w:themeColor="text1"/>
          <w:sz w:val="24"/>
          <w:szCs w:val="32"/>
          <w:highlight w:val="none"/>
          <w:lang w:val="af-ZA"/>
          <w14:textFill>
            <w14:solidFill>
              <w14:schemeClr w14:val="tx1"/>
            </w14:solidFill>
          </w14:textFill>
        </w:rPr>
        <w:t>采购人在中华人民共和国境内使用</w:t>
      </w:r>
      <w:r>
        <w:rPr>
          <w:rFonts w:hint="eastAsia" w:ascii="宋体" w:hAnsi="宋体" w:cs="宋体"/>
          <w:color w:val="000000" w:themeColor="text1"/>
          <w:sz w:val="24"/>
          <w:szCs w:val="32"/>
          <w:highlight w:val="none"/>
          <w14:textFill>
            <w14:solidFill>
              <w14:schemeClr w14:val="tx1"/>
            </w14:solidFill>
          </w14:textFill>
        </w:rPr>
        <w:t>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af-ZA"/>
          <w14:textFill>
            <w14:solidFill>
              <w14:schemeClr w14:val="tx1"/>
            </w14:solidFill>
          </w14:textFill>
        </w:rPr>
        <w:t>5、我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lang w:val="af-ZA"/>
          <w14:textFill>
            <w14:solidFill>
              <w14:schemeClr w14:val="tx1"/>
            </w14:solidFill>
          </w14:textFill>
        </w:rPr>
        <w:t>严格履行政府采购合同，不降低合同约定的产品质量和服务，不擅自变更、中止、终止合同，或拒绝履行合同义务；</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6、以上事项如有虚假或隐瞒，我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愿意承担一切后果，并不再寻求任何旨在减轻或免除法律责任的辩解。</w:t>
      </w:r>
    </w:p>
    <w:p>
      <w:pPr>
        <w:shd w:val="clear"/>
        <w:adjustRightInd w:val="0"/>
        <w:snapToGrid w:val="0"/>
        <w:spacing w:line="360" w:lineRule="auto"/>
        <w:ind w:firstLine="480"/>
        <w:rPr>
          <w:rFonts w:ascii="宋体" w:hAnsi="宋体" w:cs="宋体"/>
          <w:color w:val="000000" w:themeColor="text1"/>
          <w:kern w:val="0"/>
          <w:sz w:val="24"/>
          <w:highlight w:val="none"/>
          <w14:textFill>
            <w14:solidFill>
              <w14:schemeClr w14:val="tx1"/>
            </w14:solidFill>
          </w14:textFill>
        </w:rPr>
      </w:pPr>
    </w:p>
    <w:p>
      <w:pPr>
        <w:shd w:val="clear"/>
        <w:spacing w:line="360" w:lineRule="auto"/>
        <w:ind w:firstLine="4560" w:firstLineChars="19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投标人名称(公章)：</w:t>
      </w:r>
    </w:p>
    <w:p>
      <w:pPr>
        <w:shd w:val="clear"/>
        <w:spacing w:line="360" w:lineRule="auto"/>
        <w:ind w:firstLine="2640" w:firstLineChars="11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法定代表人或授权委托代理人(签字)：</w:t>
      </w:r>
    </w:p>
    <w:p>
      <w:pPr>
        <w:shd w:val="clear"/>
        <w:spacing w:line="360" w:lineRule="auto"/>
        <w:ind w:firstLine="4560" w:firstLineChars="19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日期：</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pPr>
        <w:shd w:val="clear"/>
        <w:spacing w:line="36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附件3                   授权委托书</w:t>
      </w: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（采购代理机构名称）：</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（投标人全称）</w:t>
      </w:r>
      <w:r>
        <w:rPr>
          <w:rFonts w:hint="eastAsia" w:ascii="宋体" w:hAnsi="宋体" w:cs="宋体"/>
          <w:color w:val="000000" w:themeColor="text1"/>
          <w:sz w:val="24"/>
          <w:szCs w:val="32"/>
          <w:highlight w:val="none"/>
          <w14:textFill>
            <w14:solidFill>
              <w14:schemeClr w14:val="tx1"/>
            </w14:solidFill>
          </w14:textFill>
        </w:rPr>
        <w:t>法定代表人（或营业执照中单位负责人）</w:t>
      </w:r>
      <w:r>
        <w:rPr>
          <w:rFonts w:hint="eastAsia" w:ascii="宋体" w:hAnsi="宋体" w:cs="宋体"/>
          <w:color w:val="000000" w:themeColor="text1"/>
          <w:sz w:val="24"/>
          <w:szCs w:val="32"/>
          <w:highlight w:val="none"/>
          <w:u w:val="single"/>
          <w14:textFill>
            <w14:solidFill>
              <w14:schemeClr w14:val="tx1"/>
            </w14:solidFill>
          </w14:textFill>
        </w:rPr>
        <w:tab/>
      </w:r>
      <w:r>
        <w:rPr>
          <w:rFonts w:hint="eastAsia" w:ascii="宋体" w:hAnsi="宋体" w:cs="宋体"/>
          <w:color w:val="000000" w:themeColor="text1"/>
          <w:sz w:val="24"/>
          <w:szCs w:val="32"/>
          <w:highlight w:val="none"/>
          <w:u w:val="single"/>
          <w14:textFill>
            <w14:solidFill>
              <w14:schemeClr w14:val="tx1"/>
            </w14:solidFill>
          </w14:textFill>
        </w:rPr>
        <w:t xml:space="preserve">（法定代表人或营业执照中单位负责人姓名） </w:t>
      </w:r>
      <w:r>
        <w:rPr>
          <w:rFonts w:hint="eastAsia" w:ascii="宋体" w:hAnsi="宋体" w:cs="宋体"/>
          <w:color w:val="000000" w:themeColor="text1"/>
          <w:sz w:val="24"/>
          <w:szCs w:val="32"/>
          <w:highlight w:val="none"/>
          <w14:textFill>
            <w14:solidFill>
              <w14:schemeClr w14:val="tx1"/>
            </w14:solidFill>
          </w14:textFill>
        </w:rPr>
        <w:t>授权</w:t>
      </w:r>
      <w:r>
        <w:rPr>
          <w:rFonts w:hint="eastAsia" w:ascii="宋体" w:hAnsi="宋体" w:cs="宋体"/>
          <w:color w:val="000000" w:themeColor="text1"/>
          <w:sz w:val="24"/>
          <w:szCs w:val="32"/>
          <w:highlight w:val="none"/>
          <w:u w:val="single"/>
          <w14:textFill>
            <w14:solidFill>
              <w14:schemeClr w14:val="tx1"/>
            </w14:solidFill>
          </w14:textFill>
        </w:rPr>
        <w:t xml:space="preserve"> （授权委托代理人姓名） </w:t>
      </w:r>
      <w:r>
        <w:rPr>
          <w:rFonts w:hint="eastAsia" w:ascii="宋体" w:hAnsi="宋体" w:cs="宋体"/>
          <w:color w:val="000000" w:themeColor="text1"/>
          <w:sz w:val="24"/>
          <w:szCs w:val="32"/>
          <w:highlight w:val="none"/>
          <w14:textFill>
            <w14:solidFill>
              <w14:schemeClr w14:val="tx1"/>
            </w14:solidFill>
          </w14:textFill>
        </w:rPr>
        <w:t>为授权委托代理人，参加贵单位组织的</w:t>
      </w:r>
      <w:r>
        <w:rPr>
          <w:rFonts w:hint="eastAsia" w:ascii="宋体" w:hAnsi="宋体" w:cs="宋体"/>
          <w:color w:val="000000" w:themeColor="text1"/>
          <w:sz w:val="24"/>
          <w:szCs w:val="32"/>
          <w:highlight w:val="none"/>
          <w:u w:val="single"/>
          <w14:textFill>
            <w14:solidFill>
              <w14:schemeClr w14:val="tx1"/>
            </w14:solidFill>
          </w14:textFill>
        </w:rPr>
        <w:t xml:space="preserve"> 2022年度台州市路桥区图书馆本馆普通图书、分馆普通图书、和合书吧普通图书采购项目 </w:t>
      </w:r>
      <w:r>
        <w:rPr>
          <w:rFonts w:hint="eastAsia" w:ascii="宋体" w:hAnsi="宋体" w:cs="宋体"/>
          <w:color w:val="000000" w:themeColor="text1"/>
          <w:sz w:val="24"/>
          <w:szCs w:val="32"/>
          <w:highlight w:val="none"/>
          <w14:textFill>
            <w14:solidFill>
              <w14:schemeClr w14:val="tx1"/>
            </w14:solidFill>
          </w14:textFill>
        </w:rPr>
        <w:t>的采购活动，并代表我方全权办理针对上述项目的投标、开标、评标、签约等具体事务和签署相关文件。我方对授权委托代理人的签字事项负全部责任。</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在撤销授权的书面通知以前，本授权书一直有效。授权委托代理人在授权委托书有效期内签署的所有文件不因授权的撤销而失效。</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授权委托代理人无转委托权，特此委托。</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法定代表人签字或盖章：</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投标人全称（公章）：                      </w:t>
      </w:r>
      <w:r>
        <w:rPr>
          <w:rFonts w:hint="eastAsia" w:ascii="宋体" w:hAnsi="宋体" w:cs="宋体"/>
          <w:color w:val="000000" w:themeColor="text1"/>
          <w:sz w:val="24"/>
          <w:szCs w:val="32"/>
          <w:highlight w:val="none"/>
          <w:lang w:val="zh-CN"/>
          <w14:textFill>
            <w14:solidFill>
              <w14:schemeClr w14:val="tx1"/>
            </w14:solidFill>
          </w14:textFill>
        </w:rPr>
        <w:t>日期：</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法定代表身份证复印件粘帖处</w:t>
            </w:r>
          </w:p>
        </w:tc>
      </w:tr>
    </w:tbl>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法定代表人姓名：</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传真：</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电话：</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详细通讯地址：</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邮政编码：</w:t>
      </w:r>
    </w:p>
    <w:p>
      <w:pPr>
        <w:shd w:val="clear"/>
        <w:spacing w:line="360" w:lineRule="auto"/>
        <w:rPr>
          <w:rFonts w:ascii="宋体" w:hAnsi="宋体" w:cs="宋体"/>
          <w:b/>
          <w:color w:val="000000" w:themeColor="text1"/>
          <w:sz w:val="24"/>
          <w:highlight w:val="none"/>
          <w14:textFill>
            <w14:solidFill>
              <w14:schemeClr w14:val="tx1"/>
            </w14:solidFill>
          </w14:textFill>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授权委托代理人身份证复印件粘帖处</w:t>
            </w:r>
          </w:p>
        </w:tc>
      </w:tr>
    </w:tbl>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授权委托代理人姓名：</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职务：</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传真：</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电话：</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详细通讯地址：</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邮政编码：</w:t>
      </w:r>
    </w:p>
    <w:p>
      <w:pPr>
        <w:pStyle w:val="19"/>
        <w:shd w:val="clear"/>
        <w:spacing w:line="360" w:lineRule="auto"/>
        <w:ind w:left="0" w:firstLine="0" w:firstLineChars="0"/>
        <w:outlineLvl w:val="2"/>
        <w:rPr>
          <w:rFonts w:ascii="宋体" w:hAnsi="宋体" w:cs="宋体"/>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附件4　</w:t>
      </w:r>
      <w:r>
        <w:rPr>
          <w:rFonts w:hint="eastAsia" w:ascii="宋体" w:hAnsi="宋体" w:cs="宋体"/>
          <w:color w:val="000000" w:themeColor="text1"/>
          <w:sz w:val="30"/>
          <w:szCs w:val="30"/>
          <w:highlight w:val="none"/>
          <w14:textFill>
            <w14:solidFill>
              <w14:schemeClr w14:val="tx1"/>
            </w14:solidFill>
          </w14:textFill>
        </w:rPr>
        <w:t xml:space="preserve">　　  </w:t>
      </w:r>
    </w:p>
    <w:p>
      <w:pPr>
        <w:pStyle w:val="19"/>
        <w:shd w:val="clear"/>
        <w:spacing w:line="360" w:lineRule="auto"/>
        <w:ind w:left="0" w:firstLine="0" w:firstLineChars="0"/>
        <w:jc w:val="center"/>
        <w:outlineLvl w:val="2"/>
        <w:rPr>
          <w:rFonts w:ascii="宋体" w:hAnsi="宋体" w:cs="宋体"/>
          <w:color w:val="000000" w:themeColor="text1"/>
          <w:sz w:val="30"/>
          <w:szCs w:val="30"/>
          <w:highlight w:val="none"/>
          <w14:textFill>
            <w14:solidFill>
              <w14:schemeClr w14:val="tx1"/>
            </w14:solidFill>
          </w14:textFill>
        </w:rPr>
      </w:pPr>
    </w:p>
    <w:p>
      <w:pPr>
        <w:pStyle w:val="19"/>
        <w:shd w:val="clear"/>
        <w:spacing w:line="360" w:lineRule="auto"/>
        <w:ind w:left="0" w:firstLine="0" w:firstLineChars="0"/>
        <w:jc w:val="center"/>
        <w:outlineLvl w:val="2"/>
        <w:rPr>
          <w:rFonts w:ascii="宋体" w:hAnsi="宋体" w:cs="宋体"/>
          <w:color w:val="000000" w:themeColor="text1"/>
          <w:sz w:val="30"/>
          <w:szCs w:val="30"/>
          <w:highlight w:val="none"/>
          <w14:textFill>
            <w14:solidFill>
              <w14:schemeClr w14:val="tx1"/>
            </w14:solidFill>
          </w14:textFill>
        </w:rPr>
      </w:pPr>
    </w:p>
    <w:p>
      <w:pPr>
        <w:pStyle w:val="19"/>
        <w:shd w:val="clear"/>
        <w:spacing w:line="360" w:lineRule="auto"/>
        <w:ind w:left="0" w:firstLine="0" w:firstLineChars="0"/>
        <w:jc w:val="center"/>
        <w:outlineLvl w:val="2"/>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有效的法人或者其他组织的营业执照等证明文件（复印件），自然人的身份证明</w:t>
      </w:r>
    </w:p>
    <w:p>
      <w:pPr>
        <w:pStyle w:val="19"/>
        <w:shd w:val="clear"/>
        <w:spacing w:line="360" w:lineRule="auto"/>
        <w:ind w:left="0" w:firstLine="0" w:firstLineChars="0"/>
        <w:jc w:val="center"/>
        <w:rPr>
          <w:rFonts w:ascii="宋体" w:hAnsi="宋体" w:cs="宋体"/>
          <w:b/>
          <w:color w:val="000000" w:themeColor="text1"/>
          <w:spacing w:val="-6"/>
          <w:sz w:val="24"/>
          <w:highlight w:val="none"/>
          <w14:textFill>
            <w14:solidFill>
              <w14:schemeClr w14:val="tx1"/>
            </w14:solidFill>
          </w14:textFill>
        </w:rPr>
      </w:pPr>
    </w:p>
    <w:p>
      <w:pPr>
        <w:pStyle w:val="19"/>
        <w:shd w:val="clear"/>
        <w:spacing w:line="360" w:lineRule="auto"/>
        <w:ind w:left="0" w:firstLine="0" w:firstLineChars="0"/>
        <w:jc w:val="center"/>
        <w:rPr>
          <w:rFonts w:ascii="宋体" w:hAnsi="宋体" w:cs="宋体"/>
          <w:b/>
          <w:color w:val="000000" w:themeColor="text1"/>
          <w:spacing w:val="-6"/>
          <w:sz w:val="24"/>
          <w:highlight w:val="none"/>
          <w14:textFill>
            <w14:solidFill>
              <w14:schemeClr w14:val="tx1"/>
            </w14:solidFill>
          </w14:textFill>
        </w:rPr>
      </w:pPr>
    </w:p>
    <w:p>
      <w:pPr>
        <w:pStyle w:val="19"/>
        <w:shd w:val="clear"/>
        <w:spacing w:line="360" w:lineRule="auto"/>
        <w:ind w:left="0" w:firstLine="0" w:firstLineChars="0"/>
        <w:jc w:val="center"/>
        <w:rPr>
          <w:rFonts w:ascii="宋体" w:hAnsi="宋体" w:cs="宋体"/>
          <w:b/>
          <w:color w:val="000000" w:themeColor="text1"/>
          <w:spacing w:val="-6"/>
          <w:sz w:val="24"/>
          <w:highlight w:val="none"/>
          <w14:textFill>
            <w14:solidFill>
              <w14:schemeClr w14:val="tx1"/>
            </w14:solidFill>
          </w14:textFill>
        </w:rPr>
      </w:pPr>
    </w:p>
    <w:p>
      <w:pPr>
        <w:shd w:val="clea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说明：</w:t>
      </w:r>
    </w:p>
    <w:p>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1.如供应商是企业（包括合伙企业），提供在工商部门注册的有效“企业法人营业执照”或“营业执照”；</w:t>
      </w:r>
    </w:p>
    <w:p>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2.如供应商是事业单位，提供有效的“事业单位法人证书”；</w:t>
      </w:r>
    </w:p>
    <w:p>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3.如供应商是非企业专业服务机构的，提供执业许可证等证明文件；</w:t>
      </w:r>
    </w:p>
    <w:p>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4.如供应商是个体工商户，提供有效的“个体工商户营业执照”；</w:t>
      </w:r>
    </w:p>
    <w:p>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5.如供应商是自然人，提供有效的自然人身份证明。</w:t>
      </w:r>
    </w:p>
    <w:p>
      <w:pPr>
        <w:pStyle w:val="10"/>
        <w:shd w:val="clear"/>
        <w:rPr>
          <w:rFonts w:ascii="宋体" w:hAnsi="宋体" w:cs="宋体"/>
          <w:b/>
          <w:color w:val="000000" w:themeColor="text1"/>
          <w:sz w:val="24"/>
          <w:szCs w:val="24"/>
          <w:highlight w:val="none"/>
          <w14:textFill>
            <w14:solidFill>
              <w14:schemeClr w14:val="tx1"/>
            </w14:solidFill>
          </w14:textFill>
        </w:rPr>
      </w:pPr>
    </w:p>
    <w:p>
      <w:pPr>
        <w:shd w:val="clear"/>
        <w:rPr>
          <w:rFonts w:ascii="宋体" w:hAnsi="宋体" w:cs="宋体"/>
          <w:b/>
          <w:color w:val="000000" w:themeColor="text1"/>
          <w:sz w:val="24"/>
          <w:highlight w:val="none"/>
          <w14:textFill>
            <w14:solidFill>
              <w14:schemeClr w14:val="tx1"/>
            </w14:solidFill>
          </w14:textFill>
        </w:rPr>
      </w:pPr>
    </w:p>
    <w:p>
      <w:pPr>
        <w:pStyle w:val="10"/>
        <w:shd w:val="clear"/>
        <w:rPr>
          <w:rFonts w:ascii="宋体" w:hAnsi="宋体" w:cs="宋体"/>
          <w:b/>
          <w:color w:val="000000" w:themeColor="text1"/>
          <w:sz w:val="24"/>
          <w:szCs w:val="24"/>
          <w:highlight w:val="none"/>
          <w14:textFill>
            <w14:solidFill>
              <w14:schemeClr w14:val="tx1"/>
            </w14:solidFill>
          </w14:textFill>
        </w:rPr>
      </w:pPr>
    </w:p>
    <w:p>
      <w:pPr>
        <w:shd w:val="clear"/>
        <w:rPr>
          <w:rFonts w:ascii="宋体" w:hAnsi="宋体" w:cs="宋体"/>
          <w:b/>
          <w:color w:val="000000" w:themeColor="text1"/>
          <w:sz w:val="24"/>
          <w:highlight w:val="none"/>
          <w14:textFill>
            <w14:solidFill>
              <w14:schemeClr w14:val="tx1"/>
            </w14:solidFill>
          </w14:textFill>
        </w:rPr>
      </w:pPr>
    </w:p>
    <w:p>
      <w:pPr>
        <w:pStyle w:val="10"/>
        <w:shd w:val="clear"/>
        <w:rPr>
          <w:rFonts w:ascii="宋体" w:hAnsi="宋体" w:cs="宋体"/>
          <w:b/>
          <w:color w:val="000000" w:themeColor="text1"/>
          <w:sz w:val="24"/>
          <w:szCs w:val="24"/>
          <w:highlight w:val="none"/>
          <w14:textFill>
            <w14:solidFill>
              <w14:schemeClr w14:val="tx1"/>
            </w14:solidFill>
          </w14:textFill>
        </w:rPr>
      </w:pPr>
    </w:p>
    <w:p>
      <w:pPr>
        <w:shd w:val="clear"/>
        <w:rPr>
          <w:rFonts w:ascii="宋体" w:hAnsi="宋体" w:cs="宋体"/>
          <w:b/>
          <w:color w:val="000000" w:themeColor="text1"/>
          <w:sz w:val="24"/>
          <w:highlight w:val="none"/>
          <w14:textFill>
            <w14:solidFill>
              <w14:schemeClr w14:val="tx1"/>
            </w14:solidFill>
          </w14:textFill>
        </w:rPr>
      </w:pPr>
    </w:p>
    <w:p>
      <w:pPr>
        <w:pStyle w:val="10"/>
        <w:shd w:val="clear"/>
        <w:rPr>
          <w:rFonts w:ascii="宋体" w:hAnsi="宋体" w:cs="宋体"/>
          <w:b/>
          <w:color w:val="000000" w:themeColor="text1"/>
          <w:sz w:val="24"/>
          <w:szCs w:val="24"/>
          <w:highlight w:val="none"/>
          <w14:textFill>
            <w14:solidFill>
              <w14:schemeClr w14:val="tx1"/>
            </w14:solidFill>
          </w14:textFill>
        </w:rPr>
      </w:pPr>
    </w:p>
    <w:p>
      <w:pPr>
        <w:shd w:val="clear"/>
        <w:rPr>
          <w:rFonts w:ascii="宋体" w:hAnsi="宋体" w:cs="宋体"/>
          <w:b/>
          <w:color w:val="000000" w:themeColor="text1"/>
          <w:sz w:val="24"/>
          <w:highlight w:val="none"/>
          <w14:textFill>
            <w14:solidFill>
              <w14:schemeClr w14:val="tx1"/>
            </w14:solidFill>
          </w14:textFill>
        </w:rPr>
      </w:pPr>
    </w:p>
    <w:p>
      <w:pPr>
        <w:pStyle w:val="10"/>
        <w:shd w:val="clear"/>
        <w:rPr>
          <w:rFonts w:ascii="宋体" w:hAnsi="宋体" w:cs="宋体"/>
          <w:b/>
          <w:color w:val="000000" w:themeColor="text1"/>
          <w:sz w:val="24"/>
          <w:szCs w:val="24"/>
          <w:highlight w:val="none"/>
          <w14:textFill>
            <w14:solidFill>
              <w14:schemeClr w14:val="tx1"/>
            </w14:solidFill>
          </w14:textFill>
        </w:rPr>
      </w:pPr>
    </w:p>
    <w:p>
      <w:pPr>
        <w:shd w:val="clear"/>
        <w:rPr>
          <w:rFonts w:ascii="宋体" w:hAnsi="宋体" w:cs="宋体"/>
          <w:b/>
          <w:color w:val="000000" w:themeColor="text1"/>
          <w:sz w:val="24"/>
          <w:highlight w:val="none"/>
          <w14:textFill>
            <w14:solidFill>
              <w14:schemeClr w14:val="tx1"/>
            </w14:solidFill>
          </w14:textFill>
        </w:rPr>
      </w:pPr>
    </w:p>
    <w:p>
      <w:pPr>
        <w:pStyle w:val="10"/>
        <w:shd w:val="clear"/>
        <w:rPr>
          <w:rFonts w:ascii="宋体" w:hAnsi="宋体" w:cs="宋体"/>
          <w:b/>
          <w:color w:val="000000" w:themeColor="text1"/>
          <w:sz w:val="24"/>
          <w:szCs w:val="24"/>
          <w:highlight w:val="none"/>
          <w14:textFill>
            <w14:solidFill>
              <w14:schemeClr w14:val="tx1"/>
            </w14:solidFill>
          </w14:textFill>
        </w:rPr>
      </w:pPr>
    </w:p>
    <w:p>
      <w:pPr>
        <w:shd w:val="clear"/>
        <w:rPr>
          <w:rFonts w:ascii="宋体" w:hAnsi="宋体" w:cs="宋体"/>
          <w:b/>
          <w:color w:val="000000" w:themeColor="text1"/>
          <w:sz w:val="24"/>
          <w:highlight w:val="none"/>
          <w14:textFill>
            <w14:solidFill>
              <w14:schemeClr w14:val="tx1"/>
            </w14:solidFill>
          </w14:textFill>
        </w:rPr>
      </w:pPr>
    </w:p>
    <w:p>
      <w:pPr>
        <w:pStyle w:val="10"/>
        <w:shd w:val="clear"/>
        <w:rPr>
          <w:rFonts w:ascii="宋体" w:hAnsi="宋体" w:cs="宋体"/>
          <w:b/>
          <w:color w:val="000000" w:themeColor="text1"/>
          <w:sz w:val="24"/>
          <w:szCs w:val="24"/>
          <w:highlight w:val="none"/>
          <w14:textFill>
            <w14:solidFill>
              <w14:schemeClr w14:val="tx1"/>
            </w14:solidFill>
          </w14:textFill>
        </w:rPr>
      </w:pPr>
    </w:p>
    <w:p>
      <w:pPr>
        <w:shd w:val="clear"/>
        <w:rPr>
          <w:rFonts w:ascii="宋体" w:hAnsi="宋体" w:cs="宋体"/>
          <w:b/>
          <w:color w:val="000000" w:themeColor="text1"/>
          <w:sz w:val="24"/>
          <w:highlight w:val="none"/>
          <w14:textFill>
            <w14:solidFill>
              <w14:schemeClr w14:val="tx1"/>
            </w14:solidFill>
          </w14:textFill>
        </w:rPr>
      </w:pPr>
    </w:p>
    <w:p>
      <w:pPr>
        <w:pStyle w:val="10"/>
        <w:shd w:val="clear"/>
        <w:rPr>
          <w:rFonts w:ascii="宋体" w:hAnsi="宋体" w:cs="宋体"/>
          <w:b/>
          <w:color w:val="000000" w:themeColor="text1"/>
          <w:sz w:val="24"/>
          <w:szCs w:val="24"/>
          <w:highlight w:val="none"/>
          <w14:textFill>
            <w14:solidFill>
              <w14:schemeClr w14:val="tx1"/>
            </w14:solidFill>
          </w14:textFill>
        </w:rPr>
      </w:pPr>
    </w:p>
    <w:p>
      <w:pPr>
        <w:shd w:val="clear"/>
        <w:rPr>
          <w:rFonts w:ascii="宋体" w:hAnsi="宋体" w:cs="宋体"/>
          <w:b/>
          <w:color w:val="000000" w:themeColor="text1"/>
          <w:sz w:val="24"/>
          <w:highlight w:val="none"/>
          <w14:textFill>
            <w14:solidFill>
              <w14:schemeClr w14:val="tx1"/>
            </w14:solidFill>
          </w14:textFill>
        </w:rPr>
      </w:pPr>
    </w:p>
    <w:p>
      <w:pPr>
        <w:pStyle w:val="10"/>
        <w:shd w:val="clear"/>
        <w:rPr>
          <w:rFonts w:ascii="宋体" w:hAnsi="宋体" w:cs="宋体"/>
          <w:b/>
          <w:color w:val="000000" w:themeColor="text1"/>
          <w:sz w:val="24"/>
          <w:szCs w:val="24"/>
          <w:highlight w:val="none"/>
          <w14:textFill>
            <w14:solidFill>
              <w14:schemeClr w14:val="tx1"/>
            </w14:solidFill>
          </w14:textFill>
        </w:rPr>
      </w:pPr>
    </w:p>
    <w:p>
      <w:pPr>
        <w:shd w:val="clear"/>
        <w:rPr>
          <w:rFonts w:ascii="宋体" w:hAnsi="宋体" w:cs="宋体"/>
          <w:b/>
          <w:color w:val="000000" w:themeColor="text1"/>
          <w:sz w:val="24"/>
          <w:highlight w:val="none"/>
          <w14:textFill>
            <w14:solidFill>
              <w14:schemeClr w14:val="tx1"/>
            </w14:solidFill>
          </w14:textFill>
        </w:rPr>
      </w:pPr>
    </w:p>
    <w:p>
      <w:pPr>
        <w:pStyle w:val="10"/>
        <w:shd w:val="clear"/>
        <w:rPr>
          <w:rFonts w:ascii="宋体" w:hAnsi="宋体" w:cs="宋体"/>
          <w:b/>
          <w:color w:val="000000" w:themeColor="text1"/>
          <w:sz w:val="24"/>
          <w:szCs w:val="24"/>
          <w:highlight w:val="none"/>
          <w14:textFill>
            <w14:solidFill>
              <w14:schemeClr w14:val="tx1"/>
            </w14:solidFill>
          </w14:textFill>
        </w:rPr>
      </w:pPr>
    </w:p>
    <w:p>
      <w:pPr>
        <w:shd w:val="clear"/>
        <w:rPr>
          <w:rFonts w:ascii="宋体" w:hAnsi="宋体" w:cs="宋体"/>
          <w:b/>
          <w:color w:val="000000" w:themeColor="text1"/>
          <w:sz w:val="24"/>
          <w:highlight w:val="none"/>
          <w14:textFill>
            <w14:solidFill>
              <w14:schemeClr w14:val="tx1"/>
            </w14:solidFill>
          </w14:textFill>
        </w:rPr>
      </w:pPr>
    </w:p>
    <w:p>
      <w:pPr>
        <w:pStyle w:val="10"/>
        <w:shd w:val="clear"/>
        <w:rPr>
          <w:color w:val="000000" w:themeColor="text1"/>
          <w:highlight w:val="none"/>
          <w14:textFill>
            <w14:solidFill>
              <w14:schemeClr w14:val="tx1"/>
            </w14:solidFill>
          </w14:textFill>
        </w:rPr>
      </w:pPr>
    </w:p>
    <w:p>
      <w:pPr>
        <w:shd w:val="clea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b/>
          <w:bCs/>
          <w:color w:val="000000" w:themeColor="text1"/>
          <w:sz w:val="28"/>
          <w:szCs w:val="36"/>
          <w:highlight w:val="none"/>
          <w14:textFill>
            <w14:solidFill>
              <w14:schemeClr w14:val="tx1"/>
            </w14:solidFill>
          </w14:textFill>
        </w:rPr>
        <w:t>附件5</w:t>
      </w:r>
    </w:p>
    <w:p>
      <w:pPr>
        <w:shd w:val="clear"/>
        <w:spacing w:after="317" w:afterLines="10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具备健全的财务会计制度的承诺函</w:t>
      </w:r>
    </w:p>
    <w:p>
      <w:pPr>
        <w:widowControl/>
        <w:shd w:val="clear"/>
        <w:spacing w:line="360" w:lineRule="auto"/>
        <w:rPr>
          <w:rFonts w:ascii="宋体" w:hAnsi="宋体" w:cs="宋体"/>
          <w:color w:val="000000" w:themeColor="text1"/>
          <w:kern w:val="0"/>
          <w:sz w:val="24"/>
          <w:highlight w:val="none"/>
          <w14:textFill>
            <w14:solidFill>
              <w14:schemeClr w14:val="tx1"/>
            </w14:solidFill>
          </w14:textFill>
        </w:rPr>
      </w:pPr>
    </w:p>
    <w:p>
      <w:pPr>
        <w:widowControl/>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台州市路桥区图书馆、浙江五石中正工程咨询有限公司</w:t>
      </w:r>
    </w:p>
    <w:p>
      <w:pPr>
        <w:pStyle w:val="2"/>
        <w:shd w:val="clea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我公司参加</w:t>
      </w:r>
      <w:r>
        <w:rPr>
          <w:rFonts w:hint="eastAsia" w:ascii="宋体" w:hAnsi="宋体" w:cs="宋体"/>
          <w:color w:val="000000" w:themeColor="text1"/>
          <w:highlight w:val="none"/>
          <w:u w:val="single"/>
          <w14:textFill>
            <w14:solidFill>
              <w14:schemeClr w14:val="tx1"/>
            </w14:solidFill>
          </w14:textFill>
        </w:rPr>
        <w:t xml:space="preserve">                      项目（编号为        ） </w:t>
      </w:r>
      <w:r>
        <w:rPr>
          <w:rFonts w:hint="eastAsia" w:ascii="宋体" w:hAnsi="宋体" w:cs="宋体"/>
          <w:color w:val="000000" w:themeColor="text1"/>
          <w:highlight w:val="none"/>
          <w14:textFill>
            <w14:solidFill>
              <w14:schemeClr w14:val="tx1"/>
            </w14:solidFill>
          </w14:textFill>
        </w:rPr>
        <w:t>的投标活动，作如下承诺：</w:t>
      </w:r>
    </w:p>
    <w:p>
      <w:pPr>
        <w:pStyle w:val="2"/>
        <w:shd w:val="clea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我公司在参加本项目政府采购活动前，</w:t>
      </w:r>
      <w:r>
        <w:rPr>
          <w:rFonts w:hint="eastAsia" w:ascii="宋体" w:hAnsi="宋体" w:cs="宋体"/>
          <w:color w:val="000000" w:themeColor="text1"/>
          <w:kern w:val="0"/>
          <w:highlight w:val="none"/>
          <w14:textFill>
            <w14:solidFill>
              <w14:schemeClr w14:val="tx1"/>
            </w14:solidFill>
          </w14:textFill>
        </w:rPr>
        <w:t>没有处于被责令停产、财产被接管、冻结或破产状态，具有足够的流动资金，有能力履行合同；我公司</w:t>
      </w:r>
      <w:r>
        <w:rPr>
          <w:rFonts w:hint="eastAsia" w:ascii="宋体" w:hAnsi="宋体" w:cs="宋体"/>
          <w:color w:val="000000" w:themeColor="text1"/>
          <w:highlight w:val="none"/>
          <w14:textFill>
            <w14:solidFill>
              <w14:schemeClr w14:val="tx1"/>
            </w14:solidFill>
          </w14:textFill>
        </w:rPr>
        <w:t>具有良好的商业信誉和健全的财务会计制度。</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如违反以上承诺，本公司愿承担一切法律责任。</w:t>
      </w:r>
    </w:p>
    <w:p>
      <w:pPr>
        <w:shd w:val="clear"/>
        <w:spacing w:line="360" w:lineRule="auto"/>
        <w:rPr>
          <w:rFonts w:ascii="宋体" w:hAnsi="宋体" w:cs="宋体"/>
          <w:color w:val="000000" w:themeColor="text1"/>
          <w:sz w:val="24"/>
          <w:highlight w:val="none"/>
          <w:lang w:val="zh-CN"/>
          <w14:textFill>
            <w14:solidFill>
              <w14:schemeClr w14:val="tx1"/>
            </w14:solidFill>
          </w14:textFill>
        </w:rPr>
      </w:pPr>
    </w:p>
    <w:p>
      <w:pPr>
        <w:widowControl/>
        <w:shd w:val="clear"/>
        <w:spacing w:line="360" w:lineRule="auto"/>
        <w:ind w:firstLine="2880" w:firstLineChars="1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(公章)：</w:t>
      </w:r>
    </w:p>
    <w:p>
      <w:pPr>
        <w:widowControl/>
        <w:shd w:val="clear"/>
        <w:spacing w:line="360" w:lineRule="auto"/>
        <w:jc w:val="left"/>
        <w:rPr>
          <w:rFonts w:ascii="宋体" w:hAnsi="宋体" w:cs="宋体"/>
          <w:color w:val="000000" w:themeColor="text1"/>
          <w:kern w:val="0"/>
          <w:sz w:val="24"/>
          <w:highlight w:val="none"/>
          <w14:textFill>
            <w14:solidFill>
              <w14:schemeClr w14:val="tx1"/>
            </w14:solidFill>
          </w14:textFill>
        </w:rPr>
      </w:pPr>
    </w:p>
    <w:p>
      <w:pPr>
        <w:widowControl/>
        <w:shd w:val="clear"/>
        <w:spacing w:line="360" w:lineRule="auto"/>
        <w:ind w:firstLine="2880" w:firstLineChars="1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法定代表人(签字或盖章)或授权委托代理人(签字)：</w:t>
      </w:r>
    </w:p>
    <w:p>
      <w:pPr>
        <w:widowControl/>
        <w:shd w:val="clear"/>
        <w:spacing w:line="360" w:lineRule="auto"/>
        <w:jc w:val="left"/>
        <w:rPr>
          <w:rFonts w:ascii="宋体" w:hAnsi="宋体" w:cs="宋体"/>
          <w:color w:val="000000" w:themeColor="text1"/>
          <w:kern w:val="0"/>
          <w:sz w:val="24"/>
          <w:highlight w:val="none"/>
          <w14:textFill>
            <w14:solidFill>
              <w14:schemeClr w14:val="tx1"/>
            </w14:solidFill>
          </w14:textFill>
        </w:rPr>
      </w:pPr>
    </w:p>
    <w:p>
      <w:pPr>
        <w:shd w:val="clear"/>
        <w:spacing w:line="360" w:lineRule="auto"/>
        <w:jc w:val="center"/>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pStyle w:val="8"/>
        <w:shd w:val="clear"/>
        <w:rPr>
          <w:color w:val="000000" w:themeColor="text1"/>
          <w:highlight w:val="none"/>
          <w14:textFill>
            <w14:solidFill>
              <w14:schemeClr w14:val="tx1"/>
            </w14:solidFill>
          </w14:textFill>
        </w:rPr>
      </w:pPr>
    </w:p>
    <w:p>
      <w:pPr>
        <w:shd w:val="clear"/>
        <w:rPr>
          <w:rFonts w:ascii="宋体" w:hAnsi="宋体" w:cs="宋体"/>
          <w:color w:val="000000" w:themeColor="text1"/>
          <w:sz w:val="30"/>
          <w:szCs w:val="30"/>
          <w:highlight w:val="none"/>
          <w14:textFill>
            <w14:solidFill>
              <w14:schemeClr w14:val="tx1"/>
            </w14:solidFill>
          </w14:textFill>
        </w:rPr>
      </w:pPr>
    </w:p>
    <w:p>
      <w:pPr>
        <w:shd w:val="clear"/>
        <w:rPr>
          <w:rFonts w:ascii="宋体" w:hAnsi="宋体" w:cs="宋体"/>
          <w:color w:val="000000" w:themeColor="text1"/>
          <w:sz w:val="30"/>
          <w:szCs w:val="30"/>
          <w:highlight w:val="none"/>
          <w14:textFill>
            <w14:solidFill>
              <w14:schemeClr w14:val="tx1"/>
            </w14:solidFill>
          </w14:textFill>
        </w:rPr>
      </w:pPr>
    </w:p>
    <w:p>
      <w:pPr>
        <w:shd w:val="clear"/>
        <w:rPr>
          <w:rFonts w:ascii="宋体" w:hAnsi="宋体" w:cs="宋体"/>
          <w:color w:val="000000" w:themeColor="text1"/>
          <w:sz w:val="30"/>
          <w:szCs w:val="30"/>
          <w:highlight w:val="none"/>
          <w14:textFill>
            <w14:solidFill>
              <w14:schemeClr w14:val="tx1"/>
            </w14:solidFill>
          </w14:textFill>
        </w:rPr>
      </w:pPr>
    </w:p>
    <w:p>
      <w:pPr>
        <w:shd w:val="clear"/>
        <w:rPr>
          <w:rFonts w:ascii="宋体" w:hAnsi="宋体" w:cs="宋体"/>
          <w:color w:val="000000" w:themeColor="text1"/>
          <w:sz w:val="30"/>
          <w:szCs w:val="30"/>
          <w:highlight w:val="none"/>
          <w14:textFill>
            <w14:solidFill>
              <w14:schemeClr w14:val="tx1"/>
            </w14:solidFill>
          </w14:textFill>
        </w:rPr>
      </w:pPr>
    </w:p>
    <w:p>
      <w:pPr>
        <w:pStyle w:val="10"/>
        <w:shd w:val="clear"/>
        <w:rPr>
          <w:rFonts w:ascii="宋体" w:hAnsi="宋体" w:cs="宋体"/>
          <w:color w:val="000000" w:themeColor="text1"/>
          <w:sz w:val="30"/>
          <w:szCs w:val="30"/>
          <w:highlight w:val="none"/>
          <w14:textFill>
            <w14:solidFill>
              <w14:schemeClr w14:val="tx1"/>
            </w14:solidFill>
          </w14:textFill>
        </w:rPr>
      </w:pPr>
    </w:p>
    <w:p>
      <w:pPr>
        <w:shd w:val="clear"/>
        <w:rPr>
          <w:rFonts w:ascii="宋体" w:hAnsi="宋体" w:cs="宋体"/>
          <w:color w:val="000000" w:themeColor="text1"/>
          <w:sz w:val="30"/>
          <w:szCs w:val="30"/>
          <w:highlight w:val="none"/>
          <w14:textFill>
            <w14:solidFill>
              <w14:schemeClr w14:val="tx1"/>
            </w14:solidFill>
          </w14:textFill>
        </w:rPr>
      </w:pPr>
    </w:p>
    <w:p>
      <w:pPr>
        <w:shd w:val="clear"/>
        <w:rPr>
          <w:rFonts w:ascii="宋体" w:hAnsi="宋体" w:cs="宋体"/>
          <w:color w:val="000000" w:themeColor="text1"/>
          <w:sz w:val="30"/>
          <w:szCs w:val="30"/>
          <w:highlight w:val="none"/>
          <w14:textFill>
            <w14:solidFill>
              <w14:schemeClr w14:val="tx1"/>
            </w14:solidFill>
          </w14:textFill>
        </w:rPr>
      </w:pPr>
    </w:p>
    <w:p>
      <w:pPr>
        <w:shd w:val="clea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附件6</w:t>
      </w:r>
    </w:p>
    <w:p>
      <w:pPr>
        <w:pStyle w:val="4"/>
        <w:shd w:val="clear"/>
        <w:ind w:left="0"/>
        <w:rPr>
          <w:color w:val="000000" w:themeColor="text1"/>
          <w:highlight w:val="none"/>
          <w14:textFill>
            <w14:solidFill>
              <w14:schemeClr w14:val="tx1"/>
            </w14:solidFill>
          </w14:textFill>
        </w:rPr>
      </w:pPr>
    </w:p>
    <w:p>
      <w:pPr>
        <w:shd w:val="clear"/>
        <w:spacing w:after="317" w:afterLines="10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无税收缴纳、社会保障等方面的失信记录的承诺函</w:t>
      </w:r>
    </w:p>
    <w:p>
      <w:pPr>
        <w:widowControl/>
        <w:shd w:val="clear"/>
        <w:spacing w:line="360" w:lineRule="auto"/>
        <w:rPr>
          <w:rFonts w:ascii="宋体" w:hAnsi="宋体" w:cs="宋体"/>
          <w:color w:val="000000" w:themeColor="text1"/>
          <w:kern w:val="0"/>
          <w:sz w:val="24"/>
          <w:highlight w:val="none"/>
          <w14:textFill>
            <w14:solidFill>
              <w14:schemeClr w14:val="tx1"/>
            </w14:solidFill>
          </w14:textFill>
        </w:rPr>
      </w:pPr>
    </w:p>
    <w:p>
      <w:pPr>
        <w:widowControl/>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台州市路桥区图书馆</w:t>
      </w:r>
      <w:r>
        <w:rPr>
          <w:rFonts w:hint="eastAsia" w:ascii="宋体" w:hAnsi="宋体" w:cs="宋体"/>
          <w:color w:val="000000" w:themeColor="text1"/>
          <w:kern w:val="0"/>
          <w:sz w:val="24"/>
          <w:highlight w:val="none"/>
          <w:u w:val="single"/>
          <w14:textFill>
            <w14:solidFill>
              <w14:schemeClr w14:val="tx1"/>
            </w14:solidFill>
          </w14:textFill>
        </w:rPr>
        <w:t>、浙江五石中正工程咨询有限公司</w:t>
      </w:r>
    </w:p>
    <w:p>
      <w:pPr>
        <w:pStyle w:val="2"/>
        <w:shd w:val="clea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我公司参加</w:t>
      </w:r>
      <w:r>
        <w:rPr>
          <w:rFonts w:hint="eastAsia" w:ascii="宋体" w:hAnsi="宋体" w:cs="宋体"/>
          <w:color w:val="000000" w:themeColor="text1"/>
          <w:highlight w:val="none"/>
          <w:u w:val="single"/>
          <w14:textFill>
            <w14:solidFill>
              <w14:schemeClr w14:val="tx1"/>
            </w14:solidFill>
          </w14:textFill>
        </w:rPr>
        <w:t xml:space="preserve">                         采购项目（编号为        ）</w:t>
      </w:r>
      <w:r>
        <w:rPr>
          <w:rFonts w:hint="eastAsia" w:ascii="宋体" w:hAnsi="宋体" w:cs="宋体"/>
          <w:color w:val="000000" w:themeColor="text1"/>
          <w:highlight w:val="none"/>
          <w14:textFill>
            <w14:solidFill>
              <w14:schemeClr w14:val="tx1"/>
            </w14:solidFill>
          </w14:textFill>
        </w:rPr>
        <w:t>的投标活动，作如下承诺：</w:t>
      </w:r>
    </w:p>
    <w:p>
      <w:pPr>
        <w:pStyle w:val="2"/>
        <w:shd w:val="clea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我公司在参加本项目政府采购活动前，符合参与政府采购活动的资格条件，有依法缴纳税收（享受免税政策的则无欠税）和社会保障资金的良好记录，不存在税收缴纳、社会保障等方面的失信记录。</w:t>
      </w:r>
    </w:p>
    <w:p>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如违反以上承诺，本公司愿承担一切法律责任。</w:t>
      </w:r>
    </w:p>
    <w:p>
      <w:pPr>
        <w:shd w:val="clear"/>
        <w:spacing w:line="360" w:lineRule="auto"/>
        <w:rPr>
          <w:rFonts w:ascii="宋体" w:hAnsi="宋体" w:cs="宋体"/>
          <w:color w:val="000000" w:themeColor="text1"/>
          <w:sz w:val="24"/>
          <w:highlight w:val="none"/>
          <w:lang w:val="zh-CN"/>
          <w14:textFill>
            <w14:solidFill>
              <w14:schemeClr w14:val="tx1"/>
            </w14:solidFill>
          </w14:textFill>
        </w:rPr>
      </w:pPr>
    </w:p>
    <w:p>
      <w:pPr>
        <w:pStyle w:val="2"/>
        <w:shd w:val="clear"/>
        <w:spacing w:line="360" w:lineRule="auto"/>
        <w:rPr>
          <w:rFonts w:ascii="宋体" w:hAnsi="宋体" w:cs="宋体"/>
          <w:color w:val="000000" w:themeColor="text1"/>
          <w:highlight w:val="none"/>
          <w:lang w:val="zh-CN"/>
          <w14:textFill>
            <w14:solidFill>
              <w14:schemeClr w14:val="tx1"/>
            </w14:solidFill>
          </w14:textFill>
        </w:rPr>
      </w:pPr>
    </w:p>
    <w:p>
      <w:pPr>
        <w:pStyle w:val="2"/>
        <w:shd w:val="clear"/>
        <w:spacing w:line="360" w:lineRule="auto"/>
        <w:rPr>
          <w:rFonts w:ascii="宋体" w:hAnsi="宋体" w:cs="宋体"/>
          <w:color w:val="000000" w:themeColor="text1"/>
          <w:highlight w:val="none"/>
          <w:lang w:val="zh-CN"/>
          <w14:textFill>
            <w14:solidFill>
              <w14:schemeClr w14:val="tx1"/>
            </w14:solidFill>
          </w14:textFill>
        </w:rPr>
      </w:pPr>
    </w:p>
    <w:p>
      <w:pPr>
        <w:widowControl/>
        <w:shd w:val="clear"/>
        <w:spacing w:line="360" w:lineRule="auto"/>
        <w:ind w:firstLine="2880" w:firstLineChars="1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(公章)：</w:t>
      </w:r>
    </w:p>
    <w:p>
      <w:pPr>
        <w:widowControl/>
        <w:shd w:val="clear"/>
        <w:spacing w:line="360" w:lineRule="auto"/>
        <w:jc w:val="left"/>
        <w:rPr>
          <w:rFonts w:ascii="宋体" w:hAnsi="宋体" w:cs="宋体"/>
          <w:color w:val="000000" w:themeColor="text1"/>
          <w:kern w:val="0"/>
          <w:sz w:val="24"/>
          <w:highlight w:val="none"/>
          <w14:textFill>
            <w14:solidFill>
              <w14:schemeClr w14:val="tx1"/>
            </w14:solidFill>
          </w14:textFill>
        </w:rPr>
      </w:pPr>
    </w:p>
    <w:p>
      <w:pPr>
        <w:widowControl/>
        <w:shd w:val="clear"/>
        <w:spacing w:line="360" w:lineRule="auto"/>
        <w:ind w:firstLine="2880" w:firstLineChars="1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法定代表人(签字或盖章)或授权委托代理人(签字)：</w:t>
      </w:r>
    </w:p>
    <w:p>
      <w:pPr>
        <w:widowControl/>
        <w:shd w:val="clear"/>
        <w:spacing w:line="360" w:lineRule="auto"/>
        <w:jc w:val="left"/>
        <w:rPr>
          <w:rFonts w:ascii="宋体" w:hAnsi="宋体" w:cs="宋体"/>
          <w:color w:val="000000" w:themeColor="text1"/>
          <w:kern w:val="0"/>
          <w:sz w:val="24"/>
          <w:highlight w:val="none"/>
          <w14:textFill>
            <w14:solidFill>
              <w14:schemeClr w14:val="tx1"/>
            </w14:solidFill>
          </w14:textFill>
        </w:rPr>
      </w:pPr>
    </w:p>
    <w:p>
      <w:pPr>
        <w:pStyle w:val="3"/>
        <w:shd w:val="clear"/>
        <w:spacing w:line="360" w:lineRule="auto"/>
        <w:ind w:firstLine="2880" w:firstLineChars="1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pStyle w:val="4"/>
        <w:shd w:val="clear"/>
        <w:rPr>
          <w:rFonts w:ascii="宋体" w:hAnsi="宋体" w:cs="宋体"/>
          <w:color w:val="000000" w:themeColor="text1"/>
          <w:kern w:val="0"/>
          <w:sz w:val="24"/>
          <w:szCs w:val="24"/>
          <w:highlight w:val="none"/>
          <w:lang w:val="zh-CN"/>
          <w14:textFill>
            <w14:solidFill>
              <w14:schemeClr w14:val="tx1"/>
            </w14:solidFill>
          </w14:textFill>
        </w:rPr>
      </w:pPr>
    </w:p>
    <w:p>
      <w:pPr>
        <w:shd w:val="clear"/>
        <w:rPr>
          <w:rFonts w:ascii="宋体" w:hAnsi="宋体" w:cs="宋体"/>
          <w:color w:val="000000" w:themeColor="text1"/>
          <w:kern w:val="0"/>
          <w:sz w:val="24"/>
          <w:highlight w:val="none"/>
          <w:lang w:val="zh-CN"/>
          <w14:textFill>
            <w14:solidFill>
              <w14:schemeClr w14:val="tx1"/>
            </w14:solidFill>
          </w14:textFill>
        </w:rPr>
      </w:pPr>
    </w:p>
    <w:p>
      <w:pPr>
        <w:pStyle w:val="10"/>
        <w:shd w:val="clear"/>
        <w:rPr>
          <w:rFonts w:ascii="宋体" w:hAnsi="宋体" w:cs="宋体"/>
          <w:color w:val="000000" w:themeColor="text1"/>
          <w:kern w:val="0"/>
          <w:sz w:val="24"/>
          <w:szCs w:val="24"/>
          <w:highlight w:val="none"/>
          <w:lang w:val="zh-CN"/>
          <w14:textFill>
            <w14:solidFill>
              <w14:schemeClr w14:val="tx1"/>
            </w14:solidFill>
          </w14:textFill>
        </w:rPr>
      </w:pPr>
    </w:p>
    <w:p>
      <w:pPr>
        <w:shd w:val="clear"/>
        <w:rPr>
          <w:rFonts w:ascii="宋体" w:hAnsi="宋体" w:cs="宋体"/>
          <w:color w:val="000000" w:themeColor="text1"/>
          <w:kern w:val="0"/>
          <w:sz w:val="24"/>
          <w:highlight w:val="none"/>
          <w:lang w:val="zh-CN"/>
          <w14:textFill>
            <w14:solidFill>
              <w14:schemeClr w14:val="tx1"/>
            </w14:solidFill>
          </w14:textFill>
        </w:rPr>
      </w:pPr>
    </w:p>
    <w:p>
      <w:pPr>
        <w:pStyle w:val="10"/>
        <w:shd w:val="clear"/>
        <w:rPr>
          <w:rFonts w:ascii="宋体" w:hAnsi="宋体" w:cs="宋体"/>
          <w:color w:val="000000" w:themeColor="text1"/>
          <w:kern w:val="0"/>
          <w:sz w:val="24"/>
          <w:szCs w:val="24"/>
          <w:highlight w:val="none"/>
          <w:lang w:val="zh-CN"/>
          <w14:textFill>
            <w14:solidFill>
              <w14:schemeClr w14:val="tx1"/>
            </w14:solidFill>
          </w14:textFill>
        </w:rPr>
      </w:pPr>
    </w:p>
    <w:p>
      <w:pPr>
        <w:shd w:val="clear"/>
        <w:rPr>
          <w:color w:val="000000" w:themeColor="text1"/>
          <w:highlight w:val="none"/>
          <w14:textFill>
            <w14:solidFill>
              <w14:schemeClr w14:val="tx1"/>
            </w14:solidFill>
          </w14:textFill>
        </w:rPr>
      </w:pPr>
    </w:p>
    <w:p>
      <w:pPr>
        <w:pStyle w:val="8"/>
        <w:shd w:val="clear"/>
        <w:rPr>
          <w:rFonts w:ascii="宋体" w:hAnsi="宋体" w:cs="宋体"/>
          <w:bCs/>
          <w:color w:val="000000" w:themeColor="text1"/>
          <w:sz w:val="28"/>
          <w:szCs w:val="36"/>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pStyle w:val="8"/>
        <w:shd w:val="clear"/>
        <w:rPr>
          <w:rFonts w:ascii="宋体" w:hAnsi="宋体" w:cs="宋体"/>
          <w:bCs/>
          <w:color w:val="000000" w:themeColor="text1"/>
          <w:sz w:val="28"/>
          <w:szCs w:val="36"/>
          <w:highlight w:val="none"/>
          <w14:textFill>
            <w14:solidFill>
              <w14:schemeClr w14:val="tx1"/>
            </w14:solidFill>
          </w14:textFill>
        </w:rPr>
      </w:pPr>
      <w:r>
        <w:rPr>
          <w:rFonts w:hint="eastAsia" w:ascii="宋体" w:hAnsi="宋体" w:cs="宋体"/>
          <w:bCs/>
          <w:color w:val="000000" w:themeColor="text1"/>
          <w:sz w:val="28"/>
          <w:szCs w:val="36"/>
          <w:highlight w:val="none"/>
          <w14:textFill>
            <w14:solidFill>
              <w14:schemeClr w14:val="tx1"/>
            </w14:solidFill>
          </w14:textFill>
        </w:rPr>
        <w:t>附件7</w:t>
      </w:r>
    </w:p>
    <w:p>
      <w:pPr>
        <w:widowControl/>
        <w:shd w:val="clear"/>
        <w:spacing w:line="360" w:lineRule="auto"/>
        <w:jc w:val="center"/>
        <w:outlineLvl w:val="2"/>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参加政府采购活动前3年内在经营活动中没有重大违法记录的书面声明</w:t>
      </w:r>
    </w:p>
    <w:p>
      <w:pPr>
        <w:pStyle w:val="19"/>
        <w:shd w:val="clear"/>
        <w:spacing w:line="360" w:lineRule="auto"/>
        <w:ind w:left="169" w:hanging="169" w:hangingChars="74"/>
        <w:jc w:val="center"/>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声明函</w:t>
      </w:r>
    </w:p>
    <w:p>
      <w:pPr>
        <w:shd w:val="clear"/>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台州市路桥区图书馆</w:t>
      </w:r>
      <w:r>
        <w:rPr>
          <w:rFonts w:hint="eastAsia" w:ascii="宋体" w:hAnsi="宋体" w:cs="宋体"/>
          <w:color w:val="000000" w:themeColor="text1"/>
          <w:kern w:val="0"/>
          <w:sz w:val="24"/>
          <w:highlight w:val="none"/>
          <w:u w:val="single"/>
          <w14:textFill>
            <w14:solidFill>
              <w14:schemeClr w14:val="tx1"/>
            </w14:solidFill>
          </w14:textFill>
        </w:rPr>
        <w:t>、浙江五石中正工程咨询有限公司</w:t>
      </w:r>
    </w:p>
    <w:p>
      <w:pPr>
        <w:shd w:val="clear"/>
        <w:spacing w:line="360"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我公司郑重承诺在参加本项目政府采购活动前三年内，在经营活动中</w:t>
      </w:r>
      <w:r>
        <w:rPr>
          <w:rFonts w:hint="eastAsia" w:ascii="宋体" w:hAnsi="宋体" w:cs="宋体"/>
          <w:b/>
          <w:color w:val="000000" w:themeColor="text1"/>
          <w:spacing w:val="-6"/>
          <w:sz w:val="24"/>
          <w:highlight w:val="none"/>
          <w:u w:val="single"/>
          <w14:textFill>
            <w14:solidFill>
              <w14:schemeClr w14:val="tx1"/>
            </w14:solidFill>
          </w14:textFill>
        </w:rPr>
        <w:t xml:space="preserve">     </w:t>
      </w:r>
      <w:r>
        <w:rPr>
          <w:rFonts w:hint="eastAsia" w:ascii="宋体" w:hAnsi="宋体" w:cs="宋体"/>
          <w:b/>
          <w:color w:val="000000" w:themeColor="text1"/>
          <w:spacing w:val="-6"/>
          <w:sz w:val="24"/>
          <w:highlight w:val="none"/>
          <w14:textFill>
            <w14:solidFill>
              <w14:schemeClr w14:val="tx1"/>
            </w14:solidFill>
          </w14:textFill>
        </w:rPr>
        <w:t>（填写“有”或“没有”，如实填写，如不填写视同未提供本声明函）</w:t>
      </w:r>
      <w:r>
        <w:rPr>
          <w:rFonts w:hint="eastAsia" w:ascii="宋体" w:hAnsi="宋体" w:cs="宋体"/>
          <w:color w:val="000000" w:themeColor="text1"/>
          <w:spacing w:val="-6"/>
          <w:sz w:val="24"/>
          <w:highlight w:val="none"/>
          <w14:textFill>
            <w14:solidFill>
              <w14:schemeClr w14:val="tx1"/>
            </w14:solidFill>
          </w14:textFill>
        </w:rPr>
        <w:t>重大违法记录，重大违法记录是指供应商因违法经营受到刑事处罚或者责令停产停业、吊销许可证或者执照、较大数额罚款等行政处罚。</w:t>
      </w:r>
    </w:p>
    <w:p>
      <w:pPr>
        <w:shd w:val="clear"/>
        <w:spacing w:line="360"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以上事项如有虚假或隐瞒，我方愿意承担一切后果和责任。</w:t>
      </w:r>
    </w:p>
    <w:p>
      <w:pPr>
        <w:shd w:val="clear"/>
        <w:spacing w:line="360"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特此声明。</w:t>
      </w:r>
    </w:p>
    <w:p>
      <w:pPr>
        <w:shd w:val="clear"/>
        <w:spacing w:line="360" w:lineRule="auto"/>
        <w:rPr>
          <w:rFonts w:ascii="宋体" w:hAnsi="宋体" w:cs="宋体"/>
          <w:color w:val="000000" w:themeColor="text1"/>
          <w:spacing w:val="-6"/>
          <w:sz w:val="24"/>
          <w:highlight w:val="none"/>
          <w14:textFill>
            <w14:solidFill>
              <w14:schemeClr w14:val="tx1"/>
            </w14:solidFill>
          </w14:textFill>
        </w:rPr>
      </w:pPr>
    </w:p>
    <w:p>
      <w:pPr>
        <w:pStyle w:val="68"/>
        <w:shd w:val="clear"/>
        <w:spacing w:line="360" w:lineRule="auto"/>
        <w:rPr>
          <w:rFonts w:hAnsi="宋体" w:cs="宋体"/>
          <w:color w:val="000000" w:themeColor="text1"/>
          <w:spacing w:val="-6"/>
          <w:szCs w:val="24"/>
          <w:highlight w:val="none"/>
          <w14:textFill>
            <w14:solidFill>
              <w14:schemeClr w14:val="tx1"/>
            </w14:solidFill>
          </w14:textFill>
        </w:rPr>
      </w:pPr>
    </w:p>
    <w:p>
      <w:pPr>
        <w:pStyle w:val="69"/>
        <w:shd w:val="clear"/>
        <w:spacing w:line="360" w:lineRule="auto"/>
        <w:ind w:left="0"/>
        <w:rPr>
          <w:rFonts w:ascii="宋体" w:hAnsi="宋体" w:cs="宋体"/>
          <w:color w:val="000000" w:themeColor="text1"/>
          <w:sz w:val="24"/>
          <w:szCs w:val="24"/>
          <w:highlight w:val="none"/>
          <w14:textFill>
            <w14:solidFill>
              <w14:schemeClr w14:val="tx1"/>
            </w14:solidFill>
          </w14:textFill>
        </w:rPr>
      </w:pPr>
    </w:p>
    <w:p>
      <w:pPr>
        <w:shd w:val="clear"/>
        <w:spacing w:line="360" w:lineRule="auto"/>
        <w:ind w:firstLine="4332" w:firstLineChars="19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供应商名称（盖章）：</w:t>
      </w:r>
    </w:p>
    <w:p>
      <w:pPr>
        <w:shd w:val="clear"/>
        <w:spacing w:line="360" w:lineRule="auto"/>
        <w:ind w:firstLine="4332" w:firstLineChars="19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授权委托代理人</w:t>
      </w:r>
      <w:r>
        <w:rPr>
          <w:rFonts w:hint="eastAsia" w:ascii="宋体" w:hAnsi="宋体" w:cs="宋体"/>
          <w:color w:val="000000" w:themeColor="text1"/>
          <w:spacing w:val="-6"/>
          <w:sz w:val="24"/>
          <w:highlight w:val="none"/>
          <w14:textFill>
            <w14:solidFill>
              <w14:schemeClr w14:val="tx1"/>
            </w14:solidFill>
          </w14:textFill>
        </w:rPr>
        <w:t>签字：</w:t>
      </w:r>
    </w:p>
    <w:p>
      <w:pPr>
        <w:widowControl/>
        <w:shd w:val="clear"/>
        <w:tabs>
          <w:tab w:val="left" w:pos="3225"/>
        </w:tabs>
        <w:spacing w:line="360" w:lineRule="auto"/>
        <w:ind w:firstLine="4332" w:firstLineChars="19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日期：     年   月   日</w:t>
      </w:r>
    </w:p>
    <w:p>
      <w:pPr>
        <w:shd w:val="clear"/>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 xml:space="preserve">　　                 </w:t>
      </w:r>
    </w:p>
    <w:p>
      <w:pPr>
        <w:pStyle w:val="8"/>
        <w:shd w:val="clear"/>
        <w:rPr>
          <w:color w:val="000000" w:themeColor="text1"/>
          <w:highlight w:val="none"/>
          <w14:textFill>
            <w14:solidFill>
              <w14:schemeClr w14:val="tx1"/>
            </w14:solidFill>
          </w14:textFill>
        </w:rPr>
      </w:pPr>
    </w:p>
    <w:p>
      <w:pPr>
        <w:pStyle w:val="8"/>
        <w:shd w:val="clear"/>
        <w:rPr>
          <w:rFonts w:ascii="宋体" w:hAnsi="宋体" w:cs="宋体"/>
          <w:bCs/>
          <w:color w:val="000000" w:themeColor="text1"/>
          <w:sz w:val="28"/>
          <w:szCs w:val="36"/>
          <w:highlight w:val="none"/>
          <w14:textFill>
            <w14:solidFill>
              <w14:schemeClr w14:val="tx1"/>
            </w14:solidFill>
          </w14:textFill>
        </w:rPr>
      </w:pPr>
    </w:p>
    <w:p>
      <w:pPr>
        <w:shd w:val="clear"/>
        <w:rPr>
          <w:rFonts w:ascii="宋体" w:hAnsi="宋体" w:cs="宋体"/>
          <w:b/>
          <w:bCs/>
          <w:color w:val="000000" w:themeColor="text1"/>
          <w:sz w:val="28"/>
          <w:szCs w:val="36"/>
          <w:highlight w:val="none"/>
          <w14:textFill>
            <w14:solidFill>
              <w14:schemeClr w14:val="tx1"/>
            </w14:solidFill>
          </w14:textFill>
        </w:rPr>
      </w:pPr>
    </w:p>
    <w:p>
      <w:pPr>
        <w:pStyle w:val="10"/>
        <w:shd w:val="clear"/>
        <w:rPr>
          <w:rFonts w:ascii="宋体" w:hAnsi="宋体" w:cs="宋体"/>
          <w:b/>
          <w:bCs/>
          <w:color w:val="000000" w:themeColor="text1"/>
          <w:sz w:val="28"/>
          <w:szCs w:val="36"/>
          <w:highlight w:val="none"/>
          <w14:textFill>
            <w14:solidFill>
              <w14:schemeClr w14:val="tx1"/>
            </w14:solidFill>
          </w14:textFill>
        </w:rPr>
      </w:pPr>
    </w:p>
    <w:p>
      <w:pPr>
        <w:shd w:val="clear"/>
        <w:rPr>
          <w:rFonts w:ascii="宋体" w:hAnsi="宋体" w:cs="宋体"/>
          <w:b/>
          <w:bCs/>
          <w:color w:val="000000" w:themeColor="text1"/>
          <w:sz w:val="28"/>
          <w:szCs w:val="36"/>
          <w:highlight w:val="none"/>
          <w14:textFill>
            <w14:solidFill>
              <w14:schemeClr w14:val="tx1"/>
            </w14:solidFill>
          </w14:textFill>
        </w:rPr>
      </w:pPr>
    </w:p>
    <w:p>
      <w:pPr>
        <w:pStyle w:val="10"/>
        <w:shd w:val="clear"/>
        <w:rPr>
          <w:rFonts w:ascii="宋体" w:hAnsi="宋体" w:cs="宋体"/>
          <w:b/>
          <w:bCs/>
          <w:color w:val="000000" w:themeColor="text1"/>
          <w:sz w:val="28"/>
          <w:szCs w:val="36"/>
          <w:highlight w:val="none"/>
          <w14:textFill>
            <w14:solidFill>
              <w14:schemeClr w14:val="tx1"/>
            </w14:solidFill>
          </w14:textFill>
        </w:rPr>
      </w:pPr>
    </w:p>
    <w:p>
      <w:pPr>
        <w:shd w:val="clear"/>
        <w:rPr>
          <w:rFonts w:ascii="宋体" w:hAnsi="宋体" w:cs="宋体"/>
          <w:b/>
          <w:bCs/>
          <w:color w:val="000000" w:themeColor="text1"/>
          <w:sz w:val="28"/>
          <w:szCs w:val="36"/>
          <w:highlight w:val="none"/>
          <w14:textFill>
            <w14:solidFill>
              <w14:schemeClr w14:val="tx1"/>
            </w14:solidFill>
          </w14:textFill>
        </w:rPr>
      </w:pPr>
    </w:p>
    <w:p>
      <w:pPr>
        <w:pStyle w:val="10"/>
        <w:shd w:val="clear"/>
        <w:rPr>
          <w:color w:val="000000" w:themeColor="text1"/>
          <w:highlight w:val="none"/>
          <w14:textFill>
            <w14:solidFill>
              <w14:schemeClr w14:val="tx1"/>
            </w14:solidFill>
          </w14:textFill>
        </w:rPr>
      </w:pPr>
    </w:p>
    <w:p>
      <w:pPr>
        <w:shd w:val="clea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本</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autoSpaceDE w:val="0"/>
        <w:autoSpaceDN w:val="0"/>
        <w:adjustRightInd w:val="0"/>
        <w:spacing w:line="360" w:lineRule="auto"/>
        <w:ind w:firstLine="2880" w:firstLineChars="8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标段（  ）</w:t>
      </w:r>
    </w:p>
    <w:p>
      <w:pPr>
        <w:shd w:val="clear"/>
        <w:autoSpaceDE w:val="0"/>
        <w:autoSpaceDN w:val="0"/>
        <w:adjustRightInd w:val="0"/>
        <w:spacing w:line="360" w:lineRule="auto"/>
        <w:ind w:firstLine="2880" w:firstLineChars="8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项目名称：     </w:t>
      </w:r>
    </w:p>
    <w:p>
      <w:pPr>
        <w:shd w:val="clear"/>
        <w:autoSpaceDE w:val="0"/>
        <w:autoSpaceDN w:val="0"/>
        <w:adjustRightInd w:val="0"/>
        <w:spacing w:line="360" w:lineRule="auto"/>
        <w:ind w:firstLine="2880" w:firstLineChars="800"/>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p>
    <w:p>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shd w:val="clea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hd w:val="clear"/>
        <w:autoSpaceDE w:val="0"/>
        <w:autoSpaceDN w:val="0"/>
        <w:adjustRightInd w:val="0"/>
        <w:spacing w:line="360" w:lineRule="auto"/>
        <w:jc w:val="center"/>
        <w:rPr>
          <w:rFonts w:ascii="宋体" w:hAnsi="宋体" w:cs="宋体"/>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（商务与技术文件</w:t>
      </w:r>
      <w:r>
        <w:rPr>
          <w:rFonts w:hint="eastAsia" w:ascii="宋体" w:hAnsi="宋体" w:cs="宋体"/>
          <w:color w:val="000000" w:themeColor="text1"/>
          <w:spacing w:val="40"/>
          <w:sz w:val="28"/>
          <w:szCs w:val="28"/>
          <w:highlight w:val="none"/>
          <w14:textFill>
            <w14:solidFill>
              <w14:schemeClr w14:val="tx1"/>
            </w14:solidFill>
          </w14:textFill>
        </w:rPr>
        <w:t>）</w:t>
      </w: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p>
    <w:p>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p>
    <w:p>
      <w:pPr>
        <w:pStyle w:val="2"/>
        <w:shd w:val="clear"/>
        <w:rPr>
          <w:color w:val="000000" w:themeColor="text1"/>
          <w:highlight w:val="none"/>
          <w:lang w:val="zh-CN"/>
          <w14:textFill>
            <w14:solidFill>
              <w14:schemeClr w14:val="tx1"/>
            </w14:solidFill>
          </w14:textFill>
        </w:rPr>
      </w:pPr>
    </w:p>
    <w:p>
      <w:pPr>
        <w:pStyle w:val="3"/>
        <w:shd w:val="clear"/>
        <w:rPr>
          <w:color w:val="000000" w:themeColor="text1"/>
          <w:highlight w:val="none"/>
          <w:lang w:val="zh-CN"/>
          <w14:textFill>
            <w14:solidFill>
              <w14:schemeClr w14:val="tx1"/>
            </w14:solidFill>
          </w14:textFill>
        </w:rPr>
      </w:pPr>
    </w:p>
    <w:p>
      <w:pPr>
        <w:shd w:val="clear"/>
        <w:spacing w:line="360" w:lineRule="auto"/>
        <w:jc w:val="center"/>
        <w:rPr>
          <w:rFonts w:ascii="宋体" w:hAnsi="宋体" w:cs="宋体"/>
          <w:b/>
          <w:bCs/>
          <w:color w:val="000000" w:themeColor="text1"/>
          <w:sz w:val="32"/>
          <w:szCs w:val="40"/>
          <w:highlight w:val="none"/>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商务与技术文件</w:t>
      </w:r>
      <w:r>
        <w:rPr>
          <w:rFonts w:hint="eastAsia" w:ascii="宋体" w:hAnsi="宋体" w:cs="宋体"/>
          <w:b/>
          <w:bCs/>
          <w:color w:val="000000" w:themeColor="text1"/>
          <w:sz w:val="32"/>
          <w:szCs w:val="40"/>
          <w:highlight w:val="none"/>
          <w14:textFill>
            <w14:solidFill>
              <w14:schemeClr w14:val="tx1"/>
            </w14:solidFill>
          </w14:textFill>
        </w:rPr>
        <w:t>目录</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1、投标人情况介绍（附件8）；</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2、项目需求的理解与分析；</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3、项目组织实施方案；</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4、项目实施人员一览表（附件9）；</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5、项目负责人资格情况表(附件10)；</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6、投标人需要说明的其他内容；（包括可能影响投标人技术性能评分项的各类证明材料）；</w:t>
      </w:r>
    </w:p>
    <w:p>
      <w:pPr>
        <w:pStyle w:val="2"/>
        <w:shd w:val="clear"/>
        <w:spacing w:line="24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7、技术响应表（附件11）；</w:t>
      </w:r>
    </w:p>
    <w:p>
      <w:pPr>
        <w:pStyle w:val="3"/>
        <w:shd w:val="clear"/>
        <w:spacing w:line="24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8、特殊书目响应方案（附件12）；</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7、证书一览表（附件13）；</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8、近三年来类似项目的成功案例（附件14）；</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9、资信及商务需求响应表（附件15）；</w:t>
      </w:r>
    </w:p>
    <w:p>
      <w:pPr>
        <w:shd w:val="clear"/>
        <w:spacing w:line="360" w:lineRule="auto"/>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10、售后服务情况表</w:t>
      </w:r>
      <w:bookmarkStart w:id="10" w:name="_Hlk68079876"/>
      <w:r>
        <w:rPr>
          <w:rFonts w:hint="eastAsia" w:ascii="宋体" w:hAnsi="宋体" w:cs="宋体"/>
          <w:color w:val="000000" w:themeColor="text1"/>
          <w:sz w:val="28"/>
          <w:szCs w:val="36"/>
          <w:highlight w:val="none"/>
          <w14:textFill>
            <w14:solidFill>
              <w14:schemeClr w14:val="tx1"/>
            </w14:solidFill>
          </w14:textFill>
        </w:rPr>
        <w:t>（附件16）</w:t>
      </w:r>
      <w:bookmarkEnd w:id="10"/>
      <w:r>
        <w:rPr>
          <w:rFonts w:hint="eastAsia" w:ascii="宋体" w:hAnsi="宋体" w:cs="宋体"/>
          <w:color w:val="000000" w:themeColor="text1"/>
          <w:sz w:val="28"/>
          <w:szCs w:val="36"/>
          <w:highlight w:val="none"/>
          <w14:textFill>
            <w14:solidFill>
              <w14:schemeClr w14:val="tx1"/>
            </w14:solidFill>
          </w14:textFill>
        </w:rPr>
        <w:t>；</w:t>
      </w:r>
    </w:p>
    <w:p>
      <w:pPr>
        <w:pStyle w:val="2"/>
        <w:shd w:val="clear"/>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w:t>
      </w:r>
      <w:r>
        <w:rPr>
          <w:rFonts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t>、商务与技术评测索引表（附件17）；</w:t>
      </w:r>
    </w:p>
    <w:p>
      <w:pPr>
        <w:pStyle w:val="2"/>
        <w:shd w:val="clear"/>
        <w:spacing w:line="240" w:lineRule="auto"/>
        <w:ind w:firstLine="560" w:firstLineChars="200"/>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w:t>
      </w:r>
      <w:r>
        <w:rPr>
          <w:rFonts w:asciiTheme="minorEastAsia" w:hAnsiTheme="minorEastAsia" w:eastAsia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olor w:val="000000" w:themeColor="text1"/>
          <w:sz w:val="28"/>
          <w:szCs w:val="28"/>
          <w:highlight w:val="none"/>
          <w14:textFill>
            <w14:solidFill>
              <w14:schemeClr w14:val="tx1"/>
            </w14:solidFill>
          </w14:textFill>
        </w:rPr>
        <w:t>、RFID图书电子标签要求（附件</w:t>
      </w:r>
      <w:r>
        <w:rPr>
          <w:rFonts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t>8）；</w:t>
      </w:r>
    </w:p>
    <w:p>
      <w:pPr>
        <w:shd w:val="clear"/>
        <w:ind w:firstLine="560" w:firstLineChars="200"/>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1</w:t>
      </w:r>
      <w:r>
        <w:rPr>
          <w:rFonts w:ascii="宋体" w:hAnsi="宋体" w:cs="宋体"/>
          <w:color w:val="000000" w:themeColor="text1"/>
          <w:sz w:val="28"/>
          <w:szCs w:val="36"/>
          <w:highlight w:val="none"/>
          <w14:textFill>
            <w14:solidFill>
              <w14:schemeClr w14:val="tx1"/>
            </w14:solidFill>
          </w14:textFill>
        </w:rPr>
        <w:t>3</w:t>
      </w:r>
      <w:r>
        <w:rPr>
          <w:rFonts w:hint="eastAsia" w:ascii="宋体" w:hAnsi="宋体" w:cs="宋体"/>
          <w:color w:val="000000" w:themeColor="text1"/>
          <w:sz w:val="28"/>
          <w:szCs w:val="36"/>
          <w:highlight w:val="none"/>
          <w14:textFill>
            <w14:solidFill>
              <w14:schemeClr w14:val="tx1"/>
            </w14:solidFill>
          </w14:textFill>
        </w:rPr>
        <w:t>、投标人需要说明的其他内容。（包括可能影响投标人企业实力及信誉评分项以及售后服务评分项的各类证明材料）</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pStyle w:val="31"/>
        <w:shd w:val="clear"/>
        <w:ind w:firstLine="0" w:firstLineChars="0"/>
        <w:rPr>
          <w:rFonts w:ascii="宋体" w:hAnsi="宋体" w:cs="宋体"/>
          <w:color w:val="000000" w:themeColor="text1"/>
          <w:sz w:val="24"/>
          <w:szCs w:val="32"/>
          <w:highlight w:val="none"/>
          <w14:textFill>
            <w14:solidFill>
              <w14:schemeClr w14:val="tx1"/>
            </w14:solidFill>
          </w14:textFill>
        </w:rPr>
      </w:pPr>
    </w:p>
    <w:p>
      <w:pPr>
        <w:pStyle w:val="31"/>
        <w:shd w:val="clear"/>
        <w:ind w:firstLine="0" w:firstLineChars="0"/>
        <w:rPr>
          <w:rFonts w:ascii="宋体" w:hAnsi="宋体" w:cs="宋体"/>
          <w:color w:val="000000" w:themeColor="text1"/>
          <w:sz w:val="24"/>
          <w:szCs w:val="32"/>
          <w:highlight w:val="none"/>
          <w14:textFill>
            <w14:solidFill>
              <w14:schemeClr w14:val="tx1"/>
            </w14:solidFill>
          </w14:textFill>
        </w:rPr>
      </w:pPr>
    </w:p>
    <w:p>
      <w:pPr>
        <w:pStyle w:val="31"/>
        <w:shd w:val="clear"/>
        <w:ind w:firstLine="0" w:firstLineChars="0"/>
        <w:rPr>
          <w:rFonts w:ascii="宋体" w:hAnsi="宋体" w:cs="宋体"/>
          <w:color w:val="000000" w:themeColor="text1"/>
          <w:sz w:val="24"/>
          <w:szCs w:val="32"/>
          <w:highlight w:val="none"/>
          <w14:textFill>
            <w14:solidFill>
              <w14:schemeClr w14:val="tx1"/>
            </w14:solidFill>
          </w14:textFill>
        </w:rPr>
      </w:pPr>
    </w:p>
    <w:p>
      <w:pPr>
        <w:pStyle w:val="31"/>
        <w:shd w:val="clear"/>
        <w:ind w:firstLine="0" w:firstLineChars="0"/>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b/>
          <w:bCs/>
          <w:color w:val="000000" w:themeColor="text1"/>
          <w:sz w:val="28"/>
          <w:szCs w:val="36"/>
          <w:highlight w:val="none"/>
          <w:lang w:val="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14:textFill>
            <w14:solidFill>
              <w14:schemeClr w14:val="tx1"/>
            </w14:solidFill>
          </w14:textFill>
        </w:rPr>
        <w:t>8</w:t>
      </w:r>
    </w:p>
    <w:p>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投标人基本情况表</w:t>
      </w:r>
    </w:p>
    <w:tbl>
      <w:tblPr>
        <w:tblStyle w:val="26"/>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765" w:type="dxa"/>
            <w:gridSpan w:val="6"/>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p>
        </w:tc>
        <w:tc>
          <w:tcPr>
            <w:tcW w:w="1560" w:type="dxa"/>
            <w:shd w:val="clear" w:color="auto" w:fill="auto"/>
            <w:vAlign w:val="center"/>
          </w:tcPr>
          <w:p>
            <w:pPr>
              <w:pStyle w:val="49"/>
              <w:shd w:val="clear" w:color="auto"/>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608" w:type="dxa"/>
            <w:gridSpan w:val="3"/>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765" w:type="dxa"/>
            <w:gridSpan w:val="6"/>
            <w:tcBorders>
              <w:bottom w:val="single" w:color="auto" w:sz="4" w:space="0"/>
            </w:tcBorders>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p>
        </w:tc>
        <w:tc>
          <w:tcPr>
            <w:tcW w:w="1560" w:type="dxa"/>
            <w:shd w:val="clear" w:color="auto" w:fill="auto"/>
            <w:vAlign w:val="center"/>
          </w:tcPr>
          <w:p>
            <w:pPr>
              <w:pStyle w:val="49"/>
              <w:shd w:val="clear" w:color="auto"/>
              <w:spacing w:line="360" w:lineRule="auto"/>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608" w:type="dxa"/>
            <w:gridSpan w:val="3"/>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690" w:type="dxa"/>
            <w:tcBorders>
              <w:bottom w:val="single" w:color="auto" w:sz="4" w:space="0"/>
            </w:tcBorders>
            <w:shd w:val="clear" w:color="auto" w:fill="auto"/>
            <w:vAlign w:val="center"/>
          </w:tcPr>
          <w:p>
            <w:pPr>
              <w:pStyle w:val="49"/>
              <w:shd w:val="clear" w:color="auto"/>
              <w:spacing w:before="0" w:beforeAutospacing="0" w:after="0" w:afterAutospacing="0" w:line="360" w:lineRule="auto"/>
              <w:jc w:val="both"/>
              <w:rPr>
                <w:bCs/>
                <w:color w:val="000000" w:themeColor="text1"/>
                <w:spacing w:val="16"/>
                <w:highlight w:val="none"/>
                <w14:textFill>
                  <w14:solidFill>
                    <w14:schemeClr w14:val="tx1"/>
                  </w14:solidFill>
                </w14:textFill>
              </w:rPr>
            </w:pPr>
          </w:p>
        </w:tc>
        <w:tc>
          <w:tcPr>
            <w:tcW w:w="960" w:type="dxa"/>
            <w:gridSpan w:val="2"/>
            <w:tcBorders>
              <w:bottom w:val="single" w:color="auto" w:sz="4" w:space="0"/>
            </w:tcBorders>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115" w:type="dxa"/>
            <w:gridSpan w:val="3"/>
            <w:tcBorders>
              <w:bottom w:val="single" w:color="auto" w:sz="4" w:space="0"/>
            </w:tcBorders>
            <w:shd w:val="clear" w:color="auto" w:fill="auto"/>
            <w:vAlign w:val="center"/>
          </w:tcPr>
          <w:p>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pPr>
              <w:pStyle w:val="49"/>
              <w:shd w:val="clear" w:color="auto"/>
              <w:spacing w:line="360" w:lineRule="auto"/>
              <w:jc w:val="both"/>
              <w:rPr>
                <w:bCs/>
                <w:color w:val="000000" w:themeColor="text1"/>
                <w:spacing w:val="16"/>
                <w:highlight w:val="none"/>
                <w14:textFill>
                  <w14:solidFill>
                    <w14:schemeClr w14:val="tx1"/>
                  </w14:solidFill>
                </w14:textFill>
              </w:rPr>
            </w:pPr>
          </w:p>
        </w:tc>
        <w:tc>
          <w:tcPr>
            <w:tcW w:w="1560" w:type="dxa"/>
            <w:shd w:val="clear" w:color="auto" w:fill="auto"/>
            <w:vAlign w:val="center"/>
          </w:tcPr>
          <w:p>
            <w:pPr>
              <w:pStyle w:val="49"/>
              <w:shd w:val="clear" w:color="auto"/>
              <w:spacing w:line="360" w:lineRule="auto"/>
              <w:ind w:left="107"/>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608" w:type="dxa"/>
            <w:gridSpan w:val="3"/>
            <w:shd w:val="clear" w:color="auto" w:fill="auto"/>
            <w:vAlign w:val="center"/>
          </w:tcPr>
          <w:p>
            <w:pPr>
              <w:pStyle w:val="49"/>
              <w:shd w:val="clear" w:color="auto"/>
              <w:spacing w:line="360" w:lineRule="auto"/>
              <w:ind w:left="107"/>
              <w:jc w:val="both"/>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690" w:type="dxa"/>
            <w:vMerge w:val="restart"/>
            <w:tcBorders>
              <w:top w:val="nil"/>
            </w:tcBorders>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p>
        </w:tc>
        <w:tc>
          <w:tcPr>
            <w:tcW w:w="960" w:type="dxa"/>
            <w:gridSpan w:val="2"/>
            <w:tcBorders>
              <w:top w:val="nil"/>
              <w:bottom w:val="single" w:color="auto" w:sz="4" w:space="0"/>
            </w:tcBorders>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115" w:type="dxa"/>
            <w:gridSpan w:val="3"/>
            <w:tcBorders>
              <w:top w:val="nil"/>
              <w:bottom w:val="single" w:color="auto" w:sz="4" w:space="0"/>
            </w:tcBorders>
            <w:shd w:val="clear" w:color="auto" w:fill="auto"/>
            <w:vAlign w:val="center"/>
          </w:tcPr>
          <w:p>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pPr>
              <w:pStyle w:val="49"/>
              <w:shd w:val="clear" w:color="auto"/>
              <w:spacing w:line="360" w:lineRule="auto"/>
              <w:jc w:val="both"/>
              <w:rPr>
                <w:bCs/>
                <w:color w:val="000000" w:themeColor="text1"/>
                <w:spacing w:val="16"/>
                <w:highlight w:val="none"/>
                <w14:textFill>
                  <w14:solidFill>
                    <w14:schemeClr w14:val="tx1"/>
                  </w14:solidFill>
                </w14:textFill>
              </w:rPr>
            </w:pPr>
          </w:p>
        </w:tc>
        <w:tc>
          <w:tcPr>
            <w:tcW w:w="1560" w:type="dxa"/>
            <w:vMerge w:val="restart"/>
            <w:shd w:val="clear" w:color="auto" w:fill="auto"/>
            <w:vAlign w:val="center"/>
          </w:tcPr>
          <w:p>
            <w:pPr>
              <w:pStyle w:val="49"/>
              <w:shd w:val="clear" w:color="auto"/>
              <w:spacing w:before="0" w:beforeAutospacing="0" w:after="0" w:afterAutospacing="0" w:line="360" w:lineRule="auto"/>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608" w:type="dxa"/>
            <w:gridSpan w:val="3"/>
            <w:vMerge w:val="restart"/>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p>
        </w:tc>
        <w:tc>
          <w:tcPr>
            <w:tcW w:w="690" w:type="dxa"/>
            <w:vMerge w:val="continue"/>
            <w:tcBorders>
              <w:bottom w:val="single" w:color="auto" w:sz="4" w:space="0"/>
            </w:tcBorders>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p>
        </w:tc>
        <w:tc>
          <w:tcPr>
            <w:tcW w:w="960" w:type="dxa"/>
            <w:gridSpan w:val="2"/>
            <w:tcBorders>
              <w:bottom w:val="single" w:color="auto" w:sz="4" w:space="0"/>
            </w:tcBorders>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115" w:type="dxa"/>
            <w:gridSpan w:val="3"/>
            <w:tcBorders>
              <w:bottom w:val="single" w:color="auto" w:sz="4" w:space="0"/>
            </w:tcBorders>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p>
        </w:tc>
        <w:tc>
          <w:tcPr>
            <w:tcW w:w="1560" w:type="dxa"/>
            <w:vMerge w:val="continue"/>
            <w:shd w:val="clear" w:color="auto" w:fill="auto"/>
            <w:vAlign w:val="center"/>
          </w:tcPr>
          <w:p>
            <w:pPr>
              <w:pStyle w:val="49"/>
              <w:shd w:val="clear" w:color="auto"/>
              <w:spacing w:line="360" w:lineRule="auto"/>
              <w:jc w:val="center"/>
              <w:rPr>
                <w:bCs/>
                <w:color w:val="000000" w:themeColor="text1"/>
                <w:spacing w:val="16"/>
                <w:highlight w:val="none"/>
                <w14:textFill>
                  <w14:solidFill>
                    <w14:schemeClr w14:val="tx1"/>
                  </w14:solidFill>
                </w14:textFill>
              </w:rPr>
            </w:pPr>
          </w:p>
        </w:tc>
        <w:tc>
          <w:tcPr>
            <w:tcW w:w="2608" w:type="dxa"/>
            <w:gridSpan w:val="3"/>
            <w:vMerge w:val="continue"/>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w:t>
            </w:r>
          </w:p>
          <w:p>
            <w:pPr>
              <w:pStyle w:val="49"/>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pPr>
              <w:pStyle w:val="49"/>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pPr>
              <w:pStyle w:val="49"/>
              <w:shd w:val="clear" w:color="auto"/>
              <w:spacing w:line="360" w:lineRule="auto"/>
              <w:ind w:left="107"/>
              <w:jc w:val="both"/>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pPr>
              <w:pStyle w:val="49"/>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690" w:type="dxa"/>
            <w:tcBorders>
              <w:top w:val="nil"/>
            </w:tcBorders>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60" w:type="dxa"/>
            <w:gridSpan w:val="2"/>
            <w:tcBorders>
              <w:top w:val="nil"/>
            </w:tcBorders>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p>
        </w:tc>
        <w:tc>
          <w:tcPr>
            <w:tcW w:w="926" w:type="dxa"/>
            <w:tcBorders>
              <w:top w:val="nil"/>
            </w:tcBorders>
            <w:shd w:val="clear" w:color="auto" w:fill="auto"/>
            <w:vAlign w:val="center"/>
          </w:tcPr>
          <w:p>
            <w:pPr>
              <w:pStyle w:val="49"/>
              <w:shd w:val="clear" w:color="auto"/>
              <w:spacing w:before="0" w:beforeAutospacing="0" w:after="0" w:afterAutospacing="0" w:line="360" w:lineRule="auto"/>
              <w:jc w:val="both"/>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189" w:type="dxa"/>
            <w:gridSpan w:val="2"/>
            <w:tcBorders>
              <w:top w:val="nil"/>
            </w:tcBorders>
            <w:shd w:val="clear" w:color="auto" w:fill="auto"/>
            <w:vAlign w:val="center"/>
          </w:tcPr>
          <w:p>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pPr>
              <w:pStyle w:val="49"/>
              <w:shd w:val="clear" w:color="auto"/>
              <w:spacing w:line="360" w:lineRule="auto"/>
              <w:jc w:val="both"/>
              <w:rPr>
                <w:bCs/>
                <w:color w:val="000000" w:themeColor="text1"/>
                <w:spacing w:val="16"/>
                <w:highlight w:val="none"/>
                <w14:textFill>
                  <w14:solidFill>
                    <w14:schemeClr w14:val="tx1"/>
                  </w14:solidFill>
                </w14:textFill>
              </w:rPr>
            </w:pPr>
          </w:p>
        </w:tc>
        <w:tc>
          <w:tcPr>
            <w:tcW w:w="1560" w:type="dxa"/>
            <w:shd w:val="clear" w:color="auto" w:fill="auto"/>
            <w:vAlign w:val="center"/>
          </w:tcPr>
          <w:p>
            <w:pPr>
              <w:pStyle w:val="49"/>
              <w:shd w:val="clear" w:color="auto"/>
              <w:spacing w:line="360" w:lineRule="auto"/>
              <w:jc w:val="center"/>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608" w:type="dxa"/>
            <w:gridSpan w:val="3"/>
            <w:shd w:val="clear" w:color="auto" w:fill="auto"/>
            <w:vAlign w:val="center"/>
          </w:tcPr>
          <w:p>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pPr>
              <w:pStyle w:val="49"/>
              <w:shd w:val="clear" w:color="auto"/>
              <w:spacing w:line="360" w:lineRule="auto"/>
              <w:jc w:val="both"/>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p>
        </w:tc>
        <w:tc>
          <w:tcPr>
            <w:tcW w:w="690" w:type="dxa"/>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60" w:type="dxa"/>
            <w:gridSpan w:val="2"/>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p>
        </w:tc>
        <w:tc>
          <w:tcPr>
            <w:tcW w:w="926" w:type="dxa"/>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189" w:type="dxa"/>
            <w:gridSpan w:val="2"/>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平方米</w:t>
            </w:r>
          </w:p>
          <w:p>
            <w:pPr>
              <w:pStyle w:val="49"/>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□自有□租赁</w:t>
            </w:r>
          </w:p>
        </w:tc>
        <w:tc>
          <w:tcPr>
            <w:tcW w:w="1560" w:type="dxa"/>
            <w:shd w:val="clear" w:color="auto" w:fill="auto"/>
            <w:vAlign w:val="center"/>
          </w:tcPr>
          <w:p>
            <w:pPr>
              <w:pStyle w:val="49"/>
              <w:shd w:val="clear" w:color="auto"/>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608" w:type="dxa"/>
            <w:gridSpan w:val="3"/>
            <w:shd w:val="clear" w:color="auto" w:fill="auto"/>
            <w:vAlign w:val="center"/>
          </w:tcPr>
          <w:p>
            <w:pPr>
              <w:pStyle w:val="49"/>
              <w:shd w:val="clear" w:color="auto"/>
              <w:spacing w:before="0" w:beforeAutospacing="0" w:after="0" w:afterAutospacing="0" w:line="360" w:lineRule="auto"/>
              <w:jc w:val="both"/>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p>
        </w:tc>
        <w:tc>
          <w:tcPr>
            <w:tcW w:w="690" w:type="dxa"/>
            <w:shd w:val="clear" w:color="auto" w:fill="auto"/>
            <w:vAlign w:val="center"/>
          </w:tcPr>
          <w:p>
            <w:pPr>
              <w:pStyle w:val="49"/>
              <w:shd w:val="clear" w:color="auto"/>
              <w:spacing w:line="360" w:lineRule="auto"/>
              <w:ind w:left="2"/>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60" w:type="dxa"/>
            <w:gridSpan w:val="2"/>
            <w:shd w:val="clear" w:color="auto" w:fill="auto"/>
            <w:vAlign w:val="center"/>
          </w:tcPr>
          <w:p>
            <w:pPr>
              <w:pStyle w:val="49"/>
              <w:shd w:val="clear" w:color="auto"/>
              <w:spacing w:line="360" w:lineRule="auto"/>
              <w:ind w:left="2"/>
              <w:jc w:val="both"/>
              <w:rPr>
                <w:bCs/>
                <w:color w:val="000000" w:themeColor="text1"/>
                <w:highlight w:val="none"/>
                <w14:textFill>
                  <w14:solidFill>
                    <w14:schemeClr w14:val="tx1"/>
                  </w14:solidFill>
                </w14:textFill>
              </w:rPr>
            </w:pPr>
          </w:p>
        </w:tc>
        <w:tc>
          <w:tcPr>
            <w:tcW w:w="926" w:type="dxa"/>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2749" w:type="dxa"/>
            <w:gridSpan w:val="3"/>
            <w:shd w:val="clear" w:color="auto" w:fill="auto"/>
            <w:vAlign w:val="center"/>
          </w:tcPr>
          <w:p>
            <w:pPr>
              <w:widowControl/>
              <w:shd w:val="clear"/>
              <w:spacing w:line="360" w:lineRule="auto"/>
              <w:rPr>
                <w:rFonts w:ascii="宋体" w:hAnsi="宋体" w:cs="宋体"/>
                <w:bCs/>
                <w:color w:val="000000" w:themeColor="text1"/>
                <w:kern w:val="0"/>
                <w:sz w:val="24"/>
                <w:highlight w:val="none"/>
                <w14:textFill>
                  <w14:solidFill>
                    <w14:schemeClr w14:val="tx1"/>
                  </w14:solidFill>
                </w14:textFill>
              </w:rPr>
            </w:pPr>
          </w:p>
          <w:p>
            <w:pPr>
              <w:pStyle w:val="49"/>
              <w:shd w:val="clear" w:color="auto"/>
              <w:spacing w:line="360" w:lineRule="auto"/>
              <w:ind w:left="107"/>
              <w:jc w:val="both"/>
              <w:rPr>
                <w:bCs/>
                <w:color w:val="000000" w:themeColor="text1"/>
                <w:highlight w:val="none"/>
                <w14:textFill>
                  <w14:solidFill>
                    <w14:schemeClr w14:val="tx1"/>
                  </w14:solidFill>
                </w14:textFill>
              </w:rPr>
            </w:pPr>
          </w:p>
        </w:tc>
        <w:tc>
          <w:tcPr>
            <w:tcW w:w="1675" w:type="dxa"/>
            <w:gridSpan w:val="2"/>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p>
        </w:tc>
        <w:tc>
          <w:tcPr>
            <w:tcW w:w="690" w:type="dxa"/>
            <w:shd w:val="clear" w:color="auto" w:fill="auto"/>
            <w:vAlign w:val="center"/>
          </w:tcPr>
          <w:p>
            <w:pPr>
              <w:pStyle w:val="49"/>
              <w:shd w:val="clear" w:color="auto"/>
              <w:spacing w:line="360" w:lineRule="auto"/>
              <w:ind w:left="2"/>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243" w:type="dxa"/>
            <w:gridSpan w:val="9"/>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p>
        </w:tc>
        <w:tc>
          <w:tcPr>
            <w:tcW w:w="7933" w:type="dxa"/>
            <w:gridSpan w:val="10"/>
            <w:shd w:val="clear" w:color="auto" w:fill="auto"/>
            <w:vAlign w:val="center"/>
          </w:tcPr>
          <w:p>
            <w:pPr>
              <w:pStyle w:val="49"/>
              <w:shd w:val="clear" w:color="auto"/>
              <w:spacing w:line="360" w:lineRule="auto"/>
              <w:jc w:val="both"/>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w:t>
            </w:r>
          </w:p>
          <w:p>
            <w:pPr>
              <w:pStyle w:val="49"/>
              <w:shd w:val="clear" w:color="auto"/>
              <w:spacing w:line="360" w:lineRule="auto"/>
              <w:ind w:left="107"/>
              <w:jc w:val="both"/>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355" w:type="dxa"/>
            <w:gridSpan w:val="2"/>
            <w:vMerge w:val="restart"/>
            <w:shd w:val="clear" w:color="auto" w:fill="auto"/>
            <w:vAlign w:val="center"/>
          </w:tcPr>
          <w:p>
            <w:pPr>
              <w:pStyle w:val="49"/>
              <w:shd w:val="clear" w:color="auto"/>
              <w:spacing w:before="0" w:beforeAutospacing="0" w:after="0" w:afterAutospacing="0"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shd w:val="clear" w:color="auto" w:fill="auto"/>
            <w:vAlign w:val="center"/>
          </w:tcPr>
          <w:p>
            <w:pPr>
              <w:pStyle w:val="49"/>
              <w:shd w:val="clear" w:color="auto"/>
              <w:spacing w:line="360" w:lineRule="auto"/>
              <w:ind w:right="-78" w:rightChars="-37"/>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077" w:type="dxa"/>
            <w:shd w:val="clear" w:color="auto" w:fill="auto"/>
            <w:vAlign w:val="center"/>
          </w:tcPr>
          <w:p>
            <w:pPr>
              <w:pStyle w:val="49"/>
              <w:shd w:val="clear" w:color="auto"/>
              <w:spacing w:before="0" w:beforeAutospacing="0" w:after="0" w:afterAutospacing="0"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617" w:type="dxa"/>
            <w:gridSpan w:val="2"/>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shd w:val="clear" w:color="auto" w:fill="auto"/>
            <w:vAlign w:val="center"/>
          </w:tcPr>
          <w:p>
            <w:pPr>
              <w:pStyle w:val="49"/>
              <w:shd w:val="clear" w:color="auto"/>
              <w:spacing w:before="0" w:beforeAutospacing="0" w:after="0" w:afterAutospacing="0" w:line="36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shd w:val="clear" w:color="auto" w:fill="auto"/>
            <w:vAlign w:val="center"/>
          </w:tcPr>
          <w:p>
            <w:pPr>
              <w:pStyle w:val="49"/>
              <w:shd w:val="clear" w:color="auto"/>
              <w:spacing w:line="360" w:lineRule="auto"/>
              <w:ind w:left="107"/>
              <w:jc w:val="both"/>
              <w:rPr>
                <w:bCs/>
                <w:color w:val="000000" w:themeColor="text1"/>
                <w:highlight w:val="none"/>
                <w14:textFill>
                  <w14:solidFill>
                    <w14:schemeClr w14:val="tx1"/>
                  </w14:solidFill>
                </w14:textFill>
              </w:rPr>
            </w:pPr>
          </w:p>
        </w:tc>
        <w:tc>
          <w:tcPr>
            <w:tcW w:w="1355" w:type="dxa"/>
            <w:gridSpan w:val="2"/>
            <w:vMerge w:val="continue"/>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p>
        </w:tc>
        <w:tc>
          <w:tcPr>
            <w:tcW w:w="1333" w:type="dxa"/>
            <w:gridSpan w:val="3"/>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p>
        </w:tc>
        <w:tc>
          <w:tcPr>
            <w:tcW w:w="1077" w:type="dxa"/>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p>
        </w:tc>
        <w:tc>
          <w:tcPr>
            <w:tcW w:w="1617" w:type="dxa"/>
            <w:gridSpan w:val="2"/>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p>
        </w:tc>
        <w:tc>
          <w:tcPr>
            <w:tcW w:w="2551" w:type="dxa"/>
            <w:gridSpan w:val="2"/>
            <w:shd w:val="clear" w:color="auto" w:fill="auto"/>
            <w:vAlign w:val="center"/>
          </w:tcPr>
          <w:p>
            <w:pPr>
              <w:pStyle w:val="49"/>
              <w:shd w:val="clear" w:color="auto"/>
              <w:spacing w:line="360" w:lineRule="auto"/>
              <w:jc w:val="both"/>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shd w:val="clear" w:color="auto" w:fill="auto"/>
            <w:vAlign w:val="center"/>
          </w:tcPr>
          <w:p>
            <w:pPr>
              <w:pStyle w:val="49"/>
              <w:shd w:val="clear" w:color="auto"/>
              <w:spacing w:line="360" w:lineRule="auto"/>
              <w:ind w:left="107"/>
              <w:jc w:val="both"/>
              <w:rPr>
                <w:bCs/>
                <w:color w:val="000000" w:themeColor="text1"/>
                <w:spacing w:val="16"/>
                <w:highlight w:val="none"/>
                <w14:textFill>
                  <w14:solidFill>
                    <w14:schemeClr w14:val="tx1"/>
                  </w14:solidFill>
                </w14:textFill>
              </w:rPr>
            </w:pPr>
          </w:p>
        </w:tc>
        <w:tc>
          <w:tcPr>
            <w:tcW w:w="1355" w:type="dxa"/>
            <w:gridSpan w:val="2"/>
            <w:shd w:val="clear" w:color="auto" w:fill="auto"/>
            <w:vAlign w:val="center"/>
          </w:tcPr>
          <w:p>
            <w:pPr>
              <w:pStyle w:val="49"/>
              <w:shd w:val="clear" w:color="auto"/>
              <w:spacing w:before="0" w:beforeAutospacing="0" w:after="0" w:afterAutospacing="0" w:line="360" w:lineRule="auto"/>
              <w:ind w:right="-107" w:rightChars="-51"/>
              <w:jc w:val="both"/>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8"/>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shd w:val="clear" w:color="auto" w:fill="auto"/>
            <w:vAlign w:val="center"/>
          </w:tcPr>
          <w:p>
            <w:pPr>
              <w:pStyle w:val="49"/>
              <w:shd w:val="clear" w:color="auto"/>
              <w:spacing w:line="360" w:lineRule="auto"/>
              <w:ind w:left="107"/>
              <w:jc w:val="both"/>
              <w:rPr>
                <w:bCs/>
                <w:color w:val="000000" w:themeColor="text1"/>
                <w:spacing w:val="27"/>
                <w:highlight w:val="none"/>
                <w14:textFill>
                  <w14:solidFill>
                    <w14:schemeClr w14:val="tx1"/>
                  </w14:solidFill>
                </w14:textFill>
              </w:rPr>
            </w:pPr>
          </w:p>
        </w:tc>
        <w:tc>
          <w:tcPr>
            <w:tcW w:w="1355" w:type="dxa"/>
            <w:gridSpan w:val="2"/>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8"/>
            <w:shd w:val="clear" w:color="auto" w:fill="auto"/>
            <w:vAlign w:val="center"/>
          </w:tcPr>
          <w:p>
            <w:pPr>
              <w:pStyle w:val="49"/>
              <w:shd w:val="clear" w:color="auto"/>
              <w:spacing w:line="360" w:lineRule="auto"/>
              <w:jc w:val="both"/>
              <w:rPr>
                <w:bCs/>
                <w:color w:val="000000" w:themeColor="text1"/>
                <w:spacing w:val="16"/>
                <w:highlight w:val="none"/>
                <w14:textFill>
                  <w14:solidFill>
                    <w14:schemeClr w14:val="tx1"/>
                  </w14:solidFill>
                </w14:textFill>
              </w:rPr>
            </w:pPr>
          </w:p>
        </w:tc>
      </w:tr>
    </w:tbl>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1.姓名栏必须将所有股东都统计在内，若非股份公司此行（第三行）无需填写；</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附件9</w:t>
      </w:r>
    </w:p>
    <w:p>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项目实施人员一览表</w:t>
      </w:r>
    </w:p>
    <w:p>
      <w:pPr>
        <w:shd w:val="clear"/>
        <w:spacing w:line="360" w:lineRule="auto"/>
        <w:jc w:val="center"/>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（主要从业人员及其技术资格）</w:t>
      </w:r>
    </w:p>
    <w:tbl>
      <w:tblPr>
        <w:tblStyle w:val="26"/>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5"/>
              <w:shd w:val="clear"/>
              <w:snapToGrid w:val="0"/>
              <w:spacing w:before="158"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5"/>
              <w:shd w:val="clear"/>
              <w:snapToGrid w:val="0"/>
              <w:spacing w:before="158"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5"/>
              <w:shd w:val="clear"/>
              <w:spacing w:line="360" w:lineRule="auto"/>
              <w:ind w:left="5250"/>
              <w:rPr>
                <w:rFonts w:ascii="宋体" w:hAnsi="宋体" w:eastAsia="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bl>
    <w:p>
      <w:pPr>
        <w:shd w:val="clear"/>
        <w:spacing w:line="360" w:lineRule="auto"/>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1.在填写时，如本表格不适合投标单位的实际情况，可根据本表格式自行划表填写。</w:t>
      </w: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2.附人员证书复印件；</w:t>
      </w: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3.出具上述人员在本单位服务的外部证明，如：投标截止日之前六个月以内的代缴个税税单、参加社会保险的《投保单》或《社会保险参保人员证明》等。</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36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附件10</w:t>
      </w:r>
    </w:p>
    <w:p>
      <w:pPr>
        <w:shd w:val="clear"/>
        <w:spacing w:before="158" w:beforeLines="50" w:after="158" w:afterLines="50" w:line="360" w:lineRule="auto"/>
        <w:ind w:right="-1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项目负责人资格情况表</w:t>
      </w:r>
    </w:p>
    <w:p>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采购项目：                                        采购编号：</w:t>
      </w:r>
    </w:p>
    <w:tbl>
      <w:tblPr>
        <w:tblStyle w:val="26"/>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注：业绩证明应提供旁证材料</w:t>
            </w:r>
          </w:p>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shd w:val="clear"/>
              <w:jc w:val="center"/>
              <w:rPr>
                <w:rFonts w:ascii="宋体" w:hAnsi="宋体" w:cs="宋体"/>
                <w:b/>
                <w:bCs/>
                <w:color w:val="000000" w:themeColor="text1"/>
                <w:sz w:val="24"/>
                <w:highlight w:val="none"/>
                <w:lang w:val="zh-CN"/>
                <w14:textFill>
                  <w14:solidFill>
                    <w14:schemeClr w14:val="tx1"/>
                  </w14:solidFill>
                </w14:textFill>
              </w:rPr>
            </w:pPr>
          </w:p>
        </w:tc>
      </w:tr>
    </w:tbl>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pStyle w:val="14"/>
        <w:shd w:val="clear"/>
        <w:spacing w:line="460" w:lineRule="exact"/>
        <w:textAlignment w:val="baseline"/>
        <w:rPr>
          <w:rFonts w:hAnsi="宋体"/>
          <w:b/>
          <w:bCs/>
          <w:color w:val="000000" w:themeColor="text1"/>
          <w:sz w:val="24"/>
          <w:highlight w:val="none"/>
          <w14:textFill>
            <w14:solidFill>
              <w14:schemeClr w14:val="tx1"/>
            </w14:solidFill>
          </w14:textFill>
        </w:rPr>
      </w:pPr>
    </w:p>
    <w:p>
      <w:pPr>
        <w:pStyle w:val="14"/>
        <w:shd w:val="clear"/>
        <w:spacing w:line="460" w:lineRule="exact"/>
        <w:textAlignment w:val="baseline"/>
        <w:rPr>
          <w:rFonts w:hAnsi="宋体"/>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附件</w:t>
      </w:r>
      <w:r>
        <w:rPr>
          <w:rFonts w:hint="eastAsia" w:hAnsi="宋体"/>
          <w:b/>
          <w:bCs/>
          <w:color w:val="000000" w:themeColor="text1"/>
          <w:sz w:val="28"/>
          <w:szCs w:val="28"/>
          <w:highlight w:val="none"/>
          <w14:textFill>
            <w14:solidFill>
              <w14:schemeClr w14:val="tx1"/>
            </w14:solidFill>
          </w14:textFill>
        </w:rPr>
        <w:t>11</w:t>
      </w:r>
    </w:p>
    <w:p>
      <w:pPr>
        <w:pStyle w:val="14"/>
        <w:shd w:val="clear"/>
        <w:spacing w:line="450" w:lineRule="exact"/>
        <w:jc w:val="center"/>
        <w:rPr>
          <w:rFonts w:ascii="方正小标宋简体" w:hAnsi="宋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olor w:val="000000" w:themeColor="text1"/>
          <w:sz w:val="44"/>
          <w:szCs w:val="44"/>
          <w:highlight w:val="none"/>
          <w14:textFill>
            <w14:solidFill>
              <w14:schemeClr w14:val="tx1"/>
            </w14:solidFill>
          </w14:textFill>
        </w:rPr>
        <w:t>技 术 响 应 表</w:t>
      </w:r>
    </w:p>
    <w:p>
      <w:pPr>
        <w:pStyle w:val="14"/>
        <w:shd w:val="clear"/>
        <w:spacing w:line="450" w:lineRule="exact"/>
        <w:jc w:val="center"/>
        <w:rPr>
          <w:rFonts w:hAnsi="宋体"/>
          <w:color w:val="000000" w:themeColor="text1"/>
          <w:sz w:val="24"/>
          <w:highlight w:val="none"/>
          <w14:textFill>
            <w14:solidFill>
              <w14:schemeClr w14:val="tx1"/>
            </w14:solidFill>
          </w14:textFill>
        </w:rPr>
      </w:pPr>
    </w:p>
    <w:p>
      <w:pPr>
        <w:shd w:val="clear"/>
        <w:autoSpaceDE w:val="0"/>
        <w:autoSpaceDN w:val="0"/>
        <w:adjustRightInd w:val="0"/>
        <w:spacing w:line="450" w:lineRule="exact"/>
        <w:ind w:firstLine="120" w:firstLineChars="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                                项目编号：</w:t>
      </w:r>
    </w:p>
    <w:tbl>
      <w:tblPr>
        <w:tblStyle w:val="26"/>
        <w:tblW w:w="89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992"/>
        <w:gridCol w:w="2345"/>
        <w:gridCol w:w="2476"/>
        <w:gridCol w:w="1316"/>
        <w:gridCol w:w="10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90" w:type="dxa"/>
            <w:vAlign w:val="center"/>
          </w:tcPr>
          <w:p>
            <w:pPr>
              <w:shd w:val="clear"/>
              <w:autoSpaceDE w:val="0"/>
              <w:autoSpaceDN w:val="0"/>
              <w:adjustRightInd w:val="0"/>
              <w:spacing w:line="3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992" w:type="dxa"/>
            <w:vAlign w:val="center"/>
          </w:tcPr>
          <w:p>
            <w:pPr>
              <w:shd w:val="clear"/>
              <w:autoSpaceDE w:val="0"/>
              <w:autoSpaceDN w:val="0"/>
              <w:adjustRightInd w:val="0"/>
              <w:spacing w:line="3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2345" w:type="dxa"/>
            <w:vAlign w:val="center"/>
          </w:tcPr>
          <w:p>
            <w:pPr>
              <w:shd w:val="clear"/>
              <w:autoSpaceDE w:val="0"/>
              <w:autoSpaceDN w:val="0"/>
              <w:adjustRightInd w:val="0"/>
              <w:spacing w:line="3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招标文件要求</w:t>
            </w:r>
          </w:p>
        </w:tc>
        <w:tc>
          <w:tcPr>
            <w:tcW w:w="2476" w:type="dxa"/>
            <w:vAlign w:val="center"/>
          </w:tcPr>
          <w:p>
            <w:pPr>
              <w:shd w:val="clear"/>
              <w:autoSpaceDE w:val="0"/>
              <w:autoSpaceDN w:val="0"/>
              <w:adjustRightInd w:val="0"/>
              <w:spacing w:line="3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投标文件响应</w:t>
            </w:r>
          </w:p>
        </w:tc>
        <w:tc>
          <w:tcPr>
            <w:tcW w:w="1316" w:type="dxa"/>
            <w:vAlign w:val="center"/>
          </w:tcPr>
          <w:p>
            <w:pPr>
              <w:shd w:val="clear"/>
              <w:autoSpaceDE w:val="0"/>
              <w:autoSpaceDN w:val="0"/>
              <w:adjustRightInd w:val="0"/>
              <w:spacing w:line="3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偏离情况</w:t>
            </w:r>
          </w:p>
        </w:tc>
        <w:tc>
          <w:tcPr>
            <w:tcW w:w="1056" w:type="dxa"/>
            <w:vAlign w:val="center"/>
          </w:tcPr>
          <w:p>
            <w:pPr>
              <w:shd w:val="clear"/>
              <w:autoSpaceDE w:val="0"/>
              <w:autoSpaceDN w:val="0"/>
              <w:adjustRightInd w:val="0"/>
              <w:spacing w:line="3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90"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992"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345"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47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31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05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90"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992"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345"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47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31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05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20" w:hRule="atLeast"/>
          <w:jc w:val="center"/>
        </w:trPr>
        <w:tc>
          <w:tcPr>
            <w:tcW w:w="790"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992"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345"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47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31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05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992"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345"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47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31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05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29" w:hRule="atLeast"/>
          <w:jc w:val="center"/>
        </w:trPr>
        <w:tc>
          <w:tcPr>
            <w:tcW w:w="790"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992"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345"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47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31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05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992"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345"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47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31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05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992"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345"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47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31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05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992"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345"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47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31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05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15" w:hRule="atLeast"/>
          <w:jc w:val="center"/>
        </w:trPr>
        <w:tc>
          <w:tcPr>
            <w:tcW w:w="790"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992"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345"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247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31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c>
          <w:tcPr>
            <w:tcW w:w="1056" w:type="dxa"/>
          </w:tcPr>
          <w:p>
            <w:pPr>
              <w:shd w:val="clear"/>
              <w:autoSpaceDE w:val="0"/>
              <w:autoSpaceDN w:val="0"/>
              <w:adjustRightInd w:val="0"/>
              <w:spacing w:line="450" w:lineRule="exact"/>
              <w:rPr>
                <w:rFonts w:ascii="宋体" w:hAnsi="宋体"/>
                <w:color w:val="000000" w:themeColor="text1"/>
                <w:sz w:val="24"/>
                <w:highlight w:val="none"/>
                <w14:textFill>
                  <w14:solidFill>
                    <w14:schemeClr w14:val="tx1"/>
                  </w14:solidFill>
                </w14:textFill>
              </w:rPr>
            </w:pPr>
          </w:p>
        </w:tc>
      </w:tr>
    </w:tbl>
    <w:p>
      <w:pPr>
        <w:shd w:val="clear"/>
        <w:autoSpaceDE w:val="0"/>
        <w:autoSpaceDN w:val="0"/>
        <w:adjustRightInd w:val="0"/>
        <w:spacing w:line="450" w:lineRule="exact"/>
        <w:rPr>
          <w:rFonts w:ascii="宋体" w:hAnsi="宋体"/>
          <w:b/>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注：投标人应根据投标设备及材料的性能指标、对照招标文件要求在“偏离情况”栏注明“正偏离”、“负偏离”或“无偏离”。</w:t>
      </w:r>
    </w:p>
    <w:p>
      <w:pPr>
        <w:shd w:val="clear"/>
        <w:autoSpaceDE w:val="0"/>
        <w:autoSpaceDN w:val="0"/>
        <w:adjustRightInd w:val="0"/>
        <w:spacing w:line="450" w:lineRule="exact"/>
        <w:ind w:firstLine="284"/>
        <w:rPr>
          <w:rFonts w:ascii="宋体" w:hAnsi="宋体"/>
          <w:color w:val="000000" w:themeColor="text1"/>
          <w:sz w:val="24"/>
          <w:highlight w:val="none"/>
          <w14:textFill>
            <w14:solidFill>
              <w14:schemeClr w14:val="tx1"/>
            </w14:solidFill>
          </w14:textFill>
        </w:rPr>
      </w:pPr>
    </w:p>
    <w:p>
      <w:pPr>
        <w:shd w:val="clear"/>
        <w:autoSpaceDE w:val="0"/>
        <w:autoSpaceDN w:val="0"/>
        <w:adjustRightInd w:val="0"/>
        <w:spacing w:line="450" w:lineRule="exact"/>
        <w:ind w:firstLine="284"/>
        <w:rPr>
          <w:rFonts w:ascii="宋体" w:hAnsi="宋体"/>
          <w:color w:val="000000" w:themeColor="text1"/>
          <w:sz w:val="24"/>
          <w:highlight w:val="none"/>
          <w14:textFill>
            <w14:solidFill>
              <w14:schemeClr w14:val="tx1"/>
            </w14:solidFill>
          </w14:textFill>
        </w:rPr>
      </w:pPr>
    </w:p>
    <w:p>
      <w:pPr>
        <w:shd w:val="clear"/>
        <w:spacing w:line="500" w:lineRule="exact"/>
        <w:ind w:firstLine="4800" w:firstLineChars="20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投标人全称（盖章）：</w:t>
      </w:r>
    </w:p>
    <w:p>
      <w:pPr>
        <w:shd w:val="clear"/>
        <w:spacing w:line="500" w:lineRule="exact"/>
        <w:ind w:firstLine="4800" w:firstLineChars="20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授权委托代理人（签字）：</w:t>
      </w:r>
    </w:p>
    <w:p>
      <w:pPr>
        <w:shd w:val="clear"/>
        <w:spacing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日期：</w:t>
      </w:r>
    </w:p>
    <w:p>
      <w:pPr>
        <w:pStyle w:val="2"/>
        <w:shd w:val="clear"/>
        <w:rPr>
          <w:color w:val="000000" w:themeColor="text1"/>
          <w:highlight w:val="none"/>
          <w14:textFill>
            <w14:solidFill>
              <w14:schemeClr w14:val="tx1"/>
            </w14:solidFill>
          </w14:textFill>
        </w:rPr>
      </w:pPr>
    </w:p>
    <w:p>
      <w:pPr>
        <w:pStyle w:val="3"/>
        <w:shd w:val="clear"/>
        <w:rPr>
          <w:color w:val="000000" w:themeColor="text1"/>
          <w:highlight w:val="none"/>
          <w14:textFill>
            <w14:solidFill>
              <w14:schemeClr w14:val="tx1"/>
            </w14:solidFill>
          </w14:textFill>
        </w:rPr>
      </w:pPr>
    </w:p>
    <w:p>
      <w:pPr>
        <w:pStyle w:val="4"/>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pStyle w:val="53"/>
        <w:shd w:val="clear"/>
        <w:tabs>
          <w:tab w:val="left" w:pos="1050"/>
        </w:tabs>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附件12</w:t>
      </w:r>
    </w:p>
    <w:p>
      <w:pPr>
        <w:pStyle w:val="53"/>
        <w:shd w:val="clear"/>
        <w:tabs>
          <w:tab w:val="left" w:pos="1050"/>
        </w:tabs>
        <w:spacing w:line="360" w:lineRule="auto"/>
        <w:jc w:val="center"/>
        <w:rPr>
          <w:rFonts w:ascii="宋体" w:hAnsi="宋体"/>
          <w:b/>
          <w:color w:val="000000" w:themeColor="text1"/>
          <w:sz w:val="28"/>
          <w:highlight w:val="none"/>
          <w14:textFill>
            <w14:solidFill>
              <w14:schemeClr w14:val="tx1"/>
            </w14:solidFill>
          </w14:textFill>
        </w:rPr>
      </w:pPr>
      <w:bookmarkStart w:id="11" w:name="_Hlk68079667"/>
      <w:r>
        <w:rPr>
          <w:rFonts w:hint="eastAsia" w:ascii="宋体" w:hAnsi="宋体"/>
          <w:b/>
          <w:color w:val="000000" w:themeColor="text1"/>
          <w:sz w:val="32"/>
          <w:szCs w:val="32"/>
          <w:highlight w:val="none"/>
          <w14:textFill>
            <w14:solidFill>
              <w14:schemeClr w14:val="tx1"/>
            </w14:solidFill>
          </w14:textFill>
        </w:rPr>
        <w:t>特殊书目响应方案</w:t>
      </w:r>
      <w:bookmarkEnd w:id="11"/>
    </w:p>
    <w:p>
      <w:pPr>
        <w:pStyle w:val="53"/>
        <w:shd w:val="clear"/>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p>
    <w:tbl>
      <w:tblPr>
        <w:tblStyle w:val="26"/>
        <w:tblpPr w:leftFromText="180" w:rightFromText="180" w:vertAnchor="page" w:horzAnchor="margin" w:tblpY="3301"/>
        <w:tblW w:w="8755" w:type="dxa"/>
        <w:tblInd w:w="0" w:type="dxa"/>
        <w:tblLayout w:type="fixed"/>
        <w:tblCellMar>
          <w:top w:w="0" w:type="dxa"/>
          <w:left w:w="108" w:type="dxa"/>
          <w:bottom w:w="0" w:type="dxa"/>
          <w:right w:w="108" w:type="dxa"/>
        </w:tblCellMar>
      </w:tblPr>
      <w:tblGrid>
        <w:gridCol w:w="3227"/>
        <w:gridCol w:w="5528"/>
      </w:tblGrid>
      <w:tr>
        <w:trPr>
          <w:trHeight w:val="983" w:hRule="atLeast"/>
        </w:trPr>
        <w:tc>
          <w:tcPr>
            <w:tcW w:w="322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服务内容</w:t>
            </w:r>
          </w:p>
        </w:tc>
        <w:tc>
          <w:tcPr>
            <w:tcW w:w="5528" w:type="dxa"/>
            <w:tcBorders>
              <w:top w:val="single" w:color="auto" w:sz="4" w:space="0"/>
              <w:left w:val="nil"/>
              <w:bottom w:val="single" w:color="auto" w:sz="4" w:space="0"/>
              <w:right w:val="single" w:color="auto" w:sz="4" w:space="0"/>
            </w:tcBorders>
            <w:vAlign w:val="center"/>
          </w:tcPr>
          <w:p>
            <w:pPr>
              <w:shd w:val="clear"/>
              <w:spacing w:line="4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服务承诺</w:t>
            </w:r>
          </w:p>
        </w:tc>
      </w:tr>
      <w:tr>
        <w:tblPrEx>
          <w:tblCellMar>
            <w:top w:w="0" w:type="dxa"/>
            <w:left w:w="108" w:type="dxa"/>
            <w:bottom w:w="0" w:type="dxa"/>
            <w:right w:w="108" w:type="dxa"/>
          </w:tblCellMar>
        </w:tblPrEx>
        <w:trPr>
          <w:trHeight w:val="983" w:hRule="atLeast"/>
        </w:trPr>
        <w:tc>
          <w:tcPr>
            <w:tcW w:w="3227" w:type="dxa"/>
            <w:tcBorders>
              <w:top w:val="nil"/>
              <w:left w:val="single" w:color="auto" w:sz="4" w:space="0"/>
              <w:bottom w:val="single" w:color="auto" w:sz="4" w:space="0"/>
              <w:right w:val="single" w:color="auto" w:sz="4" w:space="0"/>
            </w:tcBorders>
            <w:vAlign w:val="center"/>
          </w:tcPr>
          <w:p>
            <w:pPr>
              <w:shd w:val="clea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最低到书率</w:t>
            </w:r>
          </w:p>
        </w:tc>
        <w:tc>
          <w:tcPr>
            <w:tcW w:w="5528" w:type="dxa"/>
            <w:tcBorders>
              <w:top w:val="nil"/>
              <w:left w:val="nil"/>
              <w:bottom w:val="single" w:color="auto" w:sz="4" w:space="0"/>
              <w:right w:val="single" w:color="auto" w:sz="4" w:space="0"/>
            </w:tcBorders>
            <w:vAlign w:val="center"/>
          </w:tcPr>
          <w:p>
            <w:pPr>
              <w:shd w:val="clear"/>
              <w:spacing w:line="400" w:lineRule="exact"/>
              <w:jc w:val="center"/>
              <w:rPr>
                <w:rFonts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w:t>
            </w:r>
          </w:p>
        </w:tc>
      </w:tr>
      <w:tr>
        <w:tblPrEx>
          <w:tblCellMar>
            <w:top w:w="0" w:type="dxa"/>
            <w:left w:w="108" w:type="dxa"/>
            <w:bottom w:w="0" w:type="dxa"/>
            <w:right w:w="108" w:type="dxa"/>
          </w:tblCellMar>
        </w:tblPrEx>
        <w:trPr>
          <w:trHeight w:val="852" w:hRule="atLeast"/>
        </w:trPr>
        <w:tc>
          <w:tcPr>
            <w:tcW w:w="3227" w:type="dxa"/>
            <w:tcBorders>
              <w:top w:val="nil"/>
              <w:left w:val="single" w:color="auto" w:sz="4" w:space="0"/>
              <w:bottom w:val="single" w:color="auto" w:sz="4" w:space="0"/>
              <w:right w:val="single" w:color="auto" w:sz="4" w:space="0"/>
            </w:tcBorders>
            <w:vAlign w:val="center"/>
          </w:tcPr>
          <w:p>
            <w:pPr>
              <w:shd w:val="clear"/>
              <w:spacing w:line="430" w:lineRule="exact"/>
              <w:jc w:val="center"/>
              <w:rPr>
                <w:rFonts w:ascii="宋体" w:hAnsi="宋体" w:cs="Arial"/>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订单反馈</w:t>
            </w:r>
          </w:p>
        </w:tc>
        <w:tc>
          <w:tcPr>
            <w:tcW w:w="5528" w:type="dxa"/>
            <w:tcBorders>
              <w:top w:val="nil"/>
              <w:left w:val="nil"/>
              <w:bottom w:val="single" w:color="auto" w:sz="4" w:space="0"/>
              <w:right w:val="single" w:color="auto" w:sz="4" w:space="0"/>
            </w:tcBorders>
            <w:vAlign w:val="center"/>
          </w:tcPr>
          <w:p>
            <w:pPr>
              <w:shd w:val="clear"/>
              <w:spacing w:line="400" w:lineRule="exact"/>
              <w:jc w:val="center"/>
              <w:rPr>
                <w:rFonts w:ascii="新宋体" w:hAnsi="新宋体" w:eastAsia="新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967" w:hRule="atLeast"/>
        </w:trPr>
        <w:tc>
          <w:tcPr>
            <w:tcW w:w="3227" w:type="dxa"/>
            <w:tcBorders>
              <w:top w:val="nil"/>
              <w:left w:val="single" w:color="auto" w:sz="4" w:space="0"/>
              <w:bottom w:val="single" w:color="auto" w:sz="4" w:space="0"/>
              <w:right w:val="single" w:color="auto" w:sz="4" w:space="0"/>
            </w:tcBorders>
            <w:vAlign w:val="center"/>
          </w:tcPr>
          <w:p>
            <w:pPr>
              <w:shd w:val="clear"/>
              <w:spacing w:line="400" w:lineRule="exact"/>
              <w:jc w:val="center"/>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缺货应对措施</w:t>
            </w:r>
          </w:p>
        </w:tc>
        <w:tc>
          <w:tcPr>
            <w:tcW w:w="5528" w:type="dxa"/>
            <w:tcBorders>
              <w:top w:val="nil"/>
              <w:left w:val="nil"/>
              <w:bottom w:val="single" w:color="auto" w:sz="4" w:space="0"/>
              <w:right w:val="single" w:color="auto" w:sz="4" w:space="0"/>
            </w:tcBorders>
            <w:vAlign w:val="center"/>
          </w:tcPr>
          <w:p>
            <w:pPr>
              <w:shd w:val="clear"/>
              <w:spacing w:line="400" w:lineRule="exact"/>
              <w:jc w:val="center"/>
              <w:rPr>
                <w:rFonts w:ascii="新宋体" w:hAnsi="新宋体" w:eastAsia="新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122" w:hRule="atLeast"/>
        </w:trPr>
        <w:tc>
          <w:tcPr>
            <w:tcW w:w="3227" w:type="dxa"/>
            <w:tcBorders>
              <w:top w:val="nil"/>
              <w:left w:val="single" w:color="auto" w:sz="4" w:space="0"/>
              <w:bottom w:val="single" w:color="auto" w:sz="4" w:space="0"/>
              <w:right w:val="single" w:color="auto" w:sz="4" w:space="0"/>
            </w:tcBorders>
            <w:vAlign w:val="center"/>
          </w:tcPr>
          <w:p>
            <w:pPr>
              <w:shd w:val="clea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配送周期、是否单独配送</w:t>
            </w:r>
          </w:p>
        </w:tc>
        <w:tc>
          <w:tcPr>
            <w:tcW w:w="5528" w:type="dxa"/>
            <w:tcBorders>
              <w:top w:val="nil"/>
              <w:left w:val="nil"/>
              <w:bottom w:val="single" w:color="auto" w:sz="4" w:space="0"/>
              <w:right w:val="single" w:color="auto" w:sz="4" w:space="0"/>
            </w:tcBorders>
            <w:vAlign w:val="center"/>
          </w:tcPr>
          <w:p>
            <w:pPr>
              <w:shd w:val="clear"/>
              <w:spacing w:line="400" w:lineRule="exact"/>
              <w:jc w:val="center"/>
              <w:rPr>
                <w:rFonts w:ascii="新宋体" w:hAnsi="新宋体" w:eastAsia="新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141" w:hRule="atLeast"/>
        </w:trPr>
        <w:tc>
          <w:tcPr>
            <w:tcW w:w="3227" w:type="dxa"/>
            <w:tcBorders>
              <w:top w:val="nil"/>
              <w:left w:val="single" w:color="auto" w:sz="4" w:space="0"/>
              <w:bottom w:val="single" w:color="auto" w:sz="4" w:space="0"/>
              <w:right w:val="single" w:color="auto" w:sz="4" w:space="0"/>
            </w:tcBorders>
            <w:vAlign w:val="center"/>
          </w:tcPr>
          <w:p>
            <w:pPr>
              <w:shd w:val="clea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特色服务承诺（如有）</w:t>
            </w:r>
          </w:p>
        </w:tc>
        <w:tc>
          <w:tcPr>
            <w:tcW w:w="5528" w:type="dxa"/>
            <w:tcBorders>
              <w:top w:val="nil"/>
              <w:left w:val="nil"/>
              <w:bottom w:val="single" w:color="auto" w:sz="4" w:space="0"/>
              <w:right w:val="single" w:color="auto" w:sz="4" w:space="0"/>
            </w:tcBorders>
            <w:vAlign w:val="center"/>
          </w:tcPr>
          <w:p>
            <w:pPr>
              <w:shd w:val="clear"/>
              <w:spacing w:line="400" w:lineRule="exact"/>
              <w:jc w:val="center"/>
              <w:rPr>
                <w:rFonts w:ascii="新宋体" w:hAnsi="新宋体" w:eastAsia="新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587" w:hRule="atLeast"/>
        </w:trPr>
        <w:tc>
          <w:tcPr>
            <w:tcW w:w="8755" w:type="dxa"/>
            <w:gridSpan w:val="2"/>
            <w:tcBorders>
              <w:top w:val="nil"/>
              <w:left w:val="single" w:color="auto" w:sz="4" w:space="0"/>
              <w:bottom w:val="single" w:color="auto" w:sz="4" w:space="0"/>
              <w:right w:val="single" w:color="auto" w:sz="4" w:space="0"/>
            </w:tcBorders>
            <w:vAlign w:val="center"/>
          </w:tcPr>
          <w:p>
            <w:pPr>
              <w:shd w:val="clear"/>
              <w:spacing w:line="430" w:lineRule="exact"/>
              <w:ind w:left="358" w:hanging="358" w:hangingChars="162"/>
              <w:rPr>
                <w:rFonts w:ascii="新宋体" w:hAnsi="新宋体" w:eastAsia="新宋体" w:cs="Arial"/>
                <w:color w:val="000000" w:themeColor="text1"/>
                <w:sz w:val="22"/>
                <w:szCs w:val="22"/>
                <w:highlight w:val="none"/>
                <w14:textFill>
                  <w14:solidFill>
                    <w14:schemeClr w14:val="tx1"/>
                  </w14:solidFill>
                </w14:textFill>
              </w:rPr>
            </w:pPr>
            <w:r>
              <w:rPr>
                <w:rFonts w:hint="eastAsia" w:ascii="新宋体" w:hAnsi="新宋体" w:eastAsia="新宋体" w:cs="Arial"/>
                <w:b/>
                <w:bCs/>
                <w:color w:val="000000" w:themeColor="text1"/>
                <w:sz w:val="22"/>
                <w:szCs w:val="22"/>
                <w:highlight w:val="none"/>
                <w14:textFill>
                  <w14:solidFill>
                    <w14:schemeClr w14:val="tx1"/>
                  </w14:solidFill>
                </w14:textFill>
              </w:rPr>
              <w:t>注：</w:t>
            </w:r>
            <w:r>
              <w:rPr>
                <w:rFonts w:hint="eastAsia" w:ascii="新宋体" w:hAnsi="新宋体" w:eastAsia="新宋体" w:cs="Arial"/>
                <w:color w:val="000000" w:themeColor="text1"/>
                <w:sz w:val="22"/>
                <w:szCs w:val="22"/>
                <w:highlight w:val="none"/>
                <w14:textFill>
                  <w14:solidFill>
                    <w14:schemeClr w14:val="tx1"/>
                  </w14:solidFill>
                </w14:textFill>
              </w:rPr>
              <w:t>本表格</w:t>
            </w:r>
            <w:r>
              <w:rPr>
                <w:rFonts w:ascii="新宋体" w:hAnsi="新宋体" w:eastAsia="新宋体" w:cs="Arial"/>
                <w:color w:val="000000" w:themeColor="text1"/>
                <w:sz w:val="22"/>
                <w:szCs w:val="22"/>
                <w:highlight w:val="none"/>
                <w14:textFill>
                  <w14:solidFill>
                    <w14:schemeClr w14:val="tx1"/>
                  </w14:solidFill>
                </w14:textFill>
              </w:rPr>
              <w:t>内容根据投标</w:t>
            </w:r>
            <w:r>
              <w:rPr>
                <w:rFonts w:hint="eastAsia" w:ascii="新宋体" w:hAnsi="新宋体" w:eastAsia="新宋体" w:cs="Arial"/>
                <w:color w:val="000000" w:themeColor="text1"/>
                <w:sz w:val="22"/>
                <w:szCs w:val="22"/>
                <w:highlight w:val="none"/>
                <w14:textFill>
                  <w14:solidFill>
                    <w14:schemeClr w14:val="tx1"/>
                  </w14:solidFill>
                </w14:textFill>
              </w:rPr>
              <w:t>供应商</w:t>
            </w:r>
            <w:r>
              <w:rPr>
                <w:rFonts w:ascii="新宋体" w:hAnsi="新宋体" w:eastAsia="新宋体" w:cs="Arial"/>
                <w:color w:val="000000" w:themeColor="text1"/>
                <w:sz w:val="22"/>
                <w:szCs w:val="22"/>
                <w:highlight w:val="none"/>
                <w14:textFill>
                  <w14:solidFill>
                    <w14:schemeClr w14:val="tx1"/>
                  </w14:solidFill>
                </w14:textFill>
              </w:rPr>
              <w:t>的实际情况，结合招标</w:t>
            </w:r>
            <w:r>
              <w:rPr>
                <w:rFonts w:hint="eastAsia" w:ascii="新宋体" w:hAnsi="新宋体" w:eastAsia="新宋体" w:cs="Arial"/>
                <w:color w:val="000000" w:themeColor="text1"/>
                <w:sz w:val="22"/>
                <w:szCs w:val="22"/>
                <w:highlight w:val="none"/>
                <w14:textFill>
                  <w14:solidFill>
                    <w14:schemeClr w14:val="tx1"/>
                  </w14:solidFill>
                </w14:textFill>
              </w:rPr>
              <w:t>文件</w:t>
            </w:r>
            <w:r>
              <w:rPr>
                <w:rFonts w:ascii="新宋体" w:hAnsi="新宋体" w:eastAsia="新宋体" w:cs="Arial"/>
                <w:color w:val="000000" w:themeColor="text1"/>
                <w:sz w:val="22"/>
                <w:szCs w:val="22"/>
                <w:highlight w:val="none"/>
                <w14:textFill>
                  <w14:solidFill>
                    <w14:schemeClr w14:val="tx1"/>
                  </w14:solidFill>
                </w14:textFill>
              </w:rPr>
              <w:t>评分标准，做出承诺，内容必须</w:t>
            </w:r>
            <w:r>
              <w:rPr>
                <w:rFonts w:hint="eastAsia" w:ascii="新宋体" w:hAnsi="新宋体" w:eastAsia="新宋体" w:cs="Arial"/>
                <w:color w:val="000000" w:themeColor="text1"/>
                <w:sz w:val="22"/>
                <w:szCs w:val="22"/>
                <w:highlight w:val="none"/>
                <w14:textFill>
                  <w14:solidFill>
                    <w14:schemeClr w14:val="tx1"/>
                  </w14:solidFill>
                </w14:textFill>
              </w:rPr>
              <w:t>明确</w:t>
            </w:r>
            <w:r>
              <w:rPr>
                <w:rFonts w:ascii="新宋体" w:hAnsi="新宋体" w:eastAsia="新宋体" w:cs="Arial"/>
                <w:color w:val="000000" w:themeColor="text1"/>
                <w:sz w:val="22"/>
                <w:szCs w:val="22"/>
                <w:highlight w:val="none"/>
                <w14:textFill>
                  <w14:solidFill>
                    <w14:schemeClr w14:val="tx1"/>
                  </w14:solidFill>
                </w14:textFill>
              </w:rPr>
              <w:t>详细</w:t>
            </w:r>
            <w:r>
              <w:rPr>
                <w:rFonts w:hint="eastAsia" w:ascii="新宋体" w:hAnsi="新宋体" w:eastAsia="新宋体" w:cs="Arial"/>
                <w:color w:val="000000" w:themeColor="text1"/>
                <w:sz w:val="22"/>
                <w:szCs w:val="22"/>
                <w:highlight w:val="none"/>
                <w14:textFill>
                  <w14:solidFill>
                    <w14:schemeClr w14:val="tx1"/>
                  </w14:solidFill>
                </w14:textFill>
              </w:rPr>
              <w:t>。</w:t>
            </w:r>
          </w:p>
          <w:p>
            <w:pPr>
              <w:shd w:val="clear"/>
              <w:spacing w:line="320" w:lineRule="exact"/>
              <w:rPr>
                <w:rFonts w:ascii="宋体" w:hAnsi="宋体"/>
                <w:color w:val="000000" w:themeColor="text1"/>
                <w:sz w:val="28"/>
                <w:szCs w:val="28"/>
                <w:highlight w:val="none"/>
                <w14:textFill>
                  <w14:solidFill>
                    <w14:schemeClr w14:val="tx1"/>
                  </w14:solidFill>
                </w14:textFill>
              </w:rPr>
            </w:pPr>
          </w:p>
          <w:p>
            <w:pPr>
              <w:shd w:val="clear"/>
              <w:spacing w:line="320" w:lineRule="exact"/>
              <w:jc w:val="center"/>
              <w:rPr>
                <w:rFonts w:ascii="宋体" w:hAnsi="宋体"/>
                <w:color w:val="000000" w:themeColor="text1"/>
                <w:sz w:val="28"/>
                <w:szCs w:val="28"/>
                <w:highlight w:val="none"/>
                <w14:textFill>
                  <w14:solidFill>
                    <w14:schemeClr w14:val="tx1"/>
                  </w14:solidFill>
                </w14:textFill>
              </w:rPr>
            </w:pPr>
          </w:p>
          <w:p>
            <w:pPr>
              <w:shd w:val="clear"/>
              <w:spacing w:line="600" w:lineRule="exact"/>
              <w:ind w:left="743" w:leftChars="354" w:firstLine="4320" w:firstLineChars="1800"/>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投标人名称（签电子公章）：</w:t>
            </w:r>
          </w:p>
          <w:p>
            <w:pPr>
              <w:shd w:val="clear"/>
              <w:spacing w:line="600" w:lineRule="exact"/>
              <w:ind w:left="743" w:leftChars="354" w:firstLine="4320" w:firstLineChars="1800"/>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授权委托代理人（</w:t>
            </w:r>
            <w:r>
              <w:rPr>
                <w:rFonts w:hint="eastAsia" w:ascii="宋体" w:hAnsi="宋体"/>
                <w:color w:val="000000" w:themeColor="text1"/>
                <w:sz w:val="24"/>
                <w:highlight w:val="none"/>
                <w14:textFill>
                  <w14:solidFill>
                    <w14:schemeClr w14:val="tx1"/>
                  </w14:solidFill>
                </w14:textFill>
              </w:rPr>
              <w:t>签章或签字</w:t>
            </w:r>
            <w:r>
              <w:rPr>
                <w:rFonts w:hint="eastAsia" w:ascii="新宋体" w:hAnsi="新宋体" w:eastAsia="新宋体"/>
                <w:color w:val="000000" w:themeColor="text1"/>
                <w:sz w:val="24"/>
                <w:highlight w:val="none"/>
                <w14:textFill>
                  <w14:solidFill>
                    <w14:schemeClr w14:val="tx1"/>
                  </w14:solidFill>
                </w14:textFill>
              </w:rPr>
              <w:t>）:</w:t>
            </w:r>
          </w:p>
          <w:p>
            <w:pPr>
              <w:shd w:val="clear"/>
              <w:spacing w:line="600" w:lineRule="exact"/>
              <w:ind w:left="743" w:leftChars="354" w:firstLine="4320" w:firstLineChars="1800"/>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日    期：     年    月   日</w:t>
            </w:r>
          </w:p>
          <w:p>
            <w:pPr>
              <w:shd w:val="clear"/>
              <w:spacing w:line="320" w:lineRule="exact"/>
              <w:ind w:firstLine="435"/>
              <w:jc w:val="center"/>
              <w:rPr>
                <w:rFonts w:ascii="宋体" w:hAnsi="宋体"/>
                <w:color w:val="000000" w:themeColor="text1"/>
                <w:sz w:val="28"/>
                <w:szCs w:val="28"/>
                <w:highlight w:val="none"/>
                <w14:textFill>
                  <w14:solidFill>
                    <w14:schemeClr w14:val="tx1"/>
                  </w14:solidFill>
                </w14:textFill>
              </w:rPr>
            </w:pPr>
          </w:p>
          <w:p>
            <w:pPr>
              <w:shd w:val="clear"/>
              <w:spacing w:line="320" w:lineRule="exact"/>
              <w:ind w:firstLine="435"/>
              <w:jc w:val="center"/>
              <w:rPr>
                <w:rFonts w:ascii="宋体" w:hAnsi="宋体"/>
                <w:color w:val="000000" w:themeColor="text1"/>
                <w:kern w:val="0"/>
                <w:sz w:val="24"/>
                <w:highlight w:val="none"/>
                <w14:textFill>
                  <w14:solidFill>
                    <w14:schemeClr w14:val="tx1"/>
                  </w14:solidFill>
                </w14:textFill>
              </w:rPr>
            </w:pPr>
          </w:p>
        </w:tc>
      </w:tr>
    </w:tbl>
    <w:p>
      <w:pPr>
        <w:shd w:val="clear"/>
        <w:spacing w:line="360" w:lineRule="auto"/>
        <w:rPr>
          <w:rFonts w:ascii="宋体" w:hAnsi="宋体"/>
          <w:b/>
          <w:color w:val="000000" w:themeColor="text1"/>
          <w:sz w:val="32"/>
          <w:szCs w:val="32"/>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360" w:lineRule="auto"/>
        <w:jc w:val="left"/>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ascii="宋体" w:hAnsi="宋体" w:cs="宋体"/>
          <w:b/>
          <w:bCs/>
          <w:color w:val="000000" w:themeColor="text1"/>
          <w:sz w:val="28"/>
          <w:szCs w:val="36"/>
          <w:highlight w:val="none"/>
          <w14:textFill>
            <w14:solidFill>
              <w14:schemeClr w14:val="tx1"/>
            </w14:solidFill>
          </w14:textFill>
        </w:rPr>
        <w:t>1</w:t>
      </w:r>
      <w:r>
        <w:rPr>
          <w:rFonts w:hint="eastAsia" w:ascii="宋体" w:hAnsi="宋体" w:cs="宋体"/>
          <w:b/>
          <w:bCs/>
          <w:color w:val="000000" w:themeColor="text1"/>
          <w:sz w:val="28"/>
          <w:szCs w:val="36"/>
          <w:highlight w:val="none"/>
          <w14:textFill>
            <w14:solidFill>
              <w14:schemeClr w14:val="tx1"/>
            </w14:solidFill>
          </w14:textFill>
        </w:rPr>
        <w:t>3</w:t>
      </w:r>
    </w:p>
    <w:p>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证书一览表</w:t>
      </w:r>
    </w:p>
    <w:p>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tbl>
      <w:tblPr>
        <w:tblStyle w:val="2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53"/>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证书名称</w:t>
            </w:r>
          </w:p>
        </w:tc>
        <w:tc>
          <w:tcPr>
            <w:tcW w:w="2258" w:type="dxa"/>
            <w:tcBorders>
              <w:top w:val="double" w:color="auto" w:sz="4" w:space="0"/>
            </w:tcBorders>
          </w:tcPr>
          <w:p>
            <w:pPr>
              <w:pStyle w:val="53"/>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发证单位</w:t>
            </w:r>
          </w:p>
        </w:tc>
        <w:tc>
          <w:tcPr>
            <w:tcW w:w="2260" w:type="dxa"/>
            <w:tcBorders>
              <w:top w:val="double" w:color="auto" w:sz="4" w:space="0"/>
            </w:tcBorders>
          </w:tcPr>
          <w:p>
            <w:pPr>
              <w:pStyle w:val="53"/>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证书等级</w:t>
            </w:r>
          </w:p>
        </w:tc>
        <w:tc>
          <w:tcPr>
            <w:tcW w:w="2047" w:type="dxa"/>
            <w:tcBorders>
              <w:top w:val="double" w:color="auto" w:sz="4" w:space="0"/>
              <w:right w:val="single" w:color="auto" w:sz="4" w:space="0"/>
            </w:tcBorders>
          </w:tcPr>
          <w:p>
            <w:pPr>
              <w:pStyle w:val="53"/>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Borders>
              <w:bottom w:val="doub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Borders>
              <w:bottom w:val="doub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bottom w:val="double" w:color="auto" w:sz="4" w:space="0"/>
              <w:right w:val="single" w:color="auto" w:sz="4" w:space="0"/>
            </w:tcBorders>
          </w:tcPr>
          <w:p>
            <w:pPr>
              <w:pStyle w:val="53"/>
              <w:shd w:val="clear"/>
              <w:spacing w:line="360" w:lineRule="auto"/>
              <w:jc w:val="center"/>
              <w:rPr>
                <w:rFonts w:ascii="宋体" w:hAnsi="宋体" w:cs="宋体"/>
                <w:color w:val="000000" w:themeColor="text1"/>
                <w:szCs w:val="21"/>
                <w:highlight w:val="none"/>
                <w14:textFill>
                  <w14:solidFill>
                    <w14:schemeClr w14:val="tx1"/>
                  </w14:solidFill>
                </w14:textFill>
              </w:rPr>
            </w:pPr>
          </w:p>
        </w:tc>
      </w:tr>
    </w:tbl>
    <w:p>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1.填写投标人获得资质、认证或企业信誉证书；</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2.附所列证书复印件或其他证明材料。</w:t>
      </w:r>
    </w:p>
    <w:p>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360" w:lineRule="auto"/>
        <w:rPr>
          <w:rFonts w:ascii="宋体" w:hAnsi="宋体" w:cs="宋体"/>
          <w:b/>
          <w:bCs/>
          <w:color w:val="000000" w:themeColor="text1"/>
          <w:sz w:val="24"/>
          <w:highlight w:val="none"/>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p>
    <w:p>
      <w:pPr>
        <w:shd w:val="clear"/>
        <w:spacing w:line="360" w:lineRule="auto"/>
        <w:jc w:val="left"/>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ascii="宋体" w:hAnsi="宋体" w:cs="宋体"/>
          <w:b/>
          <w:bCs/>
          <w:color w:val="000000" w:themeColor="text1"/>
          <w:sz w:val="28"/>
          <w:szCs w:val="36"/>
          <w:highlight w:val="none"/>
          <w14:textFill>
            <w14:solidFill>
              <w14:schemeClr w14:val="tx1"/>
            </w14:solidFill>
          </w14:textFill>
        </w:rPr>
        <w:t>1</w:t>
      </w:r>
      <w:r>
        <w:rPr>
          <w:rFonts w:hint="eastAsia" w:ascii="宋体" w:hAnsi="宋体" w:cs="宋体"/>
          <w:b/>
          <w:bCs/>
          <w:color w:val="000000" w:themeColor="text1"/>
          <w:sz w:val="28"/>
          <w:szCs w:val="36"/>
          <w:highlight w:val="none"/>
          <w14:textFill>
            <w14:solidFill>
              <w14:schemeClr w14:val="tx1"/>
            </w14:solidFill>
          </w14:textFill>
        </w:rPr>
        <w:t>4</w:t>
      </w:r>
    </w:p>
    <w:p>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投标人类似项目实施情况一览表</w:t>
      </w:r>
    </w:p>
    <w:p>
      <w:pPr>
        <w:shd w:val="clear"/>
        <w:spacing w:line="360" w:lineRule="auto"/>
        <w:rPr>
          <w:rFonts w:ascii="宋体" w:hAnsi="宋体" w:cs="宋体"/>
          <w:b/>
          <w:bCs/>
          <w:color w:val="000000" w:themeColor="text1"/>
          <w:sz w:val="24"/>
          <w:highlight w:val="none"/>
          <w14:textFill>
            <w14:solidFill>
              <w14:schemeClr w14:val="tx1"/>
            </w14:solidFill>
          </w14:textFill>
        </w:rPr>
      </w:pPr>
    </w:p>
    <w:tbl>
      <w:tblPr>
        <w:tblStyle w:val="2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2"/>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2"/>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2"/>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2"/>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2"/>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2"/>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2"/>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52"/>
              <w:shd w:val="clear"/>
              <w:spacing w:line="360" w:lineRule="auto"/>
              <w:rPr>
                <w:rFonts w:ascii="宋体" w:hAnsi="宋体" w:cs="宋体"/>
                <w:color w:val="000000" w:themeColor="text1"/>
                <w:sz w:val="24"/>
                <w:highlight w:val="none"/>
                <w14:textFill>
                  <w14:solidFill>
                    <w14:schemeClr w14:val="tx1"/>
                  </w14:solidFill>
                </w14:textFill>
              </w:rPr>
            </w:pPr>
          </w:p>
        </w:tc>
      </w:tr>
    </w:tbl>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1.业绩证明应提供证明材料（合同复印件可只提供首页、含金额页、盖章页并加盖投标人公章）；</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2.报价供应商可按此表格式复制。</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hd w:val="clear"/>
        <w:spacing w:line="360" w:lineRule="auto"/>
        <w:rPr>
          <w:rFonts w:ascii="宋体" w:hAnsi="宋体" w:cs="宋体"/>
          <w:color w:val="000000" w:themeColor="text1"/>
          <w:sz w:val="24"/>
          <w:highlight w:val="none"/>
          <w14:textFill>
            <w14:solidFill>
              <w14:schemeClr w14:val="tx1"/>
            </w14:solidFill>
          </w14:textFill>
        </w:rPr>
      </w:pPr>
    </w:p>
    <w:p>
      <w:pPr>
        <w:pStyle w:val="2"/>
        <w:shd w:val="clear"/>
        <w:rPr>
          <w:color w:val="000000" w:themeColor="text1"/>
          <w:highlight w:val="none"/>
          <w14:textFill>
            <w14:solidFill>
              <w14:schemeClr w14:val="tx1"/>
            </w14:solidFill>
          </w14:textFill>
        </w:rPr>
      </w:pPr>
    </w:p>
    <w:p>
      <w:pPr>
        <w:shd w:val="clear"/>
        <w:spacing w:line="360" w:lineRule="auto"/>
        <w:jc w:val="left"/>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附件1</w:t>
      </w:r>
      <w:r>
        <w:rPr>
          <w:rFonts w:hint="eastAsia" w:ascii="宋体" w:hAnsi="宋体" w:cs="宋体"/>
          <w:b/>
          <w:bCs/>
          <w:color w:val="000000" w:themeColor="text1"/>
          <w:sz w:val="28"/>
          <w:szCs w:val="36"/>
          <w:highlight w:val="none"/>
          <w14:textFill>
            <w14:solidFill>
              <w14:schemeClr w14:val="tx1"/>
            </w14:solidFill>
          </w14:textFill>
        </w:rPr>
        <w:t>5</w:t>
      </w:r>
    </w:p>
    <w:p>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资信及商务需求响应表</w:t>
      </w:r>
    </w:p>
    <w:p>
      <w:pPr>
        <w:shd w:val="clear"/>
        <w:spacing w:line="360" w:lineRule="auto"/>
        <w:rPr>
          <w:rFonts w:ascii="宋体" w:hAnsi="宋体" w:cs="宋体"/>
          <w:b/>
          <w:color w:val="000000" w:themeColor="text1"/>
          <w:sz w:val="24"/>
          <w:highlight w:val="none"/>
          <w14:textFill>
            <w14:solidFill>
              <w14:schemeClr w14:val="tx1"/>
            </w14:solidFill>
          </w14:textFill>
        </w:rPr>
      </w:pP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hd w:val="clea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785" w:type="dxa"/>
            <w:vAlign w:val="center"/>
          </w:tcPr>
          <w:p>
            <w:pPr>
              <w:shd w:val="clea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1785" w:type="dxa"/>
            <w:vAlign w:val="center"/>
          </w:tcPr>
          <w:p>
            <w:pPr>
              <w:shd w:val="clea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招标需求</w:t>
            </w:r>
          </w:p>
        </w:tc>
        <w:tc>
          <w:tcPr>
            <w:tcW w:w="1365" w:type="dxa"/>
            <w:vAlign w:val="center"/>
          </w:tcPr>
          <w:p>
            <w:pPr>
              <w:shd w:val="clear"/>
              <w:ind w:left="15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是否响应</w:t>
            </w:r>
          </w:p>
        </w:tc>
        <w:tc>
          <w:tcPr>
            <w:tcW w:w="2625" w:type="dxa"/>
            <w:vAlign w:val="center"/>
          </w:tcPr>
          <w:p>
            <w:pPr>
              <w:shd w:val="clea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785" w:type="dxa"/>
            <w:vAlign w:val="center"/>
          </w:tcPr>
          <w:p>
            <w:pPr>
              <w:shd w:val="clea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售后服务保障要求</w:t>
            </w:r>
          </w:p>
        </w:tc>
        <w:tc>
          <w:tcPr>
            <w:tcW w:w="178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36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262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785" w:type="dxa"/>
            <w:vAlign w:val="center"/>
          </w:tcPr>
          <w:p>
            <w:pPr>
              <w:shd w:val="clea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质保期</w:t>
            </w:r>
          </w:p>
        </w:tc>
        <w:tc>
          <w:tcPr>
            <w:tcW w:w="178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36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262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785" w:type="dxa"/>
            <w:vAlign w:val="center"/>
          </w:tcPr>
          <w:p>
            <w:pPr>
              <w:shd w:val="clea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交货和服务</w:t>
            </w:r>
          </w:p>
          <w:p>
            <w:pPr>
              <w:shd w:val="clea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时间及地点</w:t>
            </w:r>
          </w:p>
        </w:tc>
        <w:tc>
          <w:tcPr>
            <w:tcW w:w="178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36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262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785" w:type="dxa"/>
            <w:vAlign w:val="center"/>
          </w:tcPr>
          <w:p>
            <w:pPr>
              <w:shd w:val="clea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付款条件</w:t>
            </w:r>
          </w:p>
        </w:tc>
        <w:tc>
          <w:tcPr>
            <w:tcW w:w="178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36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262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785" w:type="dxa"/>
            <w:vAlign w:val="center"/>
          </w:tcPr>
          <w:p>
            <w:pPr>
              <w:shd w:val="clea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8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36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262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785" w:type="dxa"/>
            <w:vAlign w:val="center"/>
          </w:tcPr>
          <w:p>
            <w:pPr>
              <w:shd w:val="clear"/>
              <w:snapToGrid w:val="0"/>
              <w:jc w:val="center"/>
              <w:rPr>
                <w:rFonts w:ascii="宋体" w:hAnsi="宋体" w:cs="宋体"/>
                <w:color w:val="000000" w:themeColor="text1"/>
                <w:sz w:val="24"/>
                <w:highlight w:val="none"/>
                <w14:textFill>
                  <w14:solidFill>
                    <w14:schemeClr w14:val="tx1"/>
                  </w14:solidFill>
                </w14:textFill>
              </w:rPr>
            </w:pPr>
          </w:p>
        </w:tc>
        <w:tc>
          <w:tcPr>
            <w:tcW w:w="178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36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262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785" w:type="dxa"/>
            <w:vAlign w:val="center"/>
          </w:tcPr>
          <w:p>
            <w:pPr>
              <w:shd w:val="clear"/>
              <w:snapToGrid w:val="0"/>
              <w:jc w:val="center"/>
              <w:rPr>
                <w:rFonts w:ascii="宋体" w:hAnsi="宋体" w:cs="宋体"/>
                <w:color w:val="000000" w:themeColor="text1"/>
                <w:sz w:val="24"/>
                <w:highlight w:val="none"/>
                <w14:textFill>
                  <w14:solidFill>
                    <w14:schemeClr w14:val="tx1"/>
                  </w14:solidFill>
                </w14:textFill>
              </w:rPr>
            </w:pPr>
          </w:p>
        </w:tc>
        <w:tc>
          <w:tcPr>
            <w:tcW w:w="178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36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262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785" w:type="dxa"/>
            <w:vAlign w:val="center"/>
          </w:tcPr>
          <w:p>
            <w:pPr>
              <w:shd w:val="clear"/>
              <w:snapToGrid w:val="0"/>
              <w:jc w:val="center"/>
              <w:rPr>
                <w:rFonts w:ascii="宋体" w:hAnsi="宋体" w:cs="宋体"/>
                <w:color w:val="000000" w:themeColor="text1"/>
                <w:sz w:val="24"/>
                <w:highlight w:val="none"/>
                <w14:textFill>
                  <w14:solidFill>
                    <w14:schemeClr w14:val="tx1"/>
                  </w14:solidFill>
                </w14:textFill>
              </w:rPr>
            </w:pPr>
          </w:p>
        </w:tc>
        <w:tc>
          <w:tcPr>
            <w:tcW w:w="178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136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c>
          <w:tcPr>
            <w:tcW w:w="2625" w:type="dxa"/>
            <w:vAlign w:val="center"/>
          </w:tcPr>
          <w:p>
            <w:pPr>
              <w:shd w:val="clear"/>
              <w:jc w:val="center"/>
              <w:rPr>
                <w:rFonts w:ascii="宋体" w:hAnsi="宋体" w:cs="宋体"/>
                <w:color w:val="000000" w:themeColor="text1"/>
                <w:sz w:val="24"/>
                <w:highlight w:val="none"/>
                <w14:textFill>
                  <w14:solidFill>
                    <w14:schemeClr w14:val="tx1"/>
                  </w14:solidFill>
                </w14:textFill>
              </w:rPr>
            </w:pPr>
          </w:p>
        </w:tc>
      </w:tr>
    </w:tbl>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spacing w:line="360" w:lineRule="auto"/>
        <w:rPr>
          <w:rFonts w:ascii="宋体" w:hAnsi="宋体" w:cs="宋体"/>
          <w:b/>
          <w:color w:val="000000" w:themeColor="text1"/>
          <w:sz w:val="24"/>
          <w:highlight w:val="none"/>
          <w14:textFill>
            <w14:solidFill>
              <w14:schemeClr w14:val="tx1"/>
            </w14:solidFill>
          </w14:textFill>
        </w:rPr>
      </w:pPr>
    </w:p>
    <w:p>
      <w:pPr>
        <w:shd w:val="clear"/>
        <w:tabs>
          <w:tab w:val="left" w:pos="2460"/>
        </w:tabs>
        <w:spacing w:line="36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附件16</w:t>
      </w:r>
    </w:p>
    <w:p>
      <w:pPr>
        <w:shd w:val="clear"/>
        <w:spacing w:line="360" w:lineRule="auto"/>
        <w:ind w:left="549" w:hanging="549" w:hangingChars="171"/>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距采购人最近的服务网点情况表</w:t>
      </w:r>
    </w:p>
    <w:tbl>
      <w:tblPr>
        <w:tblStyle w:val="26"/>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220"/>
        <w:gridCol w:w="285"/>
        <w:gridCol w:w="1500"/>
        <w:gridCol w:w="60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服务网点名称</w:t>
            </w:r>
          </w:p>
        </w:tc>
        <w:tc>
          <w:tcPr>
            <w:tcW w:w="6873" w:type="dxa"/>
            <w:gridSpan w:val="5"/>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tc>
        <w:tc>
          <w:tcPr>
            <w:tcW w:w="6873" w:type="dxa"/>
            <w:gridSpan w:val="5"/>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注册资本金</w:t>
            </w:r>
          </w:p>
        </w:tc>
        <w:tc>
          <w:tcPr>
            <w:tcW w:w="2220" w:type="dxa"/>
            <w:tcBorders>
              <w:right w:val="single" w:color="auto" w:sz="4" w:space="0"/>
            </w:tcBorders>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385" w:type="dxa"/>
            <w:gridSpan w:val="3"/>
            <w:tcBorders>
              <w:left w:val="single" w:color="auto" w:sz="4" w:space="0"/>
              <w:right w:val="single" w:color="auto" w:sz="4" w:space="0"/>
            </w:tcBorders>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其中投标人出资比例</w:t>
            </w:r>
          </w:p>
        </w:tc>
        <w:tc>
          <w:tcPr>
            <w:tcW w:w="2268" w:type="dxa"/>
            <w:tcBorders>
              <w:left w:val="single" w:color="auto" w:sz="4" w:space="0"/>
            </w:tcBorders>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员工总人数</w:t>
            </w:r>
          </w:p>
        </w:tc>
        <w:tc>
          <w:tcPr>
            <w:tcW w:w="2220" w:type="dxa"/>
            <w:tcBorders>
              <w:right w:val="single" w:color="auto" w:sz="4" w:space="0"/>
            </w:tcBorders>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385" w:type="dxa"/>
            <w:gridSpan w:val="3"/>
            <w:tcBorders>
              <w:left w:val="single" w:color="auto" w:sz="4" w:space="0"/>
              <w:right w:val="single" w:color="auto" w:sz="4" w:space="0"/>
            </w:tcBorders>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其中：技术人员数</w:t>
            </w:r>
          </w:p>
        </w:tc>
        <w:tc>
          <w:tcPr>
            <w:tcW w:w="2268" w:type="dxa"/>
            <w:tcBorders>
              <w:left w:val="single" w:color="auto" w:sz="4" w:space="0"/>
            </w:tcBorders>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经营期限</w:t>
            </w:r>
          </w:p>
        </w:tc>
        <w:tc>
          <w:tcPr>
            <w:tcW w:w="6873" w:type="dxa"/>
            <w:gridSpan w:val="5"/>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售后服务协议</w:t>
            </w:r>
          </w:p>
        </w:tc>
        <w:tc>
          <w:tcPr>
            <w:tcW w:w="6873" w:type="dxa"/>
            <w:gridSpan w:val="5"/>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售后服务内容</w:t>
            </w:r>
          </w:p>
        </w:tc>
        <w:tc>
          <w:tcPr>
            <w:tcW w:w="6873" w:type="dxa"/>
            <w:gridSpan w:val="5"/>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工作业绩</w:t>
            </w:r>
          </w:p>
        </w:tc>
        <w:tc>
          <w:tcPr>
            <w:tcW w:w="6873" w:type="dxa"/>
            <w:gridSpan w:val="5"/>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服务承诺</w:t>
            </w:r>
          </w:p>
        </w:tc>
        <w:tc>
          <w:tcPr>
            <w:tcW w:w="6873" w:type="dxa"/>
            <w:gridSpan w:val="5"/>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业务咨询电话</w:t>
            </w:r>
          </w:p>
        </w:tc>
        <w:tc>
          <w:tcPr>
            <w:tcW w:w="2505" w:type="dxa"/>
            <w:gridSpan w:val="2"/>
            <w:tcBorders>
              <w:right w:val="single" w:color="auto" w:sz="4" w:space="0"/>
            </w:tcBorders>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500" w:type="dxa"/>
            <w:tcBorders>
              <w:left w:val="single" w:color="auto" w:sz="4" w:space="0"/>
              <w:right w:val="single" w:color="auto" w:sz="4" w:space="0"/>
            </w:tcBorders>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tc>
        <w:tc>
          <w:tcPr>
            <w:tcW w:w="2868" w:type="dxa"/>
            <w:gridSpan w:val="2"/>
            <w:tcBorders>
              <w:left w:val="single" w:color="auto" w:sz="4" w:space="0"/>
            </w:tcBorders>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负责人</w:t>
            </w:r>
          </w:p>
        </w:tc>
        <w:tc>
          <w:tcPr>
            <w:tcW w:w="2505" w:type="dxa"/>
            <w:gridSpan w:val="2"/>
            <w:tcBorders>
              <w:right w:val="single" w:color="auto" w:sz="4" w:space="0"/>
            </w:tcBorders>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500" w:type="dxa"/>
            <w:tcBorders>
              <w:left w:val="single" w:color="auto" w:sz="4" w:space="0"/>
              <w:right w:val="single" w:color="auto" w:sz="4" w:space="0"/>
            </w:tcBorders>
            <w:vAlign w:val="center"/>
          </w:tcPr>
          <w:p>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c>
          <w:tcPr>
            <w:tcW w:w="2868" w:type="dxa"/>
            <w:gridSpan w:val="2"/>
            <w:tcBorders>
              <w:left w:val="single" w:color="auto" w:sz="4" w:space="0"/>
            </w:tcBorders>
            <w:vAlign w:val="center"/>
          </w:tcPr>
          <w:p>
            <w:pPr>
              <w:shd w:val="clear"/>
              <w:spacing w:line="360" w:lineRule="auto"/>
              <w:rPr>
                <w:rFonts w:ascii="宋体" w:hAnsi="宋体" w:cs="宋体"/>
                <w:color w:val="000000" w:themeColor="text1"/>
                <w:sz w:val="24"/>
                <w:highlight w:val="none"/>
                <w14:textFill>
                  <w14:solidFill>
                    <w14:schemeClr w14:val="tx1"/>
                  </w14:solidFill>
                </w14:textFill>
              </w:rPr>
            </w:pPr>
          </w:p>
        </w:tc>
      </w:tr>
    </w:tbl>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rPr>
          <w:rFonts w:ascii="宋体" w:hAnsi="宋体" w:cs="宋体"/>
          <w:b/>
          <w:bCs/>
          <w:color w:val="000000" w:themeColor="text1"/>
          <w:sz w:val="28"/>
          <w:szCs w:val="36"/>
          <w:highlight w:val="none"/>
          <w14:textFill>
            <w14:solidFill>
              <w14:schemeClr w14:val="tx1"/>
            </w14:solidFill>
          </w14:textFill>
        </w:rPr>
      </w:pPr>
    </w:p>
    <w:p>
      <w:pPr>
        <w:shd w:val="clear"/>
        <w:rPr>
          <w:rFonts w:ascii="宋体" w:hAnsi="宋体" w:cs="宋体"/>
          <w:b/>
          <w:bCs/>
          <w:color w:val="000000" w:themeColor="text1"/>
          <w:sz w:val="28"/>
          <w:szCs w:val="36"/>
          <w:highlight w:val="none"/>
          <w14:textFill>
            <w14:solidFill>
              <w14:schemeClr w14:val="tx1"/>
            </w14:solidFill>
          </w14:textFill>
        </w:rPr>
      </w:pPr>
    </w:p>
    <w:p>
      <w:pPr>
        <w:pStyle w:val="2"/>
        <w:shd w:val="clear"/>
        <w:rPr>
          <w:color w:val="000000" w:themeColor="text1"/>
          <w:highlight w:val="none"/>
          <w14:textFill>
            <w14:solidFill>
              <w14:schemeClr w14:val="tx1"/>
            </w14:solidFill>
          </w14:textFill>
        </w:rPr>
      </w:pPr>
    </w:p>
    <w:p>
      <w:pPr>
        <w:pStyle w:val="3"/>
        <w:shd w:val="clear"/>
        <w:rPr>
          <w:color w:val="000000" w:themeColor="text1"/>
          <w:highlight w:val="none"/>
          <w14:textFill>
            <w14:solidFill>
              <w14:schemeClr w14:val="tx1"/>
            </w14:solidFill>
          </w14:textFill>
        </w:rPr>
      </w:pPr>
    </w:p>
    <w:p>
      <w:pPr>
        <w:pStyle w:val="4"/>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pStyle w:val="2"/>
        <w:shd w:val="clear"/>
        <w:rPr>
          <w:color w:val="000000" w:themeColor="text1"/>
          <w:highlight w:val="none"/>
          <w14:textFill>
            <w14:solidFill>
              <w14:schemeClr w14:val="tx1"/>
            </w14:solidFill>
          </w14:textFill>
        </w:rPr>
      </w:pPr>
    </w:p>
    <w:p>
      <w:pPr>
        <w:pStyle w:val="3"/>
        <w:shd w:val="clear"/>
        <w:rPr>
          <w:color w:val="000000" w:themeColor="text1"/>
          <w:highlight w:val="none"/>
          <w14:textFill>
            <w14:solidFill>
              <w14:schemeClr w14:val="tx1"/>
            </w14:solidFill>
          </w14:textFill>
        </w:rPr>
      </w:pPr>
    </w:p>
    <w:p>
      <w:pPr>
        <w:shd w:val="clear"/>
        <w:snapToGrid w:val="0"/>
        <w:spacing w:before="158" w:beforeLines="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附件17</w:t>
      </w:r>
    </w:p>
    <w:p>
      <w:pPr>
        <w:shd w:val="clear"/>
        <w:spacing w:line="360" w:lineRule="atLeast"/>
        <w:jc w:val="center"/>
        <w:rPr>
          <w:rFonts w:ascii="仿宋" w:hAnsi="仿宋" w:eastAsia="仿宋" w:cs="仿宋_GB2312"/>
          <w:color w:val="000000" w:themeColor="text1"/>
          <w:sz w:val="36"/>
          <w:szCs w:val="36"/>
          <w:highlight w:val="none"/>
          <w14:textFill>
            <w14:solidFill>
              <w14:schemeClr w14:val="tx1"/>
            </w14:solidFill>
          </w14:textFill>
        </w:rPr>
      </w:pPr>
      <w:r>
        <w:rPr>
          <w:rFonts w:hint="eastAsia" w:ascii="仿宋" w:hAnsi="仿宋" w:eastAsia="仿宋" w:cs="仿宋_GB2312"/>
          <w:color w:val="000000" w:themeColor="text1"/>
          <w:sz w:val="36"/>
          <w:szCs w:val="36"/>
          <w:highlight w:val="none"/>
          <w14:textFill>
            <w14:solidFill>
              <w14:schemeClr w14:val="tx1"/>
            </w14:solidFill>
          </w14:textFill>
        </w:rPr>
        <w:t>商务与技术评测索引表</w:t>
      </w:r>
    </w:p>
    <w:tbl>
      <w:tblPr>
        <w:tblStyle w:val="26"/>
        <w:tblpPr w:leftFromText="180" w:rightFromText="180" w:vertAnchor="text" w:horzAnchor="margin" w:tblpXSpec="center" w:tblpY="39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5082"/>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4" w:type="dxa"/>
            <w:vAlign w:val="center"/>
          </w:tcPr>
          <w:p>
            <w:pPr>
              <w:shd w:val="clear"/>
              <w:spacing w:line="360" w:lineRule="auto"/>
              <w:jc w:val="center"/>
              <w:rPr>
                <w:rFonts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评分项目</w:t>
            </w:r>
          </w:p>
        </w:tc>
        <w:tc>
          <w:tcPr>
            <w:tcW w:w="5082" w:type="dxa"/>
            <w:vAlign w:val="center"/>
          </w:tcPr>
          <w:p>
            <w:pPr>
              <w:shd w:val="clear"/>
              <w:spacing w:line="360" w:lineRule="auto"/>
              <w:jc w:val="center"/>
              <w:rPr>
                <w:rFonts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得分说明</w:t>
            </w:r>
          </w:p>
        </w:tc>
        <w:tc>
          <w:tcPr>
            <w:tcW w:w="1842" w:type="dxa"/>
            <w:vAlign w:val="center"/>
          </w:tcPr>
          <w:p>
            <w:pPr>
              <w:shd w:val="clear"/>
              <w:spacing w:line="360" w:lineRule="auto"/>
              <w:jc w:val="center"/>
              <w:rPr>
                <w:rFonts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5082" w:type="dxa"/>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1842" w:type="dxa"/>
            <w:vAlign w:val="center"/>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5082" w:type="dxa"/>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1842" w:type="dxa"/>
            <w:vAlign w:val="center"/>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5082"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5082"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5082"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5082"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5082"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5082"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5082" w:type="dxa"/>
            <w:tcBorders>
              <w:top w:val="single" w:color="auto" w:sz="4" w:space="0"/>
              <w:left w:val="single" w:color="auto" w:sz="4" w:space="0"/>
              <w:bottom w:val="single" w:color="auto" w:sz="4" w:space="0"/>
              <w:right w:val="single" w:color="auto" w:sz="4" w:space="0"/>
            </w:tcBorders>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bl>
    <w:p>
      <w:pPr>
        <w:shd w:val="clear"/>
        <w:snapToGrid w:val="0"/>
        <w:spacing w:before="50"/>
        <w:jc w:val="left"/>
        <w:rPr>
          <w:rFonts w:ascii="仿宋" w:hAnsi="仿宋" w:eastAsia="仿宋"/>
          <w:color w:val="000000" w:themeColor="text1"/>
          <w:sz w:val="36"/>
          <w:szCs w:val="36"/>
          <w:highlight w:val="none"/>
          <w14:textFill>
            <w14:solidFill>
              <w14:schemeClr w14:val="tx1"/>
            </w14:solidFill>
          </w14:textFill>
        </w:rPr>
      </w:pPr>
    </w:p>
    <w:p>
      <w:pPr>
        <w:shd w:val="clear"/>
        <w:spacing w:line="400" w:lineRule="exact"/>
        <w:jc w:val="righ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投标人名称（签电子公章）：</w:t>
      </w:r>
    </w:p>
    <w:p>
      <w:pPr>
        <w:shd w:val="clear"/>
        <w:spacing w:line="400" w:lineRule="exact"/>
        <w:jc w:val="righ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8"/>
          <w:szCs w:val="28"/>
          <w:highlight w:val="none"/>
          <w14:textFill>
            <w14:solidFill>
              <w14:schemeClr w14:val="tx1"/>
            </w14:solidFill>
          </w14:textFill>
        </w:rPr>
        <w:t>法定代表人或授权委托代理人(签章或签字)：</w:t>
      </w:r>
    </w:p>
    <w:p>
      <w:pPr>
        <w:shd w:val="clear"/>
        <w:spacing w:line="400" w:lineRule="exact"/>
        <w:jc w:val="righ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日    期：     年    月   日</w:t>
      </w:r>
    </w:p>
    <w:p>
      <w:pPr>
        <w:shd w:val="clear"/>
        <w:spacing w:line="400" w:lineRule="exact"/>
        <w:jc w:val="center"/>
        <w:rPr>
          <w:rFonts w:ascii="仿宋" w:hAnsi="仿宋" w:eastAsia="仿宋" w:cs="仿宋_GB2312"/>
          <w:color w:val="000000" w:themeColor="text1"/>
          <w:sz w:val="24"/>
          <w:highlight w:val="none"/>
          <w14:textFill>
            <w14:solidFill>
              <w14:schemeClr w14:val="tx1"/>
            </w14:solidFill>
          </w14:textFill>
        </w:rPr>
      </w:pPr>
    </w:p>
    <w:p>
      <w:pPr>
        <w:widowControl/>
        <w:shd w:val="clear"/>
        <w:jc w:val="left"/>
        <w:rPr>
          <w:rFonts w:ascii="宋体" w:hAnsi="宋体"/>
          <w:b/>
          <w:color w:val="000000" w:themeColor="text1"/>
          <w:sz w:val="28"/>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说明：本表结合本招标文件评分细则填制，投标人应在此表上对每项作出承诺或说明</w:t>
      </w:r>
    </w:p>
    <w:p>
      <w:pPr>
        <w:shd w:val="clear"/>
        <w:rPr>
          <w:rFonts w:ascii="宋体" w:hAnsi="宋体" w:cs="宋体"/>
          <w:b/>
          <w:bCs/>
          <w:color w:val="000000" w:themeColor="text1"/>
          <w:sz w:val="28"/>
          <w:szCs w:val="36"/>
          <w:highlight w:val="none"/>
          <w14:textFill>
            <w14:solidFill>
              <w14:schemeClr w14:val="tx1"/>
            </w14:solidFill>
          </w14:textFill>
        </w:rPr>
      </w:pPr>
    </w:p>
    <w:p>
      <w:pPr>
        <w:pStyle w:val="2"/>
        <w:shd w:val="clear"/>
        <w:rPr>
          <w:color w:val="000000" w:themeColor="text1"/>
          <w:highlight w:val="none"/>
          <w14:textFill>
            <w14:solidFill>
              <w14:schemeClr w14:val="tx1"/>
            </w14:solidFill>
          </w14:textFill>
        </w:rPr>
      </w:pPr>
    </w:p>
    <w:p>
      <w:pPr>
        <w:pStyle w:val="2"/>
        <w:shd w:val="clear"/>
        <w:rPr>
          <w:color w:val="000000" w:themeColor="text1"/>
          <w:highlight w:val="none"/>
          <w14:textFill>
            <w14:solidFill>
              <w14:schemeClr w14:val="tx1"/>
            </w14:solidFill>
          </w14:textFill>
        </w:rPr>
      </w:pPr>
    </w:p>
    <w:p>
      <w:pPr>
        <w:pStyle w:val="4"/>
        <w:shd w:val="clear"/>
        <w:rPr>
          <w:color w:val="000000" w:themeColor="text1"/>
          <w:highlight w:val="none"/>
          <w14:textFill>
            <w14:solidFill>
              <w14:schemeClr w14:val="tx1"/>
            </w14:solidFill>
          </w14:textFill>
        </w:rPr>
      </w:pPr>
    </w:p>
    <w:p>
      <w:pPr>
        <w:pStyle w:val="2"/>
        <w:shd w:val="clear"/>
        <w:rPr>
          <w:color w:val="000000" w:themeColor="text1"/>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附件18</w:t>
      </w:r>
    </w:p>
    <w:p>
      <w:pPr>
        <w:pStyle w:val="3"/>
        <w:shd w:val="clear"/>
        <w:rPr>
          <w:color w:val="000000" w:themeColor="text1"/>
          <w:highlight w:val="none"/>
          <w14:textFill>
            <w14:solidFill>
              <w14:schemeClr w14:val="tx1"/>
            </w14:solidFill>
          </w14:textFill>
        </w:rPr>
      </w:pPr>
    </w:p>
    <w:p>
      <w:pPr>
        <w:shd w:val="clear"/>
        <w:spacing w:line="440" w:lineRule="exact"/>
        <w:jc w:val="center"/>
        <w:rPr>
          <w:rFonts w:ascii="方正小标宋简体" w:hAnsi="宋体" w:eastAsia="方正小标宋简体" w:cs="Arial"/>
          <w:color w:val="000000" w:themeColor="text1"/>
          <w:sz w:val="44"/>
          <w:szCs w:val="44"/>
          <w:highlight w:val="none"/>
          <w14:textFill>
            <w14:solidFill>
              <w14:schemeClr w14:val="tx1"/>
            </w14:solidFill>
          </w14:textFill>
        </w:rPr>
      </w:pPr>
      <w:r>
        <w:rPr>
          <w:rFonts w:hint="eastAsia" w:ascii="方正小标宋简体" w:hAnsi="Arial" w:eastAsia="方正小标宋简体" w:cs="Arial"/>
          <w:color w:val="000000" w:themeColor="text1"/>
          <w:sz w:val="44"/>
          <w:szCs w:val="44"/>
          <w:highlight w:val="none"/>
          <w14:textFill>
            <w14:solidFill>
              <w14:schemeClr w14:val="tx1"/>
            </w14:solidFill>
          </w14:textFill>
        </w:rPr>
        <w:t>RFID</w:t>
      </w:r>
      <w:r>
        <w:rPr>
          <w:rFonts w:hint="eastAsia" w:ascii="方正小标宋简体" w:hAnsi="宋体" w:eastAsia="方正小标宋简体"/>
          <w:color w:val="000000" w:themeColor="text1"/>
          <w:sz w:val="44"/>
          <w:szCs w:val="44"/>
          <w:highlight w:val="none"/>
          <w14:textFill>
            <w14:solidFill>
              <w14:schemeClr w14:val="tx1"/>
            </w14:solidFill>
          </w14:textFill>
        </w:rPr>
        <w:t>图书电子标签</w:t>
      </w:r>
      <w:r>
        <w:rPr>
          <w:rFonts w:hint="eastAsia" w:ascii="方正小标宋简体" w:hAnsi="宋体" w:eastAsia="方正小标宋简体" w:cs="Arial"/>
          <w:color w:val="000000" w:themeColor="text1"/>
          <w:sz w:val="44"/>
          <w:szCs w:val="44"/>
          <w:highlight w:val="none"/>
          <w14:textFill>
            <w14:solidFill>
              <w14:schemeClr w14:val="tx1"/>
            </w14:solidFill>
          </w14:textFill>
        </w:rPr>
        <w:t>要求</w:t>
      </w:r>
    </w:p>
    <w:p>
      <w:pPr>
        <w:shd w:val="clear"/>
        <w:spacing w:line="440" w:lineRule="exact"/>
        <w:jc w:val="center"/>
        <w:rPr>
          <w:rFonts w:ascii="黑体" w:hAnsi="宋体" w:eastAsia="黑体" w:cs="Arial"/>
          <w:b/>
          <w:color w:val="000000" w:themeColor="text1"/>
          <w:sz w:val="32"/>
          <w:szCs w:val="32"/>
          <w:highlight w:val="none"/>
          <w14:textFill>
            <w14:solidFill>
              <w14:schemeClr w14:val="tx1"/>
            </w14:solidFill>
          </w14:textFill>
        </w:rPr>
      </w:pPr>
    </w:p>
    <w:p>
      <w:pPr>
        <w:pStyle w:val="19"/>
        <w:shd w:val="clear"/>
        <w:ind w:left="205" w:leftChars="3" w:hanging="199" w:hangingChars="95"/>
        <w:outlineLvl w:val="0"/>
        <w:rPr>
          <w:rFonts w:ascii="Arial" w:hAnsi="Arial" w:cs="Arial"/>
          <w:color w:val="000000" w:themeColor="text1"/>
          <w:szCs w:val="21"/>
          <w:highlight w:val="none"/>
          <w14:textFill>
            <w14:solidFill>
              <w14:schemeClr w14:val="tx1"/>
            </w14:solidFill>
          </w14:textFill>
        </w:rPr>
      </w:pPr>
    </w:p>
    <w:tbl>
      <w:tblPr>
        <w:tblStyle w:val="26"/>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shd w:val="clear" w:color="auto" w:fill="E6E6E6"/>
            <w:vAlign w:val="center"/>
          </w:tcPr>
          <w:p>
            <w:pPr>
              <w:shd w:val="clear"/>
              <w:jc w:val="center"/>
              <w:rPr>
                <w:rFonts w:ascii="宋体" w:hAnsi="宋体" w:cs="Arial"/>
                <w:b/>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类别</w:t>
            </w:r>
          </w:p>
        </w:tc>
        <w:tc>
          <w:tcPr>
            <w:tcW w:w="7381" w:type="dxa"/>
            <w:shd w:val="clear" w:color="auto" w:fill="E6E6E6"/>
            <w:vAlign w:val="center"/>
          </w:tcPr>
          <w:p>
            <w:pPr>
              <w:shd w:val="clear"/>
              <w:jc w:val="center"/>
              <w:rPr>
                <w:rFonts w:ascii="宋体" w:hAnsi="宋体" w:cs="Arial"/>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jc w:val="center"/>
        </w:trPr>
        <w:tc>
          <w:tcPr>
            <w:tcW w:w="1240" w:type="dxa"/>
            <w:vAlign w:val="center"/>
          </w:tcPr>
          <w:p>
            <w:pPr>
              <w:shd w:val="clear"/>
              <w:jc w:val="center"/>
              <w:rPr>
                <w:rFonts w:ascii="宋体" w:hAnsi="宋体" w:cs="Arial"/>
                <w:b/>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功能要求</w:t>
            </w:r>
          </w:p>
        </w:tc>
        <w:tc>
          <w:tcPr>
            <w:tcW w:w="7381" w:type="dxa"/>
            <w:vAlign w:val="center"/>
          </w:tcPr>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标签中有存储器，存储在其中的资料可重复读、写。</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标签可以非接触式地读取和写入，加快文献流通的处理速度。</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标签具有一定的抗冲突性，能保证多个标签地同时可靠识别。</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标签具有较高的安全性，防止存储在其中的信息被随意读取或改写。</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标签为无源标签，须符合国际相关行业标准，如ISO15693标准、ISO 18000-3标准等。</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具有不可改写的唯一序列号（UID）。</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采用倒装法封装(Flip-Chip)。</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标签的天线为铝或铜质天线，采用蚀刻法工艺制造。</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用户可自定义数据格式和内容，具有良好的扩展性。</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图书、光盘用标签采用AFI位作为防盗的安全标志方法，且AFI标志位必须可以由用户自由修改。</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标签固有频率误差频率达到ISO标准的要求。</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相关的RFID阅读产品设备，可在非常短的时间内读取存储在标签中的资料（实际工作环境，若以标签容量</w:t>
            </w:r>
            <w:r>
              <w:rPr>
                <w:rFonts w:hint="eastAsia" w:ascii="宋体" w:hAnsi="宋体" w:cs="Arial"/>
                <w:color w:val="000000" w:themeColor="text1"/>
                <w:szCs w:val="21"/>
                <w:highlight w:val="none"/>
                <w14:textFill>
                  <w14:solidFill>
                    <w14:schemeClr w14:val="tx1"/>
                  </w14:solidFill>
                </w14:textFill>
              </w:rPr>
              <w:t>1024</w:t>
            </w:r>
            <w:r>
              <w:rPr>
                <w:rFonts w:ascii="宋体" w:hAnsi="宋体" w:cs="Arial"/>
                <w:color w:val="000000" w:themeColor="text1"/>
                <w:szCs w:val="21"/>
                <w:highlight w:val="none"/>
                <w14:textFill>
                  <w14:solidFill>
                    <w14:schemeClr w14:val="tx1"/>
                  </w14:solidFill>
                </w14:textFill>
              </w:rPr>
              <w:t>bits为标准计算，每种工序中标签的读取速度都能达到0.1s之内）。</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带不干胶的、单片的标签，在粘贴到书籍时不需要再刷胶或者配粘纸，并粘贴后不易撕毁脱落，芯片数据保存时间可以保证10年，同时应保证采用中性粘胶对图书及其它介质黏贴表面无损害。另外使用PH值为6-8之间的中性背胶。</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图书标签为卷状包装，可以在电动或手动标签分配器中方便分配抽取。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1240" w:type="dxa"/>
            <w:vAlign w:val="center"/>
          </w:tcPr>
          <w:p>
            <w:pPr>
              <w:shd w:val="clear"/>
              <w:jc w:val="center"/>
              <w:rPr>
                <w:rFonts w:ascii="宋体" w:hAnsi="宋体" w:cs="Arial"/>
                <w:b/>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技术要求</w:t>
            </w:r>
          </w:p>
        </w:tc>
        <w:tc>
          <w:tcPr>
            <w:tcW w:w="7381" w:type="dxa"/>
            <w:vAlign w:val="center"/>
          </w:tcPr>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符合标准： 兼容RFID标准ISO 15693 、ISO 18000-3</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工作频率：</w:t>
            </w:r>
            <w:r>
              <w:rPr>
                <w:rFonts w:ascii="宋体" w:hAnsi="宋体" w:cs="Arial"/>
                <w:color w:val="000000" w:themeColor="text1"/>
                <w:szCs w:val="21"/>
                <w:highlight w:val="none"/>
                <w14:textFill>
                  <w14:solidFill>
                    <w14:schemeClr w14:val="tx1"/>
                  </w14:solidFill>
                </w14:textFill>
              </w:rPr>
              <w:tab/>
            </w:r>
            <w:r>
              <w:rPr>
                <w:rFonts w:ascii="宋体" w:hAnsi="宋体" w:cs="Arial"/>
                <w:color w:val="000000" w:themeColor="text1"/>
                <w:szCs w:val="21"/>
                <w:highlight w:val="none"/>
                <w14:textFill>
                  <w14:solidFill>
                    <w14:schemeClr w14:val="tx1"/>
                  </w14:solidFill>
                </w14:textFill>
              </w:rPr>
              <w:t>13.56 MHz</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有效使用寿命：≥10年</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内存容量： ≥</w:t>
            </w:r>
            <w:r>
              <w:rPr>
                <w:rFonts w:hint="eastAsia" w:ascii="宋体" w:hAnsi="宋体" w:cs="Arial"/>
                <w:color w:val="000000" w:themeColor="text1"/>
                <w:szCs w:val="21"/>
                <w:highlight w:val="none"/>
                <w14:textFill>
                  <w14:solidFill>
                    <w14:schemeClr w14:val="tx1"/>
                  </w14:solidFill>
                </w14:textFill>
              </w:rPr>
              <w:t>1024</w:t>
            </w:r>
            <w:r>
              <w:rPr>
                <w:rFonts w:ascii="宋体" w:hAnsi="宋体" w:cs="Arial"/>
                <w:color w:val="000000" w:themeColor="text1"/>
                <w:szCs w:val="21"/>
                <w:highlight w:val="none"/>
                <w14:textFill>
                  <w14:solidFill>
                    <w14:schemeClr w14:val="tx1"/>
                  </w14:solidFill>
                </w14:textFill>
              </w:rPr>
              <w:t>bits</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有效擦写次数：≥10万次</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环境温度范围：-20℃-75℃摄氏度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1240" w:type="dxa"/>
            <w:vAlign w:val="center"/>
          </w:tcPr>
          <w:p>
            <w:pPr>
              <w:shd w:val="clear"/>
              <w:jc w:val="center"/>
              <w:rPr>
                <w:rFonts w:ascii="宋体" w:hAnsi="宋体" w:cs="Arial"/>
                <w:b/>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服务要求</w:t>
            </w:r>
          </w:p>
        </w:tc>
        <w:tc>
          <w:tcPr>
            <w:tcW w:w="7381" w:type="dxa"/>
            <w:vAlign w:val="center"/>
          </w:tcPr>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标签中可存储一些基本信息，投标人应优化读取速度，提高处理的效率。</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供货方</w:t>
            </w:r>
            <w:r>
              <w:rPr>
                <w:rFonts w:ascii="宋体" w:hAnsi="宋体" w:cs="Arial"/>
                <w:color w:val="000000" w:themeColor="text1"/>
                <w:szCs w:val="21"/>
                <w:highlight w:val="none"/>
                <w14:textFill>
                  <w14:solidFill>
                    <w14:schemeClr w14:val="tx1"/>
                  </w14:solidFill>
                </w14:textFill>
              </w:rPr>
              <w:t>须提供标签的监测控制方案，用于监控标签的状态，当标签被阅读或识别时，可判断出流通资料是否可以被带出馆外。</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须提供日常的符合标准的该种标签的供应渠道，方便以后标签数量的扩充。</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供货方</w:t>
            </w:r>
            <w:r>
              <w:rPr>
                <w:rFonts w:ascii="宋体" w:hAnsi="宋体" w:cs="Arial"/>
                <w:color w:val="000000" w:themeColor="text1"/>
                <w:szCs w:val="21"/>
                <w:highlight w:val="none"/>
                <w14:textFill>
                  <w14:solidFill>
                    <w14:schemeClr w14:val="tx1"/>
                  </w14:solidFill>
                </w14:textFill>
              </w:rPr>
              <w:t>应负责在</w:t>
            </w:r>
            <w:r>
              <w:rPr>
                <w:rFonts w:hint="eastAsia" w:ascii="宋体" w:hAnsi="宋体" w:cs="Arial"/>
                <w:color w:val="000000" w:themeColor="text1"/>
                <w:szCs w:val="21"/>
                <w:highlight w:val="none"/>
                <w14:textFill>
                  <w14:solidFill>
                    <w14:schemeClr w14:val="tx1"/>
                  </w14:solidFill>
                </w14:textFill>
              </w:rPr>
              <w:t>10年</w:t>
            </w:r>
            <w:r>
              <w:rPr>
                <w:rFonts w:ascii="宋体" w:hAnsi="宋体" w:cs="Arial"/>
                <w:color w:val="000000" w:themeColor="text1"/>
                <w:szCs w:val="21"/>
                <w:highlight w:val="none"/>
                <w14:textFill>
                  <w14:solidFill>
                    <w14:schemeClr w14:val="tx1"/>
                  </w14:solidFill>
                </w14:textFill>
              </w:rPr>
              <w:t>保用期内对因质量问题不能正常使用的RFID标签提供免费更换。</w:t>
            </w:r>
          </w:p>
          <w:p>
            <w:pPr>
              <w:numPr>
                <w:ilvl w:val="0"/>
                <w:numId w:val="3"/>
              </w:numPr>
              <w:shd w:val="clea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供货方</w:t>
            </w:r>
            <w:r>
              <w:rPr>
                <w:rFonts w:ascii="宋体" w:hAnsi="宋体" w:cs="Arial"/>
                <w:color w:val="000000" w:themeColor="text1"/>
                <w:szCs w:val="21"/>
                <w:highlight w:val="none"/>
                <w14:textFill>
                  <w14:solidFill>
                    <w14:schemeClr w14:val="tx1"/>
                  </w14:solidFill>
                </w14:textFill>
              </w:rPr>
              <w:t>需提供原厂授权和质保证明，以及国内案例证明（合同为准）</w:t>
            </w:r>
          </w:p>
        </w:tc>
      </w:tr>
    </w:tbl>
    <w:p>
      <w:pPr>
        <w:shd w:val="clear"/>
        <w:rPr>
          <w:color w:val="000000" w:themeColor="text1"/>
          <w:highlight w:val="none"/>
          <w14:textFill>
            <w14:solidFill>
              <w14:schemeClr w14:val="tx1"/>
            </w14:solidFill>
          </w14:textFill>
        </w:rPr>
      </w:pPr>
    </w:p>
    <w:p>
      <w:pPr>
        <w:shd w:val="clea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本</w:t>
      </w:r>
    </w:p>
    <w:p>
      <w:pPr>
        <w:shd w:val="clear"/>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项目名称</w:t>
      </w:r>
    </w:p>
    <w:p>
      <w:pPr>
        <w:shd w:val="clear"/>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     （标 段）</w:t>
      </w:r>
    </w:p>
    <w:p>
      <w:pPr>
        <w:shd w:val="clear"/>
        <w:jc w:val="center"/>
        <w:rPr>
          <w:rFonts w:ascii="宋体" w:hAnsi="宋体" w:cs="宋体"/>
          <w:b/>
          <w:color w:val="000000" w:themeColor="text1"/>
          <w:spacing w:val="40"/>
          <w:sz w:val="84"/>
          <w:szCs w:val="84"/>
          <w:highlight w:val="none"/>
          <w14:textFill>
            <w14:solidFill>
              <w14:schemeClr w14:val="tx1"/>
            </w14:solidFill>
          </w14:textFill>
        </w:rPr>
      </w:pPr>
    </w:p>
    <w:p>
      <w:pPr>
        <w:shd w:val="clear"/>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报</w:t>
      </w:r>
    </w:p>
    <w:p>
      <w:pPr>
        <w:shd w:val="clear"/>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价</w:t>
      </w:r>
    </w:p>
    <w:p>
      <w:pPr>
        <w:shd w:val="clear"/>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文</w:t>
      </w:r>
    </w:p>
    <w:p>
      <w:pPr>
        <w:shd w:val="clear"/>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件</w:t>
      </w:r>
    </w:p>
    <w:p>
      <w:pPr>
        <w:shd w:val="clear"/>
        <w:jc w:val="center"/>
        <w:rPr>
          <w:rFonts w:ascii="宋体" w:hAnsi="宋体" w:cs="宋体"/>
          <w:color w:val="000000" w:themeColor="text1"/>
          <w:sz w:val="36"/>
          <w:szCs w:val="36"/>
          <w:highlight w:val="none"/>
          <w14:textFill>
            <w14:solidFill>
              <w14:schemeClr w14:val="tx1"/>
            </w14:solidFill>
          </w14:textFill>
        </w:rPr>
      </w:pPr>
    </w:p>
    <w:p>
      <w:pPr>
        <w:shd w:val="clear"/>
        <w:jc w:val="center"/>
        <w:rPr>
          <w:rFonts w:ascii="宋体" w:hAnsi="宋体" w:cs="宋体"/>
          <w:color w:val="000000" w:themeColor="text1"/>
          <w:sz w:val="36"/>
          <w:szCs w:val="36"/>
          <w:highlight w:val="none"/>
          <w14:textFill>
            <w14:solidFill>
              <w14:schemeClr w14:val="tx1"/>
            </w14:solidFill>
          </w14:textFill>
        </w:rPr>
      </w:pPr>
    </w:p>
    <w:p>
      <w:pPr>
        <w:shd w:val="clear"/>
        <w:spacing w:line="360" w:lineRule="auto"/>
        <w:ind w:right="532"/>
        <w:jc w:val="center"/>
        <w:rPr>
          <w:rFonts w:ascii="宋体" w:hAnsi="宋体" w:cs="宋体"/>
          <w:color w:val="000000" w:themeColor="text1"/>
          <w:sz w:val="36"/>
          <w:szCs w:val="36"/>
          <w:highlight w:val="none"/>
          <w14:textFill>
            <w14:solidFill>
              <w14:schemeClr w14:val="tx1"/>
            </w14:solidFill>
          </w14:textFill>
        </w:rPr>
      </w:pPr>
    </w:p>
    <w:p>
      <w:pPr>
        <w:shd w:val="clea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供应商全称（公章）：</w:t>
      </w:r>
    </w:p>
    <w:p>
      <w:pPr>
        <w:shd w:val="clea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pPr>
        <w:shd w:val="clea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报价文件目录</w:t>
      </w:r>
    </w:p>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360" w:lineRule="auto"/>
        <w:jc w:val="left"/>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1、开标一览表（附件19）；</w:t>
      </w:r>
    </w:p>
    <w:p>
      <w:pPr>
        <w:shd w:val="clear"/>
        <w:spacing w:line="360" w:lineRule="auto"/>
        <w:jc w:val="left"/>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2、针对报价投标人认为其他需要说明的；</w:t>
      </w:r>
    </w:p>
    <w:p>
      <w:pPr>
        <w:shd w:val="clear"/>
        <w:spacing w:line="360" w:lineRule="auto"/>
        <w:jc w:val="left"/>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3、中小企业声明函（附件20）；</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填表说明：</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1、标的设备分别由不同制造商制造的，请按序号填写齐全所有标的货物制造商的信息。</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2、从业人员、营业收入、资产总额填报上一年度数据，无上一年度数据的新成立企业可不填报。</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3、为了更加准确判定制造商是否为小微企业，请供应商根据工业和信息化部官方网站---中小企业规模类型自测小程序来辨别制造商企业规模类型，中小企业规模类型自测小程序链接网址为</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http://202.106.120.146/baosong/appweb/orgScale.html</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4、供应商未提供《中小企业声明函》的、《中小企业声明函》中内容应填写而未进行填写或未如实填写的，将不给予供应商小微企业报价优惠扣除。</w:t>
      </w:r>
    </w:p>
    <w:p>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预成交供应商享受小微企业报价优惠扣除的，将按规定公开预成交供应商的《中小企业声明函》。</w:t>
      </w:r>
    </w:p>
    <w:p>
      <w:pPr>
        <w:numPr>
          <w:ilvl w:val="0"/>
          <w:numId w:val="4"/>
        </w:num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如国家对中小企业划型标准有新的规定的，从其规定。 </w:t>
      </w: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color w:val="000000" w:themeColor="text1"/>
          <w:sz w:val="24"/>
          <w:szCs w:val="32"/>
          <w:highlight w:val="none"/>
          <w14:textFill>
            <w14:solidFill>
              <w14:schemeClr w14:val="tx1"/>
            </w14:solidFill>
          </w14:textFill>
        </w:rPr>
      </w:pPr>
    </w:p>
    <w:p>
      <w:pPr>
        <w:shd w:val="clear"/>
        <w:spacing w:line="360" w:lineRule="auto"/>
        <w:rPr>
          <w:rFonts w:ascii="宋体" w:hAnsi="宋体" w:cs="宋体"/>
          <w:b/>
          <w:color w:val="000000" w:themeColor="text1"/>
          <w:sz w:val="28"/>
          <w:highlight w:val="none"/>
          <w14:textFill>
            <w14:solidFill>
              <w14:schemeClr w14:val="tx1"/>
            </w14:solidFill>
          </w14:textFill>
        </w:rPr>
      </w:pPr>
    </w:p>
    <w:p>
      <w:pPr>
        <w:shd w:val="clear"/>
        <w:spacing w:line="36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附件19</w:t>
      </w:r>
    </w:p>
    <w:p>
      <w:pPr>
        <w:shd w:val="clear"/>
        <w:spacing w:line="360" w:lineRule="auto"/>
        <w:ind w:left="-2" w:hanging="2"/>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开标一览表 （标段：）</w:t>
      </w: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p>
    <w:p>
      <w:pPr>
        <w:shd w:val="clear"/>
        <w:spacing w:line="360" w:lineRule="auto"/>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项目编号：</w:t>
      </w:r>
    </w:p>
    <w:p>
      <w:pPr>
        <w:shd w:val="clear"/>
        <w:spacing w:line="360" w:lineRule="auto"/>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项目名称：</w:t>
      </w:r>
      <w:r>
        <w:rPr>
          <w:rFonts w:hint="eastAsia" w:ascii="宋体" w:hAnsi="宋体" w:cs="宋体"/>
          <w:color w:val="000000" w:themeColor="text1"/>
          <w:sz w:val="24"/>
          <w:szCs w:val="32"/>
          <w:highlight w:val="none"/>
          <w14:textFill>
            <w14:solidFill>
              <w14:schemeClr w14:val="tx1"/>
            </w14:solidFill>
          </w14:textFill>
        </w:rPr>
        <w:t xml:space="preserve">                                                [单位：%]</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投标折扣</w:t>
            </w:r>
          </w:p>
        </w:tc>
        <w:tc>
          <w:tcPr>
            <w:tcW w:w="1349" w:type="dxa"/>
            <w:vAlign w:val="center"/>
          </w:tcPr>
          <w:p>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p>
        </w:tc>
        <w:tc>
          <w:tcPr>
            <w:tcW w:w="4629" w:type="dxa"/>
            <w:vAlign w:val="center"/>
          </w:tcPr>
          <w:p>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shd w:val="clear"/>
              <w:rPr>
                <w:rFonts w:ascii="宋体" w:hAnsi="宋体" w:cs="宋体"/>
                <w:color w:val="000000" w:themeColor="text1"/>
                <w:sz w:val="24"/>
                <w:highlight w:val="none"/>
                <w14:textFill>
                  <w14:solidFill>
                    <w14:schemeClr w14:val="tx1"/>
                  </w14:solidFill>
                </w14:textFill>
              </w:rPr>
            </w:pPr>
          </w:p>
        </w:tc>
        <w:tc>
          <w:tcPr>
            <w:tcW w:w="1349" w:type="dxa"/>
            <w:vAlign w:val="center"/>
          </w:tcPr>
          <w:p>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p>
        </w:tc>
        <w:tc>
          <w:tcPr>
            <w:tcW w:w="4629" w:type="dxa"/>
            <w:vAlign w:val="center"/>
          </w:tcPr>
          <w:p>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p>
        </w:tc>
      </w:tr>
    </w:tbl>
    <w:p>
      <w:pPr>
        <w:shd w:val="clear"/>
        <w:spacing w:line="360" w:lineRule="auto"/>
        <w:jc w:val="left"/>
        <w:rPr>
          <w:rFonts w:ascii="宋体" w:hAnsi="宋体" w:cs="宋体"/>
          <w:b/>
          <w:bCs/>
          <w:color w:val="000000" w:themeColor="text1"/>
          <w:sz w:val="24"/>
          <w:szCs w:val="32"/>
          <w:highlight w:val="none"/>
          <w14:textFill>
            <w14:solidFill>
              <w14:schemeClr w14:val="tx1"/>
            </w14:solidFill>
          </w14:textFill>
        </w:rPr>
      </w:pPr>
    </w:p>
    <w:p>
      <w:pPr>
        <w:pStyle w:val="2"/>
        <w:shd w:val="clear"/>
        <w:rPr>
          <w:rFonts w:ascii="宋体" w:hAnsi="宋体" w:cs="宋体"/>
          <w:color w:val="000000" w:themeColor="text1"/>
          <w:szCs w:val="32"/>
          <w:highlight w:val="none"/>
          <w14:textFill>
            <w14:solidFill>
              <w14:schemeClr w14:val="tx1"/>
            </w14:solidFill>
          </w14:textFill>
        </w:rPr>
      </w:pPr>
    </w:p>
    <w:p>
      <w:pPr>
        <w:shd w:val="clear"/>
        <w:spacing w:line="360" w:lineRule="auto"/>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填报要求：</w:t>
      </w: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本项目投标报价为完成本项目的所有费用，投标人应考虑企业自身实力、经验及项目实施过程中的各种因素，在投标报价中应充分考虑所有可能发生的费用，否则采购人将视投标报价中已包括所有费用</w:t>
      </w:r>
      <w:r>
        <w:rPr>
          <w:rFonts w:hint="eastAsia" w:ascii="宋体" w:hAnsi="宋体" w:cs="宋体"/>
          <w:color w:val="000000" w:themeColor="text1"/>
          <w:sz w:val="24"/>
          <w:szCs w:val="32"/>
          <w:highlight w:val="none"/>
          <w14:textFill>
            <w14:solidFill>
              <w14:schemeClr w14:val="tx1"/>
            </w14:solidFill>
          </w14:textFill>
        </w:rPr>
        <w:t>。</w:t>
      </w: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2.报价一经涂改，应在涂改处加盖单位公章，或者由法定代表人或授权委托代理人签字或盖章，否则其投标作无效标处理。</w:t>
      </w:r>
    </w:p>
    <w:p>
      <w:pPr>
        <w:pStyle w:val="2"/>
        <w:shd w:val="clear"/>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 xml:space="preserve">   3.若我单位在三个标段中均为第一则优先选择标段</w:t>
      </w:r>
      <w:r>
        <w:rPr>
          <w:rFonts w:hint="eastAsia" w:ascii="宋体" w:hAnsi="宋体" w:cs="宋体"/>
          <w:color w:val="000000" w:themeColor="text1"/>
          <w:szCs w:val="32"/>
          <w:highlight w:val="none"/>
          <w:u w:val="single"/>
          <w14:textFill>
            <w14:solidFill>
              <w14:schemeClr w14:val="tx1"/>
            </w14:solidFill>
          </w14:textFill>
        </w:rPr>
        <w:t xml:space="preserve">   </w:t>
      </w:r>
      <w:r>
        <w:rPr>
          <w:rFonts w:hint="eastAsia" w:ascii="宋体" w:hAnsi="宋体" w:cs="宋体"/>
          <w:color w:val="000000" w:themeColor="text1"/>
          <w:szCs w:val="32"/>
          <w:highlight w:val="none"/>
          <w14:textFill>
            <w14:solidFill>
              <w14:schemeClr w14:val="tx1"/>
            </w14:solidFill>
          </w14:textFill>
        </w:rPr>
        <w:t>中标，若在两个标段中均为第二则优先选择标段</w:t>
      </w:r>
      <w:r>
        <w:rPr>
          <w:rFonts w:hint="eastAsia" w:ascii="宋体" w:hAnsi="宋体" w:cs="宋体"/>
          <w:color w:val="000000" w:themeColor="text1"/>
          <w:szCs w:val="32"/>
          <w:highlight w:val="none"/>
          <w:u w:val="single"/>
          <w14:textFill>
            <w14:solidFill>
              <w14:schemeClr w14:val="tx1"/>
            </w14:solidFill>
          </w14:textFill>
        </w:rPr>
        <w:t xml:space="preserve">   </w:t>
      </w:r>
      <w:r>
        <w:rPr>
          <w:rFonts w:hint="eastAsia" w:ascii="宋体" w:hAnsi="宋体" w:cs="宋体"/>
          <w:color w:val="000000" w:themeColor="text1"/>
          <w:szCs w:val="32"/>
          <w:highlight w:val="none"/>
          <w14:textFill>
            <w14:solidFill>
              <w14:schemeClr w14:val="tx1"/>
            </w14:solidFill>
          </w14:textFill>
        </w:rPr>
        <w:t>中标。</w:t>
      </w:r>
    </w:p>
    <w:p>
      <w:pPr>
        <w:shd w:val="clear"/>
        <w:spacing w:line="360" w:lineRule="auto"/>
        <w:rPr>
          <w:rFonts w:ascii="宋体" w:hAnsi="宋体" w:cs="宋体"/>
          <w:color w:val="000000" w:themeColor="text1"/>
          <w:sz w:val="24"/>
          <w:highlight w:val="none"/>
          <w14:textFill>
            <w14:solidFill>
              <w14:schemeClr w14:val="tx1"/>
            </w14:solidFill>
          </w14:textFill>
        </w:rPr>
      </w:pP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pPr>
        <w:shd w:val="clear"/>
        <w:spacing w:line="360" w:lineRule="auto"/>
        <w:jc w:val="left"/>
        <w:rPr>
          <w:rFonts w:ascii="宋体" w:hAnsi="宋体" w:cs="宋体"/>
          <w:color w:val="000000" w:themeColor="text1"/>
          <w:sz w:val="24"/>
          <w:szCs w:val="32"/>
          <w:highlight w:val="none"/>
          <w14:textFill>
            <w14:solidFill>
              <w14:schemeClr w14:val="tx1"/>
            </w14:solidFill>
          </w14:textFill>
        </w:rPr>
      </w:pPr>
    </w:p>
    <w:p>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pPr>
        <w:pStyle w:val="2"/>
        <w:shd w:val="clear"/>
        <w:rPr>
          <w:color w:val="000000" w:themeColor="text1"/>
          <w:highlight w:val="none"/>
          <w14:textFill>
            <w14:solidFill>
              <w14:schemeClr w14:val="tx1"/>
            </w14:solidFill>
          </w14:textFill>
        </w:rPr>
      </w:pPr>
    </w:p>
    <w:p>
      <w:pPr>
        <w:shd w:val="clear"/>
        <w:tabs>
          <w:tab w:val="left" w:pos="2460"/>
        </w:tabs>
        <w:spacing w:line="360" w:lineRule="auto"/>
        <w:rPr>
          <w:rFonts w:ascii="宋体" w:hAnsi="宋体" w:cs="宋体"/>
          <w:b/>
          <w:color w:val="000000" w:themeColor="text1"/>
          <w:sz w:val="28"/>
          <w:highlight w:val="none"/>
          <w14:textFill>
            <w14:solidFill>
              <w14:schemeClr w14:val="tx1"/>
            </w14:solidFill>
          </w14:textFill>
        </w:rPr>
      </w:pPr>
    </w:p>
    <w:p>
      <w:pPr>
        <w:shd w:val="clear"/>
        <w:tabs>
          <w:tab w:val="left" w:pos="2460"/>
        </w:tabs>
        <w:spacing w:line="36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附件20</w:t>
      </w:r>
    </w:p>
    <w:p>
      <w:pPr>
        <w:shd w:val="clea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cs="宋体"/>
          <w:bCs/>
          <w:color w:val="000000" w:themeColor="text1"/>
          <w:sz w:val="24"/>
          <w:highlight w:val="none"/>
          <w:u w:val="single"/>
          <w14:textFill>
            <w14:solidFill>
              <w14:schemeClr w14:val="tx1"/>
            </w14:solidFill>
          </w14:textFill>
        </w:rPr>
        <w:t>（单位名称）</w:t>
      </w:r>
      <w:r>
        <w:rPr>
          <w:rFonts w:hint="eastAsia" w:ascii="宋体" w:hAnsi="宋体" w:cs="宋体"/>
          <w:bCs/>
          <w:color w:val="000000" w:themeColor="text1"/>
          <w:sz w:val="24"/>
          <w:highlight w:val="none"/>
          <w14:textFill>
            <w14:solidFill>
              <w14:schemeClr w14:val="tx1"/>
            </w14:solidFill>
          </w14:textFill>
        </w:rPr>
        <w:t>的</w:t>
      </w:r>
      <w:r>
        <w:rPr>
          <w:rFonts w:hint="eastAsia" w:ascii="宋体" w:hAnsi="宋体" w:cs="宋体"/>
          <w:bCs/>
          <w:color w:val="000000" w:themeColor="text1"/>
          <w:sz w:val="24"/>
          <w:highlight w:val="none"/>
          <w:u w:val="single"/>
          <w14:textFill>
            <w14:solidFill>
              <w14:schemeClr w14:val="tx1"/>
            </w14:solidFill>
          </w14:textFill>
        </w:rPr>
        <w:t>（项目名称）</w:t>
      </w:r>
      <w:r>
        <w:rPr>
          <w:rFonts w:hint="eastAsia" w:ascii="宋体" w:hAnsi="宋体" w:cs="宋体"/>
          <w:bCs/>
          <w:color w:val="000000" w:themeColor="text1"/>
          <w:sz w:val="24"/>
          <w:highlight w:val="none"/>
          <w14:textFill>
            <w14:solidFill>
              <w14:schemeClr w14:val="tx1"/>
            </w14:solidFill>
          </w14:textFill>
        </w:rPr>
        <w:t xml:space="preserve">采购活动，提供的货物全部由符合政策要求的中小企业制造。相关企业的具体情况如下： </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行业；制造商为</w:t>
      </w:r>
      <w:r>
        <w:rPr>
          <w:rFonts w:hint="eastAsia" w:ascii="宋体" w:hAnsi="宋体" w:cs="宋体"/>
          <w:b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w:t>
      </w:r>
      <w:r>
        <w:rPr>
          <w:rStyle w:val="30"/>
          <w:rFonts w:hint="eastAsia" w:ascii="宋体" w:hAnsi="宋体" w:cs="宋体"/>
          <w:bCs/>
          <w:color w:val="000000" w:themeColor="text1"/>
          <w:sz w:val="24"/>
          <w:highlight w:val="none"/>
          <w14:textFill>
            <w14:solidFill>
              <w14:schemeClr w14:val="tx1"/>
            </w14:solidFill>
          </w14:textFill>
        </w:rPr>
        <w:footnoteReference w:id="0"/>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行业；制造商为</w:t>
      </w:r>
      <w:r>
        <w:rPr>
          <w:rFonts w:hint="eastAsia" w:ascii="宋体" w:hAnsi="宋体" w:cs="宋体"/>
          <w:b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万元，属于</w:t>
      </w:r>
      <w:r>
        <w:rPr>
          <w:rFonts w:hint="eastAsia" w:ascii="宋体" w:hAnsi="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本企业对上述声明内容的真实性负责。如有虚假，将依法承担相应责任。 </w:t>
      </w: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ind w:firstLine="4800" w:firstLineChars="20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企业名称（盖章）：</w:t>
      </w:r>
    </w:p>
    <w:p>
      <w:pPr>
        <w:shd w:val="clear"/>
        <w:spacing w:line="360" w:lineRule="auto"/>
        <w:ind w:firstLine="4800" w:firstLineChars="20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    期：</w:t>
      </w: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中小企业声明函（工程、服务）</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cs="宋体"/>
          <w:bCs/>
          <w:color w:val="000000" w:themeColor="text1"/>
          <w:sz w:val="24"/>
          <w:highlight w:val="none"/>
          <w:u w:val="single"/>
          <w14:textFill>
            <w14:solidFill>
              <w14:schemeClr w14:val="tx1"/>
            </w14:solidFill>
          </w14:textFill>
        </w:rPr>
        <w:t>（单位名称）</w:t>
      </w:r>
      <w:r>
        <w:rPr>
          <w:rFonts w:hint="eastAsia" w:ascii="宋体" w:hAnsi="宋体" w:cs="宋体"/>
          <w:bCs/>
          <w:color w:val="000000" w:themeColor="text1"/>
          <w:sz w:val="24"/>
          <w:highlight w:val="none"/>
          <w14:textFill>
            <w14:solidFill>
              <w14:schemeClr w14:val="tx1"/>
            </w14:solidFill>
          </w14:textFill>
        </w:rPr>
        <w:t>的</w:t>
      </w:r>
      <w:r>
        <w:rPr>
          <w:rFonts w:hint="eastAsia" w:ascii="宋体" w:hAnsi="宋体" w:cs="宋体"/>
          <w:bCs/>
          <w:color w:val="000000" w:themeColor="text1"/>
          <w:sz w:val="24"/>
          <w:highlight w:val="none"/>
          <w:u w:val="single"/>
          <w14:textFill>
            <w14:solidFill>
              <w14:schemeClr w14:val="tx1"/>
            </w14:solidFill>
          </w14:textFill>
        </w:rPr>
        <w:t>（项目名称）</w:t>
      </w:r>
      <w:r>
        <w:rPr>
          <w:rFonts w:hint="eastAsia" w:ascii="宋体" w:hAnsi="宋体" w:cs="宋体"/>
          <w:bCs/>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采购活动，工程的施工单位全部为符合政策要求的中小企业（或者：服务全部由符合政策要求的中小企业承接）。相关企业的具体情况如下：</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；承建（承接）企业为</w:t>
      </w:r>
      <w:r>
        <w:rPr>
          <w:rFonts w:hint="eastAsia" w:ascii="宋体" w:hAnsi="宋体" w:cs="宋体"/>
          <w:b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w:t>
      </w:r>
      <w:r>
        <w:rPr>
          <w:rStyle w:val="30"/>
          <w:rFonts w:hint="eastAsia" w:ascii="宋体" w:hAnsi="宋体" w:cs="宋体"/>
          <w:bCs/>
          <w:color w:val="000000" w:themeColor="text1"/>
          <w:sz w:val="24"/>
          <w:highlight w:val="none"/>
          <w14:textFill>
            <w14:solidFill>
              <w14:schemeClr w14:val="tx1"/>
            </w14:solidFill>
          </w14:textFill>
        </w:rPr>
        <w:footnoteReference w:id="1"/>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；承建（承接）企业为</w:t>
      </w:r>
      <w:r>
        <w:rPr>
          <w:rFonts w:hint="eastAsia" w:ascii="宋体" w:hAnsi="宋体" w:cs="宋体"/>
          <w:b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万元，属于</w:t>
      </w:r>
      <w:r>
        <w:rPr>
          <w:rFonts w:hint="eastAsia" w:ascii="宋体" w:hAnsi="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本企业对上述声明内容的真实性负责。如有虚假，将依法承担相应责任。 </w:t>
      </w: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ind w:firstLine="4800" w:firstLineChars="20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企业名称（盖章）：</w:t>
      </w:r>
    </w:p>
    <w:p>
      <w:pPr>
        <w:shd w:val="clear"/>
        <w:spacing w:line="360" w:lineRule="auto"/>
        <w:ind w:firstLine="4800" w:firstLineChars="20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    期：</w:t>
      </w: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jc w:val="left"/>
        <w:rPr>
          <w:rFonts w:ascii="宋体" w:hAnsi="宋体" w:cs="宋体"/>
          <w:bCs/>
          <w:color w:val="000000" w:themeColor="text1"/>
          <w:sz w:val="24"/>
          <w:highlight w:val="none"/>
          <w14:textFill>
            <w14:solidFill>
              <w14:schemeClr w14:val="tx1"/>
            </w14:solidFill>
          </w14:textFill>
        </w:rPr>
      </w:pPr>
    </w:p>
    <w:p>
      <w:pPr>
        <w:shd w:val="clear"/>
        <w:spacing w:line="360" w:lineRule="auto"/>
        <w:ind w:left="-2" w:hanging="2"/>
        <w:jc w:val="center"/>
        <w:rPr>
          <w:rFonts w:ascii="宋体" w:hAnsi="宋体" w:cs="宋体"/>
          <w:b/>
          <w:color w:val="000000" w:themeColor="text1"/>
          <w:sz w:val="32"/>
          <w:szCs w:val="32"/>
          <w:highlight w:val="none"/>
          <w:lang w:val="en-GB"/>
          <w14:textFill>
            <w14:solidFill>
              <w14:schemeClr w14:val="tx1"/>
            </w14:solidFill>
          </w14:textFill>
        </w:rPr>
      </w:pPr>
      <w:r>
        <w:rPr>
          <w:rFonts w:hint="eastAsia" w:ascii="宋体" w:hAnsi="宋体" w:cs="宋体"/>
          <w:b/>
          <w:color w:val="000000" w:themeColor="text1"/>
          <w:sz w:val="32"/>
          <w:szCs w:val="32"/>
          <w:highlight w:val="none"/>
          <w:lang w:val="en-GB"/>
          <w14:textFill>
            <w14:solidFill>
              <w14:schemeClr w14:val="tx1"/>
            </w14:solidFill>
          </w14:textFill>
        </w:rPr>
        <w:t>残疾人福利性单位声明函</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hd w:val="clear"/>
        <w:tabs>
          <w:tab w:val="left" w:pos="4860"/>
        </w:tabs>
        <w:spacing w:line="588" w:lineRule="exact"/>
        <w:ind w:right="1560" w:firstLine="504" w:firstLineChars="200"/>
        <w:jc w:val="center"/>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单位名称（盖章）：</w:t>
      </w:r>
    </w:p>
    <w:p>
      <w:pPr>
        <w:shd w:val="clear"/>
        <w:spacing w:line="360" w:lineRule="auto"/>
        <w:jc w:val="center"/>
        <w:rPr>
          <w:rFonts w:ascii="宋体" w:hAnsi="宋体" w:cs="宋体"/>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w:t>
      </w:r>
    </w:p>
    <w:sectPr>
      <w:headerReference r:id="rId4" w:type="default"/>
      <w:pgSz w:w="11906" w:h="16838"/>
      <w:pgMar w:top="1440" w:right="1803"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4E1B8BD-75B5-4FFD-8A7C-A11753EEE14D}"/>
  </w:font>
  <w:font w:name="黑体">
    <w:panose1 w:val="02010609060101010101"/>
    <w:charset w:val="86"/>
    <w:family w:val="auto"/>
    <w:pitch w:val="default"/>
    <w:sig w:usb0="800002BF" w:usb1="38CF7CFA" w:usb2="00000016" w:usb3="00000000" w:csb0="00040001" w:csb1="00000000"/>
    <w:embedRegular r:id="rId2" w:fontKey="{BCADF225-8B60-498E-B180-0AAB893094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3" w:fontKey="{EBE7A652-F2DB-42D4-A5C8-0647E05A54AC}"/>
  </w:font>
  <w:font w:name="仿宋_GB2312">
    <w:altName w:val="仿宋"/>
    <w:panose1 w:val="00000000000000000000"/>
    <w:charset w:val="86"/>
    <w:family w:val="modern"/>
    <w:pitch w:val="default"/>
    <w:sig w:usb0="00000000" w:usb1="00000000" w:usb2="00000010" w:usb3="00000000" w:csb0="00040000" w:csb1="00000000"/>
    <w:embedRegular r:id="rId4" w:fontKey="{B097383C-FB48-43E6-B6E4-51C90F3C12BF}"/>
  </w:font>
  <w:font w:name="仿宋">
    <w:panose1 w:val="02010609060101010101"/>
    <w:charset w:val="86"/>
    <w:family w:val="auto"/>
    <w:pitch w:val="default"/>
    <w:sig w:usb0="800002BF" w:usb1="38CF7CFA" w:usb2="00000016" w:usb3="00000000" w:csb0="00040001" w:csb1="00000000"/>
    <w:embedRegular r:id="rId5" w:fontKey="{82E4B0AF-2413-478C-8EB9-81636D1EAD50}"/>
  </w:font>
  <w:font w:name="新宋体">
    <w:panose1 w:val="02010609030101010101"/>
    <w:charset w:val="86"/>
    <w:family w:val="modern"/>
    <w:pitch w:val="default"/>
    <w:sig w:usb0="00000283" w:usb1="288F0000" w:usb2="00000006" w:usb3="00000000" w:csb0="00040001" w:csb1="00000000"/>
    <w:embedRegular r:id="rId6" w:fontKey="{C43CDF6A-F549-4B25-AED5-9FD25AA6C505}"/>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0"/>
      </w:pPr>
      <w:r>
        <w:rPr>
          <w:rStyle w:val="30"/>
        </w:rPr>
        <w:footnoteRef/>
      </w:r>
      <w:r>
        <w:t xml:space="preserve"> </w:t>
      </w:r>
      <w:r>
        <w:rPr>
          <w:rFonts w:hint="eastAsia" w:ascii="宋体" w:hAnsi="宋体"/>
          <w:bCs/>
          <w:sz w:val="24"/>
        </w:rPr>
        <w:t>从业人员、营业收入、资产总额填报上一年度数据，无上一年度数据的新成立企业可不填报。</w:t>
      </w:r>
    </w:p>
  </w:footnote>
  <w:footnote w:id="1">
    <w:p>
      <w:pPr>
        <w:pStyle w:val="20"/>
      </w:pPr>
      <w:r>
        <w:rPr>
          <w:rStyle w:val="30"/>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台州市路桥区政府采购招标文件</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1</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51</w:t>
    </w:r>
    <w:r>
      <w:rPr>
        <w:b/>
        <w:i/>
        <w:color w:val="000000"/>
        <w:spacing w:val="-20"/>
        <w:kern w:val="0"/>
        <w:sz w:val="18"/>
        <w:u w:val="single"/>
      </w:rPr>
      <w:fldChar w:fldCharType="end"/>
    </w:r>
    <w:r>
      <w:rPr>
        <w:rFonts w:hint="eastAsia"/>
        <w:b/>
        <w:i/>
        <w:color w:val="000000"/>
        <w:spacing w:val="-20"/>
        <w:kern w:val="0"/>
        <w:sz w:val="18"/>
        <w:u w:val="single"/>
      </w:rPr>
      <w:t>页</w:t>
    </w:r>
  </w:p>
  <w:p>
    <w:pPr>
      <w:pStyle w:val="1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8E2A2"/>
    <w:multiLevelType w:val="singleLevel"/>
    <w:tmpl w:val="84C8E2A2"/>
    <w:lvl w:ilvl="0" w:tentative="0">
      <w:start w:val="5"/>
      <w:numFmt w:val="decimal"/>
      <w:suff w:val="nothing"/>
      <w:lvlText w:val="%1、"/>
      <w:lvlJc w:val="left"/>
    </w:lvl>
  </w:abstractNum>
  <w:abstractNum w:abstractNumId="1">
    <w:nsid w:val="AE2D8F7B"/>
    <w:multiLevelType w:val="singleLevel"/>
    <w:tmpl w:val="AE2D8F7B"/>
    <w:lvl w:ilvl="0" w:tentative="0">
      <w:start w:val="1"/>
      <w:numFmt w:val="decimal"/>
      <w:pStyle w:val="9"/>
      <w:lvlText w:val="%1."/>
      <w:lvlJc w:val="left"/>
      <w:pPr>
        <w:tabs>
          <w:tab w:val="left" w:pos="360"/>
        </w:tabs>
        <w:ind w:left="360" w:hanging="360"/>
      </w:pPr>
      <w:rPr>
        <w:rFonts w:cs="Times New Roman"/>
      </w:rPr>
    </w:lvl>
  </w:abstractNum>
  <w:abstractNum w:abstractNumId="2">
    <w:nsid w:val="2D374B7E"/>
    <w:multiLevelType w:val="multilevel"/>
    <w:tmpl w:val="2D374B7E"/>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F63DF7C"/>
    <w:multiLevelType w:val="singleLevel"/>
    <w:tmpl w:val="3F63DF7C"/>
    <w:lvl w:ilvl="0" w:tentative="0">
      <w:start w:val="6"/>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9"/>
  <w:noPunctuationKerning w:val="1"/>
  <w:characterSpacingControl w:val="compressPunctuation"/>
  <w:noLineBreaksAfter w:lang="zh-CN" w:val="$([{£¥·‘“〈《「『【〔〖〝﹙﹛﹝＄（．［｛￡￥"/>
  <w:noLineBreaksBefore w:lang="zh-CN" w:val="!%),.:;&gt;?]}¢¨°·ˇˉ―‖’”…‰′″›℃∶、。〃〉》」』】〕〗〞︶︺︾﹀﹄﹚﹜﹞！＂％＇），．：；？］｀｜｝～￠"/>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970358"/>
    <w:rsid w:val="00016260"/>
    <w:rsid w:val="0002035B"/>
    <w:rsid w:val="000403F7"/>
    <w:rsid w:val="000518FF"/>
    <w:rsid w:val="0006294D"/>
    <w:rsid w:val="00062AB3"/>
    <w:rsid w:val="000630DA"/>
    <w:rsid w:val="000C09AE"/>
    <w:rsid w:val="00107BF6"/>
    <w:rsid w:val="001334F2"/>
    <w:rsid w:val="001358F3"/>
    <w:rsid w:val="00151482"/>
    <w:rsid w:val="00165F2A"/>
    <w:rsid w:val="00180836"/>
    <w:rsid w:val="001F6F64"/>
    <w:rsid w:val="00201D2F"/>
    <w:rsid w:val="00201D62"/>
    <w:rsid w:val="00203C2F"/>
    <w:rsid w:val="0021318F"/>
    <w:rsid w:val="00226DE6"/>
    <w:rsid w:val="00241352"/>
    <w:rsid w:val="002A1620"/>
    <w:rsid w:val="002C7829"/>
    <w:rsid w:val="003102FB"/>
    <w:rsid w:val="003111E4"/>
    <w:rsid w:val="0033011F"/>
    <w:rsid w:val="00332E30"/>
    <w:rsid w:val="003402C7"/>
    <w:rsid w:val="00353DAF"/>
    <w:rsid w:val="00382DB3"/>
    <w:rsid w:val="0039007D"/>
    <w:rsid w:val="00394F4B"/>
    <w:rsid w:val="003C020E"/>
    <w:rsid w:val="003C5E00"/>
    <w:rsid w:val="003E6DE1"/>
    <w:rsid w:val="003F595C"/>
    <w:rsid w:val="003F78E0"/>
    <w:rsid w:val="00441FAE"/>
    <w:rsid w:val="00446CEF"/>
    <w:rsid w:val="00482F62"/>
    <w:rsid w:val="00491BDF"/>
    <w:rsid w:val="004A1918"/>
    <w:rsid w:val="004A7EB2"/>
    <w:rsid w:val="004B4165"/>
    <w:rsid w:val="00501A00"/>
    <w:rsid w:val="00531666"/>
    <w:rsid w:val="00542F87"/>
    <w:rsid w:val="00616E31"/>
    <w:rsid w:val="00636172"/>
    <w:rsid w:val="00646CA0"/>
    <w:rsid w:val="006540F3"/>
    <w:rsid w:val="00655E3C"/>
    <w:rsid w:val="00674C42"/>
    <w:rsid w:val="006E5A80"/>
    <w:rsid w:val="006F4DFE"/>
    <w:rsid w:val="0072023E"/>
    <w:rsid w:val="0075349E"/>
    <w:rsid w:val="007704C6"/>
    <w:rsid w:val="00783370"/>
    <w:rsid w:val="00793C81"/>
    <w:rsid w:val="007A2629"/>
    <w:rsid w:val="007B1D35"/>
    <w:rsid w:val="007C1005"/>
    <w:rsid w:val="007F5FAF"/>
    <w:rsid w:val="00802325"/>
    <w:rsid w:val="008154BD"/>
    <w:rsid w:val="00823978"/>
    <w:rsid w:val="00847BE5"/>
    <w:rsid w:val="0088066B"/>
    <w:rsid w:val="008A4030"/>
    <w:rsid w:val="008C3384"/>
    <w:rsid w:val="008E781F"/>
    <w:rsid w:val="00912983"/>
    <w:rsid w:val="00944004"/>
    <w:rsid w:val="009B3E22"/>
    <w:rsid w:val="009B5F8F"/>
    <w:rsid w:val="009E53EB"/>
    <w:rsid w:val="009F3459"/>
    <w:rsid w:val="009F36F6"/>
    <w:rsid w:val="00A12F71"/>
    <w:rsid w:val="00A17880"/>
    <w:rsid w:val="00A30B75"/>
    <w:rsid w:val="00A52B65"/>
    <w:rsid w:val="00A730CA"/>
    <w:rsid w:val="00AD111B"/>
    <w:rsid w:val="00AF276E"/>
    <w:rsid w:val="00AF7590"/>
    <w:rsid w:val="00B020DF"/>
    <w:rsid w:val="00B0420E"/>
    <w:rsid w:val="00B5370A"/>
    <w:rsid w:val="00B56957"/>
    <w:rsid w:val="00BA71E0"/>
    <w:rsid w:val="00BE0ADF"/>
    <w:rsid w:val="00C44AFB"/>
    <w:rsid w:val="00C52E14"/>
    <w:rsid w:val="00C767D4"/>
    <w:rsid w:val="00CB0437"/>
    <w:rsid w:val="00CB3BDE"/>
    <w:rsid w:val="00CB5F31"/>
    <w:rsid w:val="00CC232E"/>
    <w:rsid w:val="00CC2FDA"/>
    <w:rsid w:val="00CD1804"/>
    <w:rsid w:val="00D0574A"/>
    <w:rsid w:val="00D264AC"/>
    <w:rsid w:val="00D5269F"/>
    <w:rsid w:val="00D91D18"/>
    <w:rsid w:val="00DA25C4"/>
    <w:rsid w:val="00DB2B95"/>
    <w:rsid w:val="00DB6334"/>
    <w:rsid w:val="00E319E7"/>
    <w:rsid w:val="00E372BC"/>
    <w:rsid w:val="00E46CC5"/>
    <w:rsid w:val="00EF2797"/>
    <w:rsid w:val="00F127FF"/>
    <w:rsid w:val="00F14443"/>
    <w:rsid w:val="00F64E95"/>
    <w:rsid w:val="00F74D1E"/>
    <w:rsid w:val="00F835F4"/>
    <w:rsid w:val="00F94869"/>
    <w:rsid w:val="00FC3BBA"/>
    <w:rsid w:val="00FD3D7D"/>
    <w:rsid w:val="0162067B"/>
    <w:rsid w:val="01935887"/>
    <w:rsid w:val="022250C3"/>
    <w:rsid w:val="022F3D89"/>
    <w:rsid w:val="026B5F45"/>
    <w:rsid w:val="028F03B6"/>
    <w:rsid w:val="03887300"/>
    <w:rsid w:val="049D0570"/>
    <w:rsid w:val="04CC341D"/>
    <w:rsid w:val="05137CD7"/>
    <w:rsid w:val="060B26E0"/>
    <w:rsid w:val="06CE7EFA"/>
    <w:rsid w:val="078F4A5F"/>
    <w:rsid w:val="091924B2"/>
    <w:rsid w:val="09321FD7"/>
    <w:rsid w:val="09AE1422"/>
    <w:rsid w:val="0A427E32"/>
    <w:rsid w:val="0ADB4F19"/>
    <w:rsid w:val="0B46655E"/>
    <w:rsid w:val="0B56708B"/>
    <w:rsid w:val="0C1E2BA0"/>
    <w:rsid w:val="0C4F0ACF"/>
    <w:rsid w:val="0C765CB2"/>
    <w:rsid w:val="0D4A6A49"/>
    <w:rsid w:val="0D5D2E9F"/>
    <w:rsid w:val="0DB1568D"/>
    <w:rsid w:val="0DF00AB2"/>
    <w:rsid w:val="0E970358"/>
    <w:rsid w:val="0EFD15BB"/>
    <w:rsid w:val="0F393EBC"/>
    <w:rsid w:val="0F753C9B"/>
    <w:rsid w:val="10053DFB"/>
    <w:rsid w:val="10392EAE"/>
    <w:rsid w:val="10706EC2"/>
    <w:rsid w:val="10DC2294"/>
    <w:rsid w:val="11331951"/>
    <w:rsid w:val="114D620F"/>
    <w:rsid w:val="118103D1"/>
    <w:rsid w:val="12807280"/>
    <w:rsid w:val="13763D70"/>
    <w:rsid w:val="13FC1BC3"/>
    <w:rsid w:val="14044B05"/>
    <w:rsid w:val="140C5848"/>
    <w:rsid w:val="147E21EF"/>
    <w:rsid w:val="148463E6"/>
    <w:rsid w:val="14D20D9B"/>
    <w:rsid w:val="15A72BED"/>
    <w:rsid w:val="15EA7CF0"/>
    <w:rsid w:val="1621170E"/>
    <w:rsid w:val="16DF2B26"/>
    <w:rsid w:val="174478B1"/>
    <w:rsid w:val="174E0EAF"/>
    <w:rsid w:val="180E15EA"/>
    <w:rsid w:val="18820ED2"/>
    <w:rsid w:val="18B91D2B"/>
    <w:rsid w:val="18C40414"/>
    <w:rsid w:val="18E11A7C"/>
    <w:rsid w:val="19BD0508"/>
    <w:rsid w:val="1A6A6D44"/>
    <w:rsid w:val="1A817123"/>
    <w:rsid w:val="1B674FFA"/>
    <w:rsid w:val="1C093ECB"/>
    <w:rsid w:val="1C2A1FDB"/>
    <w:rsid w:val="1CAC135A"/>
    <w:rsid w:val="1CE4433A"/>
    <w:rsid w:val="1DC530BD"/>
    <w:rsid w:val="1E58234F"/>
    <w:rsid w:val="1E9446CA"/>
    <w:rsid w:val="1EE84AA8"/>
    <w:rsid w:val="1F16314F"/>
    <w:rsid w:val="1F1948B9"/>
    <w:rsid w:val="1F1D4189"/>
    <w:rsid w:val="210E35D7"/>
    <w:rsid w:val="21FF7957"/>
    <w:rsid w:val="22206244"/>
    <w:rsid w:val="22485E10"/>
    <w:rsid w:val="228447E5"/>
    <w:rsid w:val="22D00F67"/>
    <w:rsid w:val="22D744D3"/>
    <w:rsid w:val="23424F53"/>
    <w:rsid w:val="236E14E2"/>
    <w:rsid w:val="244653D5"/>
    <w:rsid w:val="24EA31B9"/>
    <w:rsid w:val="25471A10"/>
    <w:rsid w:val="25C11B38"/>
    <w:rsid w:val="268A132E"/>
    <w:rsid w:val="27D90A41"/>
    <w:rsid w:val="28215C9F"/>
    <w:rsid w:val="29804C75"/>
    <w:rsid w:val="29D148D0"/>
    <w:rsid w:val="2AC803DC"/>
    <w:rsid w:val="2AF71430"/>
    <w:rsid w:val="2B395F7F"/>
    <w:rsid w:val="2B520C88"/>
    <w:rsid w:val="2BB35F78"/>
    <w:rsid w:val="2CCD3A0B"/>
    <w:rsid w:val="2D0B382A"/>
    <w:rsid w:val="2F402F53"/>
    <w:rsid w:val="30143D85"/>
    <w:rsid w:val="31752B09"/>
    <w:rsid w:val="341548E3"/>
    <w:rsid w:val="35177ECB"/>
    <w:rsid w:val="356217DA"/>
    <w:rsid w:val="35723222"/>
    <w:rsid w:val="359B739A"/>
    <w:rsid w:val="35A37885"/>
    <w:rsid w:val="36623E0E"/>
    <w:rsid w:val="374B3E8E"/>
    <w:rsid w:val="376C7A07"/>
    <w:rsid w:val="37712A39"/>
    <w:rsid w:val="37AE72F3"/>
    <w:rsid w:val="386B26F6"/>
    <w:rsid w:val="396B6BD3"/>
    <w:rsid w:val="39766933"/>
    <w:rsid w:val="3AE50133"/>
    <w:rsid w:val="3B345EA5"/>
    <w:rsid w:val="3C9174DA"/>
    <w:rsid w:val="3D1275D3"/>
    <w:rsid w:val="3DB531EC"/>
    <w:rsid w:val="3DBB71E5"/>
    <w:rsid w:val="3DF20EE4"/>
    <w:rsid w:val="3E6230C7"/>
    <w:rsid w:val="3F4C4BDD"/>
    <w:rsid w:val="407C6265"/>
    <w:rsid w:val="40D83598"/>
    <w:rsid w:val="43036342"/>
    <w:rsid w:val="43D911A2"/>
    <w:rsid w:val="43DB29B8"/>
    <w:rsid w:val="44546027"/>
    <w:rsid w:val="44E23928"/>
    <w:rsid w:val="4563730C"/>
    <w:rsid w:val="456B496E"/>
    <w:rsid w:val="45FE1420"/>
    <w:rsid w:val="48694FA0"/>
    <w:rsid w:val="488E768B"/>
    <w:rsid w:val="49F41D5E"/>
    <w:rsid w:val="4A9B2FA0"/>
    <w:rsid w:val="4B085996"/>
    <w:rsid w:val="4B1E31F7"/>
    <w:rsid w:val="4B382D69"/>
    <w:rsid w:val="4BCB3573"/>
    <w:rsid w:val="4C3252B8"/>
    <w:rsid w:val="4C586B68"/>
    <w:rsid w:val="4C9F1C3D"/>
    <w:rsid w:val="4CE75373"/>
    <w:rsid w:val="4D5934CA"/>
    <w:rsid w:val="4DBA747C"/>
    <w:rsid w:val="4E4E0F6F"/>
    <w:rsid w:val="4E6658C5"/>
    <w:rsid w:val="4E76198F"/>
    <w:rsid w:val="4E9017BA"/>
    <w:rsid w:val="507645CE"/>
    <w:rsid w:val="507E46DC"/>
    <w:rsid w:val="51324CC9"/>
    <w:rsid w:val="5406408D"/>
    <w:rsid w:val="54B163A7"/>
    <w:rsid w:val="55341720"/>
    <w:rsid w:val="55BA4166"/>
    <w:rsid w:val="55FD0846"/>
    <w:rsid w:val="566625D1"/>
    <w:rsid w:val="566D4B95"/>
    <w:rsid w:val="5682591E"/>
    <w:rsid w:val="56FF267C"/>
    <w:rsid w:val="572656D4"/>
    <w:rsid w:val="578671EF"/>
    <w:rsid w:val="59234CED"/>
    <w:rsid w:val="59AD06A4"/>
    <w:rsid w:val="5A4D586D"/>
    <w:rsid w:val="5A6249B0"/>
    <w:rsid w:val="5E0705E5"/>
    <w:rsid w:val="5EE84C68"/>
    <w:rsid w:val="5EF7666A"/>
    <w:rsid w:val="5FA703FC"/>
    <w:rsid w:val="601B421C"/>
    <w:rsid w:val="602463B0"/>
    <w:rsid w:val="6026592A"/>
    <w:rsid w:val="60E07B05"/>
    <w:rsid w:val="621D5BA4"/>
    <w:rsid w:val="628E0DB9"/>
    <w:rsid w:val="630F02EE"/>
    <w:rsid w:val="63197EAF"/>
    <w:rsid w:val="635B6748"/>
    <w:rsid w:val="638D4F08"/>
    <w:rsid w:val="63947A95"/>
    <w:rsid w:val="656D360F"/>
    <w:rsid w:val="67B05ABC"/>
    <w:rsid w:val="67B167D1"/>
    <w:rsid w:val="67DB0789"/>
    <w:rsid w:val="67E17416"/>
    <w:rsid w:val="685F1C50"/>
    <w:rsid w:val="686B0E1B"/>
    <w:rsid w:val="68FE0E45"/>
    <w:rsid w:val="699022E9"/>
    <w:rsid w:val="69DD24A3"/>
    <w:rsid w:val="6A714498"/>
    <w:rsid w:val="6C697B12"/>
    <w:rsid w:val="6DAE0534"/>
    <w:rsid w:val="6E952F75"/>
    <w:rsid w:val="70AD2DAC"/>
    <w:rsid w:val="71E40F47"/>
    <w:rsid w:val="727151E7"/>
    <w:rsid w:val="7444613E"/>
    <w:rsid w:val="745919C6"/>
    <w:rsid w:val="74702A9A"/>
    <w:rsid w:val="7494310E"/>
    <w:rsid w:val="752A522B"/>
    <w:rsid w:val="754F101A"/>
    <w:rsid w:val="75745308"/>
    <w:rsid w:val="75FE0885"/>
    <w:rsid w:val="761C2BBB"/>
    <w:rsid w:val="7671701C"/>
    <w:rsid w:val="776A1DE8"/>
    <w:rsid w:val="776F6868"/>
    <w:rsid w:val="77AA6501"/>
    <w:rsid w:val="77FE6137"/>
    <w:rsid w:val="785D00CA"/>
    <w:rsid w:val="7CD44EB5"/>
    <w:rsid w:val="7D6E784A"/>
    <w:rsid w:val="7DDD6CEA"/>
    <w:rsid w:val="7DED0920"/>
    <w:rsid w:val="7E636E14"/>
    <w:rsid w:val="7F315D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2"/>
    <w:qFormat/>
    <w:uiPriority w:val="99"/>
    <w:pPr>
      <w:keepNext/>
      <w:keepLines/>
      <w:spacing w:before="340" w:after="330" w:line="578" w:lineRule="auto"/>
      <w:outlineLvl w:val="0"/>
    </w:pPr>
    <w:rPr>
      <w:b/>
      <w:bCs/>
      <w:kern w:val="44"/>
      <w:sz w:val="44"/>
      <w:szCs w:val="44"/>
    </w:rPr>
  </w:style>
  <w:style w:type="paragraph" w:styleId="6">
    <w:name w:val="heading 2"/>
    <w:basedOn w:val="1"/>
    <w:next w:val="1"/>
    <w:link w:val="33"/>
    <w:qFormat/>
    <w:uiPriority w:val="99"/>
    <w:pPr>
      <w:keepNext/>
      <w:keepLines/>
      <w:spacing w:before="260" w:after="260" w:line="416" w:lineRule="auto"/>
      <w:outlineLvl w:val="1"/>
    </w:pPr>
    <w:rPr>
      <w:rFonts w:ascii="Calibri Light" w:hAnsi="Calibri Light"/>
      <w:b/>
      <w:bCs/>
      <w:sz w:val="32"/>
      <w:szCs w:val="32"/>
    </w:rPr>
  </w:style>
  <w:style w:type="paragraph" w:styleId="7">
    <w:name w:val="heading 3"/>
    <w:basedOn w:val="1"/>
    <w:next w:val="1"/>
    <w:link w:val="34"/>
    <w:qFormat/>
    <w:uiPriority w:val="99"/>
    <w:pPr>
      <w:keepNext/>
      <w:keepLines/>
      <w:spacing w:before="260" w:after="260" w:line="416" w:lineRule="auto"/>
      <w:outlineLvl w:val="2"/>
    </w:pPr>
    <w:rPr>
      <w:b/>
      <w:bCs/>
      <w:sz w:val="32"/>
      <w:szCs w:val="32"/>
    </w:rPr>
  </w:style>
  <w:style w:type="paragraph" w:styleId="8">
    <w:name w:val="heading 4"/>
    <w:basedOn w:val="1"/>
    <w:next w:val="1"/>
    <w:qFormat/>
    <w:locked/>
    <w:uiPriority w:val="0"/>
    <w:pPr>
      <w:keepNext/>
      <w:keepLines/>
      <w:spacing w:before="280" w:after="290" w:line="372" w:lineRule="auto"/>
      <w:outlineLvl w:val="3"/>
    </w:pPr>
    <w:rPr>
      <w:rFonts w:ascii="Arial" w:hAnsi="Arial"/>
      <w:b/>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5"/>
    <w:qFormat/>
    <w:uiPriority w:val="99"/>
    <w:pPr>
      <w:spacing w:line="360" w:lineRule="exact"/>
    </w:pPr>
    <w:rPr>
      <w:sz w:val="24"/>
    </w:rPr>
  </w:style>
  <w:style w:type="paragraph" w:styleId="3">
    <w:name w:val="Body Text First Indent"/>
    <w:basedOn w:val="2"/>
    <w:next w:val="4"/>
    <w:qFormat/>
    <w:locked/>
    <w:uiPriority w:val="99"/>
    <w:pPr>
      <w:ind w:firstLine="420"/>
    </w:pPr>
    <w:rPr>
      <w:sz w:val="21"/>
    </w:rPr>
  </w:style>
  <w:style w:type="paragraph" w:styleId="4">
    <w:name w:val="toc 6"/>
    <w:basedOn w:val="1"/>
    <w:next w:val="1"/>
    <w:qFormat/>
    <w:locked/>
    <w:uiPriority w:val="0"/>
    <w:pPr>
      <w:ind w:left="1050"/>
      <w:jc w:val="left"/>
    </w:pPr>
    <w:rPr>
      <w:sz w:val="18"/>
      <w:szCs w:val="18"/>
    </w:rPr>
  </w:style>
  <w:style w:type="paragraph" w:styleId="9">
    <w:name w:val="List Number"/>
    <w:basedOn w:val="1"/>
    <w:qFormat/>
    <w:uiPriority w:val="99"/>
    <w:pPr>
      <w:numPr>
        <w:ilvl w:val="0"/>
        <w:numId w:val="1"/>
      </w:numPr>
    </w:pPr>
  </w:style>
  <w:style w:type="paragraph" w:styleId="10">
    <w:name w:val="Normal Indent"/>
    <w:basedOn w:val="1"/>
    <w:next w:val="1"/>
    <w:qFormat/>
    <w:uiPriority w:val="99"/>
    <w:pPr>
      <w:ind w:firstLine="420"/>
    </w:pPr>
    <w:rPr>
      <w:szCs w:val="20"/>
    </w:rPr>
  </w:style>
  <w:style w:type="paragraph" w:styleId="11">
    <w:name w:val="annotation text"/>
    <w:basedOn w:val="1"/>
    <w:link w:val="36"/>
    <w:qFormat/>
    <w:uiPriority w:val="99"/>
    <w:pPr>
      <w:jc w:val="left"/>
    </w:pPr>
  </w:style>
  <w:style w:type="paragraph" w:styleId="12">
    <w:name w:val="Body Text Indent"/>
    <w:basedOn w:val="1"/>
    <w:next w:val="1"/>
    <w:link w:val="37"/>
    <w:qFormat/>
    <w:uiPriority w:val="99"/>
    <w:pPr>
      <w:spacing w:after="120"/>
      <w:ind w:left="420" w:leftChars="200"/>
    </w:pPr>
  </w:style>
  <w:style w:type="paragraph" w:styleId="13">
    <w:name w:val="Block Text"/>
    <w:basedOn w:val="1"/>
    <w:qFormat/>
    <w:locked/>
    <w:uiPriority w:val="99"/>
    <w:pPr>
      <w:adjustRightInd w:val="0"/>
      <w:spacing w:line="300" w:lineRule="auto"/>
      <w:ind w:left="958" w:right="-120" w:rightChars="-120"/>
      <w:jc w:val="left"/>
    </w:pPr>
    <w:rPr>
      <w:rFonts w:ascii="宋体" w:hAnsi="宋体"/>
      <w:sz w:val="28"/>
    </w:rPr>
  </w:style>
  <w:style w:type="paragraph" w:styleId="14">
    <w:name w:val="Plain Text"/>
    <w:basedOn w:val="1"/>
    <w:link w:val="38"/>
    <w:qFormat/>
    <w:uiPriority w:val="0"/>
    <w:rPr>
      <w:rFonts w:ascii="宋体" w:hAnsi="Courier New"/>
    </w:rPr>
  </w:style>
  <w:style w:type="paragraph" w:styleId="15">
    <w:name w:val="Date"/>
    <w:basedOn w:val="1"/>
    <w:next w:val="1"/>
    <w:link w:val="39"/>
    <w:qFormat/>
    <w:uiPriority w:val="99"/>
    <w:pPr>
      <w:ind w:left="2500" w:leftChars="2500"/>
    </w:pPr>
    <w:rPr>
      <w:rFonts w:ascii="Calibri" w:hAnsi="Calibri" w:eastAsia="楷体_GB2312"/>
      <w:sz w:val="32"/>
      <w:szCs w:val="22"/>
    </w:rPr>
  </w:style>
  <w:style w:type="paragraph" w:styleId="16">
    <w:name w:val="Balloon Text"/>
    <w:basedOn w:val="1"/>
    <w:link w:val="40"/>
    <w:qFormat/>
    <w:uiPriority w:val="99"/>
    <w:rPr>
      <w:sz w:val="18"/>
      <w:szCs w:val="18"/>
    </w:rPr>
  </w:style>
  <w:style w:type="paragraph" w:styleId="17">
    <w:name w:val="footer"/>
    <w:basedOn w:val="1"/>
    <w:link w:val="41"/>
    <w:qFormat/>
    <w:uiPriority w:val="99"/>
    <w:pPr>
      <w:tabs>
        <w:tab w:val="center" w:pos="4153"/>
        <w:tab w:val="right" w:pos="8306"/>
      </w:tabs>
      <w:snapToGrid w:val="0"/>
      <w:jc w:val="left"/>
    </w:pPr>
    <w:rPr>
      <w:sz w:val="18"/>
    </w:rPr>
  </w:style>
  <w:style w:type="paragraph" w:styleId="18">
    <w:name w:val="header"/>
    <w:basedOn w:val="1"/>
    <w:link w:val="4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List"/>
    <w:basedOn w:val="1"/>
    <w:semiHidden/>
    <w:unhideWhenUsed/>
    <w:qFormat/>
    <w:locked/>
    <w:uiPriority w:val="99"/>
    <w:pPr>
      <w:ind w:left="200" w:hanging="200" w:hangingChars="200"/>
      <w:contextualSpacing/>
    </w:pPr>
  </w:style>
  <w:style w:type="paragraph" w:styleId="20">
    <w:name w:val="footnote text"/>
    <w:basedOn w:val="1"/>
    <w:semiHidden/>
    <w:unhideWhenUsed/>
    <w:qFormat/>
    <w:locked/>
    <w:uiPriority w:val="99"/>
    <w:pPr>
      <w:snapToGrid w:val="0"/>
      <w:jc w:val="left"/>
    </w:pPr>
    <w:rPr>
      <w:sz w:val="18"/>
    </w:rPr>
  </w:style>
  <w:style w:type="paragraph" w:styleId="21">
    <w:name w:val="toc 2"/>
    <w:basedOn w:val="1"/>
    <w:next w:val="1"/>
    <w:qFormat/>
    <w:uiPriority w:val="99"/>
    <w:pPr>
      <w:ind w:left="420" w:leftChars="200"/>
    </w:p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paragraph" w:styleId="23">
    <w:name w:val="Title"/>
    <w:basedOn w:val="1"/>
    <w:next w:val="1"/>
    <w:qFormat/>
    <w:locked/>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4">
    <w:name w:val="annotation subject"/>
    <w:basedOn w:val="11"/>
    <w:next w:val="11"/>
    <w:link w:val="43"/>
    <w:qFormat/>
    <w:uiPriority w:val="99"/>
    <w:rPr>
      <w:b/>
      <w:bCs/>
    </w:rPr>
  </w:style>
  <w:style w:type="paragraph" w:styleId="25">
    <w:name w:val="Body Text First Indent 2"/>
    <w:basedOn w:val="12"/>
    <w:semiHidden/>
    <w:unhideWhenUsed/>
    <w:qFormat/>
    <w:locked/>
    <w:uiPriority w:val="99"/>
    <w:pPr>
      <w:ind w:firstLine="420"/>
    </w:pPr>
  </w:style>
  <w:style w:type="table" w:styleId="27">
    <w:name w:val="Table Grid"/>
    <w:basedOn w:val="2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annotation reference"/>
    <w:basedOn w:val="28"/>
    <w:qFormat/>
    <w:uiPriority w:val="99"/>
    <w:rPr>
      <w:rFonts w:cs="Times New Roman"/>
      <w:sz w:val="21"/>
      <w:szCs w:val="21"/>
    </w:rPr>
  </w:style>
  <w:style w:type="character" w:styleId="30">
    <w:name w:val="footnote reference"/>
    <w:basedOn w:val="28"/>
    <w:semiHidden/>
    <w:unhideWhenUsed/>
    <w:qFormat/>
    <w:locked/>
    <w:uiPriority w:val="99"/>
    <w:rPr>
      <w:vertAlign w:val="superscript"/>
    </w:rPr>
  </w:style>
  <w:style w:type="paragraph" w:customStyle="1" w:styleId="31">
    <w:name w:val="正文（首行缩进2字符）"/>
    <w:basedOn w:val="1"/>
    <w:qFormat/>
    <w:uiPriority w:val="0"/>
    <w:pPr>
      <w:spacing w:line="360" w:lineRule="auto"/>
      <w:ind w:firstLine="420" w:firstLineChars="200"/>
    </w:pPr>
    <w:rPr>
      <w:szCs w:val="21"/>
    </w:rPr>
  </w:style>
  <w:style w:type="character" w:customStyle="1" w:styleId="32">
    <w:name w:val="标题 1 字符"/>
    <w:basedOn w:val="28"/>
    <w:link w:val="5"/>
    <w:qFormat/>
    <w:locked/>
    <w:uiPriority w:val="99"/>
    <w:rPr>
      <w:rFonts w:ascii="Times New Roman" w:hAnsi="Times New Roman" w:cs="Times New Roman"/>
      <w:b/>
      <w:bCs/>
      <w:kern w:val="44"/>
      <w:sz w:val="44"/>
      <w:szCs w:val="44"/>
    </w:rPr>
  </w:style>
  <w:style w:type="character" w:customStyle="1" w:styleId="33">
    <w:name w:val="标题 2 字符"/>
    <w:basedOn w:val="28"/>
    <w:link w:val="6"/>
    <w:semiHidden/>
    <w:qFormat/>
    <w:locked/>
    <w:uiPriority w:val="99"/>
    <w:rPr>
      <w:rFonts w:ascii="Cambria" w:hAnsi="Cambria" w:eastAsia="宋体" w:cs="Times New Roman"/>
      <w:b/>
      <w:bCs/>
      <w:sz w:val="32"/>
      <w:szCs w:val="32"/>
    </w:rPr>
  </w:style>
  <w:style w:type="character" w:customStyle="1" w:styleId="34">
    <w:name w:val="标题 3 字符"/>
    <w:basedOn w:val="28"/>
    <w:link w:val="7"/>
    <w:semiHidden/>
    <w:qFormat/>
    <w:locked/>
    <w:uiPriority w:val="99"/>
    <w:rPr>
      <w:rFonts w:cs="Times New Roman"/>
      <w:b/>
      <w:bCs/>
      <w:sz w:val="32"/>
      <w:szCs w:val="32"/>
    </w:rPr>
  </w:style>
  <w:style w:type="character" w:customStyle="1" w:styleId="35">
    <w:name w:val="正文文本 字符"/>
    <w:basedOn w:val="28"/>
    <w:link w:val="2"/>
    <w:semiHidden/>
    <w:qFormat/>
    <w:locked/>
    <w:uiPriority w:val="99"/>
    <w:rPr>
      <w:rFonts w:cs="Times New Roman"/>
      <w:sz w:val="24"/>
      <w:szCs w:val="24"/>
    </w:rPr>
  </w:style>
  <w:style w:type="character" w:customStyle="1" w:styleId="36">
    <w:name w:val="批注文字 字符"/>
    <w:basedOn w:val="28"/>
    <w:link w:val="11"/>
    <w:qFormat/>
    <w:locked/>
    <w:uiPriority w:val="99"/>
    <w:rPr>
      <w:rFonts w:ascii="Times New Roman" w:hAnsi="Times New Roman" w:eastAsia="宋体" w:cs="Times New Roman"/>
      <w:kern w:val="2"/>
      <w:sz w:val="24"/>
      <w:szCs w:val="24"/>
    </w:rPr>
  </w:style>
  <w:style w:type="character" w:customStyle="1" w:styleId="37">
    <w:name w:val="正文文本缩进 字符"/>
    <w:basedOn w:val="28"/>
    <w:link w:val="12"/>
    <w:qFormat/>
    <w:locked/>
    <w:uiPriority w:val="99"/>
    <w:rPr>
      <w:rFonts w:cs="Times New Roman"/>
      <w:kern w:val="2"/>
      <w:sz w:val="24"/>
      <w:szCs w:val="24"/>
    </w:rPr>
  </w:style>
  <w:style w:type="character" w:customStyle="1" w:styleId="38">
    <w:name w:val="纯文本 字符"/>
    <w:basedOn w:val="28"/>
    <w:link w:val="14"/>
    <w:qFormat/>
    <w:locked/>
    <w:uiPriority w:val="0"/>
    <w:rPr>
      <w:rFonts w:ascii="宋体" w:hAnsi="Courier New" w:cs="Courier New"/>
      <w:sz w:val="21"/>
      <w:szCs w:val="21"/>
    </w:rPr>
  </w:style>
  <w:style w:type="character" w:customStyle="1" w:styleId="39">
    <w:name w:val="日期 字符"/>
    <w:basedOn w:val="28"/>
    <w:link w:val="15"/>
    <w:semiHidden/>
    <w:qFormat/>
    <w:locked/>
    <w:uiPriority w:val="99"/>
    <w:rPr>
      <w:rFonts w:cs="Times New Roman"/>
      <w:sz w:val="24"/>
      <w:szCs w:val="24"/>
    </w:rPr>
  </w:style>
  <w:style w:type="character" w:customStyle="1" w:styleId="40">
    <w:name w:val="批注框文本 字符"/>
    <w:basedOn w:val="28"/>
    <w:link w:val="16"/>
    <w:qFormat/>
    <w:locked/>
    <w:uiPriority w:val="99"/>
    <w:rPr>
      <w:rFonts w:ascii="Times New Roman" w:hAnsi="Times New Roman" w:eastAsia="宋体" w:cs="Times New Roman"/>
      <w:kern w:val="2"/>
      <w:sz w:val="18"/>
      <w:szCs w:val="18"/>
    </w:rPr>
  </w:style>
  <w:style w:type="character" w:customStyle="1" w:styleId="41">
    <w:name w:val="页脚 字符"/>
    <w:basedOn w:val="28"/>
    <w:link w:val="17"/>
    <w:semiHidden/>
    <w:qFormat/>
    <w:locked/>
    <w:uiPriority w:val="99"/>
    <w:rPr>
      <w:rFonts w:cs="Times New Roman"/>
      <w:sz w:val="18"/>
      <w:szCs w:val="18"/>
    </w:rPr>
  </w:style>
  <w:style w:type="character" w:customStyle="1" w:styleId="42">
    <w:name w:val="页眉 字符"/>
    <w:basedOn w:val="28"/>
    <w:link w:val="18"/>
    <w:semiHidden/>
    <w:qFormat/>
    <w:locked/>
    <w:uiPriority w:val="99"/>
    <w:rPr>
      <w:rFonts w:cs="Times New Roman"/>
      <w:sz w:val="18"/>
      <w:szCs w:val="18"/>
    </w:rPr>
  </w:style>
  <w:style w:type="character" w:customStyle="1" w:styleId="43">
    <w:name w:val="批注主题 字符"/>
    <w:basedOn w:val="36"/>
    <w:link w:val="24"/>
    <w:qFormat/>
    <w:locked/>
    <w:uiPriority w:val="99"/>
    <w:rPr>
      <w:rFonts w:ascii="Times New Roman" w:hAnsi="Times New Roman" w:eastAsia="宋体" w:cs="Times New Roman"/>
      <w:b/>
      <w:bCs/>
      <w:kern w:val="2"/>
      <w:sz w:val="24"/>
      <w:szCs w:val="24"/>
    </w:rPr>
  </w:style>
  <w:style w:type="paragraph" w:customStyle="1" w:styleId="44">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45">
    <w:name w:val="List Paragraph"/>
    <w:basedOn w:val="1"/>
    <w:qFormat/>
    <w:uiPriority w:val="99"/>
    <w:pPr>
      <w:ind w:firstLine="420" w:firstLineChars="200"/>
    </w:pPr>
    <w:rPr>
      <w:rFonts w:ascii="Calibri" w:hAnsi="Calibri"/>
      <w:szCs w:val="22"/>
    </w:rPr>
  </w:style>
  <w:style w:type="paragraph" w:customStyle="1" w:styleId="46">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7">
    <w:name w:val="列出段落1"/>
    <w:basedOn w:val="1"/>
    <w:qFormat/>
    <w:uiPriority w:val="99"/>
    <w:pPr>
      <w:ind w:firstLine="420" w:firstLineChars="200"/>
    </w:pPr>
    <w:rPr>
      <w:rFonts w:ascii="Calibri" w:hAnsi="Calibri"/>
      <w:kern w:val="0"/>
      <w:szCs w:val="20"/>
    </w:rPr>
  </w:style>
  <w:style w:type="paragraph" w:customStyle="1" w:styleId="48">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9">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0">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4"/>
    <w:qFormat/>
    <w:uiPriority w:val="99"/>
    <w:rPr>
      <w:rFonts w:ascii="Times New Roman" w:hAnsi="Times New Roman" w:eastAsia="宋体" w:cs="Times New Roman"/>
      <w:sz w:val="21"/>
      <w:szCs w:val="22"/>
      <w:lang w:val="en-US" w:eastAsia="zh-CN" w:bidi="ar-SA"/>
    </w:rPr>
  </w:style>
  <w:style w:type="paragraph" w:customStyle="1" w:styleId="52">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纯文本_3"/>
    <w:basedOn w:val="54"/>
    <w:qFormat/>
    <w:uiPriority w:val="99"/>
    <w:pPr>
      <w:widowControl/>
      <w:jc w:val="left"/>
    </w:pPr>
    <w:rPr>
      <w:rFonts w:ascii="宋体" w:hAnsi="Courier New"/>
      <w:szCs w:val="21"/>
    </w:rPr>
  </w:style>
  <w:style w:type="paragraph" w:customStyle="1" w:styleId="56">
    <w:name w:val="纯文本_0_1"/>
    <w:basedOn w:val="1"/>
    <w:qFormat/>
    <w:uiPriority w:val="99"/>
    <w:pPr>
      <w:widowControl/>
      <w:jc w:val="left"/>
    </w:pPr>
    <w:rPr>
      <w:rFonts w:ascii="宋体" w:hAnsi="Courier New"/>
      <w:szCs w:val="21"/>
    </w:rPr>
  </w:style>
  <w:style w:type="paragraph" w:customStyle="1" w:styleId="57">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62">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character" w:customStyle="1" w:styleId="63">
    <w:name w:val="font11"/>
    <w:qFormat/>
    <w:uiPriority w:val="0"/>
    <w:rPr>
      <w:rFonts w:hint="default" w:ascii="Times New Roman" w:hAnsi="Times New Roman" w:cs="Times New Roman"/>
      <w:color w:val="000000"/>
      <w:sz w:val="24"/>
      <w:szCs w:val="24"/>
      <w:u w:val="none"/>
    </w:rPr>
  </w:style>
  <w:style w:type="character" w:customStyle="1" w:styleId="64">
    <w:name w:val="font01"/>
    <w:qFormat/>
    <w:uiPriority w:val="0"/>
    <w:rPr>
      <w:rFonts w:hint="eastAsia" w:ascii="宋体" w:hAnsi="宋体" w:eastAsia="宋体" w:cs="宋体"/>
      <w:color w:val="000000"/>
      <w:sz w:val="24"/>
      <w:szCs w:val="24"/>
      <w:u w:val="none"/>
    </w:rPr>
  </w:style>
  <w:style w:type="character" w:customStyle="1" w:styleId="65">
    <w:name w:val="font31"/>
    <w:qFormat/>
    <w:uiPriority w:val="0"/>
    <w:rPr>
      <w:rFonts w:hint="eastAsia" w:ascii="宋体" w:hAnsi="宋体" w:eastAsia="宋体" w:cs="宋体"/>
      <w:color w:val="000000"/>
      <w:sz w:val="24"/>
      <w:szCs w:val="24"/>
      <w:u w:val="none"/>
    </w:rPr>
  </w:style>
  <w:style w:type="paragraph" w:customStyle="1" w:styleId="66">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7">
    <w:name w:val="正文缩进1"/>
    <w:qFormat/>
    <w:uiPriority w:val="0"/>
    <w:pPr>
      <w:framePr w:wrap="around" w:vAnchor="margin" w:hAnchor="text" w:y="1"/>
      <w:widowControl w:val="0"/>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6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66</Pages>
  <Words>30304</Words>
  <Characters>31689</Characters>
  <Lines>253</Lines>
  <Paragraphs>71</Paragraphs>
  <TotalTime>1</TotalTime>
  <ScaleCrop>false</ScaleCrop>
  <LinksUpToDate>false</LinksUpToDate>
  <CharactersWithSpaces>33411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2021-04-23T03:31:00Z</dcterms:created>
  <dc:creator>S-mile</dc:creator>
  <cp:lastModifiedBy>弄白白白</cp:lastModifiedBy>
  <dcterms:modified xsi:type="dcterms:W3CDTF">2022-04-13T03:43:23Z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89E346E629094957A0BE3111635D0125</vt:lpwstr>
  </property>
</Properties>
</file>