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Ansi="宋体"/>
          <w:b/>
          <w:bCs/>
          <w:color w:val="000000"/>
          <w:sz w:val="32"/>
          <w:szCs w:val="32"/>
        </w:rPr>
      </w:pPr>
      <w:r>
        <w:rPr>
          <w:rFonts w:hAnsi="宋体"/>
          <w:b/>
          <w:bCs/>
          <w:color w:val="000000"/>
          <w:sz w:val="32"/>
          <w:szCs w:val="32"/>
        </w:rPr>
        <w:t>浙江财经大学采购合同</w:t>
      </w:r>
    </w:p>
    <w:p>
      <w:pPr>
        <w:pStyle w:val="3"/>
        <w:snapToGrid w:val="0"/>
        <w:ind w:firstLine="440" w:firstLineChars="200"/>
        <w:rPr>
          <w:rFonts w:hAnsi="宋体"/>
          <w:color w:val="000000"/>
          <w:sz w:val="22"/>
          <w:szCs w:val="22"/>
        </w:rPr>
      </w:pPr>
    </w:p>
    <w:p>
      <w:pPr>
        <w:pStyle w:val="3"/>
        <w:snapToGrid w:val="0"/>
        <w:ind w:firstLine="440" w:firstLineChars="200"/>
        <w:rPr>
          <w:rFonts w:hAnsi="宋体"/>
          <w:color w:val="000000"/>
          <w:sz w:val="22"/>
          <w:szCs w:val="22"/>
        </w:rPr>
      </w:pPr>
      <w:r>
        <w:rPr>
          <w:rFonts w:hAnsi="宋体"/>
          <w:color w:val="000000"/>
          <w:sz w:val="22"/>
          <w:szCs w:val="22"/>
        </w:rPr>
        <w:t>甲方</w:t>
      </w:r>
      <w:r>
        <w:rPr>
          <w:rFonts w:hint="eastAsia" w:hAnsi="宋体"/>
          <w:color w:val="000000"/>
          <w:sz w:val="22"/>
          <w:szCs w:val="22"/>
        </w:rPr>
        <w:t>（采购人</w:t>
      </w:r>
      <w:r>
        <w:rPr>
          <w:rFonts w:hAnsi="宋体"/>
          <w:color w:val="000000"/>
          <w:sz w:val="22"/>
          <w:szCs w:val="22"/>
        </w:rPr>
        <w:t>）：浙江财经大学</w:t>
      </w:r>
    </w:p>
    <w:p>
      <w:pPr>
        <w:pStyle w:val="3"/>
        <w:snapToGrid w:val="0"/>
        <w:ind w:firstLine="440" w:firstLineChars="200"/>
        <w:rPr>
          <w:rFonts w:hAnsi="宋体"/>
          <w:color w:val="000000"/>
          <w:sz w:val="22"/>
          <w:szCs w:val="22"/>
        </w:rPr>
      </w:pPr>
      <w:r>
        <w:rPr>
          <w:rFonts w:hAnsi="宋体"/>
          <w:color w:val="000000"/>
          <w:sz w:val="22"/>
          <w:szCs w:val="22"/>
        </w:rPr>
        <w:t>乙方（</w:t>
      </w:r>
      <w:r>
        <w:rPr>
          <w:rFonts w:hint="eastAsia" w:hAnsi="宋体"/>
          <w:color w:val="000000"/>
          <w:sz w:val="22"/>
          <w:szCs w:val="22"/>
        </w:rPr>
        <w:t>供应商</w:t>
      </w:r>
      <w:r>
        <w:rPr>
          <w:rFonts w:hAnsi="宋体"/>
          <w:color w:val="000000"/>
          <w:sz w:val="22"/>
          <w:szCs w:val="22"/>
        </w:rPr>
        <w:t>）：杭州毕为科技有限公司</w:t>
      </w:r>
    </w:p>
    <w:p>
      <w:pPr>
        <w:pStyle w:val="3"/>
        <w:snapToGrid w:val="0"/>
        <w:ind w:firstLine="440" w:firstLineChars="200"/>
        <w:rPr>
          <w:rFonts w:hAnsi="宋体"/>
          <w:color w:val="000000"/>
          <w:sz w:val="22"/>
          <w:szCs w:val="22"/>
        </w:rPr>
      </w:pPr>
      <w:r>
        <w:rPr>
          <w:rFonts w:hint="eastAsia" w:hAnsi="宋体"/>
          <w:color w:val="000000"/>
          <w:sz w:val="22"/>
          <w:szCs w:val="20"/>
        </w:rPr>
        <w:t>甲、乙双方根据</w:t>
      </w:r>
      <w:r>
        <w:rPr>
          <w:rFonts w:hint="eastAsia" w:hAnsi="宋体"/>
          <w:color w:val="000000"/>
          <w:sz w:val="22"/>
          <w:szCs w:val="22"/>
        </w:rPr>
        <w:t>浙江省工程咨询有限公司</w:t>
      </w:r>
      <w:r>
        <w:rPr>
          <w:rFonts w:hint="eastAsia" w:hAnsi="宋体"/>
          <w:color w:val="000000"/>
          <w:sz w:val="22"/>
          <w:szCs w:val="20"/>
        </w:rPr>
        <w:t>关于项目编号为</w:t>
      </w:r>
      <w:r>
        <w:rPr>
          <w:rFonts w:hAnsi="宋体"/>
          <w:bCs/>
          <w:color w:val="000000"/>
          <w:sz w:val="22"/>
          <w:szCs w:val="20"/>
          <w:u w:val="single"/>
        </w:rPr>
        <w:t>ZJPEC-CJ-115</w:t>
      </w:r>
      <w:r>
        <w:rPr>
          <w:rFonts w:hint="eastAsia" w:hAnsi="宋体"/>
          <w:color w:val="000000"/>
          <w:sz w:val="22"/>
          <w:szCs w:val="20"/>
        </w:rPr>
        <w:t>的</w:t>
      </w:r>
      <w:r>
        <w:rPr>
          <w:rFonts w:hint="eastAsia" w:hAnsi="宋体"/>
          <w:color w:val="000000"/>
          <w:sz w:val="22"/>
          <w:szCs w:val="22"/>
        </w:rPr>
        <w:t>浙江财经大学信息化应用软件建设项目--</w:t>
      </w:r>
      <w:r>
        <w:rPr>
          <w:rFonts w:hint="eastAsia" w:hAnsi="宋体"/>
          <w:color w:val="000000"/>
          <w:sz w:val="22"/>
          <w:szCs w:val="22"/>
          <w:u w:val="single"/>
        </w:rPr>
        <w:t>标项（一）</w:t>
      </w:r>
      <w:r>
        <w:rPr>
          <w:rFonts w:hint="eastAsia" w:hAnsi="宋体"/>
          <w:color w:val="000000"/>
          <w:sz w:val="22"/>
          <w:szCs w:val="22"/>
        </w:rPr>
        <w:t>竞争性磋商</w:t>
      </w:r>
      <w:r>
        <w:rPr>
          <w:rFonts w:hAnsi="宋体"/>
          <w:color w:val="000000"/>
          <w:sz w:val="22"/>
          <w:szCs w:val="22"/>
        </w:rPr>
        <w:t>的结果，签署本合同。</w:t>
      </w:r>
    </w:p>
    <w:p>
      <w:pPr>
        <w:ind w:firstLine="442" w:firstLineChars="200"/>
        <w:rPr>
          <w:rFonts w:ascii="宋体" w:hAnsi="宋体"/>
          <w:b/>
          <w:color w:val="000000"/>
          <w:sz w:val="22"/>
          <w:lang w:val="zh-CN"/>
        </w:rPr>
      </w:pPr>
      <w:r>
        <w:rPr>
          <w:rFonts w:hint="eastAsia" w:ascii="宋体" w:hAnsi="宋体"/>
          <w:b/>
          <w:color w:val="000000"/>
          <w:sz w:val="22"/>
          <w:lang w:val="zh-CN"/>
        </w:rPr>
        <w:t>一、服务</w:t>
      </w:r>
      <w:r>
        <w:rPr>
          <w:rFonts w:ascii="宋体" w:hAnsi="宋体"/>
          <w:b/>
          <w:color w:val="000000"/>
          <w:sz w:val="22"/>
          <w:lang w:val="zh-CN"/>
        </w:rPr>
        <w:t>内容</w:t>
      </w:r>
    </w:p>
    <w:p>
      <w:pPr>
        <w:pStyle w:val="3"/>
        <w:snapToGrid w:val="0"/>
        <w:ind w:firstLine="550" w:firstLineChars="250"/>
        <w:outlineLvl w:val="2"/>
        <w:rPr>
          <w:rFonts w:hAnsi="宋体" w:cs="Arial"/>
          <w:color w:val="000000"/>
          <w:sz w:val="20"/>
          <w:szCs w:val="20"/>
        </w:rPr>
      </w:pPr>
      <w:r>
        <w:rPr>
          <w:rFonts w:hint="eastAsia" w:hAnsi="宋体"/>
          <w:color w:val="000000"/>
          <w:sz w:val="22"/>
          <w:szCs w:val="20"/>
        </w:rPr>
        <w:t>浙江财经大学信息化应用软件建设项目-</w:t>
      </w:r>
      <w:r>
        <w:rPr>
          <w:rFonts w:hint="eastAsia" w:hAnsi="宋体"/>
          <w:color w:val="000000"/>
          <w:sz w:val="22"/>
          <w:szCs w:val="20"/>
          <w:u w:val="single"/>
        </w:rPr>
        <w:t>-标项（一）</w:t>
      </w:r>
      <w:r>
        <w:rPr>
          <w:rFonts w:hint="eastAsia" w:hAnsi="宋体" w:cs="Arial"/>
          <w:color w:val="000000"/>
          <w:sz w:val="22"/>
          <w:szCs w:val="20"/>
        </w:rPr>
        <w:t>内容包括：</w:t>
      </w:r>
      <w:r>
        <w:rPr>
          <w:rFonts w:hint="eastAsia" w:hAnsi="宋体"/>
          <w:color w:val="000000"/>
          <w:szCs w:val="24"/>
          <w:u w:val="single"/>
        </w:rPr>
        <w:t>研究生院综合服务管理平台</w:t>
      </w:r>
      <w:r>
        <w:rPr>
          <w:rFonts w:hint="eastAsia" w:hAnsi="宋体" w:cs="Arial"/>
          <w:color w:val="000000"/>
          <w:sz w:val="22"/>
          <w:szCs w:val="20"/>
        </w:rPr>
        <w:t>，满足相关服务需求。</w:t>
      </w:r>
    </w:p>
    <w:p>
      <w:pPr>
        <w:ind w:firstLine="442" w:firstLineChars="200"/>
        <w:rPr>
          <w:rFonts w:ascii="宋体" w:hAnsi="宋体"/>
          <w:b/>
          <w:color w:val="000000"/>
          <w:sz w:val="22"/>
          <w:lang w:val="zh-CN"/>
        </w:rPr>
      </w:pPr>
      <w:r>
        <w:rPr>
          <w:rFonts w:hint="eastAsia" w:ascii="宋体" w:hAnsi="宋体"/>
          <w:b/>
          <w:color w:val="000000"/>
          <w:sz w:val="22"/>
          <w:lang w:val="zh-CN"/>
        </w:rPr>
        <w:t>二、标项（一）的服务内容及要求</w:t>
      </w:r>
      <w:r>
        <w:rPr>
          <w:rFonts w:ascii="宋体" w:hAnsi="宋体"/>
          <w:b/>
          <w:color w:val="000000"/>
          <w:sz w:val="22"/>
          <w:lang w:val="zh-CN"/>
        </w:rPr>
        <w:t>：</w:t>
      </w:r>
    </w:p>
    <w:p>
      <w:pPr>
        <w:ind w:left="840"/>
        <w:rPr>
          <w:rFonts w:ascii="宋体" w:hAnsi="宋体"/>
          <w:bCs/>
          <w:color w:val="000000"/>
          <w:sz w:val="22"/>
        </w:rPr>
      </w:pPr>
      <w:r>
        <w:rPr>
          <w:rFonts w:hint="eastAsia" w:ascii="宋体" w:hAnsi="宋体"/>
          <w:bCs/>
          <w:color w:val="000000"/>
          <w:sz w:val="22"/>
        </w:rPr>
        <w:t>1、</w:t>
      </w:r>
      <w:r>
        <w:rPr>
          <w:rFonts w:ascii="宋体" w:hAnsi="宋体"/>
          <w:bCs/>
          <w:color w:val="000000"/>
          <w:sz w:val="22"/>
        </w:rPr>
        <w:t>货物名称：详见附件。</w:t>
      </w:r>
    </w:p>
    <w:p>
      <w:pPr>
        <w:ind w:left="840"/>
        <w:rPr>
          <w:rFonts w:ascii="宋体" w:hAnsi="宋体"/>
          <w:bCs/>
          <w:color w:val="000000"/>
          <w:sz w:val="22"/>
        </w:rPr>
      </w:pPr>
      <w:r>
        <w:rPr>
          <w:rFonts w:hint="eastAsia" w:ascii="宋体" w:hAnsi="宋体"/>
          <w:bCs/>
          <w:color w:val="000000"/>
          <w:sz w:val="22"/>
        </w:rPr>
        <w:t>2、</w:t>
      </w:r>
      <w:r>
        <w:rPr>
          <w:rFonts w:ascii="宋体" w:hAnsi="宋体"/>
          <w:bCs/>
          <w:color w:val="000000"/>
          <w:sz w:val="22"/>
        </w:rPr>
        <w:t>型号规格：详见附件。</w:t>
      </w:r>
    </w:p>
    <w:p>
      <w:pPr>
        <w:ind w:left="840"/>
        <w:rPr>
          <w:rFonts w:ascii="宋体" w:hAnsi="宋体"/>
          <w:bCs/>
          <w:color w:val="000000"/>
          <w:sz w:val="22"/>
        </w:rPr>
      </w:pPr>
      <w:r>
        <w:rPr>
          <w:rFonts w:hint="eastAsia" w:ascii="宋体" w:hAnsi="宋体"/>
          <w:bCs/>
          <w:color w:val="000000"/>
          <w:sz w:val="22"/>
        </w:rPr>
        <w:t>3、</w:t>
      </w:r>
      <w:r>
        <w:rPr>
          <w:rFonts w:ascii="宋体" w:hAnsi="宋体"/>
          <w:bCs/>
          <w:color w:val="000000"/>
          <w:sz w:val="22"/>
        </w:rPr>
        <w:t>技术参数：详见附件。</w:t>
      </w:r>
    </w:p>
    <w:p>
      <w:pPr>
        <w:ind w:left="840"/>
        <w:rPr>
          <w:rFonts w:ascii="宋体" w:hAnsi="宋体"/>
          <w:bCs/>
          <w:color w:val="000000"/>
          <w:sz w:val="22"/>
        </w:rPr>
      </w:pPr>
      <w:r>
        <w:rPr>
          <w:rFonts w:hint="eastAsia" w:ascii="宋体" w:hAnsi="宋体"/>
          <w:bCs/>
          <w:color w:val="000000"/>
          <w:sz w:val="22"/>
          <w:lang w:val="en-US" w:eastAsia="zh-CN"/>
        </w:rPr>
        <w:t>4、售后服务：</w:t>
      </w:r>
      <w:r>
        <w:rPr>
          <w:rFonts w:ascii="宋体" w:hAnsi="宋体"/>
          <w:bCs/>
          <w:color w:val="000000"/>
          <w:sz w:val="22"/>
        </w:rPr>
        <w:t>详见附件。</w:t>
      </w:r>
    </w:p>
    <w:p>
      <w:pPr>
        <w:ind w:left="840"/>
        <w:rPr>
          <w:rFonts w:hint="default" w:ascii="宋体" w:hAnsi="宋体" w:eastAsia="宋体"/>
          <w:bCs/>
          <w:color w:val="000000"/>
          <w:sz w:val="22"/>
          <w:lang w:val="en-US" w:eastAsia="zh-CN"/>
        </w:rPr>
      </w:pPr>
      <w:r>
        <w:rPr>
          <w:rFonts w:hint="eastAsia" w:ascii="宋体" w:hAnsi="宋体"/>
          <w:bCs/>
          <w:color w:val="000000"/>
          <w:sz w:val="22"/>
          <w:lang w:val="en-US" w:eastAsia="zh-CN"/>
        </w:rPr>
        <w:t>5、建设周期：</w:t>
      </w:r>
      <w:r>
        <w:rPr>
          <w:rFonts w:ascii="宋体" w:hAnsi="宋体"/>
          <w:bCs/>
          <w:color w:val="000000"/>
          <w:sz w:val="22"/>
        </w:rPr>
        <w:t>详见附件。</w:t>
      </w:r>
    </w:p>
    <w:p>
      <w:pPr>
        <w:ind w:left="840"/>
        <w:rPr>
          <w:rFonts w:ascii="宋体" w:hAnsi="宋体"/>
          <w:bCs/>
          <w:color w:val="000000"/>
          <w:sz w:val="22"/>
        </w:rPr>
      </w:pPr>
      <w:r>
        <w:rPr>
          <w:rFonts w:hint="eastAsia" w:ascii="宋体" w:hAnsi="宋体"/>
          <w:bCs/>
          <w:color w:val="000000"/>
          <w:sz w:val="22"/>
          <w:lang w:val="en-US" w:eastAsia="zh-CN"/>
        </w:rPr>
        <w:t>6</w:t>
      </w:r>
      <w:r>
        <w:rPr>
          <w:rFonts w:hint="eastAsia" w:ascii="宋体" w:hAnsi="宋体"/>
          <w:bCs/>
          <w:color w:val="000000"/>
          <w:sz w:val="22"/>
        </w:rPr>
        <w:t>、</w:t>
      </w:r>
      <w:r>
        <w:rPr>
          <w:rFonts w:ascii="宋体" w:hAnsi="宋体"/>
          <w:bCs/>
          <w:color w:val="000000"/>
          <w:sz w:val="22"/>
        </w:rPr>
        <w:t>数量（单位）：1套。</w:t>
      </w:r>
    </w:p>
    <w:p>
      <w:pPr>
        <w:ind w:firstLine="442" w:firstLineChars="200"/>
        <w:rPr>
          <w:rFonts w:ascii="宋体" w:hAnsi="宋体"/>
          <w:b/>
          <w:color w:val="000000"/>
          <w:sz w:val="22"/>
          <w:lang w:val="zh-CN"/>
        </w:rPr>
      </w:pPr>
      <w:r>
        <w:rPr>
          <w:rFonts w:hint="eastAsia" w:ascii="宋体" w:hAnsi="宋体"/>
          <w:b/>
          <w:color w:val="000000"/>
          <w:sz w:val="22"/>
          <w:lang w:val="zh-CN"/>
        </w:rPr>
        <w:t>三、本标项（</w:t>
      </w:r>
      <w:r>
        <w:rPr>
          <w:rFonts w:hint="eastAsia" w:ascii="宋体" w:hAnsi="宋体"/>
          <w:b/>
          <w:color w:val="000000"/>
          <w:sz w:val="22"/>
        </w:rPr>
        <w:t>一</w:t>
      </w:r>
      <w:r>
        <w:rPr>
          <w:rFonts w:hint="eastAsia" w:ascii="宋体" w:hAnsi="宋体"/>
          <w:b/>
          <w:color w:val="000000"/>
          <w:sz w:val="22"/>
          <w:lang w:val="zh-CN"/>
        </w:rPr>
        <w:t>）服务地址：</w:t>
      </w:r>
      <w:r>
        <w:rPr>
          <w:rFonts w:ascii="宋体" w:hAnsi="宋体"/>
          <w:b/>
          <w:color w:val="000000"/>
          <w:sz w:val="22"/>
          <w:u w:val="single"/>
        </w:rPr>
        <w:t>甲方指定</w:t>
      </w:r>
      <w:r>
        <w:rPr>
          <w:rFonts w:hint="eastAsia" w:ascii="宋体" w:hAnsi="宋体"/>
          <w:b/>
          <w:color w:val="000000"/>
          <w:sz w:val="22"/>
          <w:lang w:val="zh-CN"/>
        </w:rPr>
        <w:t>。</w:t>
      </w:r>
    </w:p>
    <w:p>
      <w:pPr>
        <w:pStyle w:val="3"/>
        <w:snapToGrid w:val="0"/>
        <w:ind w:firstLine="442" w:firstLineChars="200"/>
        <w:outlineLvl w:val="2"/>
        <w:rPr>
          <w:rFonts w:hAnsi="宋体"/>
          <w:b/>
          <w:color w:val="000000"/>
          <w:sz w:val="22"/>
          <w:szCs w:val="22"/>
        </w:rPr>
      </w:pPr>
      <w:r>
        <w:rPr>
          <w:rFonts w:hint="eastAsia" w:hAnsi="宋体"/>
          <w:b/>
          <w:color w:val="000000"/>
          <w:sz w:val="22"/>
          <w:szCs w:val="22"/>
        </w:rPr>
        <w:t>四</w:t>
      </w:r>
      <w:r>
        <w:rPr>
          <w:rFonts w:hAnsi="宋体"/>
          <w:b/>
          <w:color w:val="000000"/>
          <w:sz w:val="22"/>
          <w:szCs w:val="22"/>
        </w:rPr>
        <w:t>、合同金额</w:t>
      </w:r>
      <w:r>
        <w:rPr>
          <w:rFonts w:hint="eastAsia" w:hAnsi="宋体"/>
          <w:b/>
          <w:color w:val="000000"/>
          <w:sz w:val="22"/>
          <w:szCs w:val="22"/>
        </w:rPr>
        <w:t>及付款方式</w:t>
      </w:r>
    </w:p>
    <w:p>
      <w:pPr>
        <w:pStyle w:val="3"/>
        <w:snapToGrid w:val="0"/>
        <w:ind w:firstLine="440" w:firstLineChars="200"/>
        <w:rPr>
          <w:rFonts w:hAnsi="宋体"/>
          <w:color w:val="000000"/>
          <w:sz w:val="22"/>
          <w:szCs w:val="22"/>
        </w:rPr>
      </w:pPr>
      <w:r>
        <w:rPr>
          <w:rFonts w:hint="eastAsia" w:hAnsi="宋体"/>
          <w:color w:val="000000"/>
          <w:sz w:val="22"/>
          <w:szCs w:val="20"/>
        </w:rPr>
        <w:t>1、</w:t>
      </w:r>
      <w:r>
        <w:rPr>
          <w:rFonts w:hint="eastAsia" w:hAnsi="宋体"/>
          <w:color w:val="000000"/>
          <w:sz w:val="22"/>
          <w:szCs w:val="22"/>
        </w:rPr>
        <w:t>合同价</w:t>
      </w:r>
      <w:r>
        <w:rPr>
          <w:rFonts w:hAnsi="宋体"/>
          <w:color w:val="000000"/>
          <w:sz w:val="22"/>
          <w:szCs w:val="22"/>
        </w:rPr>
        <w:t>为（大写）：陆拾肆万玖仟元整（￥649000元）人民币</w:t>
      </w:r>
      <w:r>
        <w:rPr>
          <w:rFonts w:hint="eastAsia" w:hAnsi="宋体"/>
          <w:color w:val="000000"/>
          <w:sz w:val="22"/>
          <w:szCs w:val="22"/>
        </w:rPr>
        <w:t>；</w:t>
      </w:r>
    </w:p>
    <w:p>
      <w:pPr>
        <w:ind w:firstLine="440" w:firstLineChars="200"/>
        <w:rPr>
          <w:rFonts w:ascii="宋体" w:hAnsi="宋体"/>
          <w:color w:val="000000"/>
          <w:sz w:val="22"/>
        </w:rPr>
      </w:pPr>
      <w:r>
        <w:rPr>
          <w:rFonts w:hint="eastAsia" w:ascii="宋体" w:hAnsi="宋体" w:cs="Arial"/>
          <w:color w:val="000000"/>
          <w:sz w:val="22"/>
          <w:szCs w:val="21"/>
        </w:rPr>
        <w:t>2、</w:t>
      </w:r>
      <w:r>
        <w:rPr>
          <w:rFonts w:hint="eastAsia" w:ascii="宋体" w:hAnsi="宋体"/>
          <w:color w:val="000000"/>
          <w:sz w:val="22"/>
        </w:rPr>
        <w:t>货物送达采购人、软件安装调试完毕、再经采购人验收合格后，支付货物合同总价的100%；中标人应在签订合同时向采购人缴纳5%的履约保证金，合同验收合格后自动转为质保金，在合同规定的质保期内无质量问题和维护问题后全额退还（不计息）。</w:t>
      </w:r>
    </w:p>
    <w:p>
      <w:pPr>
        <w:ind w:firstLine="442" w:firstLineChars="200"/>
        <w:rPr>
          <w:rFonts w:ascii="宋体" w:hAnsi="宋体"/>
          <w:snapToGrid w:val="0"/>
          <w:color w:val="000000"/>
          <w:kern w:val="0"/>
          <w:sz w:val="22"/>
          <w:szCs w:val="21"/>
        </w:rPr>
      </w:pPr>
      <w:r>
        <w:rPr>
          <w:rFonts w:hint="eastAsia" w:ascii="宋体" w:hAnsi="宋体"/>
          <w:b/>
          <w:snapToGrid w:val="0"/>
          <w:color w:val="000000"/>
          <w:kern w:val="0"/>
          <w:sz w:val="22"/>
          <w:szCs w:val="21"/>
        </w:rPr>
        <w:t>五、标项（一）服务期：</w:t>
      </w:r>
      <w:r>
        <w:rPr>
          <w:rFonts w:hint="eastAsia" w:ascii="宋体" w:hAnsi="宋体"/>
          <w:b/>
          <w:snapToGrid w:val="0"/>
          <w:color w:val="000000"/>
          <w:kern w:val="0"/>
          <w:sz w:val="22"/>
          <w:szCs w:val="21"/>
          <w:u w:val="single"/>
        </w:rPr>
        <w:t>叁</w:t>
      </w:r>
      <w:r>
        <w:rPr>
          <w:rFonts w:hint="eastAsia" w:ascii="宋体" w:hAnsi="宋体"/>
          <w:snapToGrid w:val="0"/>
          <w:color w:val="000000"/>
          <w:kern w:val="0"/>
          <w:sz w:val="22"/>
          <w:szCs w:val="21"/>
        </w:rPr>
        <w:t>年（</w:t>
      </w:r>
      <w:r>
        <w:rPr>
          <w:rFonts w:ascii="宋体" w:hAnsi="宋体"/>
          <w:snapToGrid w:val="0"/>
          <w:color w:val="000000"/>
          <w:kern w:val="0"/>
          <w:sz w:val="22"/>
          <w:szCs w:val="21"/>
        </w:rPr>
        <w:t>自交货验收合格之日起计</w:t>
      </w:r>
      <w:r>
        <w:rPr>
          <w:rFonts w:hint="eastAsia" w:ascii="宋体" w:hAnsi="宋体"/>
          <w:snapToGrid w:val="0"/>
          <w:color w:val="000000"/>
          <w:kern w:val="0"/>
          <w:sz w:val="22"/>
          <w:szCs w:val="21"/>
        </w:rPr>
        <w:t>）；</w:t>
      </w:r>
    </w:p>
    <w:p>
      <w:pPr>
        <w:pStyle w:val="3"/>
        <w:snapToGrid w:val="0"/>
        <w:ind w:firstLine="442" w:firstLineChars="200"/>
        <w:outlineLvl w:val="2"/>
        <w:rPr>
          <w:rFonts w:hAnsi="宋体"/>
          <w:b/>
          <w:color w:val="000000"/>
          <w:sz w:val="22"/>
          <w:szCs w:val="22"/>
        </w:rPr>
      </w:pPr>
      <w:r>
        <w:rPr>
          <w:rFonts w:hint="eastAsia" w:hAnsi="宋体"/>
          <w:b/>
          <w:color w:val="000000"/>
          <w:sz w:val="22"/>
          <w:szCs w:val="22"/>
        </w:rPr>
        <w:t>六</w:t>
      </w:r>
      <w:r>
        <w:rPr>
          <w:rFonts w:hAnsi="宋体"/>
          <w:b/>
          <w:color w:val="000000"/>
          <w:sz w:val="22"/>
          <w:szCs w:val="22"/>
        </w:rPr>
        <w:t>、履约保证金</w:t>
      </w:r>
    </w:p>
    <w:p>
      <w:pPr>
        <w:pStyle w:val="3"/>
        <w:snapToGrid w:val="0"/>
        <w:ind w:firstLine="495" w:firstLineChars="225"/>
        <w:rPr>
          <w:rFonts w:hAnsi="宋体"/>
          <w:color w:val="000000"/>
          <w:sz w:val="22"/>
          <w:szCs w:val="22"/>
        </w:rPr>
      </w:pPr>
      <w:r>
        <w:rPr>
          <w:rFonts w:hAnsi="宋体"/>
          <w:color w:val="000000"/>
          <w:sz w:val="22"/>
          <w:szCs w:val="22"/>
        </w:rPr>
        <w:t>乙方交纳人民币</w:t>
      </w:r>
      <w:r>
        <w:rPr>
          <w:rFonts w:hAnsi="宋体"/>
          <w:color w:val="000000"/>
          <w:sz w:val="22"/>
          <w:szCs w:val="22"/>
          <w:u w:val="single"/>
        </w:rPr>
        <w:t>32450</w:t>
      </w:r>
      <w:r>
        <w:rPr>
          <w:rFonts w:hAnsi="宋体"/>
          <w:color w:val="000000"/>
          <w:sz w:val="22"/>
          <w:szCs w:val="22"/>
        </w:rPr>
        <w:t>元作为本合同的履约保证金</w:t>
      </w:r>
      <w:r>
        <w:rPr>
          <w:rFonts w:hint="eastAsia" w:hAnsi="宋体"/>
          <w:color w:val="000000"/>
          <w:sz w:val="22"/>
          <w:szCs w:val="22"/>
        </w:rPr>
        <w:t>，</w:t>
      </w:r>
      <w:r>
        <w:rPr>
          <w:rFonts w:hint="eastAsia" w:hAnsi="宋体"/>
          <w:color w:val="000000"/>
          <w:sz w:val="22"/>
          <w:szCs w:val="20"/>
        </w:rPr>
        <w:t>合同履约结束后</w:t>
      </w:r>
      <w:r>
        <w:rPr>
          <w:rFonts w:hint="eastAsia" w:hAnsi="宋体"/>
          <w:color w:val="000000"/>
          <w:sz w:val="22"/>
          <w:szCs w:val="22"/>
        </w:rPr>
        <w:t>1个月内</w:t>
      </w:r>
      <w:r>
        <w:rPr>
          <w:rFonts w:hint="eastAsia" w:hAnsi="宋体"/>
          <w:color w:val="000000"/>
          <w:sz w:val="22"/>
          <w:szCs w:val="20"/>
        </w:rPr>
        <w:t>一次性无息退还。</w:t>
      </w:r>
    </w:p>
    <w:p>
      <w:pPr>
        <w:pStyle w:val="3"/>
        <w:snapToGrid w:val="0"/>
        <w:ind w:firstLine="442" w:firstLineChars="200"/>
        <w:outlineLvl w:val="2"/>
        <w:rPr>
          <w:rFonts w:hAnsi="宋体"/>
          <w:b/>
          <w:color w:val="000000"/>
          <w:sz w:val="22"/>
          <w:szCs w:val="22"/>
        </w:rPr>
      </w:pPr>
      <w:r>
        <w:rPr>
          <w:rFonts w:hint="eastAsia" w:hAnsi="宋体"/>
          <w:b/>
          <w:color w:val="000000"/>
          <w:sz w:val="22"/>
          <w:szCs w:val="22"/>
        </w:rPr>
        <w:t>七、转包或分包</w:t>
      </w:r>
    </w:p>
    <w:p>
      <w:pPr>
        <w:ind w:firstLine="440" w:firstLineChars="200"/>
        <w:rPr>
          <w:rFonts w:ascii="宋体" w:hAnsi="宋体" w:cs="宋体"/>
          <w:color w:val="000000"/>
          <w:sz w:val="22"/>
          <w:szCs w:val="21"/>
        </w:rPr>
      </w:pPr>
      <w:r>
        <w:rPr>
          <w:rFonts w:hint="eastAsia" w:ascii="宋体" w:hAnsi="宋体" w:cs="宋体"/>
          <w:color w:val="000000"/>
          <w:sz w:val="22"/>
          <w:szCs w:val="21"/>
        </w:rPr>
        <w:t>1、本合同范围的服务，应由乙方直接供应，不得转让他人供应；</w:t>
      </w:r>
    </w:p>
    <w:p>
      <w:pPr>
        <w:ind w:firstLine="440" w:firstLineChars="200"/>
        <w:rPr>
          <w:rFonts w:ascii="宋体" w:hAnsi="宋体" w:cs="宋体"/>
          <w:color w:val="000000"/>
          <w:sz w:val="22"/>
          <w:szCs w:val="21"/>
        </w:rPr>
      </w:pPr>
      <w:r>
        <w:rPr>
          <w:rFonts w:hint="eastAsia" w:ascii="宋体" w:hAnsi="宋体" w:cs="宋体"/>
          <w:color w:val="000000"/>
          <w:sz w:val="22"/>
          <w:szCs w:val="21"/>
        </w:rPr>
        <w:t>2、除非得到甲方的书面同意，乙方不得将本合同范围的服务全部或部分分包给他人供应；</w:t>
      </w:r>
    </w:p>
    <w:p>
      <w:pPr>
        <w:ind w:firstLine="440" w:firstLineChars="200"/>
        <w:rPr>
          <w:rFonts w:ascii="宋体" w:hAnsi="宋体" w:cs="宋体"/>
          <w:color w:val="000000"/>
          <w:sz w:val="22"/>
          <w:szCs w:val="21"/>
        </w:rPr>
      </w:pPr>
      <w:r>
        <w:rPr>
          <w:rFonts w:hint="eastAsia" w:ascii="宋体" w:hAnsi="宋体" w:cs="宋体"/>
          <w:color w:val="000000"/>
          <w:sz w:val="22"/>
          <w:szCs w:val="21"/>
        </w:rPr>
        <w:t>3、如有转让和未经甲方同意的分包行为，甲方有权解除合同，没收履约保证金并追究乙方的违约责任。</w:t>
      </w:r>
    </w:p>
    <w:p>
      <w:pPr>
        <w:ind w:firstLine="442" w:firstLineChars="200"/>
        <w:rPr>
          <w:rFonts w:ascii="宋体" w:hAnsi="宋体"/>
          <w:b/>
          <w:snapToGrid w:val="0"/>
          <w:color w:val="000000"/>
          <w:kern w:val="0"/>
          <w:sz w:val="22"/>
          <w:szCs w:val="21"/>
        </w:rPr>
      </w:pPr>
      <w:r>
        <w:rPr>
          <w:rFonts w:hint="eastAsia" w:ascii="宋体" w:hAnsi="宋体"/>
          <w:b/>
          <w:snapToGrid w:val="0"/>
          <w:color w:val="000000"/>
          <w:kern w:val="0"/>
          <w:sz w:val="22"/>
          <w:szCs w:val="21"/>
        </w:rPr>
        <w:t>八、违约责任</w:t>
      </w:r>
    </w:p>
    <w:p>
      <w:pPr>
        <w:ind w:firstLine="480"/>
        <w:rPr>
          <w:rFonts w:ascii="宋体" w:hAnsi="宋体"/>
          <w:color w:val="000000"/>
          <w:sz w:val="22"/>
          <w:szCs w:val="21"/>
        </w:rPr>
      </w:pPr>
      <w:r>
        <w:rPr>
          <w:rFonts w:hint="eastAsia" w:ascii="宋体" w:hAnsi="宋体"/>
          <w:color w:val="000000"/>
          <w:sz w:val="22"/>
          <w:szCs w:val="21"/>
        </w:rPr>
        <w:t>1、乙方迟延履行服务义务的，自迟延之日起，应每日向甲方计付迟延部分价款千分之一的违约金。</w:t>
      </w:r>
    </w:p>
    <w:p>
      <w:pPr>
        <w:ind w:firstLine="480"/>
        <w:rPr>
          <w:rFonts w:ascii="宋体" w:hAnsi="宋体"/>
          <w:color w:val="000000"/>
          <w:sz w:val="22"/>
          <w:szCs w:val="21"/>
        </w:rPr>
      </w:pPr>
      <w:r>
        <w:rPr>
          <w:rFonts w:hint="eastAsia" w:ascii="宋体" w:hAnsi="宋体"/>
          <w:color w:val="000000"/>
          <w:sz w:val="22"/>
          <w:szCs w:val="21"/>
        </w:rPr>
        <w:t>2、乙方因交付的成品质量有瑕疵，或质量不符合约定的情形的，应当采取更换、重作等补救方法。因此而造成迟延的，应当按照前项规定承担违约责任。</w:t>
      </w:r>
    </w:p>
    <w:p>
      <w:pPr>
        <w:ind w:firstLine="480"/>
        <w:rPr>
          <w:rFonts w:ascii="宋体" w:hAnsi="宋体"/>
          <w:color w:val="000000"/>
          <w:sz w:val="22"/>
          <w:szCs w:val="21"/>
        </w:rPr>
      </w:pPr>
      <w:r>
        <w:rPr>
          <w:rFonts w:hint="eastAsia" w:ascii="宋体" w:hAnsi="宋体"/>
          <w:color w:val="000000"/>
          <w:sz w:val="22"/>
          <w:szCs w:val="21"/>
        </w:rPr>
        <w:t>3、乙方不履行售后服务义务的，甲方有权部分或全部解除合同，乙方应当返还已收取的价款，并支付退货部分价款百分之五的违约金。</w:t>
      </w:r>
    </w:p>
    <w:p>
      <w:pPr>
        <w:ind w:firstLine="440" w:firstLineChars="200"/>
        <w:rPr>
          <w:rFonts w:ascii="宋体" w:hAnsi="宋体"/>
          <w:snapToGrid w:val="0"/>
          <w:color w:val="000000"/>
          <w:kern w:val="0"/>
          <w:sz w:val="22"/>
          <w:szCs w:val="21"/>
        </w:rPr>
      </w:pPr>
      <w:r>
        <w:rPr>
          <w:rFonts w:hint="eastAsia" w:ascii="宋体" w:hAnsi="宋体"/>
          <w:color w:val="000000"/>
          <w:sz w:val="22"/>
          <w:szCs w:val="21"/>
        </w:rPr>
        <w:t>4、除本条规定的违约责任外，法律、法规、政府规章规定违约一方应当承担其他法律责任的，从其规定。</w:t>
      </w:r>
    </w:p>
    <w:p>
      <w:pPr>
        <w:pStyle w:val="3"/>
        <w:snapToGrid w:val="0"/>
        <w:ind w:firstLine="442" w:firstLineChars="200"/>
        <w:outlineLvl w:val="2"/>
        <w:rPr>
          <w:rFonts w:hAnsi="宋体"/>
          <w:b/>
          <w:color w:val="000000"/>
          <w:sz w:val="22"/>
          <w:szCs w:val="22"/>
        </w:rPr>
      </w:pPr>
      <w:r>
        <w:rPr>
          <w:rFonts w:hint="eastAsia" w:hAnsi="宋体"/>
          <w:b/>
          <w:color w:val="000000"/>
          <w:sz w:val="22"/>
          <w:szCs w:val="22"/>
        </w:rPr>
        <w:t>九</w:t>
      </w:r>
      <w:r>
        <w:rPr>
          <w:rFonts w:hAnsi="宋体"/>
          <w:b/>
          <w:color w:val="000000"/>
          <w:sz w:val="22"/>
          <w:szCs w:val="22"/>
        </w:rPr>
        <w:t>、不可抗力事件处理</w:t>
      </w:r>
    </w:p>
    <w:p>
      <w:pPr>
        <w:ind w:firstLine="480"/>
        <w:rPr>
          <w:rFonts w:ascii="宋体" w:hAnsi="宋体"/>
          <w:color w:val="000000"/>
          <w:sz w:val="22"/>
          <w:szCs w:val="21"/>
        </w:rPr>
      </w:pPr>
      <w:r>
        <w:rPr>
          <w:rFonts w:hint="eastAsia" w:ascii="宋体" w:hAnsi="宋体"/>
          <w:color w:val="000000"/>
          <w:sz w:val="22"/>
          <w:szCs w:val="21"/>
        </w:rPr>
        <w:t>1、因不可抗力导致合同无法完全履行的，不承担违约责任。</w:t>
      </w:r>
    </w:p>
    <w:p>
      <w:pPr>
        <w:ind w:firstLine="480"/>
        <w:rPr>
          <w:rFonts w:ascii="宋体" w:hAnsi="宋体"/>
          <w:color w:val="000000"/>
          <w:sz w:val="22"/>
          <w:szCs w:val="21"/>
        </w:rPr>
      </w:pPr>
      <w:r>
        <w:rPr>
          <w:rFonts w:hint="eastAsia" w:ascii="宋体" w:hAnsi="宋体"/>
          <w:color w:val="000000"/>
          <w:sz w:val="22"/>
          <w:szCs w:val="21"/>
        </w:rPr>
        <w:t>2、因不可抗力致使合同的履行成为不可能或不必要的，可以通知对方解除合同。因通知迟延造成对方不必要损失的，应当承担责任。</w:t>
      </w:r>
    </w:p>
    <w:p>
      <w:pPr>
        <w:ind w:firstLine="480"/>
        <w:rPr>
          <w:rFonts w:ascii="宋体" w:hAnsi="宋体"/>
          <w:color w:val="000000"/>
          <w:sz w:val="22"/>
          <w:szCs w:val="21"/>
        </w:rPr>
      </w:pPr>
      <w:r>
        <w:rPr>
          <w:rFonts w:hint="eastAsia" w:ascii="宋体" w:hAnsi="宋体"/>
          <w:color w:val="000000"/>
          <w:sz w:val="22"/>
          <w:szCs w:val="21"/>
        </w:rPr>
        <w:t>3、因不可抗力解除合同的，双方应依据公平合理原则，通过友好协商，确定损失的分担。</w:t>
      </w:r>
    </w:p>
    <w:p>
      <w:pPr>
        <w:ind w:firstLine="480"/>
        <w:rPr>
          <w:rFonts w:ascii="宋体" w:hAnsi="宋体"/>
          <w:b/>
          <w:snapToGrid w:val="0"/>
          <w:color w:val="000000"/>
          <w:kern w:val="0"/>
          <w:sz w:val="22"/>
          <w:szCs w:val="21"/>
        </w:rPr>
      </w:pPr>
      <w:r>
        <w:rPr>
          <w:rFonts w:hint="eastAsia" w:ascii="宋体" w:hAnsi="宋体"/>
          <w:b/>
          <w:snapToGrid w:val="0"/>
          <w:color w:val="000000"/>
          <w:kern w:val="0"/>
          <w:sz w:val="22"/>
          <w:szCs w:val="21"/>
        </w:rPr>
        <w:t>十、争议解决</w:t>
      </w:r>
    </w:p>
    <w:p>
      <w:pPr>
        <w:ind w:firstLine="480"/>
        <w:rPr>
          <w:rFonts w:ascii="宋体" w:hAnsi="宋体"/>
          <w:color w:val="000000"/>
          <w:sz w:val="22"/>
          <w:szCs w:val="21"/>
        </w:rPr>
      </w:pPr>
      <w:r>
        <w:rPr>
          <w:rFonts w:hint="eastAsia" w:ascii="宋体" w:hAnsi="宋体"/>
          <w:color w:val="000000"/>
          <w:sz w:val="22"/>
          <w:szCs w:val="21"/>
        </w:rPr>
        <w:t>1、本合同为政府采购合同，在乙方提供的货物出现质量瑕疵、售后服务等问题时，甲方有权直接向乙方请求承担违约责任，并直接与乙方协商解决争议。</w:t>
      </w:r>
    </w:p>
    <w:p>
      <w:pPr>
        <w:ind w:firstLine="440" w:firstLineChars="200"/>
        <w:rPr>
          <w:rFonts w:ascii="宋体" w:hAnsi="宋体"/>
          <w:snapToGrid w:val="0"/>
          <w:color w:val="000000"/>
          <w:kern w:val="0"/>
          <w:sz w:val="22"/>
          <w:szCs w:val="21"/>
        </w:rPr>
      </w:pPr>
      <w:r>
        <w:rPr>
          <w:rFonts w:hint="eastAsia" w:ascii="宋体" w:hAnsi="宋体"/>
          <w:color w:val="000000"/>
          <w:sz w:val="22"/>
          <w:szCs w:val="21"/>
        </w:rPr>
        <w:t>2、合同履行中发生争议的，任何一方可以向甲方所在地人民法院提起诉讼。</w:t>
      </w:r>
    </w:p>
    <w:p>
      <w:pPr>
        <w:pStyle w:val="3"/>
        <w:snapToGrid w:val="0"/>
        <w:spacing w:line="420" w:lineRule="exact"/>
        <w:ind w:firstLine="442" w:firstLineChars="200"/>
        <w:outlineLvl w:val="2"/>
        <w:rPr>
          <w:rFonts w:hAnsi="宋体"/>
          <w:color w:val="000000"/>
          <w:sz w:val="22"/>
          <w:szCs w:val="22"/>
        </w:rPr>
      </w:pPr>
      <w:r>
        <w:rPr>
          <w:rFonts w:hint="eastAsia" w:hAnsi="宋体"/>
          <w:b/>
          <w:color w:val="000000"/>
          <w:kern w:val="0"/>
          <w:sz w:val="22"/>
          <w:szCs w:val="20"/>
        </w:rPr>
        <w:t>十一</w:t>
      </w:r>
      <w:r>
        <w:rPr>
          <w:rFonts w:hint="eastAsia" w:hAnsi="宋体"/>
          <w:color w:val="000000"/>
          <w:sz w:val="22"/>
          <w:szCs w:val="22"/>
        </w:rPr>
        <w:t>、</w:t>
      </w:r>
      <w:r>
        <w:rPr>
          <w:rFonts w:hAnsi="宋体"/>
          <w:color w:val="000000"/>
          <w:sz w:val="22"/>
          <w:szCs w:val="22"/>
        </w:rPr>
        <w:t>合同经双方法定代表人或授权代表签字并加盖单位公章后生效。</w:t>
      </w:r>
    </w:p>
    <w:p>
      <w:pPr>
        <w:pStyle w:val="3"/>
        <w:snapToGrid w:val="0"/>
        <w:spacing w:line="420" w:lineRule="exact"/>
        <w:ind w:firstLine="440" w:firstLineChars="200"/>
        <w:rPr>
          <w:rFonts w:hAnsi="宋体"/>
          <w:color w:val="000000"/>
          <w:sz w:val="22"/>
          <w:szCs w:val="22"/>
        </w:rPr>
      </w:pPr>
      <w:r>
        <w:rPr>
          <w:rFonts w:hAnsi="宋体"/>
          <w:color w:val="000000"/>
          <w:sz w:val="22"/>
          <w:szCs w:val="22"/>
        </w:rPr>
        <w:t>1</w:t>
      </w:r>
      <w:r>
        <w:rPr>
          <w:rFonts w:hint="eastAsia" w:hAnsi="宋体"/>
          <w:color w:val="000000"/>
          <w:sz w:val="22"/>
          <w:szCs w:val="22"/>
        </w:rPr>
        <w:t>、</w:t>
      </w:r>
      <w:r>
        <w:rPr>
          <w:rFonts w:hint="eastAsia" w:hAnsi="宋体"/>
          <w:color w:val="000000"/>
          <w:sz w:val="22"/>
          <w:szCs w:val="20"/>
        </w:rPr>
        <w:t>磋商文件、投标文件、承诺书作为本合同的组成部分</w:t>
      </w:r>
      <w:r>
        <w:rPr>
          <w:rFonts w:hAnsi="宋体"/>
          <w:color w:val="000000"/>
          <w:sz w:val="22"/>
          <w:szCs w:val="22"/>
        </w:rPr>
        <w:t>。</w:t>
      </w:r>
    </w:p>
    <w:p>
      <w:pPr>
        <w:pStyle w:val="3"/>
        <w:snapToGrid w:val="0"/>
        <w:spacing w:line="420" w:lineRule="exact"/>
        <w:ind w:firstLine="440" w:firstLineChars="200"/>
        <w:rPr>
          <w:rFonts w:hAnsi="宋体" w:cs="Times New Roman"/>
          <w:bCs/>
          <w:color w:val="000000"/>
          <w:sz w:val="22"/>
          <w:szCs w:val="22"/>
        </w:rPr>
      </w:pPr>
      <w:r>
        <w:rPr>
          <w:rFonts w:hAnsi="宋体"/>
          <w:color w:val="000000"/>
          <w:sz w:val="22"/>
          <w:szCs w:val="22"/>
        </w:rPr>
        <w:t>2</w:t>
      </w:r>
      <w:r>
        <w:rPr>
          <w:rFonts w:hint="eastAsia" w:hAnsi="宋体"/>
          <w:color w:val="000000"/>
          <w:sz w:val="22"/>
          <w:szCs w:val="22"/>
        </w:rPr>
        <w:t>、</w:t>
      </w:r>
      <w:r>
        <w:rPr>
          <w:rFonts w:hAnsi="宋体"/>
          <w:color w:val="000000"/>
          <w:sz w:val="22"/>
          <w:szCs w:val="22"/>
        </w:rPr>
        <w:t>本合同正本一式</w:t>
      </w:r>
      <w:r>
        <w:rPr>
          <w:rFonts w:hAnsi="宋体"/>
          <w:color w:val="000000"/>
          <w:sz w:val="22"/>
          <w:szCs w:val="22"/>
          <w:u w:val="single"/>
        </w:rPr>
        <w:t>肆</w:t>
      </w:r>
      <w:r>
        <w:rPr>
          <w:rFonts w:hAnsi="宋体"/>
          <w:color w:val="000000"/>
          <w:sz w:val="22"/>
          <w:szCs w:val="22"/>
        </w:rPr>
        <w:t>份，具有同等法律效力，甲方执</w:t>
      </w:r>
      <w:r>
        <w:rPr>
          <w:rFonts w:hAnsi="宋体"/>
          <w:color w:val="000000"/>
          <w:sz w:val="22"/>
          <w:szCs w:val="22"/>
          <w:u w:val="single"/>
        </w:rPr>
        <w:t>贰</w:t>
      </w:r>
      <w:r>
        <w:rPr>
          <w:rFonts w:hAnsi="宋体"/>
          <w:color w:val="000000"/>
          <w:sz w:val="22"/>
          <w:szCs w:val="22"/>
        </w:rPr>
        <w:t>份</w:t>
      </w:r>
      <w:r>
        <w:rPr>
          <w:rFonts w:hint="eastAsia" w:hAnsi="宋体"/>
          <w:color w:val="000000"/>
          <w:sz w:val="22"/>
          <w:szCs w:val="22"/>
        </w:rPr>
        <w:t>,</w:t>
      </w:r>
      <w:r>
        <w:rPr>
          <w:rFonts w:hAnsi="宋体"/>
          <w:color w:val="000000"/>
          <w:sz w:val="22"/>
          <w:szCs w:val="22"/>
        </w:rPr>
        <w:t xml:space="preserve"> </w:t>
      </w:r>
      <w:r>
        <w:rPr>
          <w:rFonts w:hint="eastAsia" w:hAnsi="宋体"/>
          <w:color w:val="000000"/>
          <w:sz w:val="22"/>
          <w:szCs w:val="22"/>
        </w:rPr>
        <w:t>乙</w:t>
      </w:r>
      <w:r>
        <w:rPr>
          <w:rFonts w:hAnsi="宋体"/>
          <w:color w:val="000000"/>
          <w:sz w:val="22"/>
          <w:szCs w:val="22"/>
        </w:rPr>
        <w:t>方执</w:t>
      </w:r>
      <w:r>
        <w:rPr>
          <w:rFonts w:hAnsi="宋体"/>
          <w:color w:val="000000"/>
          <w:sz w:val="22"/>
          <w:szCs w:val="22"/>
          <w:u w:val="single"/>
        </w:rPr>
        <w:t>贰</w:t>
      </w:r>
      <w:r>
        <w:rPr>
          <w:rFonts w:hAnsi="宋体"/>
          <w:color w:val="000000"/>
          <w:sz w:val="22"/>
          <w:szCs w:val="22"/>
        </w:rPr>
        <w:t>份</w:t>
      </w:r>
      <w:r>
        <w:rPr>
          <w:rFonts w:hint="eastAsia" w:hAnsi="宋体"/>
          <w:color w:val="000000"/>
          <w:sz w:val="22"/>
          <w:szCs w:val="22"/>
        </w:rPr>
        <w:t>。</w:t>
      </w:r>
      <w:bookmarkStart w:id="0" w:name="_GoBack"/>
      <w:bookmarkEnd w:id="0"/>
    </w:p>
    <w:p>
      <w:pPr>
        <w:pStyle w:val="3"/>
        <w:rPr>
          <w:rFonts w:hAnsi="宋体" w:cs="Times New Roman"/>
          <w:bCs/>
          <w:color w:val="000000"/>
          <w:sz w:val="22"/>
          <w:szCs w:val="22"/>
        </w:rPr>
      </w:pPr>
    </w:p>
    <w:p>
      <w:pPr>
        <w:pStyle w:val="3"/>
        <w:rPr>
          <w:rFonts w:hAnsi="宋体" w:cs="Times New Roman"/>
          <w:bCs/>
          <w:color w:val="000000"/>
          <w:sz w:val="22"/>
          <w:szCs w:val="22"/>
        </w:rPr>
      </w:pPr>
    </w:p>
    <w:p>
      <w:pPr>
        <w:pStyle w:val="3"/>
        <w:rPr>
          <w:rFonts w:hAnsi="宋体" w:cs="Times New Roman"/>
          <w:color w:val="000000"/>
          <w:sz w:val="22"/>
          <w:szCs w:val="22"/>
        </w:rPr>
      </w:pPr>
      <w:r>
        <w:rPr>
          <w:rFonts w:hAnsi="宋体" w:cs="Times New Roman"/>
          <w:bCs/>
          <w:color w:val="000000"/>
          <w:sz w:val="22"/>
          <w:szCs w:val="22"/>
        </w:rPr>
        <w:t>甲方（盖章）：                        乙方（盖章）：</w:t>
      </w:r>
    </w:p>
    <w:p>
      <w:pPr>
        <w:pStyle w:val="3"/>
        <w:snapToGrid w:val="0"/>
        <w:ind w:leftChars="-1" w:hanging="2"/>
        <w:rPr>
          <w:rFonts w:hAnsi="宋体" w:cs="Times New Roman"/>
          <w:color w:val="000000"/>
          <w:sz w:val="22"/>
          <w:szCs w:val="22"/>
        </w:rPr>
      </w:pPr>
      <w:r>
        <w:rPr>
          <w:rFonts w:hAnsi="宋体" w:cs="Times New Roman"/>
          <w:color w:val="000000"/>
          <w:sz w:val="22"/>
          <w:szCs w:val="22"/>
        </w:rPr>
        <w:t>法定代表人或授权代表                 法定代表人或授权代表</w:t>
      </w:r>
    </w:p>
    <w:p>
      <w:pPr>
        <w:pStyle w:val="3"/>
        <w:snapToGrid w:val="0"/>
        <w:ind w:left="-39" w:leftChars="-85" w:hanging="165" w:hangingChars="75"/>
        <w:rPr>
          <w:rFonts w:hAnsi="宋体" w:cs="Times New Roman"/>
          <w:color w:val="000000"/>
          <w:sz w:val="22"/>
          <w:szCs w:val="22"/>
        </w:rPr>
      </w:pPr>
      <w:r>
        <w:rPr>
          <w:rFonts w:hAnsi="宋体" w:cs="Times New Roman"/>
          <w:color w:val="000000"/>
          <w:sz w:val="22"/>
          <w:szCs w:val="22"/>
        </w:rPr>
        <w:t>（签字）                             （签字）</w:t>
      </w:r>
    </w:p>
    <w:p>
      <w:pPr>
        <w:pStyle w:val="3"/>
        <w:snapToGrid w:val="0"/>
        <w:ind w:leftChars="-1" w:hanging="2"/>
        <w:rPr>
          <w:rFonts w:hAnsi="宋体" w:cs="Times New Roman"/>
          <w:color w:val="000000"/>
          <w:sz w:val="22"/>
          <w:szCs w:val="22"/>
        </w:rPr>
      </w:pPr>
      <w:r>
        <w:rPr>
          <w:rFonts w:hAnsi="宋体" w:cs="Times New Roman"/>
          <w:color w:val="000000"/>
          <w:sz w:val="22"/>
          <w:szCs w:val="22"/>
        </w:rPr>
        <w:t xml:space="preserve">地址：                               地址： </w:t>
      </w:r>
    </w:p>
    <w:p>
      <w:pPr>
        <w:pStyle w:val="3"/>
        <w:snapToGrid w:val="0"/>
        <w:ind w:leftChars="-1" w:hanging="2"/>
        <w:rPr>
          <w:rFonts w:hAnsi="宋体" w:cs="Times New Roman"/>
          <w:color w:val="000000"/>
          <w:sz w:val="22"/>
          <w:szCs w:val="22"/>
        </w:rPr>
      </w:pPr>
      <w:r>
        <w:rPr>
          <w:rFonts w:hAnsi="宋体" w:cs="Times New Roman"/>
          <w:color w:val="000000"/>
          <w:sz w:val="22"/>
          <w:szCs w:val="22"/>
        </w:rPr>
        <w:t>邮编：                               邮编：</w:t>
      </w:r>
    </w:p>
    <w:p>
      <w:pPr>
        <w:pStyle w:val="3"/>
        <w:snapToGrid w:val="0"/>
        <w:ind w:leftChars="-1" w:hanging="2"/>
        <w:rPr>
          <w:rFonts w:hAnsi="宋体" w:cs="Times New Roman"/>
          <w:color w:val="000000"/>
          <w:sz w:val="22"/>
          <w:szCs w:val="22"/>
        </w:rPr>
      </w:pPr>
      <w:r>
        <w:rPr>
          <w:rFonts w:hAnsi="宋体" w:cs="Times New Roman"/>
          <w:color w:val="000000"/>
          <w:sz w:val="22"/>
          <w:szCs w:val="22"/>
        </w:rPr>
        <w:t>电话：                               电话：</w:t>
      </w:r>
    </w:p>
    <w:p>
      <w:pPr>
        <w:pStyle w:val="3"/>
        <w:snapToGrid w:val="0"/>
        <w:ind w:leftChars="-1" w:hanging="2"/>
        <w:rPr>
          <w:rFonts w:hAnsi="宋体" w:cs="Times New Roman"/>
          <w:color w:val="000000"/>
          <w:sz w:val="22"/>
          <w:szCs w:val="22"/>
        </w:rPr>
      </w:pPr>
      <w:r>
        <w:rPr>
          <w:rFonts w:hAnsi="宋体" w:cs="Times New Roman"/>
          <w:color w:val="000000"/>
          <w:sz w:val="22"/>
          <w:szCs w:val="22"/>
        </w:rPr>
        <w:t>传真：                               传真：</w:t>
      </w:r>
    </w:p>
    <w:p>
      <w:pPr>
        <w:pStyle w:val="3"/>
        <w:snapToGrid w:val="0"/>
        <w:ind w:leftChars="-1" w:hanging="2"/>
        <w:rPr>
          <w:rFonts w:hAnsi="宋体" w:cs="Times New Roman"/>
          <w:color w:val="000000"/>
          <w:sz w:val="22"/>
          <w:szCs w:val="22"/>
        </w:rPr>
      </w:pPr>
      <w:r>
        <w:rPr>
          <w:rFonts w:hAnsi="宋体" w:cs="Times New Roman"/>
          <w:color w:val="000000"/>
          <w:sz w:val="22"/>
          <w:szCs w:val="22"/>
        </w:rPr>
        <w:t>开户银行：                           开户银行：</w:t>
      </w:r>
    </w:p>
    <w:p>
      <w:pPr>
        <w:pStyle w:val="3"/>
        <w:snapToGrid w:val="0"/>
        <w:ind w:leftChars="-1" w:hanging="2"/>
        <w:rPr>
          <w:rFonts w:hAnsi="宋体" w:cs="Times New Roman"/>
          <w:color w:val="000000"/>
          <w:sz w:val="22"/>
          <w:szCs w:val="22"/>
        </w:rPr>
      </w:pPr>
      <w:r>
        <w:rPr>
          <w:rFonts w:hAnsi="宋体" w:cs="Times New Roman"/>
          <w:color w:val="000000"/>
          <w:sz w:val="22"/>
          <w:szCs w:val="22"/>
        </w:rPr>
        <w:t>帐号：                               帐号：</w:t>
      </w:r>
    </w:p>
    <w:p>
      <w:pPr>
        <w:adjustRightInd w:val="0"/>
        <w:rPr>
          <w:rFonts w:ascii="宋体" w:hAnsi="宋体"/>
          <w:snapToGrid w:val="0"/>
          <w:color w:val="000000"/>
          <w:sz w:val="22"/>
        </w:rPr>
      </w:pPr>
    </w:p>
    <w:p>
      <w:pPr>
        <w:adjustRightInd w:val="0"/>
        <w:rPr>
          <w:rFonts w:ascii="宋体" w:hAnsi="宋体"/>
          <w:snapToGrid w:val="0"/>
          <w:color w:val="000000"/>
          <w:sz w:val="22"/>
        </w:rPr>
      </w:pPr>
    </w:p>
    <w:p>
      <w:pPr>
        <w:adjustRightInd w:val="0"/>
        <w:ind w:left="3780" w:firstLine="420"/>
        <w:rPr>
          <w:rFonts w:ascii="宋体" w:hAnsi="宋体"/>
          <w:bCs/>
          <w:color w:val="000000"/>
          <w:sz w:val="22"/>
        </w:rPr>
      </w:pPr>
      <w:r>
        <w:rPr>
          <w:rFonts w:ascii="宋体" w:hAnsi="宋体"/>
          <w:snapToGrid w:val="0"/>
          <w:color w:val="000000"/>
          <w:sz w:val="22"/>
        </w:rPr>
        <w:t>签约日期:      年  月  日</w:t>
      </w:r>
    </w:p>
    <w:p>
      <w:pPr>
        <w:adjustRightInd w:val="0"/>
        <w:ind w:firstLine="220" w:firstLineChars="100"/>
        <w:rPr>
          <w:rFonts w:ascii="宋体" w:hAnsi="宋体"/>
          <w:bCs/>
          <w:color w:val="000000"/>
          <w:sz w:val="22"/>
        </w:rPr>
        <w:sectPr>
          <w:pgSz w:w="11907" w:h="16840"/>
          <w:pgMar w:top="1247" w:right="1247" w:bottom="1247" w:left="1247" w:header="851" w:footer="851" w:gutter="0"/>
          <w:cols w:space="720" w:num="1"/>
        </w:sectPr>
      </w:pPr>
    </w:p>
    <w:p>
      <w:pPr>
        <w:widowControl/>
        <w:rPr>
          <w:rFonts w:ascii="宋体" w:hAnsi="宋体" w:cs="宋体"/>
          <w:color w:val="000000"/>
          <w:kern w:val="0"/>
          <w:szCs w:val="24"/>
        </w:rPr>
      </w:pPr>
      <w:r>
        <w:rPr>
          <w:rFonts w:hint="eastAsia" w:ascii="宋体" w:hAnsi="宋体" w:cs="宋体"/>
          <w:color w:val="000000"/>
          <w:kern w:val="0"/>
          <w:szCs w:val="24"/>
        </w:rPr>
        <w:t>合同附件</w:t>
      </w:r>
      <w:r>
        <w:rPr>
          <w:rFonts w:ascii="宋体" w:hAnsi="宋体" w:cs="宋体"/>
          <w:color w:val="000000"/>
          <w:kern w:val="0"/>
          <w:szCs w:val="24"/>
        </w:rPr>
        <w:t>一</w:t>
      </w:r>
      <w:r>
        <w:rPr>
          <w:rFonts w:hint="eastAsia" w:ascii="宋体" w:hAnsi="宋体" w:cs="宋体"/>
          <w:color w:val="000000"/>
          <w:kern w:val="0"/>
          <w:szCs w:val="24"/>
        </w:rPr>
        <w:t>：</w:t>
      </w:r>
    </w:p>
    <w:p>
      <w:pPr>
        <w:jc w:val="center"/>
        <w:rPr>
          <w:rFonts w:ascii="宋体" w:hAnsi="宋体"/>
          <w:b/>
          <w:color w:val="000000"/>
          <w:sz w:val="22"/>
        </w:rPr>
      </w:pPr>
      <w:r>
        <w:rPr>
          <w:rFonts w:hint="eastAsia" w:ascii="宋体" w:hAnsi="宋体"/>
          <w:b/>
          <w:color w:val="000000"/>
          <w:sz w:val="22"/>
        </w:rPr>
        <w:t>廉政协议书</w:t>
      </w:r>
    </w:p>
    <w:p>
      <w:pPr>
        <w:widowControl/>
        <w:ind w:firstLine="220" w:firstLineChars="100"/>
        <w:jc w:val="left"/>
        <w:rPr>
          <w:rFonts w:ascii="宋体" w:hAnsi="宋体"/>
          <w:color w:val="000000"/>
          <w:sz w:val="22"/>
        </w:rPr>
      </w:pPr>
      <w:r>
        <w:rPr>
          <w:rFonts w:hint="eastAsia" w:ascii="宋体" w:hAnsi="宋体"/>
          <w:color w:val="000000"/>
          <w:sz w:val="22"/>
        </w:rPr>
        <w:t>甲方：</w:t>
      </w:r>
    </w:p>
    <w:p>
      <w:pPr>
        <w:widowControl/>
        <w:ind w:firstLine="220" w:firstLineChars="100"/>
        <w:jc w:val="left"/>
        <w:rPr>
          <w:rFonts w:ascii="宋体" w:hAnsi="宋体"/>
          <w:color w:val="000000"/>
          <w:sz w:val="22"/>
        </w:rPr>
      </w:pPr>
      <w:r>
        <w:rPr>
          <w:rFonts w:hint="eastAsia" w:ascii="宋体" w:hAnsi="宋体"/>
          <w:color w:val="000000"/>
          <w:sz w:val="22"/>
        </w:rPr>
        <w:t>乙方：</w:t>
      </w:r>
    </w:p>
    <w:p>
      <w:pPr>
        <w:widowControl/>
        <w:ind w:firstLine="440" w:firstLineChars="200"/>
        <w:jc w:val="left"/>
        <w:rPr>
          <w:rFonts w:ascii="宋体" w:hAnsi="宋体"/>
          <w:color w:val="000000"/>
          <w:sz w:val="22"/>
        </w:rPr>
      </w:pPr>
      <w:r>
        <w:rPr>
          <w:rFonts w:hint="eastAsia" w:ascii="宋体" w:hAnsi="宋体"/>
          <w:color w:val="000000"/>
          <w:sz w:val="22"/>
        </w:rPr>
        <w:t>为了进一步规范学校物资采购，认真贯彻公平、公正、公开的原则，建立有效的反商业贿赂机制，加强党风廉政建设，防止经营活动中不正之风和腐败现象的发生，经双方协商同意，签订本协议。</w:t>
      </w:r>
    </w:p>
    <w:p>
      <w:pPr>
        <w:widowControl/>
        <w:ind w:firstLine="440" w:firstLineChars="200"/>
        <w:jc w:val="left"/>
        <w:rPr>
          <w:rFonts w:ascii="宋体" w:hAnsi="宋体"/>
          <w:color w:val="000000"/>
          <w:sz w:val="22"/>
        </w:rPr>
      </w:pPr>
      <w:r>
        <w:rPr>
          <w:rFonts w:hint="eastAsia" w:ascii="宋体" w:hAnsi="宋体"/>
          <w:color w:val="000000"/>
          <w:sz w:val="22"/>
        </w:rPr>
        <w:t>第一条  协议双方须严格遵守国家法律和廉政建设各项规定及物资采购合同。双方有相互监督、遵纪守法、履行合同的义务和权利。</w:t>
      </w:r>
    </w:p>
    <w:p>
      <w:pPr>
        <w:widowControl/>
        <w:ind w:firstLine="440" w:firstLineChars="200"/>
        <w:jc w:val="left"/>
        <w:rPr>
          <w:rFonts w:ascii="宋体" w:hAnsi="宋体"/>
          <w:color w:val="000000"/>
          <w:sz w:val="22"/>
        </w:rPr>
      </w:pPr>
      <w:r>
        <w:rPr>
          <w:rFonts w:hint="eastAsia" w:ascii="宋体" w:hAnsi="宋体"/>
          <w:color w:val="000000"/>
          <w:sz w:val="22"/>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widowControl/>
        <w:ind w:firstLine="440" w:firstLineChars="200"/>
        <w:jc w:val="left"/>
        <w:rPr>
          <w:rFonts w:ascii="宋体" w:hAnsi="宋体"/>
          <w:color w:val="000000"/>
          <w:sz w:val="22"/>
        </w:rPr>
      </w:pPr>
      <w:r>
        <w:rPr>
          <w:rFonts w:hint="eastAsia" w:ascii="宋体" w:hAnsi="宋体"/>
          <w:color w:val="000000"/>
          <w:sz w:val="22"/>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widowControl/>
        <w:ind w:firstLine="440" w:firstLineChars="200"/>
        <w:jc w:val="left"/>
        <w:rPr>
          <w:rFonts w:ascii="宋体" w:hAnsi="宋体"/>
          <w:color w:val="000000"/>
          <w:sz w:val="22"/>
        </w:rPr>
      </w:pPr>
      <w:r>
        <w:rPr>
          <w:rFonts w:hint="eastAsia" w:ascii="宋体" w:hAnsi="宋体"/>
          <w:color w:val="000000"/>
          <w:sz w:val="22"/>
        </w:rPr>
        <w:t>第四条  乙方对甲方及有关工作人员的违法违纪行为和不正当要求，可及时据实向甲方纪检、监察部门投诉和举报。</w:t>
      </w:r>
    </w:p>
    <w:p>
      <w:pPr>
        <w:widowControl/>
        <w:ind w:firstLine="440" w:firstLineChars="200"/>
        <w:jc w:val="left"/>
        <w:rPr>
          <w:rFonts w:ascii="宋体" w:hAnsi="宋体"/>
          <w:color w:val="000000"/>
          <w:sz w:val="22"/>
        </w:rPr>
      </w:pPr>
      <w:r>
        <w:rPr>
          <w:rFonts w:hint="eastAsia" w:ascii="宋体" w:hAnsi="宋体"/>
          <w:color w:val="000000"/>
          <w:sz w:val="22"/>
        </w:rPr>
        <w:t xml:space="preserve">第五条  对违反本协议者，根据其后果和违纪程度，可以做出以下处理：批评、诫勉；党纪政纪处分；追究法律责任；追究违约方经济责任；中止合同。    </w:t>
      </w:r>
    </w:p>
    <w:p>
      <w:pPr>
        <w:widowControl/>
        <w:ind w:firstLine="440" w:firstLineChars="200"/>
        <w:jc w:val="left"/>
        <w:rPr>
          <w:rFonts w:ascii="宋体" w:hAnsi="宋体"/>
          <w:color w:val="000000"/>
          <w:sz w:val="22"/>
        </w:rPr>
      </w:pPr>
      <w:r>
        <w:rPr>
          <w:rFonts w:hint="eastAsia" w:ascii="宋体" w:hAnsi="宋体"/>
          <w:color w:val="000000"/>
          <w:sz w:val="22"/>
        </w:rPr>
        <w:t>第六条  本协议贯穿于整个经营过程，在产品验收时：应一并考核本协议的履行结果。</w:t>
      </w:r>
    </w:p>
    <w:p>
      <w:pPr>
        <w:widowControl/>
        <w:ind w:firstLine="440" w:firstLineChars="200"/>
        <w:jc w:val="left"/>
        <w:rPr>
          <w:rFonts w:ascii="宋体" w:hAnsi="宋体"/>
          <w:color w:val="000000"/>
          <w:sz w:val="22"/>
        </w:rPr>
      </w:pPr>
      <w:r>
        <w:rPr>
          <w:rFonts w:hint="eastAsia" w:ascii="宋体" w:hAnsi="宋体"/>
          <w:color w:val="000000"/>
          <w:sz w:val="22"/>
        </w:rPr>
        <w:t>第七条  浙江财经大学纪委、监察部门负责本合同的廉政监督，投诉、举报受理和违法违纪行为的查处。</w:t>
      </w:r>
    </w:p>
    <w:p>
      <w:pPr>
        <w:widowControl/>
        <w:ind w:firstLine="440" w:firstLineChars="200"/>
        <w:jc w:val="left"/>
        <w:rPr>
          <w:rFonts w:ascii="宋体" w:hAnsi="宋体"/>
          <w:color w:val="000000"/>
          <w:sz w:val="22"/>
        </w:rPr>
      </w:pPr>
      <w:r>
        <w:rPr>
          <w:rFonts w:hint="eastAsia" w:ascii="宋体" w:hAnsi="宋体"/>
          <w:color w:val="000000"/>
          <w:sz w:val="22"/>
        </w:rPr>
        <w:t>第八条  本协议作为双方合同的附件，经双方签署后生效。</w:t>
      </w:r>
    </w:p>
    <w:p>
      <w:pPr>
        <w:widowControl/>
        <w:ind w:firstLine="220" w:firstLineChars="100"/>
        <w:jc w:val="left"/>
        <w:rPr>
          <w:rFonts w:ascii="宋体" w:hAnsi="宋体"/>
          <w:color w:val="000000"/>
          <w:sz w:val="22"/>
        </w:rPr>
      </w:pPr>
    </w:p>
    <w:p>
      <w:pPr>
        <w:widowControl/>
        <w:ind w:firstLine="330" w:firstLineChars="150"/>
        <w:jc w:val="left"/>
        <w:rPr>
          <w:rFonts w:ascii="宋体" w:hAnsi="宋体"/>
          <w:color w:val="000000"/>
          <w:sz w:val="22"/>
        </w:rPr>
      </w:pPr>
      <w:r>
        <w:rPr>
          <w:rFonts w:hint="eastAsia" w:ascii="宋体" w:hAnsi="宋体"/>
          <w:color w:val="000000"/>
          <w:sz w:val="22"/>
        </w:rPr>
        <w:t>甲方(盖章)：                          乙方(盖章、签字) ：</w:t>
      </w:r>
    </w:p>
    <w:p>
      <w:pPr>
        <w:widowControl/>
        <w:jc w:val="left"/>
        <w:rPr>
          <w:rFonts w:ascii="宋体" w:hAnsi="宋体" w:cs="宋体"/>
          <w:b/>
          <w:bCs/>
          <w:color w:val="000000"/>
          <w:sz w:val="22"/>
        </w:rPr>
        <w:sectPr>
          <w:type w:val="nextColumn"/>
          <w:pgSz w:w="11907" w:h="16840"/>
          <w:pgMar w:top="1247" w:right="1247" w:bottom="1247" w:left="1247" w:header="851" w:footer="851" w:gutter="0"/>
          <w:cols w:space="720" w:num="1"/>
        </w:sectPr>
      </w:pPr>
    </w:p>
    <w:p>
      <w:pPr>
        <w:widowControl/>
        <w:rPr>
          <w:rFonts w:ascii="宋体" w:hAnsi="宋体" w:cs="宋体"/>
          <w:color w:val="000000"/>
          <w:kern w:val="0"/>
          <w:szCs w:val="24"/>
        </w:rPr>
      </w:pPr>
      <w:r>
        <w:rPr>
          <w:rFonts w:hint="eastAsia" w:ascii="宋体" w:hAnsi="宋体" w:cs="宋体"/>
          <w:color w:val="000000"/>
          <w:kern w:val="0"/>
          <w:szCs w:val="24"/>
        </w:rPr>
        <w:t>合同附件</w:t>
      </w:r>
      <w:r>
        <w:rPr>
          <w:rFonts w:ascii="宋体" w:hAnsi="宋体" w:cs="宋体"/>
          <w:color w:val="000000"/>
          <w:kern w:val="0"/>
          <w:szCs w:val="24"/>
        </w:rPr>
        <w:t>二</w:t>
      </w:r>
      <w:r>
        <w:rPr>
          <w:rFonts w:hint="eastAsia" w:ascii="宋体" w:hAnsi="宋体" w:cs="宋体"/>
          <w:color w:val="000000"/>
          <w:kern w:val="0"/>
          <w:szCs w:val="24"/>
        </w:rPr>
        <w:t>：</w:t>
      </w:r>
      <w:r>
        <w:rPr>
          <w:rFonts w:ascii="宋体" w:hAnsi="宋体" w:cs="宋体"/>
          <w:color w:val="000000"/>
          <w:kern w:val="0"/>
          <w:szCs w:val="24"/>
        </w:rPr>
        <w:t>软件要求</w:t>
      </w:r>
    </w:p>
    <w:p>
      <w:pPr>
        <w:widowControl/>
        <w:jc w:val="center"/>
        <w:rPr>
          <w:rFonts w:ascii="宋体" w:hAnsi="宋体" w:cs="宋体"/>
          <w:b/>
          <w:bCs/>
          <w:color w:val="000000"/>
          <w:kern w:val="0"/>
          <w:szCs w:val="24"/>
        </w:rPr>
      </w:pPr>
      <w:r>
        <w:rPr>
          <w:rFonts w:hint="eastAsia" w:ascii="宋体" w:hAnsi="宋体" w:cs="宋体"/>
          <w:b/>
          <w:bCs/>
          <w:color w:val="000000"/>
          <w:szCs w:val="24"/>
        </w:rPr>
        <w:t>研究生院综合服务管理平台</w:t>
      </w:r>
      <w:r>
        <w:rPr>
          <w:rFonts w:ascii="宋体" w:hAnsi="宋体" w:cs="宋体"/>
          <w:b/>
          <w:bCs/>
          <w:color w:val="000000"/>
          <w:kern w:val="0"/>
          <w:szCs w:val="24"/>
        </w:rPr>
        <w:t>技术要求：</w:t>
      </w:r>
    </w:p>
    <w:p>
      <w:pPr>
        <w:pStyle w:val="4"/>
        <w:spacing w:line="360" w:lineRule="auto"/>
        <w:ind w:firstLine="480" w:firstLineChars="200"/>
        <w:rPr>
          <w:rFonts w:ascii="宋体" w:hAnsi="Calibri" w:cs="Calibri"/>
          <w:color w:val="000000"/>
          <w:kern w:val="2"/>
          <w:szCs w:val="21"/>
        </w:rPr>
      </w:pPr>
      <w:r>
        <w:rPr>
          <w:rFonts w:hint="eastAsia" w:ascii="宋体" w:hAnsi="Calibri" w:cs="Calibri"/>
          <w:color w:val="000000"/>
          <w:kern w:val="2"/>
          <w:szCs w:val="21"/>
        </w:rPr>
        <w:t>（1）平台及应用系统软件必须遵循J2EE的技术路线，采用Java编程语言和服务器端Java技术进行开发，业务应用系统必须基于MySQL数据库上。</w:t>
      </w:r>
    </w:p>
    <w:p>
      <w:pPr>
        <w:pStyle w:val="4"/>
        <w:spacing w:line="360" w:lineRule="auto"/>
        <w:ind w:firstLine="480" w:firstLineChars="200"/>
        <w:rPr>
          <w:rFonts w:ascii="宋体" w:hAnsi="Calibri" w:cs="Calibri"/>
          <w:color w:val="000000"/>
          <w:kern w:val="2"/>
          <w:szCs w:val="21"/>
        </w:rPr>
      </w:pPr>
      <w:r>
        <w:rPr>
          <w:rFonts w:hint="eastAsia" w:ascii="宋体" w:hAnsi="Calibri" w:cs="Calibri"/>
          <w:color w:val="000000"/>
          <w:kern w:val="2"/>
          <w:szCs w:val="21"/>
        </w:rPr>
        <w:t>（2）采用面向对象的组件技术，着重于开发构成应用程序“业务对象”的可重复使用的组件，利用这些组件顺利地建立分布式应用程序。并通过业务组件库实现行业知识的积累。组件采有面向对象的思想构建，组件之间可以继承，组件之间从物理和逻辑上都是隔离的。</w:t>
      </w:r>
    </w:p>
    <w:p>
      <w:pPr>
        <w:pStyle w:val="4"/>
        <w:spacing w:line="360" w:lineRule="auto"/>
        <w:ind w:firstLine="480" w:firstLineChars="200"/>
        <w:rPr>
          <w:rFonts w:ascii="宋体" w:hAnsi="Calibri" w:cs="Calibri"/>
          <w:color w:val="000000"/>
          <w:kern w:val="2"/>
          <w:szCs w:val="21"/>
        </w:rPr>
      </w:pPr>
      <w:r>
        <w:rPr>
          <w:rFonts w:hint="eastAsia" w:ascii="宋体" w:hAnsi="Calibri" w:cs="Calibri"/>
          <w:color w:val="000000"/>
          <w:kern w:val="2"/>
          <w:szCs w:val="21"/>
        </w:rPr>
        <w:t>（3）应用程序开发与运行结构要基于统一的技术开发平台的三层架构，即Web服务器、应用支撑服务器和数据库服务器。</w:t>
      </w:r>
    </w:p>
    <w:p>
      <w:pPr>
        <w:pStyle w:val="4"/>
        <w:spacing w:line="360" w:lineRule="auto"/>
        <w:ind w:firstLine="480" w:firstLineChars="200"/>
        <w:rPr>
          <w:rFonts w:ascii="宋体" w:hAnsi="Calibri" w:cs="Calibri"/>
          <w:color w:val="000000"/>
          <w:kern w:val="2"/>
          <w:szCs w:val="21"/>
        </w:rPr>
      </w:pPr>
      <w:r>
        <w:rPr>
          <w:rFonts w:hint="eastAsia" w:ascii="宋体" w:hAnsi="Calibri" w:cs="Calibri"/>
          <w:color w:val="000000"/>
          <w:kern w:val="2"/>
          <w:szCs w:val="21"/>
        </w:rPr>
        <w:t>（4）能完成跨业务部门的业务流程和相对应的细颗粒度的分级授权体系。</w:t>
      </w:r>
    </w:p>
    <w:p>
      <w:pPr>
        <w:pStyle w:val="4"/>
        <w:spacing w:line="360" w:lineRule="auto"/>
        <w:ind w:firstLine="480" w:firstLineChars="200"/>
        <w:rPr>
          <w:rFonts w:ascii="宋体" w:hAnsi="宋体" w:cs="宋体"/>
          <w:color w:val="000000"/>
        </w:rPr>
      </w:pPr>
      <w:r>
        <w:rPr>
          <w:rFonts w:hint="eastAsia" w:ascii="宋体" w:hAnsi="Calibri" w:cs="Calibri"/>
          <w:color w:val="000000"/>
          <w:kern w:val="2"/>
          <w:szCs w:val="21"/>
        </w:rPr>
        <w:t>（5）各应用系统要充分利用现有先进技术手段，采用相同的体系结构和运行平台，基于多层架构和组件技术，进行构建，整体架构基于Spring的SSM框架，分为表示层、</w:t>
      </w:r>
      <w:r>
        <w:fldChar w:fldCharType="begin"/>
      </w:r>
      <w:r>
        <w:instrText xml:space="preserve"> HYPERLINK "http://baike.baidu.com/view/1030527.htm" \t "_blank" </w:instrText>
      </w:r>
      <w:r>
        <w:fldChar w:fldCharType="separate"/>
      </w:r>
      <w:r>
        <w:rPr>
          <w:rFonts w:hint="eastAsia" w:ascii="宋体" w:hAnsi="Calibri" w:cs="Calibri"/>
          <w:color w:val="000000"/>
          <w:kern w:val="2"/>
          <w:szCs w:val="21"/>
        </w:rPr>
        <w:t>业务逻辑层</w:t>
      </w:r>
      <w:r>
        <w:rPr>
          <w:rFonts w:hint="eastAsia" w:ascii="宋体" w:hAnsi="Calibri" w:cs="Calibri"/>
          <w:color w:val="000000"/>
          <w:kern w:val="2"/>
          <w:szCs w:val="21"/>
        </w:rPr>
        <w:fldChar w:fldCharType="end"/>
      </w:r>
      <w:r>
        <w:rPr>
          <w:rFonts w:hint="eastAsia" w:ascii="宋体" w:hAnsi="Calibri" w:cs="Calibri"/>
          <w:color w:val="000000"/>
          <w:kern w:val="2"/>
          <w:szCs w:val="21"/>
        </w:rPr>
        <w:t>、</w:t>
      </w:r>
      <w:r>
        <w:fldChar w:fldCharType="begin"/>
      </w:r>
      <w:r>
        <w:instrText xml:space="preserve"> HYPERLINK "http://baike.baidu.com/view/1862970.htm" \t "_blank" </w:instrText>
      </w:r>
      <w:r>
        <w:fldChar w:fldCharType="separate"/>
      </w:r>
      <w:r>
        <w:rPr>
          <w:rFonts w:hint="eastAsia" w:ascii="宋体" w:hAnsi="Calibri" w:cs="Calibri"/>
          <w:color w:val="000000"/>
          <w:kern w:val="2"/>
          <w:szCs w:val="21"/>
        </w:rPr>
        <w:t>数据持久层</w:t>
      </w:r>
      <w:r>
        <w:rPr>
          <w:rFonts w:hint="eastAsia" w:ascii="宋体" w:hAnsi="Calibri" w:cs="Calibri"/>
          <w:color w:val="000000"/>
          <w:kern w:val="2"/>
          <w:szCs w:val="21"/>
        </w:rPr>
        <w:fldChar w:fldCharType="end"/>
      </w:r>
      <w:r>
        <w:rPr>
          <w:rFonts w:hint="eastAsia" w:ascii="宋体" w:hAnsi="Calibri" w:cs="Calibri"/>
          <w:color w:val="000000"/>
          <w:kern w:val="2"/>
          <w:szCs w:val="21"/>
        </w:rPr>
        <w:t>和域模块层。组件的执行是以模型进行驱动，每层都有相应的模型配置，引擎解析这些模型，自动实现各层的功能。</w:t>
      </w:r>
    </w:p>
    <w:p>
      <w:pPr>
        <w:tabs>
          <w:tab w:val="left" w:pos="360"/>
        </w:tabs>
        <w:jc w:val="left"/>
        <w:outlineLvl w:val="1"/>
        <w:rPr>
          <w:rFonts w:ascii="宋体" w:cs="宋体"/>
          <w:b/>
          <w:bCs/>
          <w:color w:val="000000"/>
        </w:rPr>
      </w:pPr>
      <w:r>
        <w:rPr>
          <w:rFonts w:hint="eastAsia" w:ascii="宋体" w:hAnsi="宋体" w:cs="宋体"/>
          <w:b/>
          <w:bCs/>
          <w:color w:val="000000"/>
        </w:rPr>
        <w:t>1、招生管理子系统具体功能</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75"/>
        <w:gridCol w:w="2443"/>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序号</w:t>
            </w:r>
          </w:p>
        </w:tc>
        <w:tc>
          <w:tcPr>
            <w:tcW w:w="177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系统模块名称</w:t>
            </w: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系统功能名称</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1</w:t>
            </w:r>
          </w:p>
        </w:tc>
        <w:tc>
          <w:tcPr>
            <w:tcW w:w="1775" w:type="dxa"/>
            <w:vMerge w:val="restart"/>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系统管理</w:t>
            </w: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招生学院管理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维护学校招生学院信息。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招生专业管理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维护学校招生专业信息。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考试科目管理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维护学校考试科目信息。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招生导师管理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维护学校招生导师信息。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2</w:t>
            </w:r>
          </w:p>
        </w:tc>
        <w:tc>
          <w:tcPr>
            <w:tcW w:w="1775" w:type="dxa"/>
            <w:vMerge w:val="restart"/>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硕士招生管理</w:t>
            </w: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硕士专业目录管理</w:t>
            </w:r>
          </w:p>
          <w:p>
            <w:pPr>
              <w:adjustRightInd w:val="0"/>
              <w:jc w:val="left"/>
              <w:rPr>
                <w:rFonts w:ascii="宋体" w:hAnsi="宋体"/>
                <w:color w:val="000000"/>
                <w:szCs w:val="24"/>
              </w:rPr>
            </w:pP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学院管理员维护本学院招生专业目录信息，并上报至学校招生管理部门。</w:t>
            </w:r>
          </w:p>
          <w:p>
            <w:pPr>
              <w:adjustRightInd w:val="0"/>
              <w:jc w:val="left"/>
              <w:rPr>
                <w:rFonts w:ascii="宋体" w:hAnsi="宋体"/>
                <w:color w:val="000000"/>
                <w:szCs w:val="24"/>
              </w:rPr>
            </w:pPr>
            <w:r>
              <w:rPr>
                <w:rFonts w:hint="eastAsia" w:ascii="宋体" w:hAnsi="宋体"/>
                <w:color w:val="000000"/>
                <w:szCs w:val="24"/>
              </w:rPr>
              <w:t>支持多种指定格式导出招生专业目录信息。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硕士报名管理</w:t>
            </w:r>
          </w:p>
          <w:p>
            <w:pPr>
              <w:adjustRightInd w:val="0"/>
              <w:jc w:val="left"/>
              <w:rPr>
                <w:rFonts w:ascii="宋体" w:hAnsi="宋体"/>
                <w:color w:val="000000"/>
                <w:szCs w:val="24"/>
              </w:rPr>
            </w:pP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支持统考网报考生信息数据的导入。</w:t>
            </w:r>
          </w:p>
          <w:p>
            <w:pPr>
              <w:adjustRightInd w:val="0"/>
              <w:jc w:val="left"/>
              <w:rPr>
                <w:rFonts w:ascii="宋体" w:hAnsi="宋体"/>
                <w:color w:val="000000"/>
                <w:szCs w:val="24"/>
              </w:rPr>
            </w:pPr>
            <w:r>
              <w:rPr>
                <w:rFonts w:hint="eastAsia" w:ascii="宋体" w:hAnsi="宋体"/>
                <w:color w:val="000000"/>
                <w:szCs w:val="24"/>
              </w:rPr>
              <w:t>对统考考生信息进行审核，并按规则编制考生准考证号，支持按指定格式导出准考考生名单。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8"/>
              <w:ind w:firstLine="0" w:firstLineChars="0"/>
              <w:rPr>
                <w:rFonts w:ascii="宋体" w:hAnsi="宋体"/>
                <w:color w:val="000000"/>
              </w:rPr>
            </w:pPr>
            <w:r>
              <w:rPr>
                <w:rFonts w:hint="eastAsia" w:ascii="宋体" w:hAnsi="宋体"/>
                <w:color w:val="000000"/>
              </w:rPr>
              <w:t>硕士自命题管理</w:t>
            </w:r>
          </w:p>
          <w:p>
            <w:pPr>
              <w:adjustRightInd w:val="0"/>
              <w:jc w:val="left"/>
              <w:rPr>
                <w:rFonts w:ascii="宋体" w:hAnsi="宋体"/>
                <w:color w:val="000000"/>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维护统考各个考点的基本信息，并支持打印。</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系统根据统考考生报名数据自动生成各考试科目需制卷数量。</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系统根据统考考生报名数据按多种指定格式生成考生个人信息标签及准考考生清单并支持打印。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8"/>
              <w:ind w:firstLine="0" w:firstLineChars="0"/>
              <w:rPr>
                <w:rFonts w:ascii="宋体" w:hAnsi="宋体" w:cs="Times New Roman"/>
                <w:color w:val="000000"/>
              </w:rPr>
            </w:pPr>
            <w:r>
              <w:rPr>
                <w:rFonts w:hint="eastAsia" w:ascii="宋体" w:hAnsi="宋体"/>
                <w:color w:val="000000"/>
              </w:rPr>
              <w:t>硕士评卷管理</w:t>
            </w:r>
          </w:p>
          <w:p>
            <w:pPr>
              <w:adjustRightInd w:val="0"/>
              <w:jc w:val="left"/>
              <w:rPr>
                <w:rFonts w:ascii="宋体" w:hAnsi="宋体"/>
                <w:color w:val="000000"/>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支持多组同时录入考生的考试成绩。</w:t>
            </w:r>
          </w:p>
          <w:p>
            <w:pPr>
              <w:adjustRightInd w:val="0"/>
              <w:jc w:val="left"/>
              <w:rPr>
                <w:rFonts w:ascii="宋体" w:hAnsi="宋体"/>
                <w:color w:val="000000"/>
                <w:szCs w:val="24"/>
              </w:rPr>
            </w:pPr>
            <w:r>
              <w:rPr>
                <w:rFonts w:hint="eastAsia" w:ascii="宋体" w:hAnsi="宋体"/>
                <w:color w:val="000000"/>
                <w:szCs w:val="24"/>
              </w:rPr>
              <w:t>系统自动对成绩进行校验，并生成异常分数报表。</w:t>
            </w:r>
          </w:p>
          <w:p>
            <w:pPr>
              <w:adjustRightInd w:val="0"/>
              <w:jc w:val="left"/>
              <w:rPr>
                <w:rFonts w:ascii="宋体" w:hAnsi="宋体"/>
                <w:color w:val="000000"/>
                <w:szCs w:val="24"/>
              </w:rPr>
            </w:pPr>
            <w:r>
              <w:rPr>
                <w:rFonts w:hint="eastAsia" w:ascii="宋体" w:hAnsi="宋体"/>
                <w:color w:val="000000"/>
                <w:szCs w:val="24"/>
              </w:rPr>
              <w:t>支持按指定格式导出成绩数据，用于上报省级管理部门。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8"/>
              <w:ind w:firstLine="0" w:firstLineChars="0"/>
              <w:rPr>
                <w:rFonts w:ascii="宋体" w:hAnsi="宋体"/>
                <w:color w:val="000000"/>
              </w:rPr>
            </w:pPr>
            <w:r>
              <w:rPr>
                <w:rFonts w:hint="eastAsia" w:ascii="宋体" w:hAnsi="宋体"/>
                <w:color w:val="000000"/>
              </w:rPr>
              <w:t>硕士复试管理</w:t>
            </w:r>
          </w:p>
          <w:p>
            <w:pPr>
              <w:adjustRightInd w:val="0"/>
              <w:jc w:val="left"/>
              <w:rPr>
                <w:rFonts w:ascii="宋体" w:hAnsi="宋体"/>
                <w:color w:val="000000"/>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维护进入复试的基本分数线和复试成绩权重。</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按照复试分数线，系统自动生成上线考生名单。</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学院根据上线考生名单自主选择进入复试的考生名单。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硕士录取管理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学院根据考生综合成绩确认拟录取考生名单，支持按指定格式导出拟录取考生名单，用于上报省级管理部门。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3</w:t>
            </w:r>
          </w:p>
        </w:tc>
        <w:tc>
          <w:tcPr>
            <w:tcW w:w="1775" w:type="dxa"/>
            <w:vMerge w:val="restart"/>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博士招生管理</w:t>
            </w: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博士专业目录管理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用于博士招生专业目录信息的采集、审核及导出。</w:t>
            </w:r>
          </w:p>
          <w:p>
            <w:pPr>
              <w:adjustRightInd w:val="0"/>
              <w:jc w:val="left"/>
              <w:rPr>
                <w:rFonts w:ascii="宋体" w:hAnsi="宋体"/>
                <w:color w:val="000000"/>
                <w:szCs w:val="24"/>
              </w:rPr>
            </w:pPr>
            <w:r>
              <w:rPr>
                <w:rFonts w:hint="eastAsia" w:ascii="宋体" w:hAnsi="宋体"/>
                <w:color w:val="000000"/>
                <w:szCs w:val="24"/>
              </w:rPr>
              <w:t>二级学院维护本学院招生专业目录信息，并上报至学校招生管理部门。</w:t>
            </w:r>
          </w:p>
          <w:p>
            <w:pPr>
              <w:adjustRightInd w:val="0"/>
              <w:jc w:val="left"/>
              <w:rPr>
                <w:rFonts w:ascii="宋体" w:hAnsi="宋体"/>
                <w:color w:val="000000"/>
                <w:szCs w:val="24"/>
              </w:rPr>
            </w:pPr>
            <w:r>
              <w:rPr>
                <w:rFonts w:hint="eastAsia" w:ascii="宋体" w:hAnsi="宋体"/>
                <w:color w:val="000000"/>
                <w:szCs w:val="24"/>
              </w:rPr>
              <w:t>支持按多种指定格式导出招生专业目录信息。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博士报名管理</w:t>
            </w:r>
          </w:p>
        </w:tc>
        <w:tc>
          <w:tcPr>
            <w:tcW w:w="35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报考博士的考生在网上填写个人信息、报考信息等。</w:t>
            </w:r>
          </w:p>
          <w:p>
            <w:pPr>
              <w:adjustRightInd w:val="0"/>
              <w:jc w:val="left"/>
              <w:rPr>
                <w:rFonts w:ascii="宋体" w:hAnsi="宋体"/>
                <w:color w:val="000000"/>
                <w:szCs w:val="24"/>
              </w:rPr>
            </w:pPr>
            <w:r>
              <w:rPr>
                <w:rFonts w:hint="eastAsia" w:ascii="宋体" w:hAnsi="宋体"/>
                <w:color w:val="000000"/>
                <w:szCs w:val="24"/>
              </w:rPr>
              <w:t>对报考博士的考生信息进行审核，并按规则编制考生准考证号。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8"/>
              <w:ind w:firstLine="0" w:firstLineChars="0"/>
              <w:rPr>
                <w:rFonts w:ascii="宋体" w:hAnsi="宋体"/>
                <w:color w:val="000000"/>
              </w:rPr>
            </w:pPr>
            <w:r>
              <w:rPr>
                <w:rFonts w:hint="eastAsia" w:ascii="宋体" w:hAnsi="宋体"/>
                <w:color w:val="000000"/>
              </w:rPr>
              <w:t>博士自命题管理</w:t>
            </w:r>
          </w:p>
          <w:p>
            <w:pPr>
              <w:adjustRightInd w:val="0"/>
              <w:jc w:val="left"/>
              <w:rPr>
                <w:rFonts w:ascii="宋体" w:hAnsi="宋体"/>
                <w:color w:val="000000"/>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用于博士自命题考试制卷、评卷工作管理。</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用于按照博士报名数据对制卷数量及标签进行管理。</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系统根据博士报名数据自动生成各考试科目需制卷数量。</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系统根据博士报名数据按多种指定格式生成考生个人信息标签及准考考生清单并支持打印。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博士评卷管理</w:t>
            </w:r>
          </w:p>
          <w:p>
            <w:pPr>
              <w:pStyle w:val="9"/>
              <w:tabs>
                <w:tab w:val="left" w:pos="360"/>
              </w:tabs>
              <w:spacing w:line="360" w:lineRule="auto"/>
              <w:ind w:firstLine="0" w:firstLineChars="0"/>
              <w:jc w:val="left"/>
              <w:rPr>
                <w:rFonts w:ascii="宋体" w:hAnsi="宋体" w:cs="Times New Roman"/>
                <w:color w:val="000000"/>
                <w:sz w:val="24"/>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用于对评卷工作各个环节的工作管理，包括成绩录入、成绩上报等。</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支持多组同时录入考生的考试成绩。</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系统自动对成绩进行校验，并生成异常分数报表。</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支持按指定格式导出成绩数据，用于上报省级管理部门。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博士复试管理</w:t>
            </w: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系统支持在线维护进入复试的基本分数线和复试成绩权重。</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按照复试分数线，系统自动生成上线考生名单。</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学院根据上线考生名单自主选择进入复试的考生名单。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博士录取管理</w:t>
            </w: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学院根据考生综合成绩确认拟录取考生名单，支持按指定格式导出拟录取考生名单，用于上报省级管理部门。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4</w:t>
            </w:r>
          </w:p>
        </w:tc>
        <w:tc>
          <w:tcPr>
            <w:tcW w:w="1775" w:type="dxa"/>
            <w:vMerge w:val="restart"/>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推免生招生管理</w:t>
            </w:r>
          </w:p>
        </w:tc>
        <w:tc>
          <w:tcPr>
            <w:tcW w:w="2443" w:type="dxa"/>
            <w:tcBorders>
              <w:top w:val="single" w:color="auto" w:sz="4" w:space="0"/>
              <w:left w:val="single" w:color="auto" w:sz="4" w:space="0"/>
              <w:bottom w:val="single" w:color="auto" w:sz="4" w:space="0"/>
              <w:right w:val="single" w:color="auto" w:sz="4" w:space="0"/>
            </w:tcBorders>
          </w:tcPr>
          <w:p>
            <w:pPr>
              <w:pStyle w:val="8"/>
              <w:ind w:firstLine="0" w:firstLineChars="0"/>
              <w:rPr>
                <w:rFonts w:ascii="宋体" w:hAnsi="宋体" w:cs="Times New Roman"/>
                <w:color w:val="000000"/>
              </w:rPr>
            </w:pPr>
            <w:r>
              <w:rPr>
                <w:rFonts w:hint="eastAsia" w:ascii="宋体" w:hAnsi="宋体"/>
                <w:color w:val="000000"/>
              </w:rPr>
              <w:t>推免生专业目录管理</w:t>
            </w:r>
          </w:p>
          <w:p>
            <w:pPr>
              <w:pStyle w:val="9"/>
              <w:tabs>
                <w:tab w:val="left" w:pos="360"/>
              </w:tabs>
              <w:spacing w:line="360" w:lineRule="auto"/>
              <w:ind w:firstLine="0" w:firstLineChars="0"/>
              <w:jc w:val="left"/>
              <w:rPr>
                <w:rFonts w:ascii="宋体" w:hAnsi="宋体" w:cs="Times New Roman"/>
                <w:color w:val="000000"/>
                <w:sz w:val="24"/>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学院管理员维护本学院招生专业目录信息，并上报至学校招生管理部门。</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支持多种指定格式导出招生专业目录信息。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8"/>
              <w:ind w:firstLine="0" w:firstLineChars="0"/>
              <w:rPr>
                <w:rFonts w:ascii="宋体" w:hAnsi="宋体" w:cs="Times New Roman"/>
                <w:color w:val="000000"/>
              </w:rPr>
            </w:pPr>
            <w:r>
              <w:rPr>
                <w:rFonts w:hint="eastAsia" w:ascii="宋体" w:hAnsi="宋体"/>
                <w:color w:val="000000"/>
              </w:rPr>
              <w:t>推免生报名管理</w:t>
            </w:r>
          </w:p>
          <w:p>
            <w:pPr>
              <w:pStyle w:val="9"/>
              <w:tabs>
                <w:tab w:val="left" w:pos="360"/>
              </w:tabs>
              <w:spacing w:line="360" w:lineRule="auto"/>
              <w:ind w:firstLine="0" w:firstLineChars="0"/>
              <w:jc w:val="left"/>
              <w:rPr>
                <w:rFonts w:ascii="宋体" w:hAnsi="宋体" w:cs="Times New Roman"/>
                <w:color w:val="000000"/>
                <w:sz w:val="24"/>
                <w:szCs w:val="24"/>
              </w:rPr>
            </w:pP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支持推免生网报考生信息数据的导入。</w:t>
            </w:r>
          </w:p>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对推免生考生信息进行审核，并按规则编制考生准考证号。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推免生复试管理</w:t>
            </w: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学院根据报名考生名单自主选择进入复试的考生名单，并支持在线输入参加复试考生的复试成绩。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3"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推免生录取管理</w:t>
            </w: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学院根据考生综合成绩确认拟录取考生名单，并支持按指定格式导出拟录取考生名单，用于上报省级管理部门。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5</w:t>
            </w:r>
          </w:p>
        </w:tc>
        <w:tc>
          <w:tcPr>
            <w:tcW w:w="1775"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统计分析</w:t>
            </w:r>
          </w:p>
        </w:tc>
        <w:tc>
          <w:tcPr>
            <w:tcW w:w="2443"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统计分析</w:t>
            </w:r>
          </w:p>
        </w:tc>
        <w:tc>
          <w:tcPr>
            <w:tcW w:w="3546" w:type="dxa"/>
            <w:tcBorders>
              <w:top w:val="single" w:color="auto" w:sz="4" w:space="0"/>
              <w:left w:val="single" w:color="auto" w:sz="4" w:space="0"/>
              <w:bottom w:val="single" w:color="auto" w:sz="4" w:space="0"/>
              <w:right w:val="single" w:color="auto" w:sz="4" w:space="0"/>
            </w:tcBorders>
          </w:tcPr>
          <w:p>
            <w:pPr>
              <w:pStyle w:val="9"/>
              <w:tabs>
                <w:tab w:val="left" w:pos="360"/>
              </w:tabs>
              <w:spacing w:line="360" w:lineRule="auto"/>
              <w:ind w:firstLine="0" w:firstLineChars="0"/>
              <w:jc w:val="left"/>
              <w:rPr>
                <w:rFonts w:ascii="宋体" w:hAnsi="宋体" w:cs="Times New Roman"/>
                <w:color w:val="000000"/>
                <w:sz w:val="24"/>
                <w:szCs w:val="24"/>
              </w:rPr>
            </w:pPr>
            <w:r>
              <w:rPr>
                <w:rFonts w:hint="eastAsia" w:ascii="宋体" w:hAnsi="宋体" w:cs="Times New Roman"/>
                <w:color w:val="000000"/>
                <w:sz w:val="24"/>
                <w:szCs w:val="24"/>
              </w:rPr>
              <w:t>按学校要求对各种招生类型的录取数据进行统计分析。</w:t>
            </w:r>
          </w:p>
        </w:tc>
      </w:tr>
    </w:tbl>
    <w:p>
      <w:pPr>
        <w:pStyle w:val="9"/>
        <w:tabs>
          <w:tab w:val="left" w:pos="360"/>
        </w:tabs>
        <w:spacing w:line="360" w:lineRule="auto"/>
        <w:ind w:left="1" w:firstLine="480"/>
        <w:jc w:val="left"/>
        <w:rPr>
          <w:rFonts w:ascii="宋体"/>
          <w:color w:val="000000"/>
          <w:sz w:val="24"/>
        </w:rPr>
      </w:pPr>
    </w:p>
    <w:p>
      <w:pPr>
        <w:tabs>
          <w:tab w:val="left" w:pos="360"/>
        </w:tabs>
        <w:jc w:val="left"/>
        <w:outlineLvl w:val="1"/>
        <w:rPr>
          <w:rFonts w:ascii="宋体" w:hAnsi="宋体" w:cs="宋体"/>
          <w:b/>
          <w:bCs/>
          <w:color w:val="000000"/>
        </w:rPr>
      </w:pPr>
      <w:r>
        <w:rPr>
          <w:rFonts w:hint="eastAsia" w:ascii="宋体" w:hAnsi="宋体" w:cs="宋体"/>
          <w:b/>
          <w:bCs/>
          <w:color w:val="000000"/>
        </w:rPr>
        <w:t>2、培养管理子系统具体功能</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90"/>
        <w:gridCol w:w="2449"/>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序号</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系统模块名称</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系统功能名称</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1</w:t>
            </w:r>
          </w:p>
        </w:tc>
        <w:tc>
          <w:tcPr>
            <w:tcW w:w="1790"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基础数据维护</w:t>
            </w:r>
          </w:p>
          <w:p>
            <w:pPr>
              <w:adjustRightInd w:val="0"/>
              <w:jc w:val="center"/>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基础参数设置</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统一设置各种参数，包括老生注册时间、排课时间、选课时间等。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基础数据维护</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支持在线维护各种基础数据。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2</w:t>
            </w:r>
          </w:p>
        </w:tc>
        <w:tc>
          <w:tcPr>
            <w:tcW w:w="1790"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学生信息管理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新生数据维护</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系统支持自动从招生系统中同步新生数据。统一进行编学号、分班级、分导师，再转入学生正式库。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学生信息管理</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展示所有在校生的基本信息和学籍信息，系统支持对学生信息进行查询、修改、导出等操作，能自动批量生成入学登记表，还支持批量打印学籍登记卡。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学生申请管理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学生可在系统中进行更换导师申请、硕博连读申请、研究生证补办、学籍异动申请等，通过相关审核后，系统自动对学生相关信息进行变更。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网上自助注册</w:t>
            </w:r>
          </w:p>
          <w:p>
            <w:pPr>
              <w:adjustRightInd w:val="0"/>
              <w:jc w:val="left"/>
              <w:rPr>
                <w:rFonts w:ascii="宋体" w:hAnsi="宋体"/>
                <w:color w:val="000000"/>
                <w:szCs w:val="24"/>
              </w:rPr>
            </w:pP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老生通过登陆系统完成本年度学籍注册。</w:t>
            </w:r>
          </w:p>
          <w:p>
            <w:pPr>
              <w:adjustRightInd w:val="0"/>
              <w:jc w:val="left"/>
              <w:rPr>
                <w:rFonts w:ascii="宋体" w:hAnsi="宋体"/>
                <w:color w:val="000000"/>
                <w:szCs w:val="24"/>
              </w:rPr>
            </w:pPr>
            <w:r>
              <w:rPr>
                <w:rFonts w:hint="eastAsia" w:ascii="宋体" w:hAnsi="宋体"/>
                <w:color w:val="000000"/>
                <w:szCs w:val="24"/>
              </w:rPr>
              <w:t>学院、培养办也可以批量完成老生的学籍注册。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3</w:t>
            </w:r>
          </w:p>
        </w:tc>
        <w:tc>
          <w:tcPr>
            <w:tcW w:w="1790" w:type="dxa"/>
            <w:vMerge w:val="restart"/>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培养方案管理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制定培养方案</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学院管理员在设定时间段内，按照规则分别制定本院系下各专业的培养方案。</w:t>
            </w:r>
          </w:p>
          <w:p>
            <w:pPr>
              <w:adjustRightInd w:val="0"/>
              <w:jc w:val="left"/>
              <w:rPr>
                <w:rFonts w:ascii="宋体" w:hAnsi="宋体"/>
                <w:color w:val="000000"/>
                <w:szCs w:val="24"/>
              </w:rPr>
            </w:pPr>
            <w:r>
              <w:rPr>
                <w:rFonts w:hint="eastAsia" w:ascii="宋体" w:hAnsi="宋体"/>
                <w:color w:val="000000"/>
                <w:szCs w:val="24"/>
              </w:rPr>
              <w:t>学院管理员制定完毕后需提交培养办管理员审核。培养办管理员审核并维护各院系专业培养方案。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培养方案库</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列表展示历年所有的培养方案数据。学院制定培养方案时，可以直接复制历年的培养方案数据进行修改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4</w:t>
            </w:r>
          </w:p>
        </w:tc>
        <w:tc>
          <w:tcPr>
            <w:tcW w:w="1790" w:type="dxa"/>
            <w:vMerge w:val="restart"/>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课程开课管理</w:t>
            </w:r>
          </w:p>
          <w:p>
            <w:pPr>
              <w:adjustRightInd w:val="0"/>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制定开课方案</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系统支持在线排课，对相关学年学期的专业培养方案以及学生的个人培养方案的课程进行排课；做好与本科教务系统的数据对接，与本科生排课数据打通，解决本科生、研究生排课师资、教室冲突问题。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授课计划</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授课教师对本学期开设的课程制定执行计划。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调停课管理</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授课教师在线填写调停课申请，提交给相关管理员审批。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课程停开处理</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通过数据进行比对，列表显示当前学年学期所有没有学生选择或选择人数达不到开课标准的课程。培养办可以进行停开处理。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课表查询</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系统根据课程排课结果，自动生成各类课表。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5</w:t>
            </w:r>
          </w:p>
        </w:tc>
        <w:tc>
          <w:tcPr>
            <w:tcW w:w="1790" w:type="dxa"/>
            <w:vMerge w:val="restart"/>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个人培养计划管理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制定个人培养计划</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研究生根据本专业培养方案，在导师指导下在系统内制定个人培养计划。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在线选课</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系统根据培养方案自动显示当前学年学期开课的所有课程，学生在选课时间段内可以在线进行选课，同时可以做退选、补选操作。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课程免修/重修/缓考</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学生可以在线提交课程免修、重修、缓考等申请。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6</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学生成绩管理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学生成绩管理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系统支持对成绩录入时间的设定，任课教师在线录入成绩后，交由学院审核，生成学生的最终成绩。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7</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评教管理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评教管理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系统支持培养办在线维护、发布评教问卷，学生可以在线对课程教师进行评价。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8</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工作量核算</w:t>
            </w:r>
          </w:p>
          <w:p>
            <w:pPr>
              <w:adjustRightInd w:val="0"/>
              <w:jc w:val="left"/>
              <w:rPr>
                <w:rFonts w:ascii="宋体" w:hAnsi="宋体"/>
                <w:color w:val="000000"/>
                <w:szCs w:val="24"/>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工作量核算</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计算导师指导研究生的工作量和研究生课程工作量，系数由各学院研秘录入各学院可根据实际情况更改规则。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9</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研究生英语管理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研究生英语管理</w:t>
            </w:r>
          </w:p>
          <w:p>
            <w:pPr>
              <w:adjustRightInd w:val="0"/>
              <w:jc w:val="left"/>
              <w:rPr>
                <w:rFonts w:ascii="宋体" w:hAnsi="宋体"/>
                <w:color w:val="000000"/>
                <w:szCs w:val="24"/>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英语等级考试报名管理、英语课程免修申请及审核。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10</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毕业生管理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毕业生管理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列表显示所有即将毕业的学生信息，系统支持批量生成毕业证号，批量打印毕业证。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szCs w:val="24"/>
              </w:rPr>
            </w:pPr>
            <w:r>
              <w:rPr>
                <w:rFonts w:hint="eastAsia" w:ascii="宋体" w:hAnsi="宋体"/>
                <w:color w:val="000000"/>
                <w:szCs w:val="24"/>
              </w:rPr>
              <w:t>11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统计分析</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统计分析</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szCs w:val="24"/>
              </w:rPr>
            </w:pPr>
            <w:r>
              <w:rPr>
                <w:rFonts w:hint="eastAsia" w:ascii="宋体" w:hAnsi="宋体"/>
                <w:color w:val="000000"/>
                <w:szCs w:val="24"/>
              </w:rPr>
              <w:t>生成高基表。</w:t>
            </w:r>
          </w:p>
          <w:p>
            <w:pPr>
              <w:adjustRightInd w:val="0"/>
              <w:jc w:val="left"/>
              <w:rPr>
                <w:rFonts w:ascii="宋体" w:hAnsi="宋体"/>
                <w:color w:val="000000"/>
                <w:szCs w:val="24"/>
              </w:rPr>
            </w:pPr>
            <w:r>
              <w:rPr>
                <w:rFonts w:hint="eastAsia" w:ascii="宋体" w:hAnsi="宋体"/>
                <w:color w:val="000000"/>
                <w:szCs w:val="24"/>
              </w:rPr>
              <w:t>所有课程信息的统计，学生选课情况统计。</w:t>
            </w:r>
          </w:p>
          <w:p>
            <w:pPr>
              <w:adjustRightInd w:val="0"/>
              <w:jc w:val="left"/>
              <w:rPr>
                <w:rFonts w:ascii="宋体" w:hAnsi="宋体"/>
                <w:color w:val="000000"/>
                <w:szCs w:val="24"/>
              </w:rPr>
            </w:pPr>
            <w:r>
              <w:rPr>
                <w:rFonts w:hint="eastAsia" w:ascii="宋体" w:hAnsi="宋体"/>
                <w:color w:val="000000"/>
                <w:szCs w:val="24"/>
              </w:rPr>
              <w:t>历年所有学生信息的统计。</w:t>
            </w:r>
          </w:p>
        </w:tc>
      </w:tr>
    </w:tbl>
    <w:p>
      <w:pPr>
        <w:tabs>
          <w:tab w:val="left" w:pos="360"/>
        </w:tabs>
        <w:jc w:val="left"/>
        <w:outlineLvl w:val="1"/>
        <w:rPr>
          <w:rFonts w:ascii="宋体" w:hAnsi="宋体" w:cs="宋体"/>
          <w:b/>
          <w:bCs/>
          <w:color w:val="000000"/>
        </w:rPr>
      </w:pPr>
      <w:r>
        <w:rPr>
          <w:rFonts w:hint="eastAsia" w:ascii="宋体" w:hAnsi="宋体" w:cs="宋体"/>
          <w:b/>
          <w:bCs/>
          <w:color w:val="000000"/>
        </w:rPr>
        <w:t>3、教育建设项目管理子系统具体功能</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90"/>
        <w:gridCol w:w="2449"/>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rPr>
            </w:pPr>
            <w:r>
              <w:rPr>
                <w:rFonts w:hint="eastAsia" w:ascii="宋体" w:hAnsi="宋体"/>
                <w:color w:val="000000"/>
              </w:rPr>
              <w:t>序号</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系统模块名称</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系统功能名称</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项目发布</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项目发布</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管理员可以在线发布教育建设项目。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2</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项目申报</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项目申报</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学生、导师可以在线完成教育建设项目的申请。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3</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审核管理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审核管理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学院、培养办可以在线审核学生、导师提交的项目申报申请。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4</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个人项目查看</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个人项目查看</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学生、导师可以查看个人申请成功的所有教育建设项目，还可以上传相关的中期报告、总结报告等成果物。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5</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项目结题</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项目结题</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学生、导师可以在线完成教育建设项目结题申请，上传相关研究成果，提交审核。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6</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统计分析</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统计分析</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系统支持对所有教育建设项目进行多种统计分析。</w:t>
            </w:r>
          </w:p>
        </w:tc>
      </w:tr>
    </w:tbl>
    <w:p>
      <w:pPr>
        <w:tabs>
          <w:tab w:val="left" w:pos="360"/>
        </w:tabs>
        <w:jc w:val="left"/>
        <w:outlineLvl w:val="1"/>
        <w:rPr>
          <w:rFonts w:ascii="宋体" w:hAnsi="宋体" w:cs="宋体"/>
          <w:b/>
          <w:bCs/>
          <w:color w:val="000000"/>
        </w:rPr>
      </w:pPr>
      <w:r>
        <w:rPr>
          <w:rFonts w:hint="eastAsia" w:ascii="宋体" w:hAnsi="宋体" w:cs="宋体"/>
          <w:b/>
          <w:bCs/>
          <w:color w:val="000000"/>
        </w:rPr>
        <w:t>4、学术成果管理子系统具体功能</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90"/>
        <w:gridCol w:w="2449"/>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center"/>
              <w:rPr>
                <w:rFonts w:ascii="宋体" w:hAnsi="宋体"/>
                <w:color w:val="000000"/>
              </w:rPr>
            </w:pPr>
            <w:r>
              <w:rPr>
                <w:rFonts w:hint="eastAsia" w:ascii="宋体" w:hAnsi="宋体"/>
                <w:color w:val="000000"/>
              </w:rPr>
              <w:t>序号</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系统模块名称</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系统功能名称</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成果录入</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成果录入</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学生可以在线上传个人的成果物，并提交审核，还可以随时查看审核信息，对于退回的成果物，可以在线进行修改再提交。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2</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审核管理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审核管理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管理员可以在线审核学生的学生成果。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3</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成果物展示</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成果物展示</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学生可以查看个人的成果物，导师、学院也可以查看相关学生的成果物。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4</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统计分析</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统计分析</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系统支持对所有学术成果进行分类统计分析。</w:t>
            </w:r>
          </w:p>
        </w:tc>
      </w:tr>
    </w:tbl>
    <w:p>
      <w:pPr>
        <w:tabs>
          <w:tab w:val="left" w:pos="360"/>
        </w:tabs>
        <w:jc w:val="left"/>
        <w:outlineLvl w:val="1"/>
        <w:rPr>
          <w:rFonts w:ascii="宋体" w:hAnsi="宋体" w:cs="宋体"/>
          <w:b/>
          <w:bCs/>
          <w:color w:val="000000"/>
        </w:rPr>
      </w:pPr>
      <w:r>
        <w:rPr>
          <w:rFonts w:hint="eastAsia" w:ascii="宋体" w:hAnsi="宋体" w:cs="宋体"/>
          <w:b/>
          <w:bCs/>
          <w:color w:val="000000"/>
        </w:rPr>
        <w:t>5、学位申请及评优子系统</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90"/>
        <w:gridCol w:w="2449"/>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序号</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系统模块名称</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系统功能名称</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基础参数设置</w:t>
            </w:r>
          </w:p>
          <w:p>
            <w:pPr>
              <w:adjustRightInd w:val="0"/>
              <w:jc w:val="left"/>
              <w:rPr>
                <w:rFonts w:ascii="宋体" w:hAnsi="宋体"/>
                <w:color w:val="000000"/>
              </w:rPr>
            </w:pP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基础参数设置</w:t>
            </w:r>
          </w:p>
          <w:p>
            <w:pPr>
              <w:adjustRightInd w:val="0"/>
              <w:jc w:val="left"/>
              <w:rPr>
                <w:rFonts w:ascii="宋体" w:hAnsi="宋体"/>
                <w:color w:val="000000"/>
              </w:rPr>
            </w:pP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系统支持在线设置学位资格的申请时间等参数。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2</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学位资格申请</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学位资格申请</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系统支持学生在有效时间段内在线申请学位资格并提交审核。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3</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学位论文上传</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学位论文上传</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系统支持学生在线上传学位论文，并提交审核。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4</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学位论文检测</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学位论文检测</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系统支持对学生上传的学位论文进行查重、送审等功能。</w:t>
            </w:r>
          </w:p>
          <w:p>
            <w:pPr>
              <w:adjustRightInd w:val="0"/>
              <w:jc w:val="left"/>
              <w:rPr>
                <w:rFonts w:ascii="宋体" w:hAnsi="宋体"/>
                <w:color w:val="000000"/>
              </w:rPr>
            </w:pPr>
            <w:r>
              <w:rPr>
                <w:rFonts w:hint="eastAsia" w:ascii="宋体" w:hAnsi="宋体"/>
                <w:color w:val="000000"/>
              </w:rPr>
              <w:t>送审时，系统自动随机生成一批账号，用于给专家进行盲审。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5</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毕业答辩管理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毕业答辩管理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系统支持对学生的毕业答辩进行在线跟踪、记录。包括预答辩和正式答辩。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6</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优秀论文管理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优秀论文管理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系统支持学生在线提交优秀论文的申请和评定结果记录。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7</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校内论文抽检</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校内论文抽检</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在研究生毕业的第二年，学校会抽取部分毕业生的学位论文，再次送审。需增加抽检模块，系统能抽取前一年的学生论文，送审。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8</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统计分析</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统计分析</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学位资格申请统计</w:t>
            </w:r>
          </w:p>
          <w:p>
            <w:pPr>
              <w:adjustRightInd w:val="0"/>
              <w:jc w:val="left"/>
              <w:rPr>
                <w:rFonts w:ascii="宋体" w:hAnsi="宋体"/>
                <w:color w:val="000000"/>
              </w:rPr>
            </w:pPr>
            <w:r>
              <w:rPr>
                <w:rFonts w:hint="eastAsia" w:ascii="宋体" w:hAnsi="宋体"/>
                <w:color w:val="000000"/>
              </w:rPr>
              <w:t>对所有学位资格申请记录进行多种统计查询。</w:t>
            </w:r>
          </w:p>
          <w:p>
            <w:pPr>
              <w:adjustRightInd w:val="0"/>
              <w:jc w:val="left"/>
              <w:rPr>
                <w:rFonts w:ascii="宋体" w:hAnsi="宋体"/>
                <w:color w:val="000000"/>
              </w:rPr>
            </w:pPr>
            <w:r>
              <w:rPr>
                <w:rFonts w:hint="eastAsia" w:ascii="宋体" w:hAnsi="宋体"/>
                <w:color w:val="000000"/>
              </w:rPr>
              <w:t>学位论文统计</w:t>
            </w:r>
          </w:p>
          <w:p>
            <w:pPr>
              <w:adjustRightInd w:val="0"/>
              <w:jc w:val="left"/>
              <w:rPr>
                <w:rFonts w:ascii="宋体" w:hAnsi="宋体"/>
                <w:color w:val="000000"/>
              </w:rPr>
            </w:pPr>
            <w:r>
              <w:rPr>
                <w:rFonts w:hint="eastAsia" w:ascii="宋体" w:hAnsi="宋体"/>
                <w:color w:val="000000"/>
              </w:rPr>
              <w:t>对所有学位论文进行多种统计查询。</w:t>
            </w:r>
          </w:p>
        </w:tc>
      </w:tr>
    </w:tbl>
    <w:p>
      <w:pPr>
        <w:tabs>
          <w:tab w:val="left" w:pos="360"/>
        </w:tabs>
        <w:jc w:val="left"/>
        <w:outlineLvl w:val="1"/>
        <w:rPr>
          <w:rFonts w:ascii="宋体" w:hAnsi="宋体" w:cs="宋体"/>
          <w:b/>
          <w:bCs/>
          <w:color w:val="000000"/>
        </w:rPr>
      </w:pPr>
      <w:r>
        <w:rPr>
          <w:rFonts w:hint="eastAsia" w:ascii="宋体" w:hAnsi="宋体" w:cs="宋体"/>
          <w:b/>
          <w:bCs/>
          <w:color w:val="000000"/>
        </w:rPr>
        <w:t>6、招生喜报及预报名小程序</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90"/>
        <w:gridCol w:w="2449"/>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序号</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系统模块名称</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系统功能名称</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招生喜报</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招生喜报</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录取新生后自动生成招生喜报、并可以再微信小程序中查询、分享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2</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预报名</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预报名</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小程序支持预报名功能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3</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点赞统计</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点赞统计</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后端平台支持点赞数量统计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4</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预报名管理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预报名管理</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后端平台支持预报名信息查看、导出等</w:t>
            </w:r>
          </w:p>
        </w:tc>
      </w:tr>
    </w:tbl>
    <w:p>
      <w:pPr>
        <w:tabs>
          <w:tab w:val="left" w:pos="360"/>
        </w:tabs>
        <w:jc w:val="left"/>
        <w:outlineLvl w:val="1"/>
        <w:rPr>
          <w:rFonts w:ascii="宋体" w:hAnsi="宋体" w:cs="宋体"/>
          <w:b/>
          <w:bCs/>
          <w:color w:val="000000"/>
        </w:rPr>
      </w:pPr>
      <w:r>
        <w:rPr>
          <w:rFonts w:hint="eastAsia" w:ascii="宋体" w:hAnsi="宋体" w:cs="宋体"/>
          <w:b/>
          <w:bCs/>
          <w:color w:val="000000"/>
        </w:rPr>
        <w:t>7、需要适配手机端功能</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90"/>
        <w:gridCol w:w="2449"/>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序号</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系统模块名称</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系统功能名称</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系统功能介绍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信息展示</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信息展示</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学生及教师个人信息页面手机端查询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2</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通知公告</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通知公告</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手机端可查询通知公告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3</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课程管理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教师调课申请与审批</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手机端可进行教师调课申请与审批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4</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课程管理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课表查询</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学生及教师个人课表页面手机端查询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5</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课程管理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成绩查询</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学生可查询个人成绩、导师可查询所带学生成绩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6</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课程管理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课程缓考申请与审批</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手机端可进行课程缓考申请与审批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7</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学籍管理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学籍异动申请与审批</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手机端可进行休学、复学、延长学习年限、退学等学籍异动情况的申请与审批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8</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学籍管理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学生证补办申请与审批</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手机端可进行学生证补办申请与审批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9</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考试与竞赛管理</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英语四六级及各类竞赛报名</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手机端可进行英语四六级和各类竞赛报名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10</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项目申请要求查询</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项目申请要求查询</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手机端可查询已发布项目的总体要求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11</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申请进度查询</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申请进度查询</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手机端查询平台各种申请进度情况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12</w:t>
            </w:r>
          </w:p>
        </w:tc>
        <w:tc>
          <w:tcPr>
            <w:tcW w:w="1790"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活动投票</w:t>
            </w:r>
          </w:p>
        </w:tc>
        <w:tc>
          <w:tcPr>
            <w:tcW w:w="2449"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活动投票</w:t>
            </w:r>
          </w:p>
        </w:tc>
        <w:tc>
          <w:tcPr>
            <w:tcW w:w="3535" w:type="dxa"/>
            <w:tcBorders>
              <w:top w:val="single" w:color="auto" w:sz="4" w:space="0"/>
              <w:left w:val="single" w:color="auto" w:sz="4" w:space="0"/>
              <w:bottom w:val="single" w:color="auto" w:sz="4" w:space="0"/>
              <w:right w:val="single" w:color="auto" w:sz="4" w:space="0"/>
            </w:tcBorders>
          </w:tcPr>
          <w:p>
            <w:pPr>
              <w:adjustRightInd w:val="0"/>
              <w:jc w:val="left"/>
              <w:rPr>
                <w:rFonts w:ascii="宋体" w:hAnsi="宋体"/>
                <w:color w:val="000000"/>
              </w:rPr>
            </w:pPr>
            <w:r>
              <w:rPr>
                <w:rFonts w:hint="eastAsia" w:ascii="宋体" w:hAnsi="宋体"/>
                <w:color w:val="000000"/>
              </w:rPr>
              <w:t>手机端可进行各类活动投票</w:t>
            </w:r>
          </w:p>
        </w:tc>
      </w:tr>
    </w:tbl>
    <w:p>
      <w:pPr>
        <w:widowControl/>
        <w:rPr>
          <w:rFonts w:ascii="宋体" w:hAnsi="宋体" w:cs="宋体"/>
          <w:color w:val="000000"/>
          <w:kern w:val="0"/>
          <w:szCs w:val="24"/>
        </w:rPr>
      </w:pPr>
    </w:p>
    <w:p>
      <w:pPr>
        <w:rPr>
          <w:rFonts w:hint="eastAsia"/>
          <w:sz w:val="22"/>
          <w:szCs w:val="21"/>
          <w:lang w:val="en-US" w:eastAsia="zh-CN"/>
        </w:rPr>
      </w:pPr>
      <w:r>
        <w:rPr>
          <w:rFonts w:hint="eastAsia"/>
          <w:sz w:val="22"/>
          <w:szCs w:val="21"/>
          <w:lang w:val="en-US" w:eastAsia="zh-CN"/>
        </w:rPr>
        <w:t>合同附件三：</w:t>
      </w:r>
    </w:p>
    <w:p>
      <w:pPr>
        <w:widowControl/>
        <w:jc w:val="center"/>
        <w:rPr>
          <w:rFonts w:hint="eastAsia" w:ascii="宋体" w:hAnsi="宋体" w:cs="宋体"/>
          <w:b/>
          <w:bCs/>
          <w:color w:val="000000"/>
          <w:szCs w:val="24"/>
          <w:lang w:eastAsia="zh-CN"/>
        </w:rPr>
      </w:pPr>
      <w:r>
        <w:rPr>
          <w:rFonts w:hint="eastAsia" w:ascii="宋体" w:hAnsi="宋体" w:cs="宋体"/>
          <w:b/>
          <w:bCs/>
          <w:color w:val="000000"/>
          <w:szCs w:val="24"/>
        </w:rPr>
        <w:t>系统集成</w:t>
      </w:r>
      <w:r>
        <w:rPr>
          <w:rFonts w:hint="eastAsia" w:ascii="宋体" w:hAnsi="宋体" w:cs="宋体"/>
          <w:b/>
          <w:bCs/>
          <w:color w:val="000000"/>
          <w:szCs w:val="24"/>
          <w:lang w:val="en-US" w:eastAsia="zh-CN"/>
        </w:rPr>
        <w:t>需求</w:t>
      </w:r>
    </w:p>
    <w:p>
      <w:pPr>
        <w:rPr>
          <w:rFonts w:ascii="宋体" w:hAnsi="宋体"/>
          <w:b/>
          <w:bCs/>
        </w:rPr>
      </w:pPr>
      <w:r>
        <w:rPr>
          <w:rFonts w:hint="eastAsia" w:ascii="宋体" w:hAnsi="宋体"/>
          <w:b/>
          <w:bCs/>
        </w:rPr>
        <w:t>1、身份认证集成</w:t>
      </w:r>
    </w:p>
    <w:p>
      <w:pPr>
        <w:ind w:firstLine="480" w:firstLineChars="200"/>
        <w:rPr>
          <w:rFonts w:hAnsi="宋体" w:cs="Calibri"/>
        </w:rPr>
      </w:pPr>
      <w:r>
        <w:rPr>
          <w:rFonts w:hint="eastAsia" w:hAnsi="宋体" w:cs="Calibri"/>
        </w:rPr>
        <w:t xml:space="preserve">支持与学校统一身份认证平台的集成，实现师生使用学校统一身份认证账号即可完成系统登录认证；支持与学校统一身份平台认证授权紧密集成而实现用户在业务流程中的身份、角色和权限匹配。 </w:t>
      </w:r>
    </w:p>
    <w:p>
      <w:pPr>
        <w:ind w:firstLine="480" w:firstLineChars="200"/>
        <w:rPr>
          <w:rFonts w:hAnsi="宋体" w:cs="Calibri"/>
        </w:rPr>
      </w:pPr>
      <w:r>
        <w:rPr>
          <w:rFonts w:hint="eastAsia" w:hAnsi="宋体" w:cs="Calibri"/>
        </w:rPr>
        <w:t>支持一个账号多重身份角色和权限的分配，登录状态下可以进行身份角色切换。</w:t>
      </w:r>
    </w:p>
    <w:p>
      <w:pPr>
        <w:rPr>
          <w:rFonts w:ascii="宋体" w:hAnsi="宋体"/>
          <w:b/>
          <w:bCs/>
        </w:rPr>
      </w:pPr>
      <w:r>
        <w:rPr>
          <w:rFonts w:hint="eastAsia" w:ascii="宋体" w:hAnsi="宋体"/>
          <w:b/>
          <w:bCs/>
        </w:rPr>
        <w:t>2、数据中心集成</w:t>
      </w:r>
    </w:p>
    <w:p>
      <w:pPr>
        <w:ind w:firstLine="480" w:firstLineChars="200"/>
        <w:rPr>
          <w:rFonts w:hAnsi="宋体" w:cs="Calibri"/>
        </w:rPr>
      </w:pPr>
      <w:r>
        <w:rPr>
          <w:rFonts w:hint="eastAsia" w:hAnsi="宋体" w:cs="Calibri"/>
        </w:rPr>
        <w:t>建立与学校数据中心平台的数据同步机制，须支持同步并定时获取学校数据中心平台提供的组织机构、院系专业班级、教职工、学生等基础数据信息。</w:t>
      </w:r>
    </w:p>
    <w:p>
      <w:pPr>
        <w:rPr>
          <w:rFonts w:ascii="宋体" w:hAnsi="宋体"/>
          <w:b/>
          <w:bCs/>
        </w:rPr>
      </w:pPr>
      <w:r>
        <w:rPr>
          <w:rFonts w:hint="eastAsia" w:ascii="宋体" w:hAnsi="宋体"/>
          <w:b/>
          <w:bCs/>
        </w:rPr>
        <w:t>3、功能业务集成</w:t>
      </w:r>
    </w:p>
    <w:p>
      <w:pPr>
        <w:ind w:firstLine="480" w:firstLineChars="200"/>
        <w:rPr>
          <w:rFonts w:hAnsi="宋体" w:cs="Calibri"/>
        </w:rPr>
      </w:pPr>
      <w:r>
        <w:rPr>
          <w:rFonts w:hint="eastAsia" w:hAnsi="宋体" w:cs="Calibri"/>
        </w:rPr>
        <w:t>支持按学校实际需求，实现通知公告、学籍、课程、考试、竞赛、投票等约20项日常管理业务的查询、申报与审批（包括PC端和移动端），相关业务可通过单点登录和链接方式，集成至学校园办事大厅、校园微信公众服务号</w:t>
      </w:r>
      <w:r>
        <w:rPr>
          <w:rFonts w:hAnsi="宋体" w:cs="Calibri"/>
        </w:rPr>
        <w:t>/</w:t>
      </w:r>
      <w:r>
        <w:rPr>
          <w:rFonts w:hint="eastAsia" w:hAnsi="宋体" w:cs="Calibri"/>
        </w:rPr>
        <w:t>企业号，作为服务对用户开放。其中所涉及的日常管理业务可自适应各种终端。</w:t>
      </w:r>
    </w:p>
    <w:p>
      <w:pPr>
        <w:rPr>
          <w:rFonts w:ascii="宋体" w:hAnsi="宋体"/>
          <w:b/>
          <w:bCs/>
        </w:rPr>
      </w:pPr>
      <w:r>
        <w:rPr>
          <w:rFonts w:hint="eastAsia" w:ascii="宋体" w:hAnsi="宋体"/>
          <w:b/>
          <w:bCs/>
        </w:rPr>
        <w:t>4、数据标准集成</w:t>
      </w:r>
    </w:p>
    <w:p>
      <w:pPr>
        <w:ind w:firstLine="480" w:firstLineChars="200"/>
        <w:rPr>
          <w:rFonts w:hAnsi="宋体" w:cs="Calibri"/>
        </w:rPr>
      </w:pPr>
      <w:r>
        <w:rPr>
          <w:rFonts w:hint="eastAsia" w:hAnsi="宋体" w:cs="Calibri"/>
        </w:rPr>
        <w:t>支持按照学校数据标准集基础编码规则编码，支持与校园数据中心平台的数据集成，支持遵循学校数据集成标准接口提供相关数据至学校数据中心平台。</w:t>
      </w:r>
    </w:p>
    <w:p>
      <w:pPr>
        <w:rPr>
          <w:rFonts w:ascii="宋体" w:hAnsi="宋体"/>
          <w:b/>
          <w:bCs/>
        </w:rPr>
      </w:pPr>
      <w:r>
        <w:rPr>
          <w:rFonts w:hint="eastAsia" w:ascii="宋体" w:hAnsi="宋体"/>
          <w:b/>
          <w:bCs/>
        </w:rPr>
        <w:t>5、消息中心集成</w:t>
      </w:r>
    </w:p>
    <w:p>
      <w:pPr>
        <w:ind w:firstLine="480" w:firstLineChars="200"/>
        <w:rPr>
          <w:rFonts w:hAnsi="宋体" w:cs="Calibri"/>
        </w:rPr>
      </w:pPr>
      <w:r>
        <w:rPr>
          <w:rFonts w:hint="eastAsia" w:hAnsi="宋体" w:cs="Calibri"/>
        </w:rPr>
        <w:t>系统中凡涉及到消息推送的功能模块须支持与校园门户及微信企业号的统一消息中心平台集成。</w:t>
      </w:r>
    </w:p>
    <w:p>
      <w:pPr>
        <w:rPr>
          <w:rFonts w:ascii="宋体" w:hAnsi="宋体"/>
          <w:b/>
          <w:bCs/>
        </w:rPr>
      </w:pPr>
      <w:r>
        <w:rPr>
          <w:rFonts w:hint="eastAsia" w:ascii="宋体" w:hAnsi="宋体"/>
          <w:b/>
          <w:bCs/>
        </w:rPr>
        <w:t>6、其他</w:t>
      </w:r>
    </w:p>
    <w:p>
      <w:pPr>
        <w:ind w:firstLine="480" w:firstLineChars="200"/>
        <w:rPr>
          <w:rFonts w:hAnsi="宋体" w:cs="Calibri"/>
        </w:rPr>
      </w:pPr>
      <w:r>
        <w:rPr>
          <w:rFonts w:hint="eastAsia" w:hAnsi="宋体" w:cs="Calibri"/>
        </w:rPr>
        <w:t>若校园统一身份认证平台、统一消息中心平台、数据中心平台升级，系统支持平滑对接。</w:t>
      </w:r>
    </w:p>
    <w:p>
      <w:pPr>
        <w:ind w:firstLine="480" w:firstLineChars="200"/>
        <w:rPr>
          <w:rFonts w:hAnsi="宋体" w:cs="Calibri"/>
        </w:rPr>
      </w:pPr>
      <w:r>
        <w:rPr>
          <w:rFonts w:hint="eastAsia" w:hAnsi="宋体" w:cs="Calibri"/>
        </w:rPr>
        <w:t>系统试运行上线之前，按照学校要求完成原有的研究生管理系统的历史数据迁移。</w:t>
      </w:r>
    </w:p>
    <w:p>
      <w:pPr>
        <w:rPr>
          <w:rFonts w:hint="default"/>
          <w:sz w:val="22"/>
          <w:szCs w:val="21"/>
          <w:lang w:val="en-US" w:eastAsia="zh-CN"/>
        </w:rPr>
      </w:pPr>
    </w:p>
    <w:p>
      <w:pPr>
        <w:rPr>
          <w:rFonts w:hint="default"/>
          <w:sz w:val="22"/>
          <w:szCs w:val="21"/>
          <w:lang w:val="en-US" w:eastAsia="zh-CN"/>
        </w:rPr>
      </w:pPr>
    </w:p>
    <w:p>
      <w:pPr>
        <w:rPr>
          <w:rFonts w:hint="default"/>
          <w:sz w:val="22"/>
          <w:szCs w:val="21"/>
          <w:lang w:val="en-US" w:eastAsia="zh-CN"/>
        </w:rPr>
      </w:pPr>
    </w:p>
    <w:p>
      <w:pPr>
        <w:rPr>
          <w:rFonts w:hint="eastAsia"/>
          <w:sz w:val="22"/>
          <w:szCs w:val="21"/>
          <w:lang w:val="en-US" w:eastAsia="zh-CN"/>
        </w:rPr>
      </w:pPr>
      <w:r>
        <w:rPr>
          <w:rFonts w:hint="eastAsia"/>
          <w:sz w:val="22"/>
          <w:szCs w:val="21"/>
          <w:lang w:val="en-US" w:eastAsia="zh-CN"/>
        </w:rPr>
        <w:t>合同附件四：</w:t>
      </w:r>
    </w:p>
    <w:p>
      <w:pPr>
        <w:widowControl/>
        <w:jc w:val="center"/>
        <w:rPr>
          <w:rFonts w:hint="eastAsia" w:ascii="宋体" w:hAnsi="宋体" w:cs="宋体"/>
          <w:b/>
          <w:bCs/>
          <w:color w:val="000000"/>
          <w:szCs w:val="24"/>
          <w:lang w:val="en-US" w:eastAsia="zh-CN"/>
        </w:rPr>
      </w:pPr>
      <w:r>
        <w:rPr>
          <w:rFonts w:hint="eastAsia" w:ascii="宋体" w:hAnsi="宋体" w:cs="宋体"/>
          <w:b/>
          <w:bCs/>
          <w:color w:val="000000"/>
          <w:szCs w:val="24"/>
          <w:lang w:val="en-US" w:eastAsia="zh-CN"/>
        </w:rPr>
        <w:t>售后服务需求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1"/>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1"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售</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后</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服</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务</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体</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 </w:t>
            </w:r>
          </w:p>
          <w:p>
            <w:pPr>
              <w:keepNext w:val="0"/>
              <w:keepLines w:val="0"/>
              <w:widowControl/>
              <w:suppressLineNumbers w:val="0"/>
              <w:jc w:val="left"/>
              <w:rPr>
                <w:rFonts w:hint="eastAsia" w:ascii="黑体" w:hAnsi="宋体" w:eastAsia="黑体" w:cs="黑体"/>
                <w:b/>
                <w:color w:val="000000"/>
                <w:kern w:val="0"/>
                <w:sz w:val="28"/>
                <w:szCs w:val="28"/>
                <w:vertAlign w:val="baseline"/>
                <w:lang w:val="en-US" w:eastAsia="zh-CN" w:bidi="ar"/>
              </w:rPr>
            </w:pPr>
          </w:p>
        </w:tc>
        <w:tc>
          <w:tcPr>
            <w:tcW w:w="7791" w:type="dxa"/>
          </w:tcPr>
          <w:p>
            <w:pPr>
              <w:keepNext w:val="0"/>
              <w:keepLines w:val="0"/>
              <w:widowControl/>
              <w:suppressLineNumbers w:val="0"/>
              <w:jc w:val="left"/>
            </w:pPr>
            <w:r>
              <w:rPr>
                <w:rFonts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、服务方式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服务热线电话和联系人、联系单位信息、信函</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传真、电子邮件、服务网站。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2、服务响应时间 </w:t>
            </w:r>
          </w:p>
          <w:p>
            <w:pPr>
              <w:keepNext w:val="0"/>
              <w:keepLines w:val="0"/>
              <w:widowControl/>
              <w:suppressLineNumbers w:val="0"/>
              <w:jc w:val="left"/>
            </w:pPr>
            <w:r>
              <w:rPr>
                <w:rFonts w:ascii="Wingdings-Regular" w:hAnsi="Wingdings-Regular" w:eastAsia="Wingdings-Regular" w:cs="Wingdings-Regular"/>
                <w:color w:val="000000"/>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远程维护：</w:t>
            </w:r>
            <w:r>
              <w:rPr>
                <w:rFonts w:hint="eastAsia" w:ascii="宋体" w:hAnsi="宋体" w:eastAsia="宋体" w:cs="宋体"/>
                <w:color w:val="000000"/>
                <w:kern w:val="0"/>
                <w:sz w:val="24"/>
                <w:szCs w:val="24"/>
                <w:lang w:val="en-US" w:eastAsia="zh-CN" w:bidi="ar"/>
              </w:rPr>
              <w:t>1小时内反馈意见， 3个小时内到达现场。</w:t>
            </w:r>
            <w:r>
              <w:rPr>
                <w:rFonts w:hint="default" w:ascii="TimesNewRomanPSMT" w:hAnsi="TimesNewRomanPSMT" w:eastAsia="TimesNewRomanPSMT" w:cs="TimesNewRomanPSMT"/>
                <w:color w:val="000000"/>
                <w:kern w:val="0"/>
                <w:sz w:val="18"/>
                <w:szCs w:val="18"/>
                <w:lang w:val="en-US" w:eastAsia="zh-CN" w:bidi="ar"/>
              </w:rPr>
              <w:t xml:space="preserve">117 </w:t>
            </w:r>
          </w:p>
          <w:p>
            <w:pPr>
              <w:keepNext w:val="0"/>
              <w:keepLines w:val="0"/>
              <w:widowControl/>
              <w:suppressLineNumbers w:val="0"/>
              <w:jc w:val="left"/>
            </w:pPr>
            <w:r>
              <w:rPr>
                <w:rFonts w:hint="default" w:ascii="Wingdings-Regular" w:hAnsi="Wingdings-Regular" w:eastAsia="Wingdings-Regular" w:cs="Wingdings-Regular"/>
                <w:color w:val="000000"/>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电话服务：</w:t>
            </w:r>
            <w:r>
              <w:rPr>
                <w:rFonts w:hint="eastAsia" w:ascii="宋体" w:hAnsi="宋体" w:eastAsia="宋体" w:cs="宋体"/>
                <w:color w:val="000000"/>
                <w:kern w:val="0"/>
                <w:sz w:val="24"/>
                <w:szCs w:val="24"/>
                <w:lang w:val="en-US" w:eastAsia="zh-CN" w:bidi="ar"/>
              </w:rPr>
              <w:t xml:space="preserve">提供7*24小时电话服务。服务部接到用户电话后，专人负责接听，做好记录，1小时内反馈意见，8小时内解决问题。如果电话中解决不了，有必要进行远程维护或现场服务的，则转为远程维护或现场服务。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Wingdings-Regular" w:hAnsi="Wingdings-Regular" w:eastAsia="Wingdings-Regular" w:cs="Wingdings-Regular"/>
                <w:color w:val="000000"/>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现场维护：</w:t>
            </w:r>
            <w:r>
              <w:rPr>
                <w:rFonts w:hint="eastAsia" w:ascii="宋体" w:hAnsi="宋体" w:eastAsia="宋体" w:cs="宋体"/>
                <w:color w:val="000000"/>
                <w:kern w:val="0"/>
                <w:sz w:val="24"/>
                <w:szCs w:val="24"/>
                <w:lang w:val="en-US" w:eastAsia="zh-CN" w:bidi="ar"/>
              </w:rPr>
              <w:t xml:space="preserve">确实要进行现场维护的，从确定需要进行现场维护之时起，3小时内到达用户现场。（特殊情况会与用户沟通确定）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3、重大事项的及时响应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运行中出现问题，1小时内响应。重大技术问题，技术人员在4小时内到达现场，12小时内给予解决。期限届满后，如需要继续提供升级与技术支持服务时，服务费另议。 </w:t>
            </w:r>
          </w:p>
          <w:p>
            <w:pPr>
              <w:keepNext w:val="0"/>
              <w:keepLines w:val="0"/>
              <w:widowControl/>
              <w:suppressLineNumbers w:val="0"/>
              <w:jc w:val="left"/>
              <w:rPr>
                <w:rFonts w:hint="eastAsia" w:ascii="黑体" w:hAnsi="宋体" w:eastAsia="黑体" w:cs="黑体"/>
                <w:b/>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31"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服</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务</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保</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期 </w:t>
            </w:r>
          </w:p>
          <w:p>
            <w:pPr>
              <w:keepNext w:val="0"/>
              <w:keepLines w:val="0"/>
              <w:widowControl/>
              <w:suppressLineNumbers w:val="0"/>
              <w:jc w:val="left"/>
              <w:rPr>
                <w:rFonts w:hint="eastAsia" w:ascii="黑体" w:hAnsi="宋体" w:eastAsia="黑体" w:cs="黑体"/>
                <w:b/>
                <w:color w:val="000000"/>
                <w:kern w:val="0"/>
                <w:sz w:val="28"/>
                <w:szCs w:val="28"/>
                <w:vertAlign w:val="baseline"/>
                <w:lang w:val="en-US" w:eastAsia="zh-CN" w:bidi="ar"/>
              </w:rPr>
            </w:pPr>
          </w:p>
        </w:tc>
        <w:tc>
          <w:tcPr>
            <w:tcW w:w="7791"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1.所有硬件提供原厂一年（包括所有配件）免费保修服务和技术服务支持。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2.软件提供原厂三年免费升级服务和技术服务支持</w:t>
            </w:r>
          </w:p>
          <w:p>
            <w:pPr>
              <w:keepNext w:val="0"/>
              <w:keepLines w:val="0"/>
              <w:widowControl/>
              <w:suppressLineNumbers w:val="0"/>
              <w:jc w:val="left"/>
              <w:rPr>
                <w:rFonts w:hint="eastAsia" w:ascii="黑体" w:hAnsi="宋体" w:eastAsia="黑体" w:cs="黑体"/>
                <w:b/>
                <w:color w:val="000000"/>
                <w:kern w:val="0"/>
                <w:sz w:val="28"/>
                <w:szCs w:val="28"/>
                <w:vertAlign w:val="baseline"/>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黑体" w:hAnsi="宋体" w:eastAsia="黑体" w:cs="黑体"/>
          <w:b/>
          <w:color w:val="000000"/>
          <w:kern w:val="0"/>
          <w:sz w:val="28"/>
          <w:szCs w:val="28"/>
          <w:lang w:val="en-US" w:eastAsia="zh-CN" w:bidi="ar"/>
        </w:rPr>
      </w:pPr>
    </w:p>
    <w:p>
      <w:pPr>
        <w:rPr>
          <w:rFonts w:hint="eastAsia"/>
          <w:sz w:val="22"/>
          <w:szCs w:val="21"/>
          <w:lang w:val="en-US" w:eastAsia="zh-CN"/>
        </w:rPr>
      </w:pPr>
      <w:r>
        <w:rPr>
          <w:rFonts w:hint="eastAsia"/>
          <w:sz w:val="22"/>
          <w:szCs w:val="21"/>
          <w:lang w:val="en-US" w:eastAsia="zh-CN"/>
        </w:rPr>
        <w:t>合同附件五：</w:t>
      </w:r>
    </w:p>
    <w:p>
      <w:pPr>
        <w:widowControl/>
        <w:jc w:val="center"/>
        <w:rPr>
          <w:rFonts w:hint="default" w:ascii="宋体" w:hAnsi="宋体" w:cs="宋体"/>
          <w:b/>
          <w:bCs/>
          <w:color w:val="000000"/>
          <w:szCs w:val="24"/>
          <w:lang w:val="en-US" w:eastAsia="zh-CN"/>
        </w:rPr>
      </w:pPr>
      <w:r>
        <w:rPr>
          <w:rFonts w:hint="eastAsia" w:ascii="宋体" w:hAnsi="宋体" w:cs="宋体"/>
          <w:b/>
          <w:bCs/>
          <w:color w:val="000000"/>
          <w:szCs w:val="24"/>
          <w:lang w:val="en-US" w:eastAsia="zh-CN"/>
        </w:rPr>
        <w:t>项目建设周期需求</w:t>
      </w:r>
    </w:p>
    <w:p>
      <w:pPr>
        <w:ind w:firstLine="480" w:firstLineChars="200"/>
        <w:rPr>
          <w:rFonts w:ascii="Calibri" w:hAnsi="Calibri" w:cs="Calibri"/>
          <w:bCs/>
        </w:rPr>
      </w:pPr>
      <w:r>
        <w:rPr>
          <w:rFonts w:hint="eastAsia" w:ascii="Calibri" w:hAnsi="Calibri" w:cs="Calibri"/>
          <w:bCs/>
        </w:rPr>
        <w:t>2019年12月前全部完成并交付用户正式使用。</w:t>
      </w:r>
    </w:p>
    <w:p>
      <w:pPr>
        <w:ind w:firstLine="480" w:firstLineChars="200"/>
        <w:rPr>
          <w:rFonts w:ascii="Calibri" w:hAnsi="Calibri" w:cs="Calibri"/>
          <w:bCs/>
        </w:rPr>
      </w:pPr>
      <w:r>
        <w:rPr>
          <w:rFonts w:hint="eastAsia" w:ascii="Calibri" w:hAnsi="Calibri" w:cs="Calibri"/>
          <w:bCs/>
        </w:rPr>
        <w:t>项目建设期间，成立不少于两人的开发小组驻场实施。</w:t>
      </w:r>
    </w:p>
    <w:p>
      <w:pPr>
        <w:ind w:firstLine="480" w:firstLineChars="200"/>
        <w:rPr>
          <w:rFonts w:ascii="Calibri" w:hAnsi="Calibri" w:cs="Calibri"/>
          <w:bCs/>
        </w:rPr>
      </w:pPr>
      <w:r>
        <w:rPr>
          <w:rFonts w:hint="eastAsia" w:ascii="Calibri" w:hAnsi="Calibri" w:cs="Calibri"/>
          <w:bCs/>
        </w:rPr>
        <w:t>2019年10月交付包括学籍、培养方案、排课、招生模块在内的部分成果。</w:t>
      </w:r>
    </w:p>
    <w:p>
      <w:pPr>
        <w:ind w:firstLine="480" w:firstLineChars="200"/>
        <w:rPr>
          <w:rFonts w:ascii="Calibri" w:hAnsi="Calibri" w:cs="Calibri"/>
          <w:bCs/>
        </w:rPr>
      </w:pPr>
      <w:r>
        <w:rPr>
          <w:rFonts w:hint="eastAsia" w:ascii="Calibri" w:hAnsi="Calibri" w:cs="Calibri"/>
          <w:bCs/>
        </w:rPr>
        <w:t>2019年11月，选取部分用户培训使用，进行终验。</w:t>
      </w:r>
    </w:p>
    <w:p>
      <w:pPr>
        <w:rPr>
          <w:rFonts w:hint="eastAsia"/>
          <w:sz w:val="22"/>
          <w:szCs w:val="21"/>
          <w:lang w:val="en-US" w:eastAsia="zh-CN"/>
        </w:rPr>
      </w:pPr>
    </w:p>
    <w:p>
      <w:pPr>
        <w:rPr>
          <w:rFonts w:hint="default"/>
          <w:sz w:val="22"/>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Regular">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1E6F"/>
    <w:rsid w:val="00341FB2"/>
    <w:rsid w:val="00BD502C"/>
    <w:rsid w:val="00C8086A"/>
    <w:rsid w:val="00FC66A8"/>
    <w:rsid w:val="0270798E"/>
    <w:rsid w:val="04C16CB9"/>
    <w:rsid w:val="0A0B699D"/>
    <w:rsid w:val="16557145"/>
    <w:rsid w:val="24887D0A"/>
    <w:rsid w:val="2BE6357F"/>
    <w:rsid w:val="359202D4"/>
    <w:rsid w:val="406375D8"/>
    <w:rsid w:val="42424646"/>
    <w:rsid w:val="449E4FA1"/>
    <w:rsid w:val="4615244D"/>
    <w:rsid w:val="6B7B1E6F"/>
    <w:rsid w:val="6DA86BE5"/>
    <w:rsid w:val="6FBA1E35"/>
    <w:rsid w:val="7BDEED67"/>
    <w:rsid w:val="FF69B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宋体"/>
      <w:sz w:val="21"/>
      <w:szCs w:val="21"/>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0"/>
    <w:pPr>
      <w:ind w:firstLine="420" w:firstLineChars="200"/>
    </w:pPr>
    <w:rPr>
      <w:rFonts w:ascii="Calibri" w:hAnsi="Calibri" w:cs="宋体"/>
    </w:rPr>
  </w:style>
  <w:style w:type="paragraph" w:customStyle="1" w:styleId="9">
    <w:name w:val="列出段落3"/>
    <w:basedOn w:val="1"/>
    <w:qFormat/>
    <w:uiPriority w:val="0"/>
    <w:pPr>
      <w:spacing w:line="240" w:lineRule="auto"/>
      <w:ind w:firstLine="420" w:firstLineChars="200"/>
    </w:pPr>
    <w:rPr>
      <w:rFonts w:ascii="Calibri" w:hAnsi="Calibri" w:cs="Calibri"/>
      <w:sz w:val="21"/>
      <w:szCs w:val="21"/>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1077</Words>
  <Characters>6141</Characters>
  <Lines>51</Lines>
  <Paragraphs>14</Paragraphs>
  <TotalTime>1</TotalTime>
  <ScaleCrop>false</ScaleCrop>
  <LinksUpToDate>false</LinksUpToDate>
  <CharactersWithSpaces>7204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2019-07-29T12:13:00Z</dcterms:created>
  <dc:creator>chenxiaochen</dc:creator>
  <cp:lastModifiedBy>蓝色乐章</cp:lastModifiedBy>
  <dcterms:modified xsi:type="dcterms:W3CDTF">2019-08-01T12:10:58Z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