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 w:lineRule="exact"/>
        <w:rPr>
          <w:rFonts w:hint="eastAsia" w:ascii="宋体" w:hAnsi="宋体" w:eastAsia="宋体" w:cs="宋体"/>
          <w:color w:val="auto"/>
          <w:sz w:val="24"/>
          <w:szCs w:val="24"/>
          <w:highlight w:val="none"/>
        </w:rPr>
      </w:pPr>
      <w:bookmarkStart w:id="0" w:name="page1"/>
      <w:bookmarkEnd w:id="0"/>
    </w:p>
    <w:p>
      <w:pPr>
        <w:spacing w:line="200" w:lineRule="exact"/>
        <w:rPr>
          <w:rFonts w:hint="eastAsia" w:ascii="宋体" w:hAnsi="宋体" w:eastAsia="宋体" w:cs="宋体"/>
          <w:color w:val="auto"/>
          <w:sz w:val="24"/>
          <w:szCs w:val="24"/>
          <w:highlight w:val="none"/>
        </w:rPr>
      </w:pPr>
    </w:p>
    <w:p>
      <w:pPr>
        <w:pStyle w:val="28"/>
        <w:rPr>
          <w:rFonts w:hint="eastAsia" w:ascii="宋体" w:hAnsi="宋体" w:eastAsia="宋体" w:cs="宋体"/>
          <w:color w:val="auto"/>
          <w:highlight w:val="none"/>
        </w:rPr>
      </w:pPr>
    </w:p>
    <w:p>
      <w:pPr>
        <w:spacing w:line="200" w:lineRule="exact"/>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color w:val="auto"/>
          <w:spacing w:val="-6"/>
          <w:sz w:val="52"/>
          <w:szCs w:val="52"/>
          <w:highlight w:val="none"/>
        </w:rPr>
      </w:pPr>
      <w:r>
        <w:rPr>
          <w:rFonts w:hint="eastAsia" w:ascii="宋体" w:hAnsi="宋体" w:eastAsia="宋体" w:cs="宋体"/>
          <w:b/>
          <w:color w:val="auto"/>
          <w:spacing w:val="-6"/>
          <w:sz w:val="52"/>
          <w:szCs w:val="52"/>
          <w:highlight w:val="none"/>
        </w:rPr>
        <w:t>杭州科技职业技术学院</w:t>
      </w:r>
    </w:p>
    <w:p>
      <w:pPr>
        <w:spacing w:line="360" w:lineRule="auto"/>
        <w:jc w:val="center"/>
        <w:rPr>
          <w:rFonts w:hint="eastAsia" w:ascii="宋体" w:hAnsi="宋体" w:eastAsia="宋体" w:cs="宋体"/>
          <w:b/>
          <w:color w:val="auto"/>
          <w:spacing w:val="-6"/>
          <w:sz w:val="96"/>
          <w:szCs w:val="96"/>
          <w:highlight w:val="none"/>
          <w:lang w:eastAsia="zh-CN"/>
        </w:rPr>
      </w:pPr>
      <w:del w:id="0" w:author="繁华终易逝" w:date="2021-08-24T19:50:30Z">
        <w:r>
          <w:rPr>
            <w:rFonts w:hint="eastAsia" w:ascii="宋体" w:hAnsi="宋体" w:eastAsia="宋体" w:cs="宋体"/>
            <w:b/>
            <w:color w:val="auto"/>
            <w:spacing w:val="-6"/>
            <w:sz w:val="52"/>
            <w:szCs w:val="52"/>
            <w:highlight w:val="none"/>
            <w:lang w:eastAsia="zh-CN"/>
          </w:rPr>
          <w:delText>杭州科技职业技术学院汽车综合平台项目</w:delText>
        </w:r>
      </w:del>
      <w:ins w:id="1" w:author="繁华终易逝" w:date="2021-08-24T19:50:30Z">
        <w:r>
          <w:rPr>
            <w:rFonts w:hint="eastAsia" w:ascii="宋体" w:hAnsi="宋体" w:cs="宋体"/>
            <w:b/>
            <w:color w:val="auto"/>
            <w:spacing w:val="-6"/>
            <w:sz w:val="52"/>
            <w:szCs w:val="52"/>
            <w:highlight w:val="none"/>
            <w:lang w:eastAsia="zh-CN"/>
          </w:rPr>
          <w:t>汽车工程学院实训基地项目</w:t>
        </w:r>
      </w:ins>
    </w:p>
    <w:p>
      <w:pPr>
        <w:pStyle w:val="28"/>
        <w:rPr>
          <w:rFonts w:hint="eastAsia" w:ascii="宋体" w:hAnsi="宋体" w:eastAsia="宋体" w:cs="宋体"/>
          <w:color w:val="auto"/>
          <w:highlight w:val="none"/>
        </w:rPr>
      </w:pPr>
    </w:p>
    <w:p>
      <w:pPr>
        <w:pStyle w:val="30"/>
        <w:ind w:left="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pacing w:val="-6"/>
          <w:sz w:val="72"/>
          <w:szCs w:val="72"/>
          <w:highlight w:val="none"/>
        </w:rPr>
      </w:pPr>
      <w:r>
        <w:rPr>
          <w:rFonts w:hint="eastAsia" w:ascii="宋体" w:hAnsi="宋体" w:eastAsia="宋体" w:cs="宋体"/>
          <w:b/>
          <w:color w:val="auto"/>
          <w:spacing w:val="-6"/>
          <w:sz w:val="72"/>
          <w:szCs w:val="72"/>
          <w:highlight w:val="none"/>
        </w:rPr>
        <w:t>竞争性磋商文件</w:t>
      </w:r>
    </w:p>
    <w:p>
      <w:pPr>
        <w:spacing w:line="360" w:lineRule="auto"/>
        <w:jc w:val="center"/>
        <w:rPr>
          <w:rFonts w:hint="eastAsia" w:ascii="宋体" w:hAnsi="宋体" w:eastAsia="宋体" w:cs="宋体"/>
          <w:color w:val="auto"/>
          <w:sz w:val="44"/>
          <w:szCs w:val="44"/>
          <w:highlight w:val="none"/>
        </w:rPr>
      </w:pPr>
    </w:p>
    <w:p>
      <w:pPr>
        <w:rPr>
          <w:rFonts w:hint="eastAsia" w:ascii="宋体" w:hAnsi="宋体" w:eastAsia="宋体" w:cs="宋体"/>
          <w:color w:val="auto"/>
          <w:szCs w:val="24"/>
          <w:highlight w:val="none"/>
        </w:rPr>
      </w:pPr>
    </w:p>
    <w:p>
      <w:pPr>
        <w:snapToGrid w:val="0"/>
        <w:spacing w:line="360" w:lineRule="auto"/>
        <w:ind w:left="2215" w:leftChars="290" w:hanging="1606" w:hangingChars="5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招标项目：</w:t>
      </w:r>
      <w:del w:id="2" w:author="繁华终易逝" w:date="2021-08-24T19:50:30Z">
        <w:r>
          <w:rPr>
            <w:rFonts w:hint="eastAsia" w:ascii="宋体" w:hAnsi="宋体" w:eastAsia="宋体" w:cs="宋体"/>
            <w:b/>
            <w:bCs/>
            <w:color w:val="auto"/>
            <w:sz w:val="32"/>
            <w:szCs w:val="32"/>
            <w:highlight w:val="none"/>
            <w:lang w:eastAsia="zh-CN"/>
          </w:rPr>
          <w:delText>杭州科技职业技术学院汽车综合平台项目</w:delText>
        </w:r>
      </w:del>
      <w:ins w:id="3" w:author="繁华终易逝" w:date="2021-08-24T19:50:30Z">
        <w:r>
          <w:rPr>
            <w:rFonts w:hint="eastAsia" w:ascii="宋体" w:hAnsi="宋体" w:cs="宋体"/>
            <w:b/>
            <w:bCs/>
            <w:color w:val="auto"/>
            <w:sz w:val="32"/>
            <w:szCs w:val="32"/>
            <w:highlight w:val="none"/>
            <w:lang w:eastAsia="zh-CN"/>
          </w:rPr>
          <w:t>汽车工程学院实训基地项目</w:t>
        </w:r>
      </w:ins>
    </w:p>
    <w:p>
      <w:pPr>
        <w:snapToGrid w:val="0"/>
        <w:spacing w:line="360" w:lineRule="auto"/>
        <w:ind w:left="609" w:leftChars="29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确认书号：杭政采分-2021-02144[HZZFCG-YS-2021-10836]</w:t>
      </w:r>
    </w:p>
    <w:p>
      <w:pPr>
        <w:snapToGrid w:val="0"/>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招标编号：ZJWSBJ-HKZ-2021040C</w:t>
      </w:r>
    </w:p>
    <w:p>
      <w:pPr>
        <w:snapToGrid w:val="0"/>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 标 人：杭州科技职业技术学院</w:t>
      </w:r>
    </w:p>
    <w:p>
      <w:pPr>
        <w:snapToGrid w:val="0"/>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snapToGrid w:val="0"/>
        <w:spacing w:line="360" w:lineRule="auto"/>
        <w:ind w:firstLine="643" w:firstLineChars="200"/>
        <w:rPr>
          <w:rFonts w:hint="eastAsia" w:ascii="宋体" w:hAnsi="宋体" w:eastAsia="宋体" w:cs="宋体"/>
          <w:color w:val="auto"/>
          <w:highlight w:val="none"/>
        </w:rPr>
        <w:sectPr>
          <w:headerReference r:id="rId4" w:type="first"/>
          <w:headerReference r:id="rId3" w:type="default"/>
          <w:footerReference r:id="rId5" w:type="default"/>
          <w:pgSz w:w="11900" w:h="16838"/>
          <w:pgMar w:top="1440" w:right="1080" w:bottom="1440" w:left="1080" w:header="567" w:footer="567" w:gutter="0"/>
          <w:cols w:equalWidth="0" w:num="1">
            <w:col w:w="9026"/>
          </w:cols>
        </w:sectPr>
      </w:pPr>
      <w:r>
        <w:rPr>
          <w:rFonts w:hint="eastAsia" w:ascii="宋体" w:hAnsi="宋体" w:eastAsia="宋体" w:cs="宋体"/>
          <w:b/>
          <w:bCs/>
          <w:color w:val="auto"/>
          <w:sz w:val="32"/>
          <w:szCs w:val="32"/>
          <w:highlight w:val="none"/>
        </w:rPr>
        <w:t>时    间：二〇二一年八月</w:t>
      </w:r>
    </w:p>
    <w:p>
      <w:pPr>
        <w:tabs>
          <w:tab w:val="left" w:pos="4720"/>
        </w:tabs>
        <w:spacing w:line="502" w:lineRule="exact"/>
        <w:jc w:val="center"/>
        <w:rPr>
          <w:rFonts w:hint="eastAsia" w:ascii="宋体" w:hAnsi="宋体" w:eastAsia="宋体" w:cs="宋体"/>
          <w:b/>
          <w:bCs/>
          <w:color w:val="auto"/>
          <w:sz w:val="43"/>
          <w:szCs w:val="43"/>
          <w:highlight w:val="none"/>
        </w:rPr>
      </w:pPr>
      <w:bookmarkStart w:id="1" w:name="page2"/>
      <w:bookmarkEnd w:id="1"/>
      <w:r>
        <w:rPr>
          <w:rFonts w:hint="eastAsia" w:ascii="宋体" w:hAnsi="宋体" w:eastAsia="宋体" w:cs="宋体"/>
          <w:b/>
          <w:bCs/>
          <w:color w:val="auto"/>
          <w:sz w:val="44"/>
          <w:szCs w:val="44"/>
          <w:highlight w:val="none"/>
        </w:rPr>
        <w:t xml:space="preserve">目 </w:t>
      </w:r>
      <w:r>
        <w:rPr>
          <w:rFonts w:hint="eastAsia" w:ascii="宋体" w:hAnsi="宋体" w:eastAsia="宋体" w:cs="宋体"/>
          <w:b/>
          <w:bCs/>
          <w:color w:val="auto"/>
          <w:sz w:val="43"/>
          <w:szCs w:val="43"/>
          <w:highlight w:val="none"/>
        </w:rPr>
        <w:t>录</w:t>
      </w:r>
    </w:p>
    <w:p>
      <w:pPr>
        <w:pStyle w:val="28"/>
        <w:rPr>
          <w:rFonts w:hint="eastAsia" w:ascii="宋体" w:hAnsi="宋体" w:eastAsia="宋体" w:cs="宋体"/>
          <w:color w:val="auto"/>
          <w:highlight w:val="none"/>
        </w:rPr>
      </w:pPr>
    </w:p>
    <w:p>
      <w:pPr>
        <w:pStyle w:val="54"/>
        <w:tabs>
          <w:tab w:val="right" w:leader="dot" w:pos="9754"/>
        </w:tabs>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"1-2"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"_Toc13387" </w:instrText>
      </w:r>
      <w:r>
        <w:rPr>
          <w:rFonts w:hint="eastAsia" w:ascii="宋体" w:hAnsi="宋体" w:eastAsia="宋体" w:cs="宋体"/>
          <w:color w:val="auto"/>
          <w:highlight w:val="none"/>
        </w:rPr>
        <w:fldChar w:fldCharType="separate"/>
      </w:r>
      <w:r>
        <w:rPr>
          <w:rFonts w:hint="eastAsia" w:ascii="宋体" w:hAnsi="宋体" w:eastAsia="宋体" w:cs="宋体"/>
          <w:b/>
          <w:color w:val="auto"/>
          <w:spacing w:val="-6"/>
          <w:sz w:val="21"/>
          <w:szCs w:val="21"/>
          <w:highlight w:val="none"/>
        </w:rPr>
        <w:t>电子交易须知</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_Toc13387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54"/>
        <w:tabs>
          <w:tab w:val="right" w:leader="dot" w:pos="9754"/>
        </w:tabs>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"_Toc20706"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1"/>
          <w:szCs w:val="21"/>
          <w:highlight w:val="none"/>
        </w:rPr>
        <w:t>第一章  竞争性磋商公告</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_Toc20706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54"/>
        <w:tabs>
          <w:tab w:val="right" w:leader="dot" w:pos="9754"/>
        </w:tabs>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"_Toc27790"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1"/>
          <w:szCs w:val="21"/>
          <w:highlight w:val="none"/>
        </w:rPr>
        <w:t>第二章  供应商须知前附表</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_Toc27790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54"/>
        <w:tabs>
          <w:tab w:val="right" w:leader="dot" w:pos="9754"/>
        </w:tabs>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1"/>
          <w:szCs w:val="21"/>
          <w:highlight w:val="none"/>
        </w:rPr>
        <w:t>第三章  供应商须知</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_Toc163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"_Toc29219"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"_Toc7892"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二、竞争性磋商文件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"_Toc13792"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三、响应文件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_Toc13792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5"/>
        <w:tabs>
          <w:tab w:val="right" w:leader="dot" w:pos="9754"/>
        </w:tabs>
        <w:spacing w:line="360" w:lineRule="auto"/>
        <w:ind w:left="0" w:leftChars="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"_Toc30544"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四、磋商响应</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_Toc30544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"_Toc17782"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五、响应文件的开启、评审及合同签订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"_Toc28950"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六、磋商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_Toc28950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4"/>
        <w:tabs>
          <w:tab w:val="right" w:leader="dot" w:pos="9754"/>
        </w:tabs>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1"/>
          <w:szCs w:val="21"/>
          <w:highlight w:val="none"/>
        </w:rPr>
        <w:t>第四章  采购内容及技术要求</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_Toc944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"_Toc17509"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一、</w:t>
      </w:r>
      <w:r>
        <w:rPr>
          <w:rFonts w:hint="eastAsia" w:ascii="宋体" w:hAnsi="宋体" w:eastAsia="宋体" w:cs="宋体"/>
          <w:color w:val="auto"/>
          <w:sz w:val="21"/>
          <w:szCs w:val="21"/>
          <w:highlight w:val="none"/>
        </w:rPr>
        <w:t>项目概况</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"_Toc11756"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二、</w:t>
      </w:r>
      <w:r>
        <w:rPr>
          <w:rFonts w:hint="eastAsia" w:ascii="宋体" w:hAnsi="宋体" w:eastAsia="宋体" w:cs="宋体"/>
          <w:color w:val="auto"/>
          <w:sz w:val="21"/>
          <w:szCs w:val="21"/>
          <w:highlight w:val="none"/>
        </w:rPr>
        <w:t>规范要求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_Toc11756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"_Toc28373"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三、</w:t>
      </w:r>
      <w:r>
        <w:rPr>
          <w:rFonts w:hint="eastAsia" w:ascii="宋体" w:hAnsi="宋体" w:eastAsia="宋体" w:cs="宋体"/>
          <w:color w:val="auto"/>
          <w:sz w:val="21"/>
          <w:szCs w:val="21"/>
          <w:highlight w:val="none"/>
        </w:rPr>
        <w:t>施工要求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_Toc28373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"_Toc29259"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四、</w:t>
      </w:r>
      <w:r>
        <w:rPr>
          <w:rFonts w:hint="eastAsia" w:ascii="宋体" w:hAnsi="宋体" w:eastAsia="宋体" w:cs="宋体"/>
          <w:color w:val="auto"/>
          <w:sz w:val="21"/>
          <w:szCs w:val="21"/>
          <w:highlight w:val="none"/>
        </w:rPr>
        <w:t>材料质量要求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"_Toc6474"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五、</w:t>
      </w:r>
      <w:r>
        <w:rPr>
          <w:rFonts w:hint="eastAsia" w:ascii="宋体" w:hAnsi="宋体" w:eastAsia="宋体" w:cs="宋体"/>
          <w:color w:val="auto"/>
          <w:sz w:val="21"/>
          <w:szCs w:val="21"/>
          <w:highlight w:val="none"/>
        </w:rPr>
        <w:t>工程管理的要求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5"/>
        <w:tabs>
          <w:tab w:val="right" w:leader="dot" w:pos="9754"/>
        </w:tabs>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"_Toc17502"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rPr>
        <w:t>六、</w:t>
      </w:r>
      <w:r>
        <w:rPr>
          <w:rFonts w:hint="eastAsia" w:ascii="宋体" w:hAnsi="宋体" w:eastAsia="宋体" w:cs="宋体"/>
          <w:color w:val="auto"/>
          <w:sz w:val="21"/>
          <w:szCs w:val="21"/>
          <w:highlight w:val="none"/>
        </w:rPr>
        <w:t>其它要求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54"/>
        <w:tabs>
          <w:tab w:val="right" w:leader="dot" w:pos="9754"/>
        </w:tabs>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1"/>
          <w:szCs w:val="21"/>
          <w:highlight w:val="none"/>
        </w:rPr>
        <w:t>第五章  合同条款</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_Toc1627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25</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54"/>
        <w:tabs>
          <w:tab w:val="right" w:leader="dot" w:pos="9754"/>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"_Toc954"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1"/>
          <w:szCs w:val="21"/>
          <w:highlight w:val="none"/>
        </w:rPr>
        <w:t>第六章  响应文件格式</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_Toc954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56</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54"/>
        <w:tabs>
          <w:tab w:val="right" w:leader="dot" w:pos="9754"/>
        </w:tabs>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"_Toc10630"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1"/>
          <w:szCs w:val="21"/>
          <w:highlight w:val="none"/>
        </w:rPr>
        <w:t>第七章  评审办法</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_Toc10630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82</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rPr>
          <w:rFonts w:hint="eastAsia" w:ascii="宋体" w:hAnsi="宋体" w:eastAsia="宋体" w:cs="宋体"/>
          <w:color w:val="auto"/>
          <w:highlight w:val="none"/>
        </w:rPr>
        <w:sectPr>
          <w:headerReference r:id="rId6" w:type="default"/>
          <w:pgSz w:w="11900" w:h="16838"/>
          <w:pgMar w:top="1440" w:right="1080" w:bottom="1440" w:left="1080" w:header="567" w:footer="567" w:gutter="0"/>
          <w:cols w:equalWidth="0" w:num="1">
            <w:col w:w="9760"/>
          </w:cols>
        </w:sectPr>
      </w:pPr>
    </w:p>
    <w:p>
      <w:pPr>
        <w:spacing w:line="1" w:lineRule="exact"/>
        <w:rPr>
          <w:rFonts w:hint="eastAsia" w:ascii="宋体" w:hAnsi="宋体" w:eastAsia="宋体" w:cs="宋体"/>
          <w:color w:val="auto"/>
          <w:sz w:val="20"/>
          <w:szCs w:val="20"/>
          <w:highlight w:val="none"/>
        </w:rPr>
      </w:pPr>
      <w:bookmarkStart w:id="2" w:name="page3"/>
      <w:bookmarkEnd w:id="2"/>
    </w:p>
    <w:p>
      <w:pPr>
        <w:pStyle w:val="2"/>
        <w:spacing w:line="360" w:lineRule="auto"/>
        <w:rPr>
          <w:rFonts w:hint="eastAsia" w:ascii="宋体" w:hAnsi="宋体" w:eastAsia="宋体" w:cs="宋体"/>
          <w:color w:val="auto"/>
          <w:spacing w:val="-6"/>
          <w:sz w:val="24"/>
          <w:szCs w:val="24"/>
          <w:highlight w:val="none"/>
        </w:rPr>
      </w:pPr>
      <w:bookmarkStart w:id="3" w:name="_Toc13387"/>
      <w:bookmarkStart w:id="4" w:name="_Toc30173_WPSOffice_Level1"/>
      <w:r>
        <w:rPr>
          <w:rFonts w:hint="eastAsia" w:ascii="宋体" w:hAnsi="宋体" w:eastAsia="宋体" w:cs="宋体"/>
          <w:color w:val="auto"/>
          <w:spacing w:val="-6"/>
          <w:sz w:val="24"/>
          <w:szCs w:val="24"/>
          <w:highlight w:val="none"/>
        </w:rPr>
        <w:t>电子交易须知</w:t>
      </w:r>
      <w:bookmarkEnd w:id="3"/>
    </w:p>
    <w:p>
      <w:pPr>
        <w:spacing w:line="432" w:lineRule="auto"/>
        <w:ind w:firstLine="398" w:firstLineChars="200"/>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1、本次采购采用电子交易方式，电子交易平台为“政府采购云平台（www.zcygov.cn）”。供应商参与本项目电子交易活动前，应注册成为政府采购云平台正式供应商。编制电子响应文件前还需申领CA证书并绑定帐号。供应商应充分考虑完成平台注册、申领CA证书等所需的时间。</w:t>
      </w:r>
    </w:p>
    <w:p>
      <w:pPr>
        <w:spacing w:line="432" w:lineRule="auto"/>
        <w:ind w:firstLine="398" w:firstLineChars="200"/>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spacing w:line="432" w:lineRule="auto"/>
        <w:ind w:firstLine="398" w:firstLineChars="200"/>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3、供应商应当在递交响应文件截止时间前，将“电子交易客户端”生成的“电子加密响应文件”上传电子交易平台。</w:t>
      </w:r>
    </w:p>
    <w:p>
      <w:pPr>
        <w:spacing w:line="432" w:lineRule="auto"/>
        <w:ind w:firstLine="398" w:firstLineChars="200"/>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spacing w:line="432" w:lineRule="auto"/>
        <w:ind w:firstLine="398" w:firstLineChars="200"/>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spacing w:line="432" w:lineRule="auto"/>
        <w:ind w:firstLine="398" w:firstLineChars="200"/>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6、供应商在参加电子交易过程中,可登录电子交易平台“帮助文档”版面获取《电子交易管理操作指南》，或致电平台400-881-7190获取相关服务支持。</w:t>
      </w:r>
    </w:p>
    <w:p>
      <w:pPr>
        <w:spacing w:line="432" w:lineRule="auto"/>
        <w:rPr>
          <w:rFonts w:hint="eastAsia" w:ascii="宋体" w:hAnsi="宋体" w:eastAsia="宋体" w:cs="宋体"/>
          <w:color w:val="auto"/>
          <w:spacing w:val="-6"/>
          <w:highlight w:val="none"/>
        </w:rPr>
      </w:pPr>
    </w:p>
    <w:p>
      <w:pPr>
        <w:tabs>
          <w:tab w:val="left" w:pos="738"/>
        </w:tabs>
        <w:rPr>
          <w:rFonts w:hint="eastAsia" w:ascii="宋体" w:hAnsi="宋体" w:eastAsia="宋体" w:cs="宋体"/>
          <w:color w:val="auto"/>
          <w:highlight w:val="none"/>
        </w:rPr>
        <w:sectPr>
          <w:headerReference r:id="rId7" w:type="default"/>
          <w:pgSz w:w="11900" w:h="16838"/>
          <w:pgMar w:top="1440" w:right="1080" w:bottom="1440" w:left="1080" w:header="567" w:footer="567" w:gutter="0"/>
          <w:cols w:equalWidth="0" w:num="1">
            <w:col w:w="9026"/>
          </w:cols>
        </w:sectPr>
      </w:pPr>
    </w:p>
    <w:p>
      <w:pPr>
        <w:tabs>
          <w:tab w:val="left" w:pos="4100"/>
        </w:tabs>
        <w:spacing w:line="366" w:lineRule="exact"/>
        <w:ind w:left="2820"/>
        <w:outlineLvl w:val="0"/>
        <w:rPr>
          <w:rFonts w:hint="eastAsia" w:ascii="宋体" w:hAnsi="宋体" w:eastAsia="宋体" w:cs="宋体"/>
          <w:color w:val="auto"/>
          <w:sz w:val="20"/>
          <w:szCs w:val="20"/>
          <w:highlight w:val="none"/>
        </w:rPr>
      </w:pPr>
      <w:bookmarkStart w:id="5" w:name="_Toc20706"/>
      <w:r>
        <w:rPr>
          <w:rFonts w:hint="eastAsia" w:ascii="宋体" w:hAnsi="宋体" w:eastAsia="宋体" w:cs="宋体"/>
          <w:b/>
          <w:bCs/>
          <w:color w:val="auto"/>
          <w:sz w:val="32"/>
          <w:szCs w:val="32"/>
          <w:highlight w:val="none"/>
        </w:rPr>
        <w:t>第一章  竞争性磋商公告</w:t>
      </w:r>
      <w:bookmarkEnd w:id="4"/>
      <w:bookmarkEnd w:id="5"/>
    </w:p>
    <w:p>
      <w:pPr>
        <w:pStyle w:val="19"/>
        <w:adjustRightInd w:val="0"/>
        <w:snapToGrid w:val="0"/>
        <w:spacing w:before="0" w:beforeAutospacing="0" w:after="0" w:afterAutospacing="0" w:line="360" w:lineRule="auto"/>
        <w:rPr>
          <w:rFonts w:hint="eastAsia" w:ascii="宋体" w:hAnsi="宋体" w:eastAsia="宋体" w:cs="宋体"/>
          <w:b/>
          <w:color w:val="auto"/>
          <w:sz w:val="21"/>
          <w:szCs w:val="21"/>
          <w:highlight w:val="none"/>
        </w:rPr>
      </w:pPr>
    </w:p>
    <w:p>
      <w:pPr>
        <w:pStyle w:val="19"/>
        <w:adjustRightInd w:val="0"/>
        <w:snapToGrid w:val="0"/>
        <w:spacing w:before="0" w:beforeAutospacing="0" w:after="0" w:afterAutospacing="0"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项目概况</w:t>
      </w:r>
    </w:p>
    <w:p>
      <w:pPr>
        <w:pStyle w:val="19"/>
        <w:adjustRightInd w:val="0"/>
        <w:snapToGrid w:val="0"/>
        <w:spacing w:before="0" w:beforeAutospacing="0" w:after="0" w:afterAutospacing="0" w:line="360" w:lineRule="auto"/>
        <w:ind w:firstLine="422" w:firstLineChars="200"/>
        <w:rPr>
          <w:rStyle w:val="23"/>
          <w:rFonts w:hint="eastAsia" w:ascii="宋体" w:hAnsi="宋体" w:eastAsia="宋体" w:cs="宋体"/>
          <w:color w:val="auto"/>
          <w:sz w:val="21"/>
          <w:szCs w:val="21"/>
          <w:highlight w:val="none"/>
        </w:rPr>
      </w:pPr>
      <w:del w:id="4" w:author="繁华终易逝" w:date="2021-08-24T19:50:30Z">
        <w:r>
          <w:rPr>
            <w:rFonts w:hint="eastAsia" w:ascii="宋体" w:hAnsi="宋体" w:eastAsia="宋体" w:cs="宋体"/>
            <w:b/>
            <w:color w:val="auto"/>
            <w:sz w:val="21"/>
            <w:szCs w:val="21"/>
            <w:highlight w:val="none"/>
            <w:u w:val="single"/>
            <w:lang w:eastAsia="zh-CN"/>
          </w:rPr>
          <w:delText>杭州科技职业技术学院汽车综合平台项目</w:delText>
        </w:r>
      </w:del>
      <w:ins w:id="5" w:author="繁华终易逝" w:date="2021-08-24T19:50:30Z">
        <w:r>
          <w:rPr>
            <w:rFonts w:hint="eastAsia" w:cs="宋体"/>
            <w:b/>
            <w:color w:val="auto"/>
            <w:sz w:val="21"/>
            <w:szCs w:val="21"/>
            <w:highlight w:val="none"/>
            <w:u w:val="single"/>
            <w:lang w:eastAsia="zh-CN"/>
          </w:rPr>
          <w:t>汽车工程学院实训基地项目</w:t>
        </w:r>
      </w:ins>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采购项目的潜在供应商应在</w:t>
      </w:r>
      <w:r>
        <w:rPr>
          <w:rFonts w:hint="eastAsia" w:ascii="宋体" w:hAnsi="宋体" w:eastAsia="宋体" w:cs="宋体"/>
          <w:b/>
          <w:color w:val="auto"/>
          <w:sz w:val="21"/>
          <w:szCs w:val="21"/>
          <w:highlight w:val="none"/>
          <w:u w:val="single"/>
        </w:rPr>
        <w:t xml:space="preserve"> 政府采购云平台（https://login.zcygov.cn）</w:t>
      </w:r>
      <w:r>
        <w:rPr>
          <w:rFonts w:hint="eastAsia" w:ascii="宋体" w:hAnsi="宋体" w:eastAsia="宋体" w:cs="宋体"/>
          <w:b/>
          <w:color w:val="auto"/>
          <w:sz w:val="21"/>
          <w:szCs w:val="21"/>
          <w:highlight w:val="none"/>
        </w:rPr>
        <w:t>获取磋商文件，并于</w:t>
      </w:r>
      <w:r>
        <w:rPr>
          <w:rFonts w:hint="eastAsia" w:ascii="宋体" w:hAnsi="宋体" w:eastAsia="宋体" w:cs="宋体"/>
          <w:b/>
          <w:color w:val="auto"/>
          <w:sz w:val="21"/>
          <w:szCs w:val="21"/>
          <w:highlight w:val="none"/>
          <w:u w:val="single"/>
        </w:rPr>
        <w:t>2021年</w:t>
      </w:r>
      <w:del w:id="6" w:author="繁华终易逝" w:date="2021-08-24T19:50:56Z">
        <w:r>
          <w:rPr>
            <w:rFonts w:hint="eastAsia" w:ascii="宋体" w:hAnsi="宋体" w:eastAsia="宋体" w:cs="宋体"/>
            <w:b/>
            <w:color w:val="auto"/>
            <w:sz w:val="21"/>
            <w:szCs w:val="21"/>
            <w:highlight w:val="none"/>
            <w:u w:val="single"/>
            <w:lang w:eastAsia="zh-CN"/>
          </w:rPr>
          <w:delText>09月01日</w:delText>
        </w:r>
      </w:del>
      <w:ins w:id="7" w:author="繁华终易逝" w:date="2021-08-24T19:50:56Z">
        <w:r>
          <w:rPr>
            <w:rFonts w:hint="eastAsia" w:cs="宋体"/>
            <w:b/>
            <w:color w:val="auto"/>
            <w:sz w:val="21"/>
            <w:szCs w:val="21"/>
            <w:highlight w:val="none"/>
            <w:u w:val="single"/>
            <w:lang w:eastAsia="zh-CN"/>
          </w:rPr>
          <w:t>09月03日</w:t>
        </w:r>
      </w:ins>
      <w:del w:id="8" w:author="繁华终易逝" w:date="2021-08-24T20:48:15Z">
        <w:bookmarkStart w:id="231" w:name="_GoBack"/>
        <w:r>
          <w:rPr>
            <w:rFonts w:hint="eastAsia" w:ascii="宋体" w:hAnsi="宋体" w:eastAsia="宋体" w:cs="宋体"/>
            <w:b/>
            <w:color w:val="auto"/>
            <w:sz w:val="21"/>
            <w:szCs w:val="21"/>
            <w:highlight w:val="none"/>
            <w:u w:val="single"/>
            <w:lang w:eastAsia="zh-CN"/>
          </w:rPr>
          <w:delText>09:30:00</w:delText>
        </w:r>
        <w:bookmarkEnd w:id="231"/>
      </w:del>
      <w:ins w:id="9" w:author="繁华终易逝" w:date="2021-08-24T20:48:15Z">
        <w:r>
          <w:rPr>
            <w:rFonts w:hint="eastAsia" w:cs="宋体"/>
            <w:b/>
            <w:color w:val="auto"/>
            <w:sz w:val="21"/>
            <w:szCs w:val="21"/>
            <w:highlight w:val="none"/>
            <w:u w:val="single"/>
            <w:lang w:eastAsia="zh-CN"/>
          </w:rPr>
          <w:t>09:00:00</w:t>
        </w:r>
      </w:ins>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rPr>
        <w:t>北京时间）前递交（上传）响应文件</w:t>
      </w:r>
      <w:r>
        <w:rPr>
          <w:rFonts w:hint="eastAsia" w:ascii="宋体" w:hAnsi="宋体" w:eastAsia="宋体" w:cs="宋体"/>
          <w:b/>
          <w:color w:val="auto"/>
          <w:sz w:val="21"/>
          <w:szCs w:val="21"/>
          <w:highlight w:val="none"/>
        </w:rPr>
        <w:t>。</w:t>
      </w:r>
    </w:p>
    <w:p>
      <w:pPr>
        <w:pStyle w:val="19"/>
        <w:spacing w:before="165" w:beforeAutospacing="0" w:after="165" w:afterAutospacing="0" w:line="315" w:lineRule="atLeast"/>
        <w:rPr>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一、项目基本情况</w:t>
      </w:r>
    </w:p>
    <w:p>
      <w:pPr>
        <w:pStyle w:val="1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项目编号： ZJWSBJ-HKZ-2021040C </w:t>
      </w:r>
    </w:p>
    <w:p>
      <w:pPr>
        <w:pStyle w:val="19"/>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del w:id="10" w:author="繁华终易逝" w:date="2021-08-24T19:50:30Z">
        <w:r>
          <w:rPr>
            <w:rFonts w:hint="eastAsia" w:ascii="宋体" w:hAnsi="宋体" w:eastAsia="宋体" w:cs="宋体"/>
            <w:color w:val="auto"/>
            <w:sz w:val="21"/>
            <w:szCs w:val="21"/>
            <w:highlight w:val="none"/>
            <w:lang w:eastAsia="zh-CN"/>
          </w:rPr>
          <w:delText>杭州科技职业技术学院汽车综合平台项目</w:delText>
        </w:r>
      </w:del>
      <w:ins w:id="11" w:author="繁华终易逝" w:date="2021-08-24T19:50:30Z">
        <w:r>
          <w:rPr>
            <w:rFonts w:hint="eastAsia" w:cs="宋体"/>
            <w:color w:val="auto"/>
            <w:sz w:val="21"/>
            <w:szCs w:val="21"/>
            <w:highlight w:val="none"/>
            <w:lang w:eastAsia="zh-CN"/>
          </w:rPr>
          <w:t>汽车工程学院实训基地项目</w:t>
        </w:r>
      </w:ins>
    </w:p>
    <w:p>
      <w:pPr>
        <w:pStyle w:val="1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预算金额（元）：3950000</w:t>
      </w:r>
    </w:p>
    <w:p>
      <w:pPr>
        <w:pStyle w:val="1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最高限价（元）：3950000</w:t>
      </w:r>
    </w:p>
    <w:p>
      <w:pPr>
        <w:pStyle w:val="1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rPr>
          <w:rFonts w:hint="eastAsia" w:ascii="宋体" w:hAnsi="宋体" w:eastAsia="宋体" w:cs="宋体"/>
          <w:color w:val="auto"/>
          <w:highlight w:val="none"/>
        </w:rPr>
      </w:pPr>
    </w:p>
    <w:p>
      <w:pPr>
        <w:pStyle w:val="9"/>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数量：1</w:t>
      </w:r>
    </w:p>
    <w:p>
      <w:pPr>
        <w:pStyle w:val="9"/>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单位：项</w:t>
      </w:r>
    </w:p>
    <w:p>
      <w:pPr>
        <w:pStyle w:val="9"/>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预算金额（元）：3950000.00</w:t>
      </w:r>
    </w:p>
    <w:p>
      <w:pPr>
        <w:pStyle w:val="9"/>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最高限价（元）：3950000.00</w:t>
      </w:r>
    </w:p>
    <w:p>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简要规格描述或项目基本概况介绍、用途：详见采购文件。</w:t>
      </w:r>
    </w:p>
    <w:p>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备注：/</w:t>
      </w:r>
    </w:p>
    <w:p>
      <w:pPr>
        <w:rPr>
          <w:rFonts w:hint="eastAsia" w:ascii="宋体" w:hAnsi="宋体" w:eastAsia="宋体" w:cs="宋体"/>
          <w:color w:val="auto"/>
          <w:highlight w:val="none"/>
        </w:rPr>
      </w:pPr>
    </w:p>
    <w:p>
      <w:pPr>
        <w:pStyle w:val="1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合同履行期限：标项1，工期90日历天。</w:t>
      </w:r>
    </w:p>
    <w:p>
      <w:pPr>
        <w:pStyle w:val="1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w:t>
      </w:r>
    </w:p>
    <w:p>
      <w:pPr>
        <w:spacing w:before="170" w:after="170" w:line="320" w:lineRule="atLeas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二、申请人的资格要求：</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2.未被“信用中国”（www.creditchina.gov.cn）、中国政府采购网（www.ccgp.gov.cn）列入失信被执行人、重大税收违法案件当事人名单、政府采购严重违法失信行为记录名单；</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3.落实政府采购政策需满足的资格要求：</w:t>
      </w:r>
      <w:r>
        <w:rPr>
          <w:rFonts w:hint="eastAsia" w:ascii="宋体" w:hAnsi="宋体" w:eastAsia="宋体" w:cs="宋体"/>
          <w:b/>
          <w:bCs/>
          <w:color w:val="auto"/>
          <w:highlight w:val="none"/>
        </w:rPr>
        <w:t>供应商为小微企业，对应的企业划分标准所属行业：</w:t>
      </w:r>
      <w:r>
        <w:rPr>
          <w:rFonts w:hint="eastAsia" w:ascii="宋体" w:hAnsi="宋体" w:eastAsia="宋体" w:cs="宋体"/>
          <w:b/>
          <w:bCs/>
          <w:color w:val="auto"/>
          <w:highlight w:val="none"/>
          <w:u w:val="single"/>
        </w:rPr>
        <w:t>建筑业</w:t>
      </w:r>
      <w:r>
        <w:rPr>
          <w:rFonts w:hint="eastAsia" w:ascii="宋体" w:hAnsi="宋体" w:eastAsia="宋体" w:cs="宋体"/>
          <w:color w:val="auto"/>
          <w:szCs w:val="21"/>
          <w:highlight w:val="none"/>
        </w:rPr>
        <w:t>；</w:t>
      </w:r>
    </w:p>
    <w:p>
      <w:pPr>
        <w:pStyle w:val="19"/>
        <w:spacing w:before="75" w:beforeAutospacing="0" w:after="75"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p>
    <w:p>
      <w:pPr>
        <w:pStyle w:val="19"/>
        <w:spacing w:before="75" w:beforeAutospacing="0" w:after="75"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（1）具有建设主管部门颁发的建筑工程施工总承包三级及以上且钢结构工程专业承包三级及以上资质；</w:t>
      </w:r>
    </w:p>
    <w:p>
      <w:pPr>
        <w:pStyle w:val="19"/>
        <w:spacing w:before="75" w:beforeAutospacing="0" w:after="75"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（2）企业具有安全生产许可证，且在有效期内；</w:t>
      </w:r>
    </w:p>
    <w:p>
      <w:pPr>
        <w:pStyle w:val="19"/>
        <w:spacing w:before="75" w:beforeAutospacing="0" w:after="75"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（3）拟派项目经理具有建筑工程专业二级及以上建造师注册证书。</w:t>
      </w:r>
    </w:p>
    <w:p>
      <w:pPr>
        <w:spacing w:before="170" w:after="170" w:line="320" w:lineRule="atLeas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三、获取（下载）采购文件</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Cs/>
          <w:color w:val="auto"/>
          <w:szCs w:val="21"/>
          <w:highlight w:val="none"/>
        </w:rPr>
        <w:t>公告发布时间  至  磋商响应截止时间</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地点（网址）：政采云平台（http://zfcg.czt.zj.gov.cn），供应商获取采购文件前应先完成“政府采购云平台”的账号注册</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潜在供应商登陆政采云平台，在线申请获取采购文件（进入“项目采购”应用，在获取采购文件菜单中选择项目，申请获取采购文件；仅需浏览采购文件的供应商可点击“游客，浏览采购文件”直接下载采购文件浏览）</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pPr>
        <w:spacing w:before="170" w:after="170" w:line="320" w:lineRule="atLeas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四、响应文件提交（上传）</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u w:val="single"/>
        </w:rPr>
        <w:t xml:space="preserve">  2021年</w:t>
      </w:r>
      <w:del w:id="12" w:author="繁华终易逝" w:date="2021-08-24T19:50:56Z">
        <w:r>
          <w:rPr>
            <w:rFonts w:hint="eastAsia" w:ascii="宋体" w:hAnsi="宋体" w:eastAsia="宋体" w:cs="宋体"/>
            <w:color w:val="auto"/>
            <w:szCs w:val="21"/>
            <w:highlight w:val="none"/>
            <w:u w:val="single"/>
            <w:lang w:eastAsia="zh-CN"/>
          </w:rPr>
          <w:delText>09月01日</w:delText>
        </w:r>
      </w:del>
      <w:ins w:id="13" w:author="繁华终易逝" w:date="2021-08-24T19:50:56Z">
        <w:r>
          <w:rPr>
            <w:rFonts w:hint="eastAsia" w:ascii="宋体" w:hAnsi="宋体" w:cs="宋体"/>
            <w:color w:val="auto"/>
            <w:szCs w:val="21"/>
            <w:highlight w:val="none"/>
            <w:u w:val="single"/>
            <w:lang w:eastAsia="zh-CN"/>
          </w:rPr>
          <w:t>09月03日</w:t>
        </w:r>
      </w:ins>
      <w:del w:id="14" w:author="繁华终易逝" w:date="2021-08-24T20:48:15Z">
        <w:r>
          <w:rPr>
            <w:rFonts w:hint="eastAsia" w:ascii="宋体" w:hAnsi="宋体" w:eastAsia="宋体" w:cs="宋体"/>
            <w:color w:val="auto"/>
            <w:szCs w:val="21"/>
            <w:highlight w:val="none"/>
            <w:u w:val="single"/>
            <w:lang w:eastAsia="zh-CN"/>
          </w:rPr>
          <w:delText>09:30:00</w:delText>
        </w:r>
      </w:del>
      <w:ins w:id="15" w:author="繁华终易逝" w:date="2021-08-24T20:48:15Z">
        <w:r>
          <w:rPr>
            <w:rFonts w:hint="eastAsia" w:ascii="宋体" w:hAnsi="宋体" w:cs="宋体"/>
            <w:color w:val="auto"/>
            <w:szCs w:val="21"/>
            <w:highlight w:val="none"/>
            <w:u w:val="single"/>
            <w:lang w:eastAsia="zh-CN"/>
          </w:rPr>
          <w:t>09:00:00</w:t>
        </w:r>
      </w:ins>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（北京时间）</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w:t>
      </w:r>
      <w:r>
        <w:rPr>
          <w:rFonts w:hint="eastAsia" w:ascii="宋体" w:hAnsi="宋体" w:eastAsia="宋体" w:cs="宋体"/>
          <w:color w:val="auto"/>
          <w:szCs w:val="21"/>
          <w:highlight w:val="none"/>
          <w:u w:val="single"/>
        </w:rPr>
        <w:t>通过“政府采购云平台（www.zcygov.cn）”实行在线投标响应</w:t>
      </w:r>
    </w:p>
    <w:p>
      <w:pPr>
        <w:spacing w:before="170" w:after="170" w:line="320" w:lineRule="atLeas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五、响应文件开启</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开启时间：</w:t>
      </w:r>
      <w:r>
        <w:rPr>
          <w:rFonts w:hint="eastAsia" w:ascii="宋体" w:hAnsi="宋体" w:eastAsia="宋体" w:cs="宋体"/>
          <w:color w:val="auto"/>
          <w:szCs w:val="21"/>
          <w:highlight w:val="none"/>
          <w:u w:val="single"/>
        </w:rPr>
        <w:t xml:space="preserve">  2021年</w:t>
      </w:r>
      <w:del w:id="16" w:author="繁华终易逝" w:date="2021-08-24T19:50:56Z">
        <w:r>
          <w:rPr>
            <w:rFonts w:hint="eastAsia" w:ascii="宋体" w:hAnsi="宋体" w:eastAsia="宋体" w:cs="宋体"/>
            <w:color w:val="auto"/>
            <w:szCs w:val="21"/>
            <w:highlight w:val="none"/>
            <w:u w:val="single"/>
            <w:lang w:eastAsia="zh-CN"/>
          </w:rPr>
          <w:delText>09月01日</w:delText>
        </w:r>
      </w:del>
      <w:ins w:id="17" w:author="繁华终易逝" w:date="2021-08-24T19:50:56Z">
        <w:r>
          <w:rPr>
            <w:rFonts w:hint="eastAsia" w:ascii="宋体" w:hAnsi="宋体" w:cs="宋体"/>
            <w:color w:val="auto"/>
            <w:szCs w:val="21"/>
            <w:highlight w:val="none"/>
            <w:u w:val="single"/>
            <w:lang w:eastAsia="zh-CN"/>
          </w:rPr>
          <w:t>09月03日</w:t>
        </w:r>
      </w:ins>
      <w:del w:id="18" w:author="繁华终易逝" w:date="2021-08-24T20:48:15Z">
        <w:r>
          <w:rPr>
            <w:rFonts w:hint="eastAsia" w:ascii="宋体" w:hAnsi="宋体" w:eastAsia="宋体" w:cs="宋体"/>
            <w:color w:val="auto"/>
            <w:szCs w:val="21"/>
            <w:highlight w:val="none"/>
            <w:u w:val="single"/>
            <w:lang w:eastAsia="zh-CN"/>
          </w:rPr>
          <w:delText>09:30:00</w:delText>
        </w:r>
      </w:del>
      <w:ins w:id="19" w:author="繁华终易逝" w:date="2021-08-24T20:48:15Z">
        <w:r>
          <w:rPr>
            <w:rFonts w:hint="eastAsia" w:ascii="宋体" w:hAnsi="宋体" w:cs="宋体"/>
            <w:color w:val="auto"/>
            <w:szCs w:val="21"/>
            <w:highlight w:val="none"/>
            <w:u w:val="single"/>
            <w:lang w:eastAsia="zh-CN"/>
          </w:rPr>
          <w:t>09:00:00</w:t>
        </w:r>
      </w:ins>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（北京时间）</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w:t>
      </w:r>
      <w:r>
        <w:rPr>
          <w:rFonts w:hint="eastAsia" w:ascii="宋体" w:hAnsi="宋体" w:eastAsia="宋体" w:cs="宋体"/>
          <w:color w:val="auto"/>
          <w:szCs w:val="21"/>
          <w:highlight w:val="none"/>
          <w:u w:val="single"/>
        </w:rPr>
        <w:t>通过“政府采购云平台（www.zcygov.cn）”实行在线投标响应</w:t>
      </w:r>
    </w:p>
    <w:p>
      <w:pPr>
        <w:spacing w:before="170" w:after="170" w:line="320" w:lineRule="atLeas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六、公告期限</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自本公告发布之日起3个工作日。</w:t>
      </w:r>
    </w:p>
    <w:p>
      <w:pPr>
        <w:spacing w:before="170" w:after="170" w:line="320" w:lineRule="atLeas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七、其他补充事宜</w:t>
      </w:r>
    </w:p>
    <w:p>
      <w:pPr>
        <w:spacing w:before="60" w:after="60" w:line="360" w:lineRule="auto"/>
        <w:ind w:left="60" w:right="6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认为采购文件使自己的权益受到损害的，可以自收到采购文件之日或者采购文件公告期限届满之日（公告期限届满后获取采购文件的，以公告期限届满之日为准）起7个工作日内，且应当在采购响应截止时间之前以书面形式向采购人和采购代理机构提出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before="170" w:after="170" w:line="320" w:lineRule="atLeas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八、对本次采购提出询问、质疑、投诉，请按以下方式联系。</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spacing w:before="100" w:beforeAutospacing="1" w:after="100" w:afterAutospacing="1"/>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杭州科技职业技术学院</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富阳区高科路198号</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u w:val="single"/>
        </w:rPr>
        <w:t>王老师</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u w:val="single"/>
        </w:rPr>
        <w:t>0571-28287602</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u w:val="single"/>
        </w:rPr>
        <w:t>陈老师</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u w:val="single"/>
        </w:rPr>
        <w:t>0571-28287780</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浙江五石工程咨询有限公司  </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杭州市滨江区东方通信科技园启迪楼2楼1207室</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u w:val="single"/>
        </w:rPr>
        <w:t>徐工</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u w:val="single"/>
        </w:rPr>
        <w:t xml:space="preserve"> 0571-87805727-806 </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u w:val="single"/>
        </w:rPr>
        <w:t xml:space="preserve"> 毛工  </w:t>
      </w:r>
    </w:p>
    <w:p>
      <w:pPr>
        <w:spacing w:before="100" w:beforeAutospacing="1" w:after="100" w:afterAutospacing="1"/>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u w:val="single"/>
        </w:rPr>
        <w:t>0571-87919156</w:t>
      </w:r>
    </w:p>
    <w:p>
      <w:pPr>
        <w:spacing w:before="100" w:beforeAutospacing="1" w:after="100" w:afterAutospacing="1"/>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pPr>
        <w:spacing w:before="100" w:beforeAutospacing="1" w:after="100" w:afterAutospacing="1"/>
        <w:ind w:firstLine="630" w:firstLineChars="3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名称：</w:t>
      </w:r>
      <w:r>
        <w:rPr>
          <w:rFonts w:hint="eastAsia" w:ascii="宋体" w:hAnsi="宋体" w:eastAsia="宋体" w:cs="宋体"/>
          <w:color w:val="auto"/>
          <w:szCs w:val="21"/>
          <w:highlight w:val="none"/>
          <w:u w:val="single"/>
          <w:lang w:val="zh-CN"/>
        </w:rPr>
        <w:t>杭州市财政局政府采购监管处</w:t>
      </w:r>
    </w:p>
    <w:p>
      <w:pPr>
        <w:spacing w:before="100" w:beforeAutospacing="1" w:after="100" w:afterAutospacing="1"/>
        <w:ind w:firstLine="630" w:firstLineChars="3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地址：</w:t>
      </w:r>
      <w:r>
        <w:rPr>
          <w:rFonts w:hint="eastAsia" w:ascii="宋体" w:hAnsi="宋体" w:eastAsia="宋体" w:cs="宋体"/>
          <w:color w:val="auto"/>
          <w:szCs w:val="21"/>
          <w:highlight w:val="none"/>
          <w:u w:val="single"/>
          <w:lang w:val="zh-CN"/>
        </w:rPr>
        <w:t>杭州市中河中路152号617办公室</w:t>
      </w:r>
    </w:p>
    <w:p>
      <w:pPr>
        <w:spacing w:before="100" w:beforeAutospacing="1" w:after="100" w:afterAutospacing="1"/>
        <w:ind w:firstLine="630" w:firstLineChars="3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传真：</w:t>
      </w:r>
      <w:r>
        <w:rPr>
          <w:rFonts w:hint="eastAsia" w:ascii="宋体" w:hAnsi="宋体" w:eastAsia="宋体" w:cs="宋体"/>
          <w:color w:val="auto"/>
          <w:szCs w:val="21"/>
          <w:highlight w:val="none"/>
          <w:u w:val="single"/>
          <w:lang w:val="zh-CN"/>
        </w:rPr>
        <w:t>87715261</w:t>
      </w:r>
    </w:p>
    <w:p>
      <w:pPr>
        <w:spacing w:before="100" w:beforeAutospacing="1" w:after="100" w:afterAutospacing="1"/>
        <w:ind w:firstLine="630" w:firstLineChars="3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联系人：</w:t>
      </w:r>
      <w:r>
        <w:rPr>
          <w:rFonts w:hint="eastAsia" w:ascii="宋体" w:hAnsi="宋体" w:eastAsia="宋体" w:cs="宋体"/>
          <w:color w:val="auto"/>
          <w:szCs w:val="21"/>
          <w:highlight w:val="none"/>
          <w:u w:val="single"/>
          <w:lang w:val="zh-CN"/>
        </w:rPr>
        <w:t>吕先生</w:t>
      </w:r>
    </w:p>
    <w:p>
      <w:pPr>
        <w:spacing w:before="100" w:beforeAutospacing="1" w:after="100" w:afterAutospacing="1"/>
        <w:ind w:firstLine="630" w:firstLineChars="3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监督投诉电话：</w:t>
      </w:r>
      <w:r>
        <w:rPr>
          <w:rFonts w:hint="eastAsia" w:ascii="宋体" w:hAnsi="宋体" w:eastAsia="宋体" w:cs="宋体"/>
          <w:color w:val="auto"/>
          <w:szCs w:val="21"/>
          <w:highlight w:val="none"/>
          <w:u w:val="single"/>
          <w:lang w:val="zh-CN"/>
        </w:rPr>
        <w:t>87715261</w:t>
      </w:r>
    </w:p>
    <w:p>
      <w:pPr>
        <w:spacing w:before="100" w:beforeAutospacing="1" w:after="100" w:afterAutospacing="1"/>
        <w:rPr>
          <w:rFonts w:hint="eastAsia" w:ascii="宋体" w:hAnsi="宋体" w:eastAsia="宋体" w:cs="宋体"/>
          <w:color w:val="auto"/>
          <w:szCs w:val="21"/>
          <w:highlight w:val="none"/>
        </w:rPr>
      </w:pPr>
    </w:p>
    <w:p>
      <w:pPr>
        <w:spacing w:before="100" w:beforeAutospacing="1" w:after="100" w:afterAutospacing="1"/>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pPr>
        <w:spacing w:line="360" w:lineRule="auto"/>
        <w:ind w:firstLine="840" w:firstLineChars="400"/>
        <w:rPr>
          <w:rFonts w:hint="eastAsia" w:ascii="宋体" w:hAnsi="宋体" w:eastAsia="宋体" w:cs="宋体"/>
          <w:color w:val="auto"/>
          <w:szCs w:val="32"/>
          <w:highlight w:val="none"/>
        </w:rPr>
        <w:sectPr>
          <w:footerReference r:id="rId8" w:type="default"/>
          <w:pgSz w:w="11906" w:h="16838"/>
          <w:pgMar w:top="1440" w:right="1080" w:bottom="1440" w:left="1080" w:header="170" w:footer="567" w:gutter="0"/>
          <w:pgNumType w:start="1"/>
          <w:cols w:space="720" w:num="1"/>
          <w:docGrid w:linePitch="381" w:charSpace="0"/>
        </w:sectPr>
      </w:pPr>
    </w:p>
    <w:p>
      <w:pPr>
        <w:spacing w:line="1" w:lineRule="exact"/>
        <w:rPr>
          <w:rFonts w:hint="eastAsia" w:ascii="宋体" w:hAnsi="宋体" w:eastAsia="宋体" w:cs="宋体"/>
          <w:color w:val="auto"/>
          <w:sz w:val="20"/>
          <w:szCs w:val="20"/>
          <w:highlight w:val="none"/>
        </w:rPr>
      </w:pPr>
    </w:p>
    <w:p>
      <w:pPr>
        <w:spacing w:line="20" w:lineRule="exact"/>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114300" distR="114300" simplePos="0" relativeHeight="251659264" behindDoc="1" locked="0" layoutInCell="0" allowOverlap="1">
            <wp:simplePos x="0" y="0"/>
            <wp:positionH relativeFrom="column">
              <wp:posOffset>2235835</wp:posOffset>
            </wp:positionH>
            <wp:positionV relativeFrom="paragraph">
              <wp:posOffset>-5064125</wp:posOffset>
            </wp:positionV>
            <wp:extent cx="126365" cy="160020"/>
            <wp:effectExtent l="0" t="0" r="6985" b="1143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pic:cNvPicPr>
                  </pic:nvPicPr>
                  <pic:blipFill>
                    <a:blip r:embed="rId11"/>
                    <a:stretch>
                      <a:fillRect/>
                    </a:stretch>
                  </pic:blipFill>
                  <pic:spPr>
                    <a:xfrm>
                      <a:off x="0" y="0"/>
                      <a:ext cx="126365" cy="160020"/>
                    </a:xfrm>
                    <a:prstGeom prst="rect">
                      <a:avLst/>
                    </a:prstGeom>
                    <a:noFill/>
                    <a:ln>
                      <a:noFill/>
                    </a:ln>
                  </pic:spPr>
                </pic:pic>
              </a:graphicData>
            </a:graphic>
          </wp:anchor>
        </w:drawing>
      </w:r>
    </w:p>
    <w:p>
      <w:pPr>
        <w:tabs>
          <w:tab w:val="center" w:pos="4737"/>
        </w:tabs>
        <w:jc w:val="center"/>
        <w:outlineLvl w:val="0"/>
        <w:rPr>
          <w:rFonts w:hint="eastAsia" w:ascii="宋体" w:hAnsi="宋体" w:eastAsia="宋体" w:cs="宋体"/>
          <w:b/>
          <w:bCs/>
          <w:color w:val="auto"/>
          <w:sz w:val="32"/>
          <w:szCs w:val="32"/>
          <w:highlight w:val="none"/>
        </w:rPr>
      </w:pPr>
      <w:bookmarkStart w:id="6" w:name="_Toc27790"/>
      <w:bookmarkStart w:id="7" w:name="_Toc14201_WPSOffice_Level1"/>
      <w:r>
        <w:rPr>
          <w:rFonts w:hint="eastAsia" w:ascii="宋体" w:hAnsi="宋体" w:eastAsia="宋体" w:cs="宋体"/>
          <w:b/>
          <w:bCs/>
          <w:color w:val="auto"/>
          <w:sz w:val="32"/>
          <w:szCs w:val="32"/>
          <w:highlight w:val="none"/>
        </w:rPr>
        <w:t>第二章  供应商须知前附表</w:t>
      </w:r>
      <w:bookmarkEnd w:id="6"/>
      <w:bookmarkEnd w:id="7"/>
    </w:p>
    <w:p>
      <w:pPr>
        <w:tabs>
          <w:tab w:val="center" w:pos="4737"/>
        </w:tabs>
        <w:jc w:val="both"/>
        <w:rPr>
          <w:rFonts w:hint="eastAsia" w:ascii="宋体" w:hAnsi="宋体" w:eastAsia="宋体" w:cs="宋体"/>
          <w:b/>
          <w:bCs/>
          <w:color w:val="auto"/>
          <w:sz w:val="32"/>
          <w:szCs w:val="32"/>
          <w:highlight w:val="none"/>
        </w:rPr>
      </w:pPr>
    </w:p>
    <w:tbl>
      <w:tblPr>
        <w:tblStyle w:val="20"/>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9" w:type="dxa"/>
            <w:tcBorders>
              <w:top w:val="single" w:color="auto" w:sz="12" w:space="0"/>
              <w:left w:val="single" w:color="auto" w:sz="12" w:space="0"/>
            </w:tcBorders>
            <w:vAlign w:val="center"/>
          </w:tcPr>
          <w:p>
            <w:pPr>
              <w:snapToGrid w:val="0"/>
              <w:spacing w:line="360" w:lineRule="auto"/>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序号</w:t>
            </w:r>
          </w:p>
        </w:tc>
        <w:tc>
          <w:tcPr>
            <w:tcW w:w="2146" w:type="dxa"/>
            <w:tcBorders>
              <w:top w:val="single" w:color="auto" w:sz="12" w:space="0"/>
            </w:tcBorders>
            <w:vAlign w:val="center"/>
          </w:tcPr>
          <w:p>
            <w:pPr>
              <w:snapToGrid w:val="0"/>
              <w:spacing w:line="360" w:lineRule="auto"/>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内容</w:t>
            </w:r>
          </w:p>
        </w:tc>
        <w:tc>
          <w:tcPr>
            <w:tcW w:w="6314" w:type="dxa"/>
            <w:tcBorders>
              <w:top w:val="single" w:color="auto" w:sz="12" w:space="0"/>
              <w:right w:val="single" w:color="auto" w:sz="12" w:space="0"/>
            </w:tcBorders>
            <w:vAlign w:val="center"/>
          </w:tcPr>
          <w:p>
            <w:pPr>
              <w:snapToGrid w:val="0"/>
              <w:spacing w:line="360" w:lineRule="auto"/>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采购人</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杭州科技职业技术学院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采购代理机构</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是否接受联合体投标</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w:t>
            </w:r>
          </w:p>
        </w:tc>
        <w:tc>
          <w:tcPr>
            <w:tcW w:w="2146" w:type="dxa"/>
            <w:vAlign w:val="center"/>
          </w:tcPr>
          <w:p>
            <w:pPr>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工期</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b/>
                <w:bCs/>
                <w:color w:val="auto"/>
                <w:kern w:val="2"/>
                <w:szCs w:val="21"/>
                <w:highlight w:val="none"/>
              </w:rPr>
              <w:t>计划工期：签订合同之日起90日历天内完成。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质量要求</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质量要求符合《工程施工质量验收规范》达到国家验收规范</w:t>
            </w:r>
            <w:r>
              <w:rPr>
                <w:rFonts w:hint="eastAsia" w:ascii="宋体" w:hAnsi="宋体" w:eastAsia="宋体" w:cs="宋体"/>
                <w:b/>
                <w:bCs/>
                <w:color w:val="auto"/>
                <w:kern w:val="2"/>
                <w:szCs w:val="21"/>
                <w:highlight w:val="none"/>
              </w:rPr>
              <w:t>合格</w:t>
            </w:r>
            <w:r>
              <w:rPr>
                <w:rFonts w:hint="eastAsia" w:ascii="宋体" w:hAnsi="宋体" w:eastAsia="宋体" w:cs="宋体"/>
                <w:color w:val="auto"/>
                <w:kern w:val="2"/>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6</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现场踏勘</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highlight w:val="none"/>
              </w:rPr>
              <w:t>学校不集中组织，务请各供应商现场踏勘以了解项目现场实际状况，费用自理。地址：杭州科技职业技术学院</w:t>
            </w:r>
            <w:r>
              <w:rPr>
                <w:rFonts w:hint="eastAsia" w:ascii="宋体" w:hAnsi="宋体" w:eastAsia="宋体" w:cs="宋体"/>
                <w:color w:val="auto"/>
                <w:kern w:val="2"/>
                <w:szCs w:val="21"/>
                <w:highlight w:val="none"/>
              </w:rPr>
              <w:t>，踏勘期间发生的费用或意外导致伤亡等一切责任和损失均由磋商响应供应商自负。</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因疫情管控要求，供应商前往踏勘前一天需联系采购人办理入校申请。</w:t>
            </w:r>
            <w:r>
              <w:rPr>
                <w:rFonts w:hint="eastAsia" w:ascii="宋体" w:hAnsi="宋体" w:eastAsia="宋体" w:cs="宋体"/>
                <w:b/>
                <w:bCs/>
                <w:color w:val="auto"/>
                <w:kern w:val="2"/>
                <w:szCs w:val="21"/>
                <w:highlight w:val="none"/>
              </w:rPr>
              <w:t xml:space="preserve">联系人：沈老师      联系方式： 17706435060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答疑会</w:t>
            </w:r>
          </w:p>
        </w:tc>
        <w:tc>
          <w:tcPr>
            <w:tcW w:w="6314" w:type="dxa"/>
            <w:tcBorders>
              <w:right w:val="single" w:color="auto" w:sz="12" w:space="0"/>
            </w:tcBorders>
            <w:vAlign w:val="center"/>
          </w:tcPr>
          <w:p>
            <w:pPr>
              <w:spacing w:line="360" w:lineRule="auto"/>
              <w:ind w:right="87"/>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8</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b/>
                <w:bCs/>
                <w:color w:val="auto"/>
                <w:kern w:val="2"/>
                <w:szCs w:val="21"/>
                <w:highlight w:val="none"/>
              </w:rPr>
              <w:t>分包</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9</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询疑截止时间</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磋商响应供应商在收到磋商文件后，对磋商文件若有疑问，均应在2021年</w:t>
            </w:r>
            <w:r>
              <w:rPr>
                <w:rFonts w:hint="eastAsia" w:ascii="宋体" w:hAnsi="宋体" w:eastAsia="宋体" w:cs="宋体"/>
                <w:color w:val="auto"/>
                <w:kern w:val="2"/>
                <w:szCs w:val="21"/>
                <w:highlight w:val="none"/>
                <w:lang w:eastAsia="zh-CN"/>
              </w:rPr>
              <w:t>0</w:t>
            </w:r>
            <w:r>
              <w:rPr>
                <w:rFonts w:hint="eastAsia" w:ascii="宋体" w:hAnsi="宋体" w:eastAsia="宋体" w:cs="宋体"/>
                <w:color w:val="auto"/>
                <w:kern w:val="2"/>
                <w:szCs w:val="21"/>
                <w:highlight w:val="none"/>
                <w:lang w:val="en-US" w:eastAsia="zh-CN"/>
              </w:rPr>
              <w:t>8</w:t>
            </w:r>
            <w:r>
              <w:rPr>
                <w:rFonts w:hint="eastAsia" w:ascii="宋体" w:hAnsi="宋体" w:eastAsia="宋体" w:cs="宋体"/>
                <w:color w:val="auto"/>
                <w:kern w:val="2"/>
                <w:szCs w:val="21"/>
                <w:highlight w:val="none"/>
                <w:lang w:eastAsia="zh-CN"/>
              </w:rPr>
              <w:t>月</w:t>
            </w:r>
            <w:del w:id="20" w:author="繁华终易逝" w:date="2021-08-24T19:52:42Z">
              <w:r>
                <w:rPr>
                  <w:rFonts w:hint="default" w:ascii="宋体" w:hAnsi="宋体" w:eastAsia="宋体" w:cs="宋体"/>
                  <w:color w:val="auto"/>
                  <w:kern w:val="2"/>
                  <w:szCs w:val="21"/>
                  <w:highlight w:val="none"/>
                  <w:lang w:val="en-US" w:eastAsia="zh-CN"/>
                </w:rPr>
                <w:delText>27</w:delText>
              </w:r>
            </w:del>
            <w:ins w:id="21" w:author="繁华终易逝" w:date="2021-08-24T19:52:42Z">
              <w:r>
                <w:rPr>
                  <w:rFonts w:hint="eastAsia" w:ascii="宋体" w:hAnsi="宋体" w:cs="宋体"/>
                  <w:color w:val="auto"/>
                  <w:kern w:val="2"/>
                  <w:szCs w:val="21"/>
                  <w:highlight w:val="none"/>
                  <w:lang w:val="en-US" w:eastAsia="zh-CN"/>
                </w:rPr>
                <w:t>2</w:t>
              </w:r>
            </w:ins>
            <w:ins w:id="22" w:author="繁华终易逝" w:date="2021-08-24T19:52:43Z">
              <w:r>
                <w:rPr>
                  <w:rFonts w:hint="eastAsia" w:ascii="宋体" w:hAnsi="宋体" w:cs="宋体"/>
                  <w:color w:val="auto"/>
                  <w:kern w:val="2"/>
                  <w:szCs w:val="21"/>
                  <w:highlight w:val="none"/>
                  <w:lang w:val="en-US" w:eastAsia="zh-CN"/>
                </w:rPr>
                <w:t>9</w:t>
              </w:r>
            </w:ins>
            <w:r>
              <w:rPr>
                <w:rFonts w:hint="eastAsia" w:ascii="宋体" w:hAnsi="宋体" w:eastAsia="宋体" w:cs="宋体"/>
                <w:color w:val="auto"/>
                <w:kern w:val="2"/>
                <w:szCs w:val="21"/>
                <w:highlight w:val="none"/>
                <w:lang w:eastAsia="zh-CN"/>
              </w:rPr>
              <w:t>日</w:t>
            </w:r>
            <w:r>
              <w:rPr>
                <w:rFonts w:hint="eastAsia" w:ascii="宋体" w:hAnsi="宋体" w:eastAsia="宋体" w:cs="宋体"/>
                <w:color w:val="auto"/>
                <w:kern w:val="2"/>
                <w:szCs w:val="21"/>
                <w:highlight w:val="none"/>
              </w:rPr>
              <w:t>17:00前以书面形式向招标代理机构提交。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w:t>
            </w:r>
          </w:p>
        </w:tc>
        <w:tc>
          <w:tcPr>
            <w:tcW w:w="2146" w:type="dxa"/>
            <w:vAlign w:val="center"/>
          </w:tcPr>
          <w:p>
            <w:pPr>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磋商保证金</w:t>
            </w:r>
          </w:p>
        </w:tc>
        <w:tc>
          <w:tcPr>
            <w:tcW w:w="6314" w:type="dxa"/>
            <w:tcBorders>
              <w:right w:val="single" w:color="auto" w:sz="12" w:space="0"/>
            </w:tcBorders>
            <w:vAlign w:val="center"/>
          </w:tcPr>
          <w:p>
            <w:pPr>
              <w:pStyle w:val="10"/>
              <w:spacing w:before="120" w:after="120" w:line="360" w:lineRule="auto"/>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w:t>
            </w:r>
          </w:p>
        </w:tc>
        <w:tc>
          <w:tcPr>
            <w:tcW w:w="2146" w:type="dxa"/>
            <w:vAlign w:val="center"/>
          </w:tcPr>
          <w:p>
            <w:pPr>
              <w:adjustRightInd w:val="0"/>
              <w:snapToGrid w:val="0"/>
              <w:spacing w:line="360" w:lineRule="auto"/>
              <w:jc w:val="center"/>
              <w:rPr>
                <w:rFonts w:hint="eastAsia" w:ascii="宋体" w:hAnsi="宋体" w:eastAsia="宋体" w:cs="宋体"/>
                <w:b/>
                <w:bCs/>
                <w:color w:val="auto"/>
                <w:kern w:val="2"/>
                <w:sz w:val="22"/>
                <w:highlight w:val="none"/>
              </w:rPr>
            </w:pPr>
            <w:r>
              <w:rPr>
                <w:rFonts w:hint="eastAsia" w:ascii="宋体" w:hAnsi="宋体" w:eastAsia="宋体" w:cs="宋体"/>
                <w:b/>
                <w:bCs/>
                <w:color w:val="auto"/>
                <w:kern w:val="2"/>
                <w:highlight w:val="none"/>
              </w:rPr>
              <w:t>响应文件的组成与签章</w:t>
            </w:r>
          </w:p>
        </w:tc>
        <w:tc>
          <w:tcPr>
            <w:tcW w:w="6314" w:type="dxa"/>
            <w:tcBorders>
              <w:right w:val="single" w:color="auto" w:sz="12" w:space="0"/>
            </w:tcBorders>
            <w:vAlign w:val="center"/>
          </w:tcPr>
          <w:p>
            <w:pPr>
              <w:adjustRightInd w:val="0"/>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完整的《响应文件》由“商务技术文件”、“</w:t>
            </w:r>
            <w:r>
              <w:rPr>
                <w:rFonts w:hint="eastAsia" w:ascii="宋体" w:hAnsi="宋体" w:eastAsia="宋体" w:cs="宋体"/>
                <w:bCs/>
                <w:color w:val="auto"/>
                <w:kern w:val="2"/>
                <w:highlight w:val="none"/>
              </w:rPr>
              <w:t>报价文件</w:t>
            </w:r>
            <w:r>
              <w:rPr>
                <w:rFonts w:hint="eastAsia" w:ascii="宋体" w:hAnsi="宋体" w:eastAsia="宋体" w:cs="宋体"/>
                <w:color w:val="auto"/>
                <w:kern w:val="2"/>
                <w:highlight w:val="none"/>
              </w:rPr>
              <w:t>”二个部分组成。</w:t>
            </w:r>
          </w:p>
          <w:p>
            <w:pPr>
              <w:adjustRightInd w:val="0"/>
              <w:snapToGrid w:val="0"/>
              <w:spacing w:line="360" w:lineRule="auto"/>
              <w:rPr>
                <w:rFonts w:hint="eastAsia" w:ascii="宋体" w:hAnsi="宋体" w:eastAsia="宋体" w:cs="宋体"/>
                <w:color w:val="auto"/>
                <w:kern w:val="2"/>
                <w:sz w:val="22"/>
                <w:highlight w:val="none"/>
              </w:rPr>
            </w:pPr>
            <w:r>
              <w:rPr>
                <w:rFonts w:hint="eastAsia" w:ascii="宋体" w:hAnsi="宋体" w:eastAsia="宋体" w:cs="宋体"/>
                <w:color w:val="auto"/>
                <w:kern w:val="2"/>
                <w:highlight w:val="none"/>
              </w:rPr>
              <w:t>响应文件采用</w:t>
            </w:r>
            <w:r>
              <w:rPr>
                <w:rFonts w:hint="eastAsia" w:ascii="宋体" w:hAnsi="宋体" w:eastAsia="宋体" w:cs="宋体"/>
                <w:b/>
                <w:bCs/>
                <w:color w:val="auto"/>
                <w:kern w:val="2"/>
                <w:highlight w:val="none"/>
              </w:rPr>
              <w:t>电子签章</w:t>
            </w:r>
            <w:r>
              <w:rPr>
                <w:rFonts w:hint="eastAsia" w:ascii="宋体" w:hAnsi="宋体" w:eastAsia="宋体" w:cs="宋体"/>
                <w:color w:val="auto"/>
                <w:kern w:val="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12</w:t>
            </w:r>
          </w:p>
        </w:tc>
        <w:tc>
          <w:tcPr>
            <w:tcW w:w="2146" w:type="dxa"/>
            <w:vAlign w:val="center"/>
          </w:tcPr>
          <w:p>
            <w:pPr>
              <w:spacing w:line="360" w:lineRule="auto"/>
              <w:jc w:val="center"/>
              <w:rPr>
                <w:rFonts w:hint="eastAsia" w:ascii="宋体" w:hAnsi="宋体" w:eastAsia="宋体" w:cs="宋体"/>
                <w:b/>
                <w:bCs/>
                <w:color w:val="auto"/>
                <w:kern w:val="2"/>
                <w:szCs w:val="21"/>
                <w:highlight w:val="none"/>
              </w:rPr>
            </w:pPr>
            <w:r>
              <w:rPr>
                <w:rFonts w:hint="eastAsia" w:ascii="宋体" w:hAnsi="宋体" w:eastAsia="宋体" w:cs="宋体"/>
                <w:b/>
                <w:bCs/>
                <w:color w:val="auto"/>
                <w:kern w:val="2"/>
                <w:highlight w:val="none"/>
              </w:rPr>
              <w:t>响应文件的形式</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highlight w:val="none"/>
              </w:rPr>
              <w:t>☑电子响应文件（包括“电子加密响应文件”和“电子备份响应文件”，在响应文件编制完成后同时生成）；</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1、“电子加密响应文件”：</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（1）“电子加密响应文件”是指通过“政采云电子交易客户端”完成响应文件编制后生成并加密的数据电文形式的响应文件。</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（2）供应商应先安装“政采云电子交易客户端”，并按照本采购文件和“政府采购云平台”的要求，通过“政采云电子交易客户端”编制并加密响应文件。</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2、“电子备份响应文件”：</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（1）“电子备份响应文件”是指与“电子加密响应文件”同时生成的数据电文形式的电子文件。</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（2）供应商可自主选择是否编制“电子备份响应文件”。</w:t>
            </w:r>
          </w:p>
          <w:p>
            <w:pPr>
              <w:spacing w:line="360" w:lineRule="auto"/>
              <w:rPr>
                <w:rFonts w:hint="eastAsia" w:ascii="宋体" w:hAnsi="宋体" w:eastAsia="宋体" w:cs="宋体"/>
                <w:b/>
                <w:bCs/>
                <w:color w:val="auto"/>
                <w:kern w:val="2"/>
                <w:szCs w:val="21"/>
                <w:highlight w:val="none"/>
              </w:rPr>
            </w:pPr>
            <w:r>
              <w:rPr>
                <w:rFonts w:hint="eastAsia" w:ascii="宋体" w:hAnsi="宋体" w:eastAsia="宋体" w:cs="宋体"/>
                <w:color w:val="auto"/>
                <w:kern w:val="2"/>
                <w:szCs w:val="21"/>
                <w:highlight w:val="none"/>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13</w:t>
            </w:r>
          </w:p>
        </w:tc>
        <w:tc>
          <w:tcPr>
            <w:tcW w:w="2146" w:type="dxa"/>
            <w:vAlign w:val="center"/>
          </w:tcPr>
          <w:p>
            <w:pPr>
              <w:widowControl w:val="0"/>
              <w:adjustRightInd w:val="0"/>
              <w:snapToGri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b/>
                <w:bCs/>
                <w:color w:val="auto"/>
                <w:kern w:val="2"/>
                <w:szCs w:val="21"/>
                <w:highlight w:val="none"/>
              </w:rPr>
              <w:t>响应文件份数</w:t>
            </w:r>
          </w:p>
        </w:tc>
        <w:tc>
          <w:tcPr>
            <w:tcW w:w="6314" w:type="dxa"/>
            <w:tcBorders>
              <w:right w:val="single" w:color="auto" w:sz="12" w:space="0"/>
            </w:tcBorders>
            <w:vAlign w:val="center"/>
          </w:tcPr>
          <w:p>
            <w:pPr>
              <w:widowControl w:val="0"/>
              <w:adjustRightInd w:val="0"/>
              <w:snapToGrid w:val="0"/>
              <w:spacing w:line="360" w:lineRule="auto"/>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（1）“电子加密响应文件”：在线上传提交一份。</w:t>
            </w:r>
          </w:p>
          <w:p>
            <w:pPr>
              <w:widowControl w:val="0"/>
              <w:adjustRightInd w:val="0"/>
              <w:snapToGrid w:val="0"/>
              <w:spacing w:line="360" w:lineRule="auto"/>
              <w:rPr>
                <w:rFonts w:hint="eastAsia" w:ascii="宋体" w:hAnsi="宋体" w:eastAsia="宋体" w:cs="宋体"/>
                <w:color w:val="auto"/>
                <w:kern w:val="2"/>
                <w:szCs w:val="21"/>
                <w:highlight w:val="none"/>
                <w:u w:val="single"/>
              </w:rPr>
            </w:pPr>
            <w:r>
              <w:rPr>
                <w:rFonts w:hint="eastAsia" w:ascii="宋体" w:hAnsi="宋体" w:eastAsia="宋体" w:cs="宋体"/>
                <w:bCs/>
                <w:color w:val="auto"/>
                <w:kern w:val="2"/>
                <w:szCs w:val="21"/>
                <w:highlight w:val="none"/>
              </w:rPr>
              <w:t>（2）“备份响应文件”：密封包装后确保在投标截止时间前（EMS/顺丰邮寄形式）送达一份（邮寄地址：杭州市滨江区东方通信科技园启迪楼2楼1208室  徐工/17746804270 收）。（自选邮寄）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14</w:t>
            </w:r>
          </w:p>
        </w:tc>
        <w:tc>
          <w:tcPr>
            <w:tcW w:w="2146" w:type="dxa"/>
            <w:vAlign w:val="center"/>
          </w:tcPr>
          <w:p>
            <w:pPr>
              <w:widowControl w:val="0"/>
              <w:adjustRightInd w:val="0"/>
              <w:snapToGri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b/>
                <w:bCs/>
                <w:color w:val="auto"/>
                <w:kern w:val="2"/>
                <w:szCs w:val="21"/>
                <w:highlight w:val="none"/>
              </w:rPr>
              <w:t>响应文件的上传和递交</w:t>
            </w:r>
          </w:p>
        </w:tc>
        <w:tc>
          <w:tcPr>
            <w:tcW w:w="6314" w:type="dxa"/>
            <w:tcBorders>
              <w:right w:val="single" w:color="auto" w:sz="12" w:space="0"/>
            </w:tcBorders>
            <w:vAlign w:val="center"/>
          </w:tcPr>
          <w:p>
            <w:pPr>
              <w:widowControl w:val="0"/>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（1）“电子加密响应文件”的上传、递交：</w:t>
            </w:r>
          </w:p>
          <w:p>
            <w:pPr>
              <w:widowControl w:val="0"/>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a.磋商响应供应商应在投标截止时间前将“电子加密响应文件”成功上传递交至“政府采购云平台”，否则投标无效。</w:t>
            </w:r>
          </w:p>
          <w:p>
            <w:pPr>
              <w:widowControl w:val="0"/>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b.“电子加密响应文件”成功上传递交后，供应商可自行打印响应文件接收回执。</w:t>
            </w:r>
          </w:p>
          <w:p>
            <w:pPr>
              <w:widowControl w:val="0"/>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（2）“备份响应文件”的密封包装、递交：</w:t>
            </w:r>
          </w:p>
          <w:p>
            <w:pPr>
              <w:widowControl w:val="0"/>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a.磋商响应供应商在“政府采购云平台”完成“电子加密响应文件”的上传递交后，还可以（顺丰/EMS邮寄形式）在投标截止时间前递交以介质（U盘）存储的 “备份响应文件”（一份）；</w:t>
            </w:r>
          </w:p>
          <w:p>
            <w:pPr>
              <w:widowControl w:val="0"/>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b.“备份响应文件”应当密封包装，并在包装上标注投标项目名称、磋商响应供应商名称并加盖公章。没有密封包装或者逾期邮寄送达至投标地点的“备份响应文件”将不予接收；</w:t>
            </w:r>
          </w:p>
          <w:p>
            <w:pPr>
              <w:widowControl w:val="0"/>
              <w:adjustRightInd w:val="0"/>
              <w:snapToGrid w:val="0"/>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c.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15</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b/>
                <w:bCs/>
                <w:color w:val="auto"/>
                <w:kern w:val="2"/>
                <w:szCs w:val="21"/>
                <w:highlight w:val="none"/>
              </w:rPr>
              <w:t>“电子加密响应文件”解密和异常情况处理</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1.开标后，采购组织机构将向各响应供应商发出“电子加密响应文件”的解密通知，各响应供应商代表应当在接到解密通知后30分钟内自行完成“电子加密响应文件”的在线解密。</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autoSpaceDE w:val="0"/>
              <w:autoSpaceDN w:val="0"/>
              <w:adjustRightInd w:val="0"/>
              <w:snapToGrid w:val="0"/>
              <w:spacing w:line="360" w:lineRule="auto"/>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3.响应截止时间前，磋商响应供应商仅递交了“备份响应文件”而未将电子加密响应文件上传至“政府采购云平台”的，投标无效。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16</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响应文件有效期</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自响应文件提交截止时间起120天内。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17</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响应文件递交截止时间</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响应文件递交截止时间：2021年</w:t>
            </w:r>
            <w:del w:id="23" w:author="繁华终易逝" w:date="2021-08-24T19:50:56Z">
              <w:r>
                <w:rPr>
                  <w:rFonts w:hint="eastAsia" w:ascii="宋体" w:hAnsi="宋体" w:eastAsia="宋体" w:cs="宋体"/>
                  <w:color w:val="auto"/>
                  <w:kern w:val="2"/>
                  <w:szCs w:val="21"/>
                  <w:highlight w:val="none"/>
                  <w:lang w:eastAsia="zh-CN"/>
                </w:rPr>
                <w:delText>09月01日</w:delText>
              </w:r>
            </w:del>
            <w:ins w:id="24" w:author="繁华终易逝" w:date="2021-08-24T19:50:56Z">
              <w:r>
                <w:rPr>
                  <w:rFonts w:hint="eastAsia" w:ascii="宋体" w:hAnsi="宋体" w:cs="宋体"/>
                  <w:color w:val="auto"/>
                  <w:kern w:val="2"/>
                  <w:szCs w:val="21"/>
                  <w:highlight w:val="none"/>
                  <w:lang w:eastAsia="zh-CN"/>
                </w:rPr>
                <w:t>09月03日</w:t>
              </w:r>
            </w:ins>
            <w:del w:id="25" w:author="繁华终易逝" w:date="2021-08-24T20:48:15Z">
              <w:r>
                <w:rPr>
                  <w:rFonts w:hint="eastAsia" w:ascii="宋体" w:hAnsi="宋体" w:eastAsia="宋体" w:cs="宋体"/>
                  <w:color w:val="auto"/>
                  <w:kern w:val="2"/>
                  <w:szCs w:val="21"/>
                  <w:highlight w:val="none"/>
                  <w:lang w:eastAsia="zh-CN"/>
                </w:rPr>
                <w:delText>09:30:00</w:delText>
              </w:r>
            </w:del>
            <w:ins w:id="26" w:author="繁华终易逝" w:date="2021-08-24T20:48:15Z">
              <w:r>
                <w:rPr>
                  <w:rFonts w:hint="eastAsia" w:ascii="宋体" w:hAnsi="宋体" w:cs="宋体"/>
                  <w:color w:val="auto"/>
                  <w:kern w:val="2"/>
                  <w:szCs w:val="21"/>
                  <w:highlight w:val="none"/>
                  <w:lang w:eastAsia="zh-CN"/>
                </w:rPr>
                <w:t>09:00:00</w:t>
              </w:r>
            </w:ins>
            <w:r>
              <w:rPr>
                <w:rFonts w:hint="eastAsia" w:ascii="宋体" w:hAnsi="宋体" w:eastAsia="宋体" w:cs="宋体"/>
                <w:color w:val="auto"/>
                <w:kern w:val="2"/>
                <w:szCs w:val="21"/>
                <w:highlight w:val="none"/>
              </w:rPr>
              <w:t xml:space="preserve">  （北京时间）</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响应文件提交地址：</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1.“电子加密响应文件”：政府采购云平台在线递交。</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2.“电子备份响应文件”：杭州市滨江区东方通信科技园启迪楼2楼1208室。</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收件人（即联系人）：徐工</w:t>
            </w:r>
          </w:p>
          <w:p>
            <w:pPr>
              <w:autoSpaceDE w:val="0"/>
              <w:autoSpaceDN w:val="0"/>
              <w:adjustRightInd w:val="0"/>
              <w:snapToGrid w:val="0"/>
              <w:spacing w:line="360" w:lineRule="auto"/>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联系电话：17746804270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18</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磋商时间、地点</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磋商时间：2021年</w:t>
            </w:r>
            <w:del w:id="27" w:author="繁华终易逝" w:date="2021-08-24T19:50:56Z">
              <w:r>
                <w:rPr>
                  <w:rFonts w:hint="eastAsia" w:ascii="宋体" w:hAnsi="宋体" w:eastAsia="宋体" w:cs="宋体"/>
                  <w:color w:val="auto"/>
                  <w:kern w:val="2"/>
                  <w:szCs w:val="21"/>
                  <w:highlight w:val="none"/>
                  <w:lang w:eastAsia="zh-CN"/>
                </w:rPr>
                <w:delText>09月01日</w:delText>
              </w:r>
            </w:del>
            <w:ins w:id="28" w:author="繁华终易逝" w:date="2021-08-24T19:50:56Z">
              <w:r>
                <w:rPr>
                  <w:rFonts w:hint="eastAsia" w:ascii="宋体" w:hAnsi="宋体" w:cs="宋体"/>
                  <w:color w:val="auto"/>
                  <w:kern w:val="2"/>
                  <w:szCs w:val="21"/>
                  <w:highlight w:val="none"/>
                  <w:lang w:eastAsia="zh-CN"/>
                </w:rPr>
                <w:t>09月03日</w:t>
              </w:r>
            </w:ins>
            <w:del w:id="29" w:author="繁华终易逝" w:date="2021-08-24T20:48:15Z">
              <w:r>
                <w:rPr>
                  <w:rFonts w:hint="eastAsia" w:ascii="宋体" w:hAnsi="宋体" w:eastAsia="宋体" w:cs="宋体"/>
                  <w:color w:val="auto"/>
                  <w:kern w:val="2"/>
                  <w:szCs w:val="21"/>
                  <w:highlight w:val="none"/>
                  <w:lang w:eastAsia="zh-CN"/>
                </w:rPr>
                <w:delText>09:30:00</w:delText>
              </w:r>
            </w:del>
            <w:ins w:id="30" w:author="繁华终易逝" w:date="2021-08-24T20:48:15Z">
              <w:r>
                <w:rPr>
                  <w:rFonts w:hint="eastAsia" w:ascii="宋体" w:hAnsi="宋体" w:cs="宋体"/>
                  <w:color w:val="auto"/>
                  <w:kern w:val="2"/>
                  <w:szCs w:val="21"/>
                  <w:highlight w:val="none"/>
                  <w:lang w:eastAsia="zh-CN"/>
                </w:rPr>
                <w:t>09:00:00</w:t>
              </w:r>
            </w:ins>
            <w:r>
              <w:rPr>
                <w:rFonts w:hint="eastAsia" w:ascii="宋体" w:hAnsi="宋体" w:eastAsia="宋体" w:cs="宋体"/>
                <w:color w:val="auto"/>
                <w:kern w:val="2"/>
                <w:szCs w:val="21"/>
                <w:highlight w:val="none"/>
              </w:rPr>
              <w:t xml:space="preserve">  （北京时间）。</w:t>
            </w:r>
          </w:p>
          <w:p>
            <w:pPr>
              <w:autoSpaceDE w:val="0"/>
              <w:autoSpaceDN w:val="0"/>
              <w:adjustRightInd w:val="0"/>
              <w:snapToGrid w:val="0"/>
              <w:spacing w:line="360" w:lineRule="auto"/>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磋商地点：杭州市滨江区东方通信科技园启迪楼2楼1208室，供应商在线参加磋商。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19</w:t>
            </w:r>
          </w:p>
        </w:tc>
        <w:tc>
          <w:tcPr>
            <w:tcW w:w="2146" w:type="dxa"/>
            <w:vAlign w:val="center"/>
          </w:tcPr>
          <w:p>
            <w:pPr>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履约保证金</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1、成交供应商向采购方提供履约保证金，缴纳方式为：</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highlight w:val="none"/>
                <w:u w:val="single"/>
              </w:rPr>
              <w:t>银行汇票、支票、</w:t>
            </w:r>
            <w:r>
              <w:rPr>
                <w:rFonts w:hint="eastAsia" w:ascii="宋体" w:hAnsi="宋体" w:eastAsia="宋体" w:cs="宋体"/>
                <w:color w:val="auto"/>
                <w:kern w:val="2"/>
                <w:szCs w:val="21"/>
                <w:highlight w:val="none"/>
                <w:u w:val="single"/>
              </w:rPr>
              <w:t>电汇、银行保函</w:t>
            </w:r>
            <w:r>
              <w:rPr>
                <w:rFonts w:hint="eastAsia" w:ascii="宋体" w:hAnsi="宋体" w:eastAsia="宋体" w:cs="宋体"/>
                <w:color w:val="auto"/>
                <w:kern w:val="2"/>
                <w:szCs w:val="21"/>
                <w:highlight w:val="none"/>
              </w:rPr>
              <w:t>。担保额度：合同价的</w:t>
            </w:r>
            <w:r>
              <w:rPr>
                <w:rFonts w:hint="eastAsia" w:ascii="宋体" w:hAnsi="宋体" w:eastAsia="宋体" w:cs="宋体"/>
                <w:color w:val="auto"/>
                <w:kern w:val="2"/>
                <w:szCs w:val="21"/>
                <w:highlight w:val="none"/>
                <w:lang w:val="en-US" w:eastAsia="zh-CN"/>
              </w:rPr>
              <w:t>1.5</w:t>
            </w:r>
            <w:r>
              <w:rPr>
                <w:rFonts w:hint="eastAsia" w:ascii="宋体" w:hAnsi="宋体" w:eastAsia="宋体" w:cs="宋体"/>
                <w:color w:val="auto"/>
                <w:kern w:val="2"/>
                <w:szCs w:val="21"/>
                <w:highlight w:val="none"/>
              </w:rPr>
              <w:t>%。成交供应商在合同协议签订时，向采购人提交履约保证金。</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2、如成交供应商原因造成合同中止，履约保证金金不返还。</w:t>
            </w:r>
          </w:p>
          <w:p>
            <w:pPr>
              <w:spacing w:line="360" w:lineRule="auto"/>
              <w:rPr>
                <w:rFonts w:hint="eastAsia" w:ascii="宋体" w:hAnsi="宋体" w:eastAsia="宋体" w:cs="宋体"/>
                <w:b/>
                <w:color w:val="auto"/>
                <w:kern w:val="2"/>
                <w:szCs w:val="21"/>
                <w:highlight w:val="none"/>
              </w:rPr>
            </w:pPr>
            <w:r>
              <w:rPr>
                <w:rFonts w:hint="eastAsia" w:ascii="宋体" w:hAnsi="宋体" w:eastAsia="宋体" w:cs="宋体"/>
                <w:color w:val="auto"/>
                <w:kern w:val="2"/>
                <w:szCs w:val="21"/>
                <w:highlight w:val="none"/>
              </w:rPr>
              <w:t>3、如成交供应商不能按磋商承诺和合同要求履约，采购人将有权扣除相应甚至全部履约保证金。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20</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评标方法及标准</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21</w:t>
            </w:r>
          </w:p>
        </w:tc>
        <w:tc>
          <w:tcPr>
            <w:tcW w:w="2146" w:type="dxa"/>
            <w:vAlign w:val="center"/>
          </w:tcPr>
          <w:p>
            <w:pPr>
              <w:autoSpaceDE w:val="0"/>
              <w:autoSpaceDN w:val="0"/>
              <w:adjustRightInd w:val="0"/>
              <w:snapToGrid w:val="0"/>
              <w:spacing w:line="360" w:lineRule="auto"/>
              <w:jc w:val="center"/>
              <w:textAlignment w:val="bottom"/>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最高限价</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▲最高限价人民币 3950000 元，超过最高限价的按无效标处理。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22</w:t>
            </w:r>
          </w:p>
        </w:tc>
        <w:tc>
          <w:tcPr>
            <w:tcW w:w="2146" w:type="dxa"/>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b/>
                <w:snapToGrid w:val="0"/>
                <w:color w:val="auto"/>
                <w:kern w:val="10"/>
                <w:szCs w:val="21"/>
                <w:highlight w:val="none"/>
              </w:rPr>
              <w:t>中标结果公示媒体</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浙江省政府采购网（http://www.zjzfcg.gov.cn）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23</w:t>
            </w:r>
          </w:p>
        </w:tc>
        <w:tc>
          <w:tcPr>
            <w:tcW w:w="2146" w:type="dxa"/>
            <w:vAlign w:val="center"/>
          </w:tcPr>
          <w:p>
            <w:pPr>
              <w:spacing w:line="360" w:lineRule="auto"/>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采购代理服务费与设计、造价编制服务费</w:t>
            </w:r>
          </w:p>
        </w:tc>
        <w:tc>
          <w:tcPr>
            <w:tcW w:w="6314" w:type="dxa"/>
            <w:tcBorders>
              <w:right w:val="single" w:color="auto" w:sz="12" w:space="0"/>
            </w:tcBorders>
            <w:vAlign w:val="center"/>
          </w:tcPr>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eastAsia="宋体" w:cs="宋体"/>
                <w:b/>
                <w:color w:val="auto"/>
                <w:kern w:val="2"/>
                <w:szCs w:val="21"/>
                <w:highlight w:val="none"/>
              </w:rPr>
              <w:t>采购代理服务费</w:t>
            </w:r>
            <w:r>
              <w:rPr>
                <w:rFonts w:hint="eastAsia" w:ascii="宋体" w:hAnsi="宋体" w:eastAsia="宋体" w:cs="宋体"/>
                <w:color w:val="auto"/>
                <w:kern w:val="2"/>
                <w:szCs w:val="21"/>
                <w:highlight w:val="none"/>
              </w:rPr>
              <w:t>参照国家发改委发改办价格[2003]857号通知和原国家计[2002]1980号文件规定的招标费率标准7.5折收取，不足3000元按3000元收取。</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2、成交供应商在领取中标通知书前，应向招标代理机构交纳招标代理服务费。</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3、招标代理服务费以电汇方式支付。</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4、成交供应商如未按上述规定办理，本招标代理机构有权从其参加招标活动的投标保证金中收取采招标代理服务费，并对不足部分进行追索。</w:t>
            </w:r>
          </w:p>
          <w:p>
            <w:pPr>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5、服务费缴纳账号：</w:t>
            </w:r>
          </w:p>
          <w:p>
            <w:pPr>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户名：浙江五石工程咨询有限公司萧山分公司</w:t>
            </w:r>
          </w:p>
          <w:p>
            <w:pPr>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账号：33020160201000004399</w:t>
            </w:r>
          </w:p>
          <w:p>
            <w:pPr>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开户行：浙江泰隆商业银行股份有限公司杭州祥符小微企业专营支行</w:t>
            </w:r>
          </w:p>
          <w:p>
            <w:pPr>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精确查找祥符支行行号：313331080163</w:t>
            </w:r>
          </w:p>
          <w:p>
            <w:pPr>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服务费、发票事宜联系人：梁工 17746806483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24</w:t>
            </w:r>
          </w:p>
        </w:tc>
        <w:tc>
          <w:tcPr>
            <w:tcW w:w="2146" w:type="dxa"/>
            <w:vMerge w:val="restart"/>
            <w:vAlign w:val="center"/>
          </w:tcPr>
          <w:p>
            <w:pPr>
              <w:snapToGrid w:val="0"/>
              <w:spacing w:line="360" w:lineRule="auto"/>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特别提醒</w:t>
            </w:r>
          </w:p>
        </w:tc>
        <w:tc>
          <w:tcPr>
            <w:tcW w:w="6314" w:type="dxa"/>
            <w:tcBorders>
              <w:right w:val="single" w:color="auto" w:sz="12" w:space="0"/>
            </w:tcBorders>
            <w:vAlign w:val="center"/>
          </w:tcPr>
          <w:p>
            <w:pPr>
              <w:snapToGrid w:val="0"/>
              <w:spacing w:line="360" w:lineRule="auto"/>
              <w:rPr>
                <w:rFonts w:hint="eastAsia" w:ascii="宋体" w:hAnsi="宋体" w:eastAsia="宋体" w:cs="宋体"/>
                <w:bCs/>
                <w:snapToGrid w:val="0"/>
                <w:color w:val="auto"/>
                <w:kern w:val="2"/>
                <w:szCs w:val="21"/>
                <w:highlight w:val="none"/>
              </w:rPr>
            </w:pPr>
            <w:r>
              <w:rPr>
                <w:rFonts w:hint="eastAsia" w:ascii="宋体" w:hAnsi="宋体" w:eastAsia="宋体" w:cs="宋体"/>
                <w:bCs/>
                <w:snapToGrid w:val="0"/>
                <w:color w:val="auto"/>
                <w:kern w:val="2"/>
                <w:szCs w:val="21"/>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59" w:type="dxa"/>
            <w:vMerge w:val="continue"/>
            <w:tcBorders>
              <w:left w:val="single" w:color="auto" w:sz="12" w:space="0"/>
            </w:tcBorders>
            <w:vAlign w:val="center"/>
          </w:tcPr>
          <w:p>
            <w:pPr>
              <w:snapToGrid w:val="0"/>
              <w:spacing w:line="360" w:lineRule="auto"/>
              <w:jc w:val="center"/>
              <w:rPr>
                <w:rFonts w:hint="eastAsia" w:ascii="宋体" w:hAnsi="宋体" w:eastAsia="宋体" w:cs="宋体"/>
                <w:color w:val="auto"/>
                <w:kern w:val="2"/>
                <w:szCs w:val="21"/>
                <w:highlight w:val="none"/>
              </w:rPr>
            </w:pPr>
          </w:p>
        </w:tc>
        <w:tc>
          <w:tcPr>
            <w:tcW w:w="2146" w:type="dxa"/>
            <w:vMerge w:val="continue"/>
            <w:vAlign w:val="center"/>
          </w:tcPr>
          <w:p>
            <w:pPr>
              <w:snapToGrid w:val="0"/>
              <w:spacing w:line="360" w:lineRule="auto"/>
              <w:jc w:val="center"/>
              <w:rPr>
                <w:rFonts w:hint="eastAsia" w:ascii="宋体" w:hAnsi="宋体" w:eastAsia="宋体" w:cs="宋体"/>
                <w:b/>
                <w:color w:val="auto"/>
                <w:kern w:val="2"/>
                <w:szCs w:val="21"/>
                <w:highlight w:val="none"/>
              </w:rPr>
            </w:pPr>
          </w:p>
        </w:tc>
        <w:tc>
          <w:tcPr>
            <w:tcW w:w="6314" w:type="dxa"/>
            <w:tcBorders>
              <w:right w:val="single" w:color="auto" w:sz="12" w:space="0"/>
            </w:tcBorders>
            <w:vAlign w:val="center"/>
          </w:tcPr>
          <w:p>
            <w:pPr>
              <w:snapToGrid w:val="0"/>
              <w:spacing w:line="360" w:lineRule="auto"/>
              <w:rPr>
                <w:rFonts w:hint="eastAsia" w:ascii="宋体" w:hAnsi="宋体" w:eastAsia="宋体" w:cs="宋体"/>
                <w:bCs/>
                <w:color w:val="auto"/>
                <w:kern w:val="10"/>
                <w:szCs w:val="21"/>
                <w:highlight w:val="none"/>
              </w:rPr>
            </w:pPr>
            <w:r>
              <w:rPr>
                <w:rFonts w:hint="eastAsia" w:ascii="宋体" w:hAnsi="宋体" w:eastAsia="宋体" w:cs="宋体"/>
                <w:snapToGrid w:val="0"/>
                <w:color w:val="auto"/>
                <w:kern w:val="2"/>
                <w:highlight w:val="none"/>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w:t>
            </w:r>
            <w:r>
              <w:rPr>
                <w:rFonts w:hint="eastAsia" w:ascii="宋体" w:hAnsi="宋体" w:eastAsia="宋体" w:cs="宋体"/>
                <w:b/>
                <w:snapToGrid w:val="0"/>
                <w:color w:val="auto"/>
                <w:kern w:val="2"/>
                <w:highlight w:val="none"/>
              </w:rPr>
              <w:t>被列入失信被执行人、重大税收违法案件当事人名单、政府采购严重违法失信行为记录名单及其他不符合《中华人民共和国政府采购法》第二十二条规定条件的供应商将被拒绝参与本次政府采购活动。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tcBorders>
            <w:vAlign w:val="center"/>
          </w:tcPr>
          <w:p>
            <w:pPr>
              <w:snapToGri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25</w:t>
            </w:r>
          </w:p>
        </w:tc>
        <w:tc>
          <w:tcPr>
            <w:tcW w:w="2146" w:type="dxa"/>
            <w:vAlign w:val="center"/>
          </w:tcPr>
          <w:p>
            <w:pPr>
              <w:adjustRightInd w:val="0"/>
              <w:snapToGrid w:val="0"/>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highlight w:val="none"/>
              </w:rPr>
              <w:t>中小企业扶持政策</w:t>
            </w:r>
          </w:p>
        </w:tc>
        <w:tc>
          <w:tcPr>
            <w:tcW w:w="6314" w:type="dxa"/>
            <w:tcBorders>
              <w:right w:val="single" w:color="auto" w:sz="12" w:space="0"/>
            </w:tcBorders>
            <w:vAlign w:val="center"/>
          </w:tcPr>
          <w:p>
            <w:pPr>
              <w:adjustRightInd w:val="0"/>
              <w:snapToGrid w:val="0"/>
              <w:spacing w:line="360" w:lineRule="auto"/>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（1）本次采购为专门面向中小企业预留采购份额的采购项目。</w:t>
            </w:r>
          </w:p>
          <w:p>
            <w:pPr>
              <w:adjustRightInd w:val="0"/>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（3）本次采购标的为</w:t>
            </w:r>
            <w:r>
              <w:rPr>
                <w:rFonts w:hint="eastAsia" w:ascii="宋体" w:hAnsi="宋体" w:eastAsia="宋体" w:cs="宋体"/>
                <w:b/>
                <w:bCs/>
                <w:color w:val="auto"/>
                <w:kern w:val="2"/>
                <w:highlight w:val="none"/>
                <w:u w:val="single"/>
              </w:rPr>
              <w:t>工程</w:t>
            </w:r>
            <w:r>
              <w:rPr>
                <w:rFonts w:hint="eastAsia" w:ascii="宋体" w:hAnsi="宋体" w:eastAsia="宋体" w:cs="宋体"/>
                <w:color w:val="auto"/>
                <w:kern w:val="2"/>
                <w:highlight w:val="none"/>
              </w:rPr>
              <w:t>，对应的中小企业划分标准所属行业是：</w:t>
            </w:r>
            <w:r>
              <w:rPr>
                <w:rFonts w:hint="eastAsia" w:ascii="宋体" w:hAnsi="宋体" w:eastAsia="宋体" w:cs="宋体"/>
                <w:b/>
                <w:bCs/>
                <w:color w:val="auto"/>
                <w:kern w:val="2"/>
                <w:highlight w:val="none"/>
                <w:u w:val="single"/>
              </w:rPr>
              <w:t>建筑业</w:t>
            </w:r>
          </w:p>
          <w:p>
            <w:pPr>
              <w:adjustRightInd w:val="0"/>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（4）以联合体形式参加政府采购活动，联合体各方均为小微企业的，联合体视同小微企业。</w:t>
            </w:r>
            <w:r>
              <w:rPr>
                <w:rFonts w:hint="eastAsia" w:ascii="宋体" w:hAnsi="宋体" w:eastAsia="宋体" w:cs="宋体"/>
                <w:b/>
                <w:color w:val="auto"/>
                <w:kern w:val="2"/>
                <w:highlight w:val="none"/>
              </w:rPr>
              <w:t>（本项目不适用）</w:t>
            </w:r>
          </w:p>
          <w:p>
            <w:pPr>
              <w:adjustRightInd w:val="0"/>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（5）参加本次采购活动的供应商</w:t>
            </w:r>
            <w:r>
              <w:rPr>
                <w:rFonts w:hint="eastAsia" w:ascii="宋体" w:hAnsi="宋体" w:eastAsia="宋体" w:cs="宋体"/>
                <w:b/>
                <w:color w:val="auto"/>
                <w:kern w:val="2"/>
                <w:highlight w:val="none"/>
                <w:u w:val="single"/>
              </w:rPr>
              <w:t>提供的产品全部由中小企业制造</w:t>
            </w:r>
            <w:r>
              <w:rPr>
                <w:rFonts w:hint="eastAsia" w:ascii="宋体" w:hAnsi="宋体" w:eastAsia="宋体" w:cs="宋体"/>
                <w:color w:val="auto"/>
                <w:kern w:val="2"/>
                <w:highlight w:val="none"/>
              </w:rPr>
              <w:t>的，其报价给予</w:t>
            </w:r>
            <w:r>
              <w:rPr>
                <w:rFonts w:hint="eastAsia" w:ascii="宋体" w:hAnsi="宋体" w:eastAsia="宋体" w:cs="宋体"/>
                <w:b/>
                <w:color w:val="auto"/>
                <w:kern w:val="2"/>
                <w:highlight w:val="none"/>
                <w:u w:val="single"/>
              </w:rPr>
              <w:t>10%</w:t>
            </w:r>
            <w:r>
              <w:rPr>
                <w:rFonts w:hint="eastAsia" w:ascii="宋体" w:hAnsi="宋体" w:eastAsia="宋体" w:cs="宋体"/>
                <w:color w:val="auto"/>
                <w:kern w:val="2"/>
                <w:highlight w:val="none"/>
              </w:rPr>
              <w:t>的扣除，用扣除后的价格参加评审。小微企业将合同分包给大中型企业的，其报价不予扣除。</w:t>
            </w:r>
            <w:r>
              <w:rPr>
                <w:rFonts w:hint="eastAsia" w:ascii="宋体" w:hAnsi="宋体" w:eastAsia="宋体" w:cs="宋体"/>
                <w:b/>
                <w:color w:val="auto"/>
                <w:kern w:val="2"/>
                <w:highlight w:val="none"/>
              </w:rPr>
              <w:t>（本项目不适用）</w:t>
            </w:r>
          </w:p>
          <w:p>
            <w:pPr>
              <w:adjustRightInd w:val="0"/>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（6）符合小微企业划分标准的个体工商户，视同小微企业。</w:t>
            </w:r>
          </w:p>
          <w:p>
            <w:pPr>
              <w:adjustRightInd w:val="0"/>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（7）本项目不接受大中型企业与小微企业组成联合体。</w:t>
            </w:r>
          </w:p>
          <w:p>
            <w:pPr>
              <w:adjustRightInd w:val="0"/>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（8）本项目不允许大中型企业向一家或者多家小微企业分包。</w:t>
            </w:r>
          </w:p>
          <w:p>
            <w:pPr>
              <w:adjustRightInd w:val="0"/>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（9）小微企业参加政府采购活动，应当出具《中小企业声明函》，否则其报价不予扣除。</w:t>
            </w:r>
          </w:p>
          <w:p>
            <w:pPr>
              <w:adjustRightInd w:val="0"/>
              <w:snapToGrid w:val="0"/>
              <w:spacing w:line="360" w:lineRule="auto"/>
              <w:rPr>
                <w:rFonts w:hint="eastAsia" w:ascii="宋体" w:hAnsi="宋体" w:eastAsia="宋体" w:cs="宋体"/>
                <w:snapToGrid w:val="0"/>
                <w:color w:val="auto"/>
                <w:kern w:val="2"/>
                <w:highlight w:val="none"/>
              </w:rPr>
            </w:pPr>
            <w:r>
              <w:rPr>
                <w:rFonts w:hint="eastAsia" w:ascii="宋体" w:hAnsi="宋体" w:eastAsia="宋体" w:cs="宋体"/>
                <w:color w:val="auto"/>
                <w:kern w:val="2"/>
                <w:highlight w:val="none"/>
              </w:rPr>
              <w:t>（10）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9" w:type="dxa"/>
            <w:tcBorders>
              <w:left w:val="single" w:color="auto" w:sz="12" w:space="0"/>
            </w:tcBorders>
            <w:vAlign w:val="center"/>
          </w:tcPr>
          <w:p>
            <w:pPr>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26</w:t>
            </w:r>
          </w:p>
        </w:tc>
        <w:tc>
          <w:tcPr>
            <w:tcW w:w="2146" w:type="dxa"/>
            <w:vAlign w:val="center"/>
          </w:tcPr>
          <w:p>
            <w:pPr>
              <w:snapToGrid w:val="0"/>
              <w:spacing w:line="360" w:lineRule="auto"/>
              <w:jc w:val="center"/>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其他事项</w:t>
            </w:r>
          </w:p>
        </w:tc>
        <w:tc>
          <w:tcPr>
            <w:tcW w:w="6314" w:type="dxa"/>
            <w:tcBorders>
              <w:right w:val="single" w:color="auto" w:sz="12" w:space="0"/>
            </w:tcBorders>
            <w:vAlign w:val="center"/>
          </w:tcPr>
          <w:p>
            <w:pPr>
              <w:snapToGrid w:val="0"/>
              <w:spacing w:line="360" w:lineRule="auto"/>
              <w:rPr>
                <w:rFonts w:hint="eastAsia" w:ascii="宋体" w:hAnsi="宋体" w:eastAsia="宋体" w:cs="宋体"/>
                <w:bCs/>
                <w:color w:val="auto"/>
                <w:kern w:val="10"/>
                <w:szCs w:val="21"/>
                <w:highlight w:val="none"/>
              </w:rPr>
            </w:pPr>
            <w:r>
              <w:rPr>
                <w:rFonts w:hint="eastAsia" w:ascii="宋体" w:hAnsi="宋体" w:eastAsia="宋体" w:cs="宋体"/>
                <w:color w:val="auto"/>
                <w:kern w:val="2"/>
                <w:highlight w:val="none"/>
              </w:rPr>
              <w:t>为了节约社会资源，所有获取磋商文件的潜在磋商响应供应商如果放弃投标请务必在投标截止时间 48 小时前将盖章的放弃投标函 发至采购代理机构，格式详见附件，谢谢配合。（将扫描件发送至代理机构联系人邮箱：2810140286@qq.com）。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tcBorders>
            <w:vAlign w:val="center"/>
          </w:tcPr>
          <w:p>
            <w:pPr>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27</w:t>
            </w:r>
          </w:p>
        </w:tc>
        <w:tc>
          <w:tcPr>
            <w:tcW w:w="2146" w:type="dxa"/>
            <w:vAlign w:val="center"/>
          </w:tcPr>
          <w:p>
            <w:pPr>
              <w:adjustRightInd w:val="0"/>
              <w:snapToGrid w:val="0"/>
              <w:jc w:val="center"/>
              <w:rPr>
                <w:rFonts w:hint="eastAsia" w:ascii="宋体" w:hAnsi="宋体" w:eastAsia="宋体" w:cs="宋体"/>
                <w:b/>
                <w:bCs/>
                <w:color w:val="auto"/>
                <w:kern w:val="2"/>
                <w:szCs w:val="21"/>
                <w:highlight w:val="none"/>
              </w:rPr>
            </w:pPr>
            <w:r>
              <w:rPr>
                <w:rFonts w:hint="eastAsia" w:ascii="宋体" w:hAnsi="宋体" w:eastAsia="宋体" w:cs="宋体"/>
                <w:b/>
                <w:color w:val="auto"/>
                <w:kern w:val="2"/>
                <w:highlight w:val="none"/>
              </w:rPr>
              <w:t>资料归档</w:t>
            </w:r>
          </w:p>
        </w:tc>
        <w:tc>
          <w:tcPr>
            <w:tcW w:w="6314" w:type="dxa"/>
            <w:tcBorders>
              <w:right w:val="single" w:color="auto" w:sz="12" w:space="0"/>
            </w:tcBorders>
            <w:vAlign w:val="center"/>
          </w:tcPr>
          <w:p>
            <w:pPr>
              <w:snapToGrid w:val="0"/>
              <w:spacing w:line="360" w:lineRule="auto"/>
              <w:rPr>
                <w:rFonts w:hint="eastAsia" w:ascii="宋体" w:hAnsi="宋体" w:eastAsia="宋体" w:cs="宋体"/>
                <w:bCs/>
                <w:color w:val="auto"/>
                <w:kern w:val="10"/>
                <w:szCs w:val="21"/>
                <w:highlight w:val="none"/>
              </w:rPr>
            </w:pPr>
            <w:r>
              <w:rPr>
                <w:rFonts w:hint="eastAsia" w:ascii="宋体" w:hAnsi="宋体" w:eastAsia="宋体" w:cs="宋体"/>
                <w:bCs/>
                <w:color w:val="auto"/>
                <w:kern w:val="10"/>
                <w:szCs w:val="21"/>
                <w:highlight w:val="none"/>
              </w:rPr>
              <w:t>成交供应商在收到成交通知后7个工作日内提交纸质版投标文件（内容同电子投标文件）一正两副及电子文档（光盘或U盘）两份，用于项目资料存档。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tcBorders>
              <w:left w:val="single" w:color="auto" w:sz="12" w:space="0"/>
              <w:bottom w:val="single" w:color="auto" w:sz="12" w:space="0"/>
            </w:tcBorders>
            <w:vAlign w:val="center"/>
          </w:tcPr>
          <w:p>
            <w:pPr>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28</w:t>
            </w:r>
          </w:p>
        </w:tc>
        <w:tc>
          <w:tcPr>
            <w:tcW w:w="2146" w:type="dxa"/>
            <w:tcBorders>
              <w:bottom w:val="single" w:color="auto" w:sz="12" w:space="0"/>
            </w:tcBorders>
            <w:vAlign w:val="center"/>
          </w:tcPr>
          <w:p>
            <w:pPr>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解释权</w:t>
            </w:r>
          </w:p>
        </w:tc>
        <w:tc>
          <w:tcPr>
            <w:tcW w:w="6314" w:type="dxa"/>
            <w:tcBorders>
              <w:bottom w:val="single" w:color="auto" w:sz="12" w:space="0"/>
              <w:right w:val="single" w:color="auto" w:sz="12" w:space="0"/>
            </w:tcBorders>
            <w:vAlign w:val="center"/>
          </w:tcPr>
          <w:p>
            <w:pPr>
              <w:snapToGrid w:val="0"/>
              <w:spacing w:line="360" w:lineRule="auto"/>
              <w:rPr>
                <w:rFonts w:hint="eastAsia" w:ascii="宋体" w:hAnsi="宋体" w:eastAsia="宋体" w:cs="宋体"/>
                <w:bCs/>
                <w:color w:val="auto"/>
                <w:kern w:val="10"/>
                <w:szCs w:val="21"/>
                <w:highlight w:val="none"/>
              </w:rPr>
            </w:pPr>
            <w:r>
              <w:rPr>
                <w:rFonts w:hint="eastAsia" w:ascii="宋体" w:hAnsi="宋体" w:eastAsia="宋体" w:cs="宋体"/>
                <w:bCs/>
                <w:color w:val="auto"/>
                <w:kern w:val="10"/>
                <w:szCs w:val="21"/>
                <w:highlight w:val="none"/>
              </w:rPr>
              <w:t>本磋商文件解释权属于采购人和采购代理机构。</w:t>
            </w:r>
          </w:p>
        </w:tc>
      </w:tr>
    </w:tbl>
    <w:p>
      <w:pPr>
        <w:spacing w:line="200" w:lineRule="exact"/>
        <w:rPr>
          <w:rFonts w:hint="eastAsia" w:ascii="宋体" w:hAnsi="宋体" w:eastAsia="宋体" w:cs="宋体"/>
          <w:color w:val="auto"/>
          <w:sz w:val="20"/>
          <w:szCs w:val="20"/>
          <w:highlight w:val="none"/>
        </w:rPr>
      </w:pPr>
      <w:bookmarkStart w:id="8" w:name="page7"/>
      <w:bookmarkEnd w:id="8"/>
      <w:bookmarkStart w:id="9" w:name="page8"/>
      <w:bookmarkEnd w:id="9"/>
    </w:p>
    <w:p>
      <w:pPr>
        <w:rPr>
          <w:rFonts w:hint="eastAsia" w:ascii="宋体" w:hAnsi="宋体" w:eastAsia="宋体" w:cs="宋体"/>
          <w:color w:val="auto"/>
          <w:highlight w:val="none"/>
        </w:rPr>
        <w:sectPr>
          <w:pgSz w:w="11900" w:h="16838"/>
          <w:pgMar w:top="1440" w:right="1080" w:bottom="1440" w:left="1080" w:header="567" w:footer="567" w:gutter="0"/>
          <w:cols w:equalWidth="0" w:num="1">
            <w:col w:w="9140"/>
          </w:cols>
        </w:sectPr>
      </w:pPr>
    </w:p>
    <w:p>
      <w:pPr>
        <w:spacing w:line="1" w:lineRule="exact"/>
        <w:rPr>
          <w:rFonts w:hint="eastAsia" w:ascii="宋体" w:hAnsi="宋体" w:eastAsia="宋体" w:cs="宋体"/>
          <w:color w:val="auto"/>
          <w:sz w:val="20"/>
          <w:szCs w:val="20"/>
          <w:highlight w:val="none"/>
        </w:rPr>
      </w:pPr>
      <w:bookmarkStart w:id="10" w:name="page9"/>
      <w:bookmarkEnd w:id="10"/>
    </w:p>
    <w:p>
      <w:pPr>
        <w:tabs>
          <w:tab w:val="left" w:pos="300"/>
        </w:tabs>
        <w:spacing w:line="366" w:lineRule="exact"/>
        <w:jc w:val="center"/>
        <w:outlineLvl w:val="0"/>
        <w:rPr>
          <w:rFonts w:hint="eastAsia" w:ascii="宋体" w:hAnsi="宋体" w:eastAsia="宋体" w:cs="宋体"/>
          <w:color w:val="auto"/>
          <w:sz w:val="20"/>
          <w:szCs w:val="20"/>
          <w:highlight w:val="none"/>
        </w:rPr>
      </w:pPr>
      <w:bookmarkStart w:id="11" w:name="_Toc163"/>
      <w:bookmarkStart w:id="12" w:name="_Toc25290_WPSOffice_Level1"/>
      <w:r>
        <w:rPr>
          <w:rFonts w:hint="eastAsia" w:ascii="宋体" w:hAnsi="宋体" w:eastAsia="宋体" w:cs="宋体"/>
          <w:b/>
          <w:bCs/>
          <w:color w:val="auto"/>
          <w:sz w:val="32"/>
          <w:szCs w:val="32"/>
          <w:highlight w:val="none"/>
        </w:rPr>
        <w:t>第三章  供应商须知</w:t>
      </w:r>
      <w:bookmarkEnd w:id="11"/>
      <w:bookmarkEnd w:id="12"/>
    </w:p>
    <w:p>
      <w:pPr>
        <w:spacing w:line="360" w:lineRule="auto"/>
        <w:ind w:firstLine="422" w:firstLineChars="200"/>
        <w:outlineLvl w:val="1"/>
        <w:rPr>
          <w:rFonts w:hint="eastAsia" w:ascii="宋体" w:hAnsi="宋体" w:eastAsia="宋体" w:cs="宋体"/>
          <w:b/>
          <w:bCs/>
          <w:color w:val="auto"/>
          <w:szCs w:val="21"/>
          <w:highlight w:val="none"/>
        </w:rPr>
      </w:pPr>
      <w:bookmarkStart w:id="13" w:name="_Toc28392_WPSOffice_Level2"/>
      <w:bookmarkStart w:id="14" w:name="_Toc22915_WPSOffice_Level2"/>
      <w:bookmarkStart w:id="15" w:name="_Toc29219"/>
      <w:r>
        <w:rPr>
          <w:rFonts w:hint="eastAsia" w:ascii="宋体" w:hAnsi="宋体" w:eastAsia="宋体" w:cs="宋体"/>
          <w:b/>
          <w:bCs/>
          <w:color w:val="auto"/>
          <w:szCs w:val="21"/>
          <w:highlight w:val="none"/>
        </w:rPr>
        <w:t>一、总则</w:t>
      </w:r>
      <w:bookmarkEnd w:id="13"/>
      <w:bookmarkEnd w:id="14"/>
      <w:bookmarkEnd w:id="15"/>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1.1、实施依据</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1.2、采购方式：竞争性磋商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1.3、定义</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采购人：是指依法进行政府采购的国家机关、事业单位、团体组织，见“供应商须知前附表”；</w:t>
      </w:r>
    </w:p>
    <w:p>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采购代理机构：受采购人委托，在委托的范围内办理政府采购事宜的机构，见“供应商须知前附表”；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供应商：是指参加本政府采购项目磋商的供应商；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供应商代表：是指参加本项目磋商活动的供应商法定代表人或法定代表人授权代表；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磋商联合体：是指两个以上供应商组成联合体，以一个供应商的身份参加磋商；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甲方：是指合同签订的一方，一般与采购人、用户相同；</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乙方：是指合同签订的另一方，与成交供应商相同；</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制造商：是指拥有响应产品自主知识产权的单位；</w:t>
      </w:r>
    </w:p>
    <w:p>
      <w:pPr>
        <w:spacing w:line="360" w:lineRule="auto"/>
        <w:ind w:right="346" w:firstLine="42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中小企业（含中型、小型、微型）：符合中小企业划分标准（工信部联企业[2011]300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中国残疾人联合会关于促进残疾人就业政府采购政策的通知》（财库〔2018〕 141 号）的规定的单位；</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政府采购监管部门：浙江省财政厅政府采购监管处。</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1.4、供应商须知前附表规定接受联合体磋商的，应遵守以下规定：（本工程不适用）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1）两个以上供应商可以组成一个联合体，以一个供应商的身份共同参加磋商；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2）组成联合体参加本项目磋商的，供应商须在购买竞争性磋商文件时向采购代理机构</w:t>
      </w:r>
    </w:p>
    <w:p>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作出相关书面说明，否则响应无效；</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3）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4）联合体各方之间须签订磋商联合协议，明确约定联合体各方承担的工作和相应的责</w:t>
      </w:r>
      <w:bookmarkStart w:id="16" w:name="page10"/>
      <w:bookmarkEnd w:id="16"/>
      <w:r>
        <w:rPr>
          <w:rFonts w:hint="eastAsia" w:ascii="宋体" w:hAnsi="宋体" w:eastAsia="宋体" w:cs="宋体"/>
          <w:color w:val="auto"/>
          <w:szCs w:val="21"/>
          <w:highlight w:val="none"/>
        </w:rPr>
        <w:t>任，在磋商联合协议中指定本项目主办人，并将磋商联合协议作为响应文件组成的一部分；本项目的主体、关键性工作须由主办人完成，并在磋商联合协议中进行说明；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5）联合体各方签订磋商联合协议后，不得再以自己名义单独在本项目中参加磋商，也不得组成新的联合体参加本项目磋商；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6）联合体各方共同与采购人签订采购合同，就采购合同约定的事项对采购人承担连带责任；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7）响应文件须由主办人盖章及其全权代表签署。</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无论磋商过程中的做法和结果如何，供应商自行承担磋商活动中所发生的全部费用。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1.6、保密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参与磋商活动的各方应对竞争性磋商文件和响应文件中的商业和技术等秘密保密，违者应对此造成的后果承担法律责任。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1.7、语言文字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除专用术语外，与磋商有关的语言使用中文。专用术语应附有中文注释。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1.8、计量单位</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1.9、踏勘现场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供应商须知前附表规定组织踏勘现场的，采购人按供应商须知前附表规定的时间、地点组织供应商踏勘项目现场。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供应商踏勘现场发生的费用自理。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 除采购人的原因外，供应商自行负责在踏勘现场中所发生的人员伤亡和财产损失。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 采购人在踏勘现场中介绍的场地和相关的周边环境情况，供供应商在编制响应文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件时参考，采购人不对供应商据此作出的判断和决策负责。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1.10、答疑会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 供应商须知前附表规定召开答疑会的，采购人按供应商须知前附表规定的时间和</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地点召开答疑会，澄清供应商提出的问题。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 供应商应在答疑会时间的前一天，以书面形式将提出的问题送达采购人，以便采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购人在会议期间澄清。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 答疑会后，采购人按本章 2.4 款规定对供应商所提问题进行澄清答复。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1.11、分包</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bCs/>
          <w:color w:val="auto"/>
          <w:sz w:val="22"/>
          <w:highlight w:val="none"/>
        </w:rPr>
        <w:t>供应商须知前附表规定允许分包的，供应商应当在响应文件载明分包的具体情况，应符合采购人在供应商</w:t>
      </w:r>
      <w:r>
        <w:rPr>
          <w:rFonts w:hint="eastAsia" w:ascii="宋体" w:hAnsi="宋体" w:eastAsia="宋体" w:cs="宋体"/>
          <w:color w:val="auto"/>
          <w:szCs w:val="21"/>
          <w:highlight w:val="none"/>
        </w:rPr>
        <w:t>须知前附表规定的分包内容、分包金额和接受分包的第三人资质要求等限制条件。</w:t>
      </w:r>
    </w:p>
    <w:p>
      <w:pPr>
        <w:spacing w:line="1" w:lineRule="exact"/>
        <w:rPr>
          <w:rFonts w:hint="eastAsia" w:ascii="宋体" w:hAnsi="宋体" w:eastAsia="宋体" w:cs="宋体"/>
          <w:color w:val="auto"/>
          <w:sz w:val="20"/>
          <w:szCs w:val="20"/>
          <w:highlight w:val="none"/>
        </w:rPr>
      </w:pPr>
      <w:bookmarkStart w:id="17" w:name="page11"/>
      <w:bookmarkEnd w:id="17"/>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1.12、偏离</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响应文件应完全响应竞争性磋商文件规定的实质性内容和条件。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1.13、其他</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1.13.1▲</w:t>
      </w:r>
      <w:r>
        <w:rPr>
          <w:rFonts w:hint="eastAsia" w:ascii="宋体" w:hAnsi="宋体" w:eastAsia="宋体" w:cs="宋体"/>
          <w:b/>
          <w:bCs/>
          <w:color w:val="auto"/>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1.13.2▲</w:t>
      </w:r>
      <w:r>
        <w:rPr>
          <w:rFonts w:hint="eastAsia" w:ascii="宋体" w:hAnsi="宋体" w:eastAsia="宋体" w:cs="宋体"/>
          <w:b/>
          <w:bCs/>
          <w:color w:val="auto"/>
          <w:szCs w:val="21"/>
          <w:highlight w:val="none"/>
          <w:u w:val="single"/>
        </w:rPr>
        <w:t>供应商对所响应标项内的采购内容必须全部进行响应。</w:t>
      </w:r>
    </w:p>
    <w:p>
      <w:pPr>
        <w:pStyle w:val="56"/>
        <w:spacing w:line="360" w:lineRule="auto"/>
        <w:ind w:firstLine="42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1.13.3</w:t>
      </w:r>
      <w:r>
        <w:rPr>
          <w:rFonts w:hint="eastAsia" w:ascii="宋体" w:hAnsi="宋体" w:eastAsia="宋体" w:cs="宋体"/>
          <w:bCs/>
          <w:color w:val="auto"/>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pStyle w:val="56"/>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1.13.4 竞争性磋商文件中如有描述歧义或前后不一致的地方，磋商小组有权按公平、合理的原则进行评判，但对同一条款的评判适用于每个供应商。</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1.13.5响应文件的响应内容必须真实、明确、准确。否则，磋商小组将对其作出不利的评审。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13.6乙</w:t>
      </w:r>
      <w:r>
        <w:rPr>
          <w:rFonts w:hint="eastAsia" w:ascii="宋体" w:hAnsi="宋体" w:eastAsia="宋体" w:cs="宋体"/>
          <w:color w:val="auto"/>
          <w:szCs w:val="21"/>
          <w:highlight w:val="none"/>
        </w:rPr>
        <w:t>方为履行合同引起的相关人员的差旅费、食宿费以及其它不可预知的费用由乙方自理。合同实施过程中，须与甲方积极配合。</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1.13.7项目资金为财政性投资，资金已落实。</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1.13.9不同供应商之间存在以下利害关系并且存在影响政府采购公平竞争行为的，不得参加同一合同项下的政府采购活动，相关磋商响应供应商的投标均作无效处理： </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A.法定代表人或负责人或实际控制人是同一人；</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B.法定代表人或负责人或实际控制人是夫妻关系；</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C.法定代表人或负责人或实际控制人是直系血亲关系；</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D.法定代表人或负责人或实际控制人存在三代以内旁系血亲关系；</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E.法定代表人或负责人或实际控制人存在近姻亲关系；</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F.法定代表人或负责人或实际控制人存在股份控制或实际控制关系；</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G.存在共同直接或间接投资设立子公司、联营企业和合营企业情况；</w:t>
      </w:r>
    </w:p>
    <w:p>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rPr>
        <w:t>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1.13.10磋商所使用的资格、资信、业绩、企业认证等证明材料必须为供应商自身所拥有，不同法人、其他组织资料与供应商无关，评审时不作为该供应商的依据。</w:t>
      </w:r>
    </w:p>
    <w:p>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1.13.11提供相同品牌产品且通过资格审查、符合性审查的不同供应商参加同一合同项下投标的，按一家供应商计算，评审后得分最高的同品牌供应商获得供应商推荐资格；评审得分相同的，由磋商小组按照商务技术部分得分最高的供应商获得供应商推荐资格，其他同品牌供应商不作为中标候选人。</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非单一产品采购项目，采购人将根据采购项目技术构成、产品价格比重等合理确定核心产品，并在磋商文件中载明。多家供应商提供的核心产品品牌相同的，按前两款规定处理。</w:t>
      </w:r>
    </w:p>
    <w:p>
      <w:pPr>
        <w:spacing w:line="360" w:lineRule="auto"/>
        <w:ind w:firstLine="211" w:firstLineChars="1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“▲”系指实质性要求条款，磋商响应供应商必须做出实质性响应，不满足则按无效标处理。</w:t>
      </w:r>
    </w:p>
    <w:p>
      <w:pPr>
        <w:spacing w:line="360" w:lineRule="auto"/>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u w:val="single"/>
        </w:rPr>
        <w:t>“★”系指重要条款，磋商响应供应商应满足或者优于指标要求，否则按照负偏离计算。</w:t>
      </w:r>
    </w:p>
    <w:p>
      <w:pPr>
        <w:spacing w:line="360" w:lineRule="auto"/>
        <w:ind w:firstLine="422" w:firstLineChars="200"/>
        <w:outlineLvl w:val="1"/>
        <w:rPr>
          <w:rFonts w:hint="eastAsia" w:ascii="宋体" w:hAnsi="宋体" w:eastAsia="宋体" w:cs="宋体"/>
          <w:color w:val="auto"/>
          <w:sz w:val="20"/>
          <w:szCs w:val="20"/>
          <w:highlight w:val="none"/>
        </w:rPr>
      </w:pPr>
      <w:bookmarkStart w:id="18" w:name="_Toc29859_WPSOffice_Level2"/>
      <w:bookmarkStart w:id="19" w:name="_Toc11507_WPSOffice_Level2"/>
      <w:bookmarkStart w:id="20" w:name="_Toc7892"/>
      <w:r>
        <w:rPr>
          <w:rFonts w:hint="eastAsia" w:ascii="宋体" w:hAnsi="宋体" w:eastAsia="宋体" w:cs="宋体"/>
          <w:b/>
          <w:bCs/>
          <w:color w:val="auto"/>
          <w:szCs w:val="21"/>
          <w:highlight w:val="none"/>
        </w:rPr>
        <w:t>二、竞争性磋商文件</w:t>
      </w:r>
      <w:bookmarkEnd w:id="18"/>
      <w:bookmarkEnd w:id="19"/>
      <w:bookmarkEnd w:id="20"/>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2.1、竞争性磋商文件组成</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2.1.1 第一章 竞争性磋商公告</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2.1.2 第二章 供应商须知前附表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2.1.3 第三章 供应商须知</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2.1.4 第四章 采购内容及技术要求</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2.1.5 第五章 合同</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2.1.6 第六章 响应文件格式</w:t>
      </w:r>
    </w:p>
    <w:p>
      <w:pPr>
        <w:spacing w:line="1" w:lineRule="exact"/>
        <w:rPr>
          <w:rFonts w:hint="eastAsia" w:ascii="宋体" w:hAnsi="宋体" w:eastAsia="宋体" w:cs="宋体"/>
          <w:color w:val="auto"/>
          <w:sz w:val="20"/>
          <w:szCs w:val="20"/>
          <w:highlight w:val="none"/>
        </w:rPr>
      </w:pPr>
      <w:bookmarkStart w:id="21" w:name="page12"/>
      <w:bookmarkEnd w:id="21"/>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2.1.7 第七章 评审办法</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2.1.8 补充文件（如有）</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2.2、竞争性磋商文件的解释权</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竞争性磋商文件的解释权归采购人和采购代理机构所有。</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2.3、竞争性磋商文件的质疑</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2.3.1 供应商认为竞争性磋商文件规定内容使自己的合法权益受到损害的，供应商可以提出书面质疑。</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2.3.2 质疑书须包括以下内容：</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（一）质疑人的名称、地址、邮政编码、联系人、联系电话；</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（二）被质疑采购项目名称、编号及采购内容；</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（三）具体的质疑事项及事实依据；</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（四）认为自己合法权益受到损害或可能受到损害的相关证据材料；</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（五）提出质疑的日期。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质疑期限自供应商获得竞争性磋商文件之日起 3 个工作日内且在响应文件递交截止时间前向采购代理机构提出。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2.3.4 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2.3.5 质疑书必须署名，由法定代表人签字（或盖章）并加盖单位公章，否则不予受理。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2.3.6 质疑书以直接提交、传真或邮寄方式提交（一式三份）。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2.3.7 质疑书以传真形式提交后，同时须向采购代理机构提交质疑书原件，实际收到原件之日作为收到质疑的日期。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2.4、竞争性磋商文件的澄清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供应商对竞争性磋商文件如有疑问要求澄清，或认为有必要与采购代理机构进行技术交流，供应商需将书面资料在“供应商须知前附表”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2.4.2 供应商要求澄清的资料应加盖单位公章、写明日期。</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2.4.3 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hint="eastAsia" w:ascii="宋体" w:hAnsi="宋体" w:eastAsia="宋体" w:cs="宋体"/>
          <w:color w:val="auto"/>
          <w:sz w:val="20"/>
          <w:szCs w:val="20"/>
          <w:highlight w:val="none"/>
        </w:rPr>
      </w:pPr>
      <w:bookmarkStart w:id="22" w:name="page13"/>
      <w:bookmarkEnd w:id="22"/>
      <w:r>
        <w:rPr>
          <w:rFonts w:hint="eastAsia" w:ascii="宋体" w:hAnsi="宋体" w:eastAsia="宋体" w:cs="宋体"/>
          <w:color w:val="auto"/>
          <w:szCs w:val="21"/>
          <w:highlight w:val="none"/>
        </w:rPr>
        <w:t>2.4.5供应商在收到补充文件后，应在24小时内以书面形式向采购代理机构确认已收到该补充文件。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2.4.6 供应商在竞争性磋商文件规定的询疑截止时间前内未对竞争性磋商文件提出疑问的，采购代理机构将视其为无异议。</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2.4.7 当竞争性磋商文件与补充文件就同一内容的表述不一致时，以最后发出的书面文件为准。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2.5、竞争性磋商文件的修改</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2.5.1 在响应文件提交的截止时间前，由于各种原因采购人可能以补充文件的形式修改完善竞争性磋商文件。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2.5.2 补充文件作为竞争性磋商文件组成部分，补充文件将以传真、网上公告等形式告知所有购买竞争性磋商文件的供应商，补充文件对供应商均有约束力。</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2.5.3 补充文件发出后，采购人原则上不改变本文件规定的响应文件递交截止时间及开启时间。供应商如认为补充文件内容影响响应文件编制，须延长响应文件递交截止时间的，必须在收到补充文件后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2.5.4供应商在收到补充文件后，应在24小时内以书面形式向采购代理机构确认已收到该补充文件。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2.5.5 供应商收到补充文件后，对补充文件如有疑问要求澄清，应在 24 小时内将书面</w:t>
      </w:r>
      <w:r>
        <w:rPr>
          <w:rFonts w:hint="eastAsia" w:ascii="宋体" w:hAnsi="宋体" w:eastAsia="宋体" w:cs="宋体"/>
          <w:color w:val="auto"/>
          <w:sz w:val="20"/>
          <w:szCs w:val="20"/>
          <w:highlight w:val="none"/>
        </w:rPr>
        <w:t>资料传</w:t>
      </w:r>
      <w:r>
        <w:rPr>
          <w:rFonts w:hint="eastAsia" w:ascii="宋体" w:hAnsi="宋体" w:eastAsia="宋体" w:cs="宋体"/>
          <w:color w:val="auto"/>
          <w:szCs w:val="21"/>
          <w:highlight w:val="none"/>
        </w:rPr>
        <w:t>真或送达至采购代理机构，同时将电子文件发至供应商须知前附表注明的邮箱（</w:t>
      </w:r>
      <w:r>
        <w:rPr>
          <w:rFonts w:hint="eastAsia" w:ascii="宋体" w:hAnsi="宋体" w:eastAsia="宋体" w:cs="宋体"/>
          <w:color w:val="auto"/>
          <w:sz w:val="20"/>
          <w:szCs w:val="20"/>
          <w:highlight w:val="none"/>
        </w:rPr>
        <w:t>电子</w:t>
      </w:r>
      <w:r>
        <w:rPr>
          <w:rFonts w:hint="eastAsia" w:ascii="宋体" w:hAnsi="宋体" w:eastAsia="宋体" w:cs="宋体"/>
          <w:color w:val="auto"/>
          <w:szCs w:val="21"/>
          <w:highlight w:val="none"/>
        </w:rPr>
        <w:t>邮件与书面文件有不一致的，以书面文件为准），并与采购代理机构进行确认。</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2.5.6 供应商要求澄清的资料应加盖单位公章、写明日期。</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2.5.7 对补充文件的澄清答复按 2.4 款规定。</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2.5.8 当竞争性磋商文件与补充文件就同一内容的表述不一致时，以最后发出的书面文件为准。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2.5.9 任何口头答复均不属于竞争性磋商文件的组成部分。</w:t>
      </w:r>
    </w:p>
    <w:p>
      <w:pPr>
        <w:spacing w:line="360" w:lineRule="auto"/>
        <w:ind w:firstLine="422" w:firstLineChars="200"/>
        <w:outlineLvl w:val="1"/>
        <w:rPr>
          <w:rFonts w:hint="eastAsia" w:ascii="宋体" w:hAnsi="宋体" w:eastAsia="宋体" w:cs="宋体"/>
          <w:color w:val="auto"/>
          <w:sz w:val="20"/>
          <w:szCs w:val="20"/>
          <w:highlight w:val="none"/>
        </w:rPr>
      </w:pPr>
      <w:bookmarkStart w:id="23" w:name="_Toc3166_WPSOffice_Level2"/>
      <w:bookmarkStart w:id="24" w:name="_Toc27277_WPSOffice_Level2"/>
      <w:bookmarkStart w:id="25" w:name="_Toc13792"/>
      <w:r>
        <w:rPr>
          <w:rFonts w:hint="eastAsia" w:ascii="宋体" w:hAnsi="宋体" w:eastAsia="宋体" w:cs="宋体"/>
          <w:b/>
          <w:bCs/>
          <w:color w:val="auto"/>
          <w:szCs w:val="21"/>
          <w:highlight w:val="none"/>
        </w:rPr>
        <w:t>三、响应文件</w:t>
      </w:r>
      <w:bookmarkEnd w:id="23"/>
      <w:bookmarkEnd w:id="24"/>
      <w:bookmarkEnd w:id="2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3.1.1响应文件的形式：详见供应商须知前附表要求。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Cs w:val="21"/>
          <w:highlight w:val="none"/>
        </w:rPr>
        <w:t>3.2、响应文件组成</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3.2.1 响应文件报价文件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（2）初次报价一览表；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（3）工程量清单报价</w:t>
      </w:r>
      <w:bookmarkStart w:id="26" w:name="page14"/>
      <w:bookmarkEnd w:id="2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（4）中小企业声明函、监狱企业、残疾人福利性单位声明函。</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3.2.2 响应文件商务、技术文件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（1）法定代表人资格证明书或附有法定代表人资格证明书的法定代表人授权书；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（2）资格审查资料；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（3）供应商声明函；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（4）公司基本情况介绍；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（5）供应商类似工程业绩；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（2）质量保证措施；（根据评分表要求制作、格式自拟）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（3）拟投入的主要施工机械设备情况、主要施工机械计划；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（4）工期承诺、进度控制措施及施工质量控制措施；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（5）投入本项目的工程技术管理人员的专业配置情况；附表三、附表四、附表五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（6）关键工序、复杂环节的相应技术措施；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（7）安全文明施工保证措施；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（8）材料设备进场计划及施工计划情况；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（9）应急处置方案及售后服务；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（10）主要材料（设备）品牌表；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（11）供应商认为需要提供的资料。</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采用文字表述外可附下列图表，图表及格式要求附后，没有图表的可格式自拟。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  拟投入的主要施工设备表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  拟配备的试验和检测仪器设备表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  项目管理班子配备情况表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附表四、项目经理简历表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附表五、技术负责人简历表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附表六、劳动力计划表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附表七、计划开、竣工日期和施工进度网络图或横道图</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3.3、响应文件的编制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3.3.1供应商应先安装“政采云电子交易客户端”，并按照磋商文件中规定的 “响应文件格式”中提供的格式和“政府采购云平台”的要求，通过“政采云电子交易客户端”编制并加密响应文件。其中《商务技术文件》中不得出现本项目投标报价，如因供应商原因提前泄露投标报价，是供应商的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3.3.2响应文件应当对磋商文件规定的内容进行明确，对磋商文件规定的实质性内容应当作出响应。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3.3.4响应文件份数要求详见“供应商须知前附表”。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3.3.6由于字迹模糊或表达不清引起的后果由供应商负责。</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3.4、磋商报价</w:t>
      </w:r>
    </w:p>
    <w:p>
      <w:pPr>
        <w:pStyle w:val="56"/>
        <w:spacing w:line="360" w:lineRule="auto"/>
        <w:ind w:firstLine="420"/>
        <w:rPr>
          <w:rFonts w:hint="eastAsia" w:ascii="宋体" w:hAnsi="宋体" w:eastAsia="宋体" w:cs="宋体"/>
          <w:color w:val="auto"/>
          <w:szCs w:val="21"/>
          <w:highlight w:val="none"/>
          <w:u w:val="thick"/>
        </w:rPr>
      </w:pPr>
      <w:r>
        <w:rPr>
          <w:rFonts w:hint="eastAsia" w:ascii="宋体" w:hAnsi="宋体" w:eastAsia="宋体" w:cs="宋体"/>
          <w:color w:val="auto"/>
          <w:szCs w:val="21"/>
          <w:highlight w:val="none"/>
        </w:rPr>
        <w:t>3.4.1 ▲</w:t>
      </w:r>
      <w:r>
        <w:rPr>
          <w:rFonts w:hint="eastAsia" w:ascii="宋体" w:hAnsi="宋体" w:eastAsia="宋体" w:cs="宋体"/>
          <w:b/>
          <w:color w:val="auto"/>
          <w:szCs w:val="21"/>
          <w:highlight w:val="none"/>
          <w:u w:val="thick"/>
        </w:rPr>
        <w:t>本次磋商报价为含税人民币价</w:t>
      </w:r>
      <w:r>
        <w:rPr>
          <w:rFonts w:hint="eastAsia" w:ascii="宋体" w:hAnsi="宋体" w:eastAsia="宋体" w:cs="宋体"/>
          <w:color w:val="auto"/>
          <w:szCs w:val="21"/>
          <w:highlight w:val="none"/>
          <w:u w:val="thick"/>
        </w:rPr>
        <w:t>。</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磋商报价</w:t>
      </w:r>
      <w:r>
        <w:rPr>
          <w:rFonts w:hint="eastAsia" w:ascii="宋体" w:hAnsi="宋体" w:eastAsia="宋体" w:cs="宋体"/>
          <w:snapToGrid w:val="0"/>
          <w:color w:val="auto"/>
          <w:szCs w:val="21"/>
          <w:highlight w:val="none"/>
        </w:rPr>
        <w:t>投标报价以人民币为结算币种，</w:t>
      </w:r>
      <w:r>
        <w:rPr>
          <w:rFonts w:hint="eastAsia" w:ascii="宋体" w:hAnsi="宋体" w:eastAsia="宋体" w:cs="宋体"/>
          <w:color w:val="auto"/>
          <w:szCs w:val="21"/>
          <w:highlight w:val="none"/>
        </w:rPr>
        <w:t>投标报价包括完成所有产品供货及履行所有规定服务所产生的全部费用及采购代理服务费。产品及服务须达到竞争性磋商文件规定的质量标准及使用要求。</w:t>
      </w:r>
    </w:p>
    <w:p>
      <w:pPr>
        <w:pStyle w:val="56"/>
        <w:spacing w:line="360" w:lineRule="auto"/>
        <w:ind w:firstLine="420"/>
        <w:rPr>
          <w:rFonts w:hint="eastAsia" w:ascii="宋体" w:hAnsi="宋体" w:eastAsia="宋体" w:cs="宋体"/>
          <w:b/>
          <w:bCs/>
          <w:color w:val="auto"/>
          <w:szCs w:val="21"/>
          <w:highlight w:val="none"/>
          <w:u w:val="thick"/>
        </w:rPr>
      </w:pPr>
      <w:r>
        <w:rPr>
          <w:rFonts w:hint="eastAsia" w:ascii="宋体" w:hAnsi="宋体" w:eastAsia="宋体" w:cs="宋体"/>
          <w:color w:val="auto"/>
          <w:szCs w:val="21"/>
          <w:highlight w:val="none"/>
        </w:rPr>
        <w:t>3.4.3 ▲</w:t>
      </w:r>
      <w:r>
        <w:rPr>
          <w:rFonts w:hint="eastAsia" w:ascii="宋体" w:hAnsi="宋体" w:eastAsia="宋体" w:cs="宋体"/>
          <w:b/>
          <w:color w:val="auto"/>
          <w:szCs w:val="21"/>
          <w:highlight w:val="none"/>
          <w:u w:val="thick"/>
        </w:rPr>
        <w:t>所投标项最后一轮报价只允许有一个报价，不接受有选择报价的响应文件。</w:t>
      </w:r>
    </w:p>
    <w:p>
      <w:pPr>
        <w:pStyle w:val="56"/>
        <w:spacing w:line="360" w:lineRule="auto"/>
        <w:ind w:firstLine="42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3.5、</w:t>
      </w:r>
      <w:r>
        <w:rPr>
          <w:rFonts w:hint="eastAsia" w:ascii="宋体" w:hAnsi="宋体" w:eastAsia="宋体" w:cs="宋体"/>
          <w:b/>
          <w:color w:val="auto"/>
          <w:szCs w:val="21"/>
          <w:highlight w:val="none"/>
        </w:rPr>
        <w:t>供应商部分不良行为的处理</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3.5.1投标截止时间后，在投标有效期内，供应商不能撤销响应文件。供应商强行撤销响应文件的，应按采购预算金额的2%赔偿对采购组织机构造成损失。</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中标或者成交后，供应商拒绝签订合同的，采购人可以按照评审报告推荐的中标或者成交候选人名单排序，确定下一候选人为中标或者成交供应商，也可以重新开展政府采购活动。供应商中标或者成交后拒绝签订合同的，应按采购预算金额的2%对采购人进行赔偿；赔偿金额不足以弥补采购人损失的，供应商应继续承担超过部分的损失。</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3.5.3存在下列行为的，采购代理机构将其失信行为上报政府采购主管部门，由主管部门按有关规定对其违法失信行为记录进行公开：</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1）中标或者成交后，拒绝签订政府采购合同的；</w:t>
      </w:r>
    </w:p>
    <w:p>
      <w:pPr>
        <w:pStyle w:val="56"/>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2）投标有效期内撤销响应文件的。</w:t>
      </w:r>
    </w:p>
    <w:p>
      <w:pPr>
        <w:pStyle w:val="56"/>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3.6、响应文件有效期</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 响应文件有效期按“供应商须知前附表”规定，响应文件应在该有效期内保持有效。合同签订后，响应文件作为合同附件，响应文件有效期同合同有效期。</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 在特殊情况下，采购人可与供应商协商延长响应文件有效期，这种要求和答复均应以网上公告或书面形式进行。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 供应商可拒绝接受延期要求。同意延长有效期的供应商不能修改响应文件。</w:t>
      </w:r>
    </w:p>
    <w:p>
      <w:pPr>
        <w:spacing w:line="360" w:lineRule="auto"/>
        <w:ind w:firstLine="422" w:firstLineChars="200"/>
        <w:outlineLvl w:val="1"/>
        <w:rPr>
          <w:rFonts w:hint="eastAsia" w:ascii="宋体" w:hAnsi="宋体" w:eastAsia="宋体" w:cs="宋体"/>
          <w:color w:val="auto"/>
          <w:szCs w:val="21"/>
          <w:highlight w:val="none"/>
        </w:rPr>
      </w:pPr>
      <w:bookmarkStart w:id="27" w:name="_Toc10590_WPSOffice_Level2"/>
      <w:bookmarkStart w:id="28" w:name="_Toc30544"/>
      <w:bookmarkStart w:id="29" w:name="_Toc18155_WPSOffice_Level2"/>
      <w:r>
        <w:rPr>
          <w:rFonts w:hint="eastAsia" w:ascii="宋体" w:hAnsi="宋体" w:eastAsia="宋体" w:cs="宋体"/>
          <w:b/>
          <w:bCs/>
          <w:color w:val="auto"/>
          <w:szCs w:val="21"/>
          <w:highlight w:val="none"/>
        </w:rPr>
        <w:t>四、磋商响应</w:t>
      </w:r>
      <w:bookmarkEnd w:id="27"/>
      <w:bookmarkEnd w:id="28"/>
      <w:bookmarkEnd w:id="29"/>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4.1、</w:t>
      </w:r>
      <w:r>
        <w:rPr>
          <w:rFonts w:hint="eastAsia" w:ascii="宋体" w:hAnsi="宋体" w:eastAsia="宋体" w:cs="宋体"/>
          <w:b/>
          <w:color w:val="auto"/>
          <w:szCs w:val="21"/>
          <w:highlight w:val="none"/>
        </w:rPr>
        <w:t>“电子加密响应文件”的上传、递交时间及地点：</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r>
        <w:rPr>
          <w:rFonts w:hint="eastAsia" w:ascii="宋体" w:hAnsi="宋体" w:eastAsia="宋体" w:cs="宋体"/>
          <w:b/>
          <w:color w:val="auto"/>
          <w:szCs w:val="21"/>
          <w:highlight w:val="none"/>
        </w:rPr>
        <w:t>磋商响应供应商应在投标截止时间前将“电子加密响应文件”成功上传递交至“政府采购云平台”，否则投标无效。</w:t>
      </w:r>
    </w:p>
    <w:p>
      <w:pPr>
        <w:pStyle w:val="56"/>
        <w:spacing w:line="360" w:lineRule="auto"/>
        <w:ind w:firstLine="42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4.1.2</w:t>
      </w:r>
      <w:r>
        <w:rPr>
          <w:rFonts w:hint="eastAsia" w:ascii="宋体" w:hAnsi="宋体" w:eastAsia="宋体" w:cs="宋体"/>
          <w:b/>
          <w:color w:val="auto"/>
          <w:szCs w:val="21"/>
          <w:highlight w:val="none"/>
        </w:rPr>
        <w:t>“电子加密响应文件”成功上传递交后，供应商可自行打印响应文件接收回执。</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4.2、“备份响应文件”的密封包装、递交：</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4.2.1磋商响应供应商在“政府采购云平台”完成“电子加密响应文件”的上传递交后，还可以（EMS邮寄形式）在投标截止时间前递交以介质（U盘）存储的 “备份响应文件”（一份）；</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4.2.2“备份响应文件”应当密封包装，并在包装上标注投标项目名称、磋商响应供应商名称并加盖公章。没有密封包装或者逾期邮寄送达至投标地点的“备份响应文件”将不予接收；</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4.2.4采购人如因故推迟响应文件递交截止时间，应以更正公告形式通知所有供应商。在这种情况下，采购人和供应商的权利和义务将受到新的响应文件提交的截止时间的约束。</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4.3、响应文件的修改和撤回</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4.3.1供应商在网上递交递交响应文件以后如必须修改或撤回响应文件，必须在响应文件提交的截止时间以前在网上撤回响应文件，修改并重新递交电子响应文件，如已递交备份响应文件的，应同时将撤标通知邮寄到达或送达采购代理机构，并同时重新邮寄备份响应文件。</w:t>
      </w:r>
      <w:r>
        <w:rPr>
          <w:rFonts w:hint="eastAsia" w:ascii="宋体" w:hAnsi="宋体" w:eastAsia="宋体" w:cs="宋体"/>
          <w:b/>
          <w:color w:val="auto"/>
          <w:szCs w:val="21"/>
          <w:highlight w:val="none"/>
        </w:rPr>
        <w:t>投标截止时间后，供应商不得撤回、修改《响应文件》。</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4.4备选磋商方案</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供应商不得提交备选响应方案，否则，响应文件将被判定为无效标。与“电子加密响应文件”同时生成的“备份响应文件”不是投标备选（替代）方案。</w:t>
      </w:r>
    </w:p>
    <w:p>
      <w:pPr>
        <w:spacing w:line="360" w:lineRule="auto"/>
        <w:ind w:firstLine="422" w:firstLineChars="200"/>
        <w:outlineLvl w:val="1"/>
        <w:rPr>
          <w:rFonts w:hint="eastAsia" w:ascii="宋体" w:hAnsi="宋体" w:eastAsia="宋体" w:cs="宋体"/>
          <w:b/>
          <w:bCs/>
          <w:color w:val="auto"/>
          <w:szCs w:val="21"/>
          <w:highlight w:val="none"/>
        </w:rPr>
      </w:pPr>
      <w:bookmarkStart w:id="30" w:name="_Toc17782"/>
      <w:bookmarkStart w:id="31" w:name="_Toc23684_WPSOffice_Level2"/>
      <w:bookmarkStart w:id="32" w:name="_Toc26605_WPSOffice_Level2"/>
      <w:r>
        <w:rPr>
          <w:rFonts w:hint="eastAsia" w:ascii="宋体" w:hAnsi="宋体" w:eastAsia="宋体" w:cs="宋体"/>
          <w:b/>
          <w:bCs/>
          <w:color w:val="auto"/>
          <w:szCs w:val="21"/>
          <w:highlight w:val="none"/>
        </w:rPr>
        <w:t>五、响应文件的开启、评审及合同签订</w:t>
      </w:r>
      <w:bookmarkEnd w:id="30"/>
      <w:bookmarkEnd w:id="31"/>
      <w:bookmarkEnd w:id="32"/>
    </w:p>
    <w:p>
      <w:pPr>
        <w:pStyle w:val="56"/>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5.1、开标</w:t>
      </w:r>
    </w:p>
    <w:p>
      <w:pPr>
        <w:pStyle w:val="56"/>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5.1.1开标形式</w:t>
      </w:r>
    </w:p>
    <w:p>
      <w:pPr>
        <w:pStyle w:val="56"/>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采购组织机构将按照采购文件规定的时间通过“政府采购云平台”组织开标、开启响应文件，所有供应商均应当准时在线参加。</w:t>
      </w:r>
    </w:p>
    <w:p>
      <w:pPr>
        <w:pStyle w:val="56"/>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5.1.2开标准备</w:t>
      </w:r>
    </w:p>
    <w:p>
      <w:pPr>
        <w:pStyle w:val="56"/>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开标的准备工作由采购组织机构负责落实；</w:t>
      </w:r>
    </w:p>
    <w:p>
      <w:pPr>
        <w:pStyle w:val="56"/>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w:t>
      </w:r>
      <w:r>
        <w:rPr>
          <w:rFonts w:hint="eastAsia" w:ascii="宋体" w:hAnsi="宋体" w:eastAsia="宋体" w:cs="宋体"/>
          <w:b/>
          <w:color w:val="auto"/>
          <w:szCs w:val="21"/>
          <w:highlight w:val="none"/>
        </w:rPr>
        <w:t>开标流程(两阶段)</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5.1.3.1开标第一阶段</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（2）响应文件解密结束，通过邮件形式发送各供应商组织签署《政府采购活动现场确认声明书》；</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（3）开启商务技术响应文件，进入符合性审查（包括资格审查）；</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（4）符合性审查通过的供应商的商务技术文件进入商务技术评审；</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（5）第一阶段开标结束。</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5.1.3.2开标大会第二阶段</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（1）符合性审查、商务技术评审结束后，举行开标大会第二阶段会议。首先公布符合性审查、商务技术评审无效供应商名称及理由；公布经商务技术评审后有效供应商的名单。</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（2）开启符合性审查、商务技术评审有效供应商的《报价文件》，并汇总录入评标系统。结束后，由磋商小组对报价的合理性、准确性等进行审查核实，并在线进行磋商报价及评审。</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（3）评审结束后，公布中标候选人名单，及采购人最终确定成交供应商名单的时间和公告方式等。</w:t>
      </w:r>
    </w:p>
    <w:p>
      <w:pPr>
        <w:pStyle w:val="56"/>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特别说明：如遇“政府采购云平台”电子化开标或评审程序调整的，按调整后程序执行。</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5.2响应文件符合性评审</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5.2.1磋商小组将首先审查每份响应文件是否实质上响应了竞争性磋商文件的要求，实质性响应的响应文件是指响应文件符合竞争性磋商文件规定的实质性内容、条件和规定。</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pStyle w:val="5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5.2.3细微偏离是指响应文件对竞争性磋商文件的非实质性内容存在不完全响应或不响应。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outlineLvl w:val="1"/>
        <w:rPr>
          <w:rFonts w:hint="eastAsia" w:ascii="宋体" w:hAnsi="宋体" w:eastAsia="宋体" w:cs="宋体"/>
          <w:color w:val="auto"/>
          <w:szCs w:val="21"/>
          <w:highlight w:val="none"/>
        </w:rPr>
      </w:pPr>
      <w:bookmarkStart w:id="33" w:name="_Toc7403_WPSOffice_Level2"/>
      <w:bookmarkStart w:id="34" w:name="_Toc28950"/>
      <w:bookmarkStart w:id="35" w:name="_Toc25899_WPSOffice_Level2"/>
      <w:r>
        <w:rPr>
          <w:rFonts w:hint="eastAsia" w:ascii="宋体" w:hAnsi="宋体" w:eastAsia="宋体" w:cs="宋体"/>
          <w:b/>
          <w:bCs/>
          <w:color w:val="auto"/>
          <w:szCs w:val="21"/>
          <w:highlight w:val="none"/>
        </w:rPr>
        <w:t>六、磋商</w:t>
      </w:r>
      <w:bookmarkEnd w:id="33"/>
      <w:bookmarkEnd w:id="34"/>
      <w:bookmarkEnd w:id="3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6.1、符合性评审工作内容：具体详见评审办法。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依据法律法规及竞争性磋商文件的规定，对响应文件中的提供的资格证明材料进行审查，以确定供应商是否具备磋商资格。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6.2、响应文件的澄清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6.2.1磋商小组可要求供应商对响应文件中含义不明确、同类问题表述不一致、有明显的文字和计算错误的内容等进行澄清并做出答复。澄清以通过“政府采购云平台”在线询标的形式进行。要求供应商在规定的时间内作出必要的澄清、说明或者补正，供应商人澄清、说明或补正时间为30分钟以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6.2.2 供应商对响应文件的澄清不得超出响应文件的范围或者改变响应文件的实质性内容。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6.3、错误修正：详见评审办法。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6.4.1 采购人将按相关规定组织磋商小组，对响应文件进行审查、比较和评价。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6.4.2 评审原则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6.4.3评审办法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评审办法详见第三章。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6.5、废标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在采购中，出现下列情形之一的，应予废标：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（1）出现影响采购公正的违法、违规行为的；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（2）符合专业条件的供应商或者对磋商文件作实质响应的供应商不足三家的；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（3）供应商的报价均超过了采购预算，采购人不能支付的；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（4）因重大变故，采购任务取消的。</w:t>
      </w:r>
    </w:p>
    <w:p>
      <w:pPr>
        <w:pStyle w:val="56"/>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
          <w:color w:val="auto"/>
          <w:szCs w:val="21"/>
          <w:highlight w:val="none"/>
        </w:rPr>
        <w:t>电子交易平台无法正常运行，无法保证电子交易的公平、公正和安全的情况。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6.6、确认采购结果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评审结束后，根据磋商小组推荐，采购人按政府采购有关规定确定成交供应商。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在采购人确认采购结果后，采购代理机构按相关政府采购规定将成交结果发布在政府采购网上进行公告，公告期为1个工作日。采购人、采购代理机构及磋商小组对未成交的供应商不作落标原因解释。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6.8、采购过程、采购结果质疑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6.8.1供应商认为采购过程、采购结果使自己的合法权益受到损害的，供应商可以提出书面质疑。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6.8.2质疑书须包括以下内容：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（1）质疑人的名称、地址、邮政编码、联系人、联系电话，以及被质疑人名称及联系方式；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（2）被质疑采购项目名称、编号及采购内容；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（3）具体的质疑事项及事实依据；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（4）认为自己合法权益受到损害或可能受到损害的相关证据材料；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（5）提出质疑的日期。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6.8.3采购过程的质疑期限自各采购程序环节结束之日起计算，7个工作日内向采购代理机构提出，逾期提出不予受理。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采购结果的质疑期限自采购结果公告（包括结果公示、结果变更公告等）之日起计算，7个工作日内向采购代理机构提出，逾期提出不予受理。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6.8.4质疑书中涉及的相关材料中有外文资料的，应当将与质疑相关的外文资料完整、客观、真实地翻译为中文，并注明翻译人员姓名、工作单位、联系方式等信息。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6.8.5质疑书必须署名，由法定代表人签字（或盖章）并加盖单位公章，否则不予受理。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6.8.6质疑书以直接提交、传真或邮寄方式提交（一式三份）。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6.8.7质疑书以传真形式提交后，同时须向采购代理机构提交质疑书原件，采购代理机构以收到原件之日作为收到质疑日。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6.9、发出成交通知书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6.9.1采购人及采购代理机构将以书面形式向成交供应商发出成交通知书。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6.10、签订合同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6.10.1 成交供应商应在接到成交通知书后按成交通知书规定的时间、地点与采购人签订合同。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6.10.2竞争性磋商文件及补充文件、成交供应商的响应文件及磋商修改文件、评审过程中有关澄清文件和成交通知书均作为合同附件。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6.10.3拒签合同的责任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成交供应商接到成交通知书后，在规定时间内借故否认已经承诺的条件而拒签合同者，以磋商违约处理，并赔偿采购人由此造成的直接经济损失。采购人将向政府采购监管部门进行汇报。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6.11、履约保证金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成交供应商在签订合同后按“供应商须知前附表”规定的缴纳履约保证金,</w:t>
      </w:r>
      <w:r>
        <w:rPr>
          <w:rFonts w:hint="eastAsia" w:ascii="宋体" w:hAnsi="宋体" w:eastAsia="宋体" w:cs="宋体"/>
          <w:color w:val="auto"/>
          <w:szCs w:val="21"/>
          <w:highlight w:val="none"/>
          <w:lang w:val="en-US" w:eastAsia="zh-CN"/>
        </w:rPr>
        <w:t>按合同规定</w:t>
      </w:r>
      <w:r>
        <w:rPr>
          <w:rFonts w:hint="eastAsia" w:ascii="宋体" w:hAnsi="宋体" w:eastAsia="宋体" w:cs="宋体"/>
          <w:color w:val="auto"/>
          <w:szCs w:val="21"/>
          <w:highlight w:val="none"/>
        </w:rPr>
        <w:t>退还。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6.12、采购代理服务费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本次采购代理服务费按“供应商须知前附表”规定收取。</w:t>
      </w:r>
    </w:p>
    <w:p>
      <w:pPr>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spacing w:line="1" w:lineRule="exact"/>
        <w:rPr>
          <w:rFonts w:hint="eastAsia" w:ascii="宋体" w:hAnsi="宋体" w:eastAsia="宋体" w:cs="宋体"/>
          <w:color w:val="auto"/>
          <w:sz w:val="20"/>
          <w:szCs w:val="20"/>
          <w:highlight w:val="none"/>
        </w:rPr>
      </w:pPr>
      <w:bookmarkStart w:id="36" w:name="page22"/>
      <w:bookmarkEnd w:id="36"/>
    </w:p>
    <w:p>
      <w:pPr>
        <w:tabs>
          <w:tab w:val="left" w:pos="320"/>
        </w:tabs>
        <w:spacing w:line="366" w:lineRule="exact"/>
        <w:jc w:val="center"/>
        <w:outlineLvl w:val="0"/>
        <w:rPr>
          <w:rFonts w:hint="eastAsia" w:ascii="宋体" w:hAnsi="宋体" w:eastAsia="宋体" w:cs="宋体"/>
          <w:color w:val="auto"/>
          <w:sz w:val="20"/>
          <w:szCs w:val="20"/>
          <w:highlight w:val="none"/>
        </w:rPr>
      </w:pPr>
      <w:bookmarkStart w:id="37" w:name="_Toc944"/>
      <w:bookmarkStart w:id="38" w:name="_Toc5609_WPSOffice_Level1"/>
      <w:r>
        <w:rPr>
          <w:rFonts w:hint="eastAsia" w:ascii="宋体" w:hAnsi="宋体" w:eastAsia="宋体" w:cs="宋体"/>
          <w:b/>
          <w:bCs/>
          <w:color w:val="auto"/>
          <w:sz w:val="32"/>
          <w:szCs w:val="32"/>
          <w:highlight w:val="none"/>
        </w:rPr>
        <w:t>第四章  采购内容及技术要求</w:t>
      </w:r>
      <w:bookmarkEnd w:id="37"/>
      <w:bookmarkEnd w:id="38"/>
    </w:p>
    <w:p>
      <w:pPr>
        <w:rPr>
          <w:rFonts w:hint="eastAsia" w:ascii="宋体" w:hAnsi="宋体" w:eastAsia="宋体" w:cs="宋体"/>
          <w:color w:val="auto"/>
          <w:highlight w:val="none"/>
        </w:rPr>
      </w:pPr>
      <w:bookmarkStart w:id="39" w:name="_Toc1984_WPSOffice_Level2"/>
      <w:bookmarkStart w:id="40" w:name="_Toc17509"/>
      <w:bookmarkStart w:id="41" w:name="_Toc1247_WPSOffice_Level2"/>
      <w:bookmarkStart w:id="42" w:name="_Toc442102512"/>
      <w:bookmarkStart w:id="43" w:name="_Toc519000561"/>
      <w:bookmarkStart w:id="44" w:name="_Toc420505109"/>
      <w:bookmarkStart w:id="45" w:name="_Toc14746_WPSOffice_Level2"/>
    </w:p>
    <w:p>
      <w:pPr>
        <w:pStyle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一、项目概况</w:t>
      </w:r>
      <w:bookmarkEnd w:id="39"/>
      <w:bookmarkEnd w:id="40"/>
      <w:bookmarkEnd w:id="41"/>
    </w:p>
    <w:p>
      <w:pPr>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1、项目简介</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本项目位于杭州科技职业技术学院。本次主要采购内容为</w:t>
      </w:r>
      <w:del w:id="31" w:author="繁华终易逝" w:date="2021-08-24T19:50:30Z">
        <w:r>
          <w:rPr>
            <w:rFonts w:hint="eastAsia" w:ascii="宋体" w:hAnsi="宋体" w:eastAsia="宋体" w:cs="宋体"/>
            <w:color w:val="auto"/>
            <w:szCs w:val="21"/>
            <w:highlight w:val="none"/>
            <w:lang w:eastAsia="zh-CN"/>
          </w:rPr>
          <w:delText>杭州科技职业技术学院汽车综合平台项目</w:delText>
        </w:r>
      </w:del>
      <w:ins w:id="32" w:author="繁华终易逝" w:date="2021-08-24T19:50:30Z">
        <w:r>
          <w:rPr>
            <w:rFonts w:hint="eastAsia" w:ascii="宋体" w:hAnsi="宋体" w:cs="宋体"/>
            <w:color w:val="auto"/>
            <w:szCs w:val="21"/>
            <w:highlight w:val="none"/>
            <w:lang w:eastAsia="zh-CN"/>
          </w:rPr>
          <w:t>汽车工程学院实训基地项目</w:t>
        </w:r>
      </w:ins>
      <w:r>
        <w:rPr>
          <w:rFonts w:hint="eastAsia" w:ascii="宋体" w:hAnsi="宋体" w:eastAsia="宋体" w:cs="宋体"/>
          <w:color w:val="auto"/>
          <w:szCs w:val="21"/>
          <w:highlight w:val="none"/>
        </w:rPr>
        <w:t>，具体内容详见图纸及工程量清单。</w:t>
      </w:r>
    </w:p>
    <w:p>
      <w:pPr>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2、施工工期</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工期为90日历天。</w:t>
      </w:r>
    </w:p>
    <w:p>
      <w:pPr>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3、工程内容</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详见图纸及工程量清单。</w:t>
      </w:r>
    </w:p>
    <w:p>
      <w:pPr>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4、质保期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2年（防水防漏5年，</w:t>
      </w:r>
      <w:r>
        <w:rPr>
          <w:rFonts w:hint="eastAsia" w:ascii="宋体" w:hAnsi="宋体" w:eastAsia="宋体" w:cs="宋体"/>
          <w:color w:val="auto"/>
          <w:spacing w:val="-6"/>
          <w:szCs w:val="21"/>
          <w:highlight w:val="none"/>
        </w:rPr>
        <w:t>技术要求里另有注明的以技术要求为准</w:t>
      </w:r>
      <w:r>
        <w:rPr>
          <w:rFonts w:hint="eastAsia" w:ascii="宋体" w:hAnsi="宋体" w:eastAsia="宋体" w:cs="宋体"/>
          <w:color w:val="auto"/>
          <w:szCs w:val="21"/>
          <w:highlight w:val="none"/>
        </w:rPr>
        <w:t>）</w:t>
      </w:r>
    </w:p>
    <w:p>
      <w:pPr>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5、履约保证金</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（1）成交供应商向采购方提供履约保证金，缴纳方式为：</w:t>
      </w:r>
      <w:r>
        <w:rPr>
          <w:rFonts w:hint="eastAsia" w:ascii="宋体" w:hAnsi="宋体" w:eastAsia="宋体" w:cs="宋体"/>
          <w:color w:val="auto"/>
          <w:highlight w:val="none"/>
          <w:u w:val="single"/>
        </w:rPr>
        <w:t>银行汇票、支票、</w:t>
      </w:r>
      <w:r>
        <w:rPr>
          <w:rFonts w:hint="eastAsia" w:ascii="宋体" w:hAnsi="宋体" w:eastAsia="宋体" w:cs="宋体"/>
          <w:color w:val="auto"/>
          <w:szCs w:val="21"/>
          <w:highlight w:val="none"/>
          <w:u w:val="single"/>
        </w:rPr>
        <w:t>电汇、银行保函</w:t>
      </w:r>
      <w:r>
        <w:rPr>
          <w:rFonts w:hint="eastAsia" w:ascii="宋体" w:hAnsi="宋体" w:eastAsia="宋体" w:cs="宋体"/>
          <w:color w:val="auto"/>
          <w:szCs w:val="21"/>
          <w:highlight w:val="none"/>
        </w:rPr>
        <w:t>。担保额度：合同价的</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%。成交供应商在合同协议签订前3天内，应按合同规定向采购人提交履约保证金。</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（2）如成交供应商原因造成合同中止，履约保证金金不返还。</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（3）如成交供应商不能按磋商承诺和合同要求履约，采购人将有权扣除相应甚至全部履约保证金。</w:t>
      </w:r>
    </w:p>
    <w:p>
      <w:pPr>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6、付款方式</w:t>
      </w:r>
    </w:p>
    <w:p>
      <w:pPr>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地基基础完成之日起30个日历天内，支付合同价款的20%；</w:t>
      </w:r>
    </w:p>
    <w:p>
      <w:pPr>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eastAsia="zh-CN"/>
        </w:rPr>
        <w:t>）</w:t>
      </w:r>
      <w:r>
        <w:rPr>
          <w:rFonts w:hint="eastAsia" w:ascii="宋体" w:hAnsi="宋体" w:eastAsia="宋体" w:cs="宋体"/>
          <w:color w:val="auto"/>
          <w:szCs w:val="21"/>
          <w:highlight w:val="none"/>
        </w:rPr>
        <w:t>钢结构主体结构结顶完成之日起30个日历天内，支付合同价款的40%；</w:t>
      </w:r>
    </w:p>
    <w:p>
      <w:pPr>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工程竣工验收合格后30个日历天内，支付合同价款的25%；</w:t>
      </w:r>
    </w:p>
    <w:p>
      <w:pPr>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工程通过结算审计后30个日历天内，支付至该部分结算总价的90%</w:t>
      </w:r>
    </w:p>
    <w:p>
      <w:pPr>
        <w:spacing w:line="360" w:lineRule="auto"/>
        <w:ind w:firstLine="42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办理不动产登记手续资料齐全后30个日历天内，支付至审计结算总价的100%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但最终支付金额不得超过成交金额，超出部分由成交供应商自行承担；</w:t>
      </w:r>
    </w:p>
    <w:p>
      <w:pPr>
        <w:adjustRightInd/>
        <w:snapToGrid/>
        <w:spacing w:line="360" w:lineRule="auto"/>
        <w:ind w:firstLine="420" w:firstLineChars="0"/>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）履约保证金在工程结算审核完成后转为质量保证金</w:t>
      </w:r>
      <w:r>
        <w:rPr>
          <w:rFonts w:hint="eastAsia" w:ascii="宋体" w:hAnsi="宋体" w:eastAsia="宋体" w:cs="宋体"/>
          <w:color w:val="auto"/>
          <w:szCs w:val="21"/>
          <w:highlight w:val="none"/>
        </w:rPr>
        <w:t>。工程质量保证金在缺陷责任期满后无息退还；</w:t>
      </w:r>
    </w:p>
    <w:p>
      <w:pPr>
        <w:pStyle w:val="4"/>
        <w:rPr>
          <w:rFonts w:hint="eastAsia" w:ascii="宋体" w:hAnsi="宋体" w:eastAsia="宋体" w:cs="宋体"/>
          <w:color w:val="auto"/>
          <w:sz w:val="21"/>
          <w:szCs w:val="21"/>
          <w:highlight w:val="none"/>
        </w:rPr>
      </w:pPr>
      <w:bookmarkStart w:id="46" w:name="_Toc11756"/>
      <w:bookmarkStart w:id="47" w:name="_Toc9286_WPSOffice_Level2"/>
      <w:bookmarkStart w:id="48" w:name="_Toc22756_WPSOffice_Level2"/>
      <w:r>
        <w:rPr>
          <w:rFonts w:hint="eastAsia" w:ascii="宋体" w:hAnsi="宋体" w:eastAsia="宋体" w:cs="宋体"/>
          <w:color w:val="auto"/>
          <w:sz w:val="21"/>
          <w:szCs w:val="21"/>
          <w:highlight w:val="none"/>
        </w:rPr>
        <w:t>二、规范要求</w:t>
      </w:r>
      <w:bookmarkEnd w:id="42"/>
      <w:bookmarkEnd w:id="43"/>
      <w:bookmarkEnd w:id="44"/>
      <w:bookmarkEnd w:id="46"/>
      <w:bookmarkEnd w:id="47"/>
      <w:bookmarkEnd w:id="48"/>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1.依据设计施工图纸和技术文件要求，本工程项目的材料、设备、施工必须</w:t>
      </w:r>
      <w:r>
        <w:rPr>
          <w:rFonts w:hint="eastAsia" w:ascii="宋体" w:hAnsi="宋体" w:eastAsia="宋体" w:cs="宋体"/>
          <w:color w:val="auto"/>
          <w:highlight w:val="none"/>
        </w:rPr>
        <w:t>满足现行相关国家标准、技术规范</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2.各项技术规范由供应商自备，如有不足之处或未能达到国家最新标准时，供应商应使施工及选用的设备和材料符合最新版本的国家标准、规范。</w:t>
      </w:r>
    </w:p>
    <w:p>
      <w:pPr>
        <w:pStyle w:val="4"/>
        <w:rPr>
          <w:rFonts w:hint="eastAsia" w:ascii="宋体" w:hAnsi="宋体" w:eastAsia="宋体" w:cs="宋体"/>
          <w:color w:val="auto"/>
          <w:sz w:val="21"/>
          <w:szCs w:val="21"/>
          <w:highlight w:val="none"/>
        </w:rPr>
      </w:pPr>
      <w:bookmarkStart w:id="49" w:name="_Toc420505110"/>
      <w:bookmarkStart w:id="50" w:name="_Toc442102513"/>
      <w:bookmarkStart w:id="51" w:name="_Toc5922_WPSOffice_Level2"/>
      <w:bookmarkStart w:id="52" w:name="_Toc229386804"/>
      <w:bookmarkStart w:id="53" w:name="_Toc66769195"/>
      <w:bookmarkStart w:id="54" w:name="_Toc519000562"/>
      <w:bookmarkStart w:id="55" w:name="_Toc7970_WPSOffice_Level2"/>
      <w:bookmarkStart w:id="56" w:name="_Toc28373"/>
      <w:r>
        <w:rPr>
          <w:rFonts w:hint="eastAsia" w:ascii="宋体" w:hAnsi="宋体" w:eastAsia="宋体" w:cs="宋体"/>
          <w:color w:val="auto"/>
          <w:sz w:val="21"/>
          <w:szCs w:val="21"/>
          <w:highlight w:val="none"/>
        </w:rPr>
        <w:t>三、施工要求</w:t>
      </w:r>
      <w:bookmarkEnd w:id="49"/>
      <w:bookmarkEnd w:id="50"/>
      <w:bookmarkEnd w:id="51"/>
      <w:bookmarkEnd w:id="52"/>
      <w:bookmarkEnd w:id="53"/>
      <w:bookmarkEnd w:id="54"/>
      <w:bookmarkEnd w:id="55"/>
      <w:bookmarkEnd w:id="56"/>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1、本工程施工严格按照规范要求进行施工，达到各项拟定的设计指标。</w:t>
      </w:r>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2、本工程施工必须严格按照招标说明、工程技术要求及行业规范进行施工，并无条件地接受采购人全方位、全过程的监督管理。</w:t>
      </w:r>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3、所有材料设备必须在检验合格经采购人同意后，方可用于本工程。</w:t>
      </w:r>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4、隐蔽工程必须经采购人检查、验收后，方可进行下一道工序。</w:t>
      </w:r>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5、在免费保修期内，成交供应商对有缺陷的部位必须无偿地给予修理与更换，并承担一切由此引起的对采购人或第三者的直接损失，除非该缺陷是由于人为破坏或合同规定的不可抗因素造成的损坏。</w:t>
      </w:r>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6、成交供应商必须对所承包的工程的质量负全部责任，其责任不因其他材料生产商提供的保证书而减轻或更改。</w:t>
      </w:r>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7、施工时注意做好必要的劳动保护工作。</w:t>
      </w:r>
    </w:p>
    <w:p>
      <w:pPr>
        <w:pStyle w:val="53"/>
        <w:spacing w:before="0" w:beforeLines="0" w:after="0" w:afterLines="0" w:line="360" w:lineRule="auto"/>
        <w:ind w:firstLine="400"/>
        <w:rPr>
          <w:rFonts w:hint="eastAsia" w:ascii="宋体" w:hAnsi="宋体" w:eastAsia="宋体" w:cs="宋体"/>
          <w:color w:val="auto"/>
          <w:sz w:val="21"/>
          <w:highlight w:val="none"/>
        </w:rPr>
      </w:pPr>
      <w:r>
        <w:rPr>
          <w:rFonts w:hint="eastAsia" w:ascii="宋体" w:hAnsi="宋体" w:eastAsia="宋体" w:cs="宋体"/>
          <w:color w:val="auto"/>
          <w:highlight w:val="none"/>
        </w:rPr>
        <w:t>▲</w:t>
      </w:r>
      <w:r>
        <w:rPr>
          <w:rFonts w:hint="eastAsia" w:ascii="宋体" w:hAnsi="宋体" w:eastAsia="宋体" w:cs="宋体"/>
          <w:color w:val="auto"/>
          <w:sz w:val="21"/>
          <w:highlight w:val="none"/>
        </w:rPr>
        <w:t>8、供应商应严格根据图纸及工程量清单施工，如有需要增加的内容，必须先提交采购人进行确认。</w:t>
      </w:r>
    </w:p>
    <w:p>
      <w:pPr>
        <w:pStyle w:val="53"/>
        <w:spacing w:before="0" w:beforeLines="0" w:after="0" w:afterLines="0" w:line="360" w:lineRule="auto"/>
        <w:ind w:firstLine="420"/>
        <w:rPr>
          <w:rFonts w:hint="eastAsia" w:ascii="宋体" w:hAnsi="宋体" w:eastAsia="宋体" w:cs="宋体"/>
          <w:b w:val="0"/>
          <w:color w:val="auto"/>
          <w:kern w:val="0"/>
          <w:sz w:val="21"/>
          <w:highlight w:val="none"/>
          <w:u w:val="none"/>
        </w:rPr>
      </w:pPr>
      <w:r>
        <w:rPr>
          <w:rFonts w:hint="eastAsia" w:ascii="宋体" w:hAnsi="宋体" w:eastAsia="宋体" w:cs="宋体"/>
          <w:b w:val="0"/>
          <w:color w:val="auto"/>
          <w:kern w:val="0"/>
          <w:sz w:val="21"/>
          <w:highlight w:val="none"/>
          <w:u w:val="none"/>
        </w:rPr>
        <w:t>9、施工场地内道路和交通设施由承包人自行解决，各投标单位需要在投标之前自行踏勘施工场地，各投标单位在投标时需要参考本工程实际情况按结合自身施工经验编制施工方案并报价，中标后承包人不能因此提出费用索赔。</w:t>
      </w:r>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b w:val="0"/>
          <w:color w:val="auto"/>
          <w:kern w:val="0"/>
          <w:sz w:val="21"/>
          <w:highlight w:val="none"/>
          <w:u w:val="none"/>
        </w:rPr>
        <w:t>10、投标单位</w:t>
      </w:r>
      <w:r>
        <w:rPr>
          <w:rFonts w:hint="eastAsia" w:ascii="宋体" w:hAnsi="宋体" w:eastAsia="宋体" w:cs="宋体"/>
          <w:color w:val="auto"/>
          <w:kern w:val="0"/>
          <w:sz w:val="21"/>
          <w:highlight w:val="none"/>
        </w:rPr>
        <w:t>已通过现场踏勘充分了解工程现场情况，知道场地平整和临时道路在施工范围内，能够马上组织进行场地清理和临时道路施工，同时熟悉现场新的地形地貌图纸，承诺根据图纸内容实行土方包干。土方堆放在项目施工区域附近由发包人指定的区域，根据发包人要求对堆放土方进行整形修坡，此费用费用含在合同总价中。</w:t>
      </w:r>
    </w:p>
    <w:p>
      <w:pPr>
        <w:pStyle w:val="4"/>
        <w:rPr>
          <w:rFonts w:hint="eastAsia" w:ascii="宋体" w:hAnsi="宋体" w:eastAsia="宋体" w:cs="宋体"/>
          <w:color w:val="auto"/>
          <w:sz w:val="21"/>
          <w:szCs w:val="21"/>
          <w:highlight w:val="none"/>
        </w:rPr>
      </w:pPr>
      <w:bookmarkStart w:id="57" w:name="_Toc420505111"/>
      <w:bookmarkStart w:id="58" w:name="_Toc66769196"/>
      <w:bookmarkStart w:id="59" w:name="_Toc10614_WPSOffice_Level2"/>
      <w:bookmarkStart w:id="60" w:name="_Toc519000563"/>
      <w:bookmarkStart w:id="61" w:name="_Toc442102514"/>
      <w:bookmarkStart w:id="62" w:name="_Toc29299_WPSOffice_Level2"/>
      <w:bookmarkStart w:id="63" w:name="_Toc29259"/>
      <w:bookmarkStart w:id="64" w:name="_Toc229386805"/>
      <w:r>
        <w:rPr>
          <w:rFonts w:hint="eastAsia" w:ascii="宋体" w:hAnsi="宋体" w:eastAsia="宋体" w:cs="宋体"/>
          <w:color w:val="auto"/>
          <w:sz w:val="21"/>
          <w:szCs w:val="21"/>
          <w:highlight w:val="none"/>
        </w:rPr>
        <w:t>四、材料质量要求</w:t>
      </w:r>
      <w:bookmarkEnd w:id="57"/>
      <w:bookmarkEnd w:id="58"/>
      <w:bookmarkEnd w:id="59"/>
      <w:bookmarkEnd w:id="60"/>
      <w:bookmarkEnd w:id="61"/>
      <w:bookmarkEnd w:id="62"/>
      <w:bookmarkEnd w:id="63"/>
      <w:bookmarkEnd w:id="64"/>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1、本工程使用的原材料必须符合设计要求和施工规范的规定。</w:t>
      </w:r>
    </w:p>
    <w:p>
      <w:pPr>
        <w:pStyle w:val="53"/>
        <w:numPr>
          <w:ilvl w:val="1"/>
          <w:numId w:val="0"/>
        </w:numPr>
        <w:tabs>
          <w:tab w:val="left" w:pos="780"/>
        </w:tabs>
        <w:spacing w:before="0" w:beforeLines="0" w:after="0" w:afterLines="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2、实际施工过程中，采购方将严格检查验收进场原材料的合格证及质保书，如发现实样与质保书不符，应立即取样进行复查，对不合格的材料严禁用于本工程。</w:t>
      </w:r>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本工程涉及的主要材料及零星材料，各磋商供应商须根据采购人要求及规范进行选材并报价，所有材料要求采用在行业内有一定知名度的品牌(磋商文件已定品牌的按磋商文件)，材料生产厂家必须通过ISO质量认证，并符合环保要求，严禁选择不合设计要求的低档材料进行投标报价及组织施工实施。</w:t>
      </w:r>
    </w:p>
    <w:p>
      <w:pPr>
        <w:pStyle w:val="53"/>
        <w:spacing w:before="120" w:after="120" w:line="360" w:lineRule="auto"/>
        <w:ind w:firstLine="422"/>
        <w:jc w:val="both"/>
        <w:rPr>
          <w:rFonts w:hint="eastAsia" w:ascii="宋体" w:hAnsi="宋体" w:eastAsia="宋体" w:cs="宋体"/>
          <w:color w:val="auto"/>
          <w:highlight w:val="none"/>
        </w:rPr>
      </w:pPr>
      <w:r>
        <w:rPr>
          <w:rFonts w:hint="eastAsia" w:ascii="宋体" w:hAnsi="宋体" w:eastAsia="宋体" w:cs="宋体"/>
          <w:b/>
          <w:color w:val="auto"/>
          <w:highlight w:val="none"/>
        </w:rPr>
        <w:t>4、主要材料推荐品牌</w:t>
      </w:r>
    </w:p>
    <w:p>
      <w:pPr>
        <w:tabs>
          <w:tab w:val="left" w:pos="300"/>
        </w:tabs>
        <w:adjustRightInd w:val="0"/>
        <w:snapToGrid w:val="0"/>
        <w:spacing w:line="360" w:lineRule="auto"/>
        <w:ind w:firstLine="420" w:firstLineChars="200"/>
        <w:rPr>
          <w:rFonts w:hint="eastAsia" w:ascii="宋体" w:hAnsi="宋体" w:eastAsia="宋体" w:cs="宋体"/>
          <w:b/>
          <w:bCs/>
          <w:color w:val="auto"/>
          <w:szCs w:val="32"/>
          <w:highlight w:val="none"/>
        </w:rPr>
      </w:pPr>
      <w:bookmarkStart w:id="65" w:name="_Toc91422889"/>
      <w:bookmarkStart w:id="66" w:name="_Toc229386806"/>
      <w:bookmarkStart w:id="67" w:name="_Toc519000564"/>
      <w:bookmarkStart w:id="68" w:name="_Toc442102515"/>
      <w:bookmarkStart w:id="69" w:name="_Toc420505112"/>
      <w:r>
        <w:rPr>
          <w:rFonts w:hint="eastAsia" w:ascii="宋体" w:hAnsi="宋体" w:eastAsia="宋体" w:cs="宋体"/>
          <w:b w:val="0"/>
          <w:bCs w:val="0"/>
          <w:color w:val="auto"/>
          <w:sz w:val="21"/>
          <w:szCs w:val="21"/>
          <w:highlight w:val="none"/>
          <w:u w:val="none"/>
          <w:lang w:val="en-US" w:eastAsia="zh-CN"/>
        </w:rPr>
        <w:t>本项目不推荐</w:t>
      </w:r>
      <w:r>
        <w:rPr>
          <w:rFonts w:hint="eastAsia" w:ascii="宋体" w:hAnsi="宋体" w:eastAsia="宋体" w:cs="宋体"/>
          <w:b w:val="0"/>
          <w:color w:val="auto"/>
          <w:sz w:val="21"/>
          <w:highlight w:val="none"/>
        </w:rPr>
        <w:t>品牌</w:t>
      </w:r>
      <w:r>
        <w:rPr>
          <w:rFonts w:hint="eastAsia" w:ascii="宋体" w:hAnsi="宋体" w:eastAsia="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rPr>
        <w:t>按磋商文件及施工图的要求按中高档进行投标报价，并在“ 主要材料品牌一览表“的投标品牌一栏里注明所选材料设备的品牌、规格、型号，若磋商响应供应商没有进行注明的，则采购人有权指定品牌，投标价格不调整。</w:t>
      </w:r>
    </w:p>
    <w:p>
      <w:pPr>
        <w:pStyle w:val="4"/>
        <w:rPr>
          <w:rFonts w:hint="eastAsia" w:ascii="宋体" w:hAnsi="宋体" w:eastAsia="宋体" w:cs="宋体"/>
          <w:color w:val="auto"/>
          <w:sz w:val="21"/>
          <w:szCs w:val="21"/>
          <w:highlight w:val="none"/>
        </w:rPr>
      </w:pPr>
      <w:bookmarkStart w:id="70" w:name="_Toc6474"/>
      <w:bookmarkStart w:id="71" w:name="_Toc3986_WPSOffice_Level2"/>
      <w:bookmarkStart w:id="72" w:name="_Toc5425_WPSOffice_Level2"/>
      <w:r>
        <w:rPr>
          <w:rFonts w:hint="eastAsia" w:ascii="宋体" w:hAnsi="宋体" w:eastAsia="宋体" w:cs="宋体"/>
          <w:color w:val="auto"/>
          <w:sz w:val="21"/>
          <w:szCs w:val="21"/>
          <w:highlight w:val="none"/>
        </w:rPr>
        <w:t>五、工程管理的要求</w:t>
      </w:r>
      <w:bookmarkEnd w:id="65"/>
      <w:bookmarkEnd w:id="66"/>
      <w:bookmarkEnd w:id="67"/>
      <w:bookmarkEnd w:id="68"/>
      <w:bookmarkEnd w:id="69"/>
      <w:bookmarkEnd w:id="70"/>
      <w:bookmarkEnd w:id="71"/>
      <w:bookmarkEnd w:id="72"/>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1、本工程发包范围内的工程项目，未经采购人同意一律不得分包。一经发现立即取消承包资格，作违约处理，并承担由此引起的一切经济损失。</w:t>
      </w:r>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2、成交供应商应严格按已确认施工技术方案组织施工，并无条件地接受采购人代表对施工质量的监督和管理。</w:t>
      </w:r>
    </w:p>
    <w:p>
      <w:pPr>
        <w:pStyle w:val="53"/>
        <w:spacing w:before="0" w:beforeLines="0" w:after="0" w:afterLines="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3、成交供应商在工程施工全过程中要认真做好产品保护。因失窃或失火造成的损失均由承包方负责，凡由此而损及采购人利益时，采购人将向中标施工单位索赔。</w:t>
      </w:r>
    </w:p>
    <w:p>
      <w:pPr>
        <w:pStyle w:val="4"/>
        <w:rPr>
          <w:rFonts w:hint="eastAsia" w:ascii="宋体" w:hAnsi="宋体" w:eastAsia="宋体" w:cs="宋体"/>
          <w:color w:val="auto"/>
          <w:sz w:val="21"/>
          <w:szCs w:val="21"/>
          <w:highlight w:val="none"/>
        </w:rPr>
      </w:pPr>
      <w:bookmarkStart w:id="73" w:name="_Toc6004_WPSOffice_Level2"/>
      <w:bookmarkStart w:id="74" w:name="_Toc17502"/>
      <w:bookmarkStart w:id="75" w:name="_Toc32648_WPSOffice_Level2"/>
      <w:r>
        <w:rPr>
          <w:rFonts w:hint="eastAsia" w:ascii="宋体" w:hAnsi="宋体" w:eastAsia="宋体" w:cs="宋体"/>
          <w:color w:val="auto"/>
          <w:sz w:val="21"/>
          <w:szCs w:val="21"/>
          <w:highlight w:val="none"/>
        </w:rPr>
        <w:t>六、其它要求</w:t>
      </w:r>
      <w:bookmarkEnd w:id="73"/>
      <w:bookmarkEnd w:id="74"/>
      <w:bookmarkEnd w:id="75"/>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lang w:val="en-US" w:eastAsia="zh-CN"/>
        </w:rPr>
        <w:t>1、</w:t>
      </w:r>
      <w:r>
        <w:rPr>
          <w:rFonts w:hint="eastAsia" w:ascii="宋体" w:hAnsi="宋体" w:eastAsia="宋体" w:cs="宋体"/>
          <w:b/>
          <w:bCs/>
          <w:color w:val="auto"/>
          <w:szCs w:val="21"/>
          <w:highlight w:val="none"/>
          <w:u w:val="single"/>
        </w:rPr>
        <w:t>清单中计量单位为“项”的子目请磋商响应供应商自行踏勘现场综合报价，作为专业承包商</w:t>
      </w:r>
      <w:bookmarkStart w:id="76" w:name="page23"/>
      <w:bookmarkEnd w:id="76"/>
      <w:r>
        <w:rPr>
          <w:rFonts w:hint="eastAsia" w:ascii="宋体" w:hAnsi="宋体" w:eastAsia="宋体" w:cs="宋体"/>
          <w:b/>
          <w:bCs/>
          <w:color w:val="auto"/>
          <w:szCs w:val="21"/>
          <w:highlight w:val="none"/>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pPr>
        <w:spacing w:line="360" w:lineRule="auto"/>
        <w:ind w:right="366"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2、成交供应商施工前，要制定详细的施工方案和进度计划，经建设单位批准后方可开工。否则不允许开工，造成工期延误由施工方负责。</w:t>
      </w:r>
    </w:p>
    <w:p>
      <w:pPr>
        <w:spacing w:line="360" w:lineRule="auto"/>
        <w:ind w:right="346"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3、施工过程做好隐蔽工程的验收，每个分项工程、检验批经建设单位验收合格后方可隐蔽。未经隐蔽工程验收就擅自隐蔽，建设单位有权进行剥露检查，发生费用由施工方负责。</w:t>
      </w:r>
    </w:p>
    <w:p>
      <w:pPr>
        <w:spacing w:line="360" w:lineRule="auto"/>
        <w:ind w:right="346"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4、工程中使用材料必须是环保无污染材料，并进行防火处理。进场必须提供合格证和检测报告，按照验收规范要求进行材料复试的，由建设单位抽样进行复试，确保材料符合设计要求，达到防火、环保要求。</w:t>
      </w:r>
    </w:p>
    <w:p>
      <w:pPr>
        <w:spacing w:line="360" w:lineRule="auto"/>
        <w:ind w:right="346"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5、工程中使用材料在施工前，必须向建设单位提供样品、做样板，经建设单位确认后方可施工。否则返工发生费用施工方自付。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6、工程使用材料、设备要建立档案，分部分项工程建立工程验收档案。工程完工后，向建设单位移交工程档案，档案资料不齐全、不符合要求，工程不予结算。</w:t>
      </w:r>
      <w:bookmarkStart w:id="77" w:name="page25"/>
      <w:bookmarkEnd w:id="7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7、工程结束后施工方在自检合格基础上，报建设单位验收。建设单位组织设计、施工相关参与方进行验收，相关设备、仪器等功能检测要求进行现场试验和检测，验收合格方可投入使用。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万元/人/次（发包人要求除外），同时拟更换的人员须经发包人书面同意。</w:t>
      </w:r>
    </w:p>
    <w:p>
      <w:pPr>
        <w:pStyle w:val="4"/>
        <w:rPr>
          <w:rFonts w:hint="eastAsia" w:ascii="宋体" w:hAnsi="宋体" w:eastAsia="宋体" w:cs="宋体"/>
          <w:color w:val="auto"/>
          <w:sz w:val="21"/>
          <w:szCs w:val="21"/>
          <w:highlight w:val="none"/>
        </w:rPr>
      </w:pPr>
      <w:bookmarkStart w:id="78" w:name="_Toc3801_WPSOffice_Level2"/>
      <w:bookmarkStart w:id="79" w:name="_Toc23745_WPSOffice_Level2"/>
      <w:r>
        <w:rPr>
          <w:rFonts w:hint="eastAsia" w:ascii="宋体" w:hAnsi="宋体" w:eastAsia="宋体" w:cs="宋体"/>
          <w:color w:val="auto"/>
          <w:sz w:val="21"/>
          <w:szCs w:val="21"/>
          <w:highlight w:val="none"/>
        </w:rPr>
        <w:t>七、</w:t>
      </w:r>
      <w:bookmarkEnd w:id="45"/>
      <w:bookmarkEnd w:id="78"/>
      <w:bookmarkEnd w:id="79"/>
      <w:r>
        <w:rPr>
          <w:rFonts w:hint="eastAsia" w:ascii="宋体" w:hAnsi="宋体" w:eastAsia="宋体" w:cs="宋体"/>
          <w:color w:val="auto"/>
          <w:sz w:val="21"/>
          <w:szCs w:val="21"/>
          <w:highlight w:val="none"/>
        </w:rPr>
        <w:t>清单编制说明</w:t>
      </w:r>
    </w:p>
    <w:p>
      <w:pPr>
        <w:spacing w:line="360" w:lineRule="auto"/>
        <w:ind w:left="0" w:leftChars="0" w:right="0" w:rightChars="0" w:firstLine="0" w:firstLine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清单编制说明</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一、工程概况</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本工程位于杭州科技职业技术学院，钢结构实训基地办公培训楼一栋，建筑面积约1726㎡，包含钢结构主体、室内装修及安装工程。</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二、编制依据</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建设工程工程量清单计价规范》GB50500-2013；《杭州市建设工程工程量清单计价实施细则》（2018年修订）；《浙江省建设工程计价规则》（2018版）；《浙江省房屋建筑与装饰工程预算定额》（2018版）；《浙江省通用安装工程预算定额》（2018版）；《浙江省建筑工程施工机械台班费用定额》（2018版）；《浙江省建筑安装材料基期价格》（2018版）。</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2.《关于增值税调整后我省建设工程计价依据增值税税率及有关计价调整的通知》（浙建建发〔2019〕92号）。</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3．《杭州造价信息》2021年第7期富阳信息价，《浙江造价信息》2021年第7期信息价;2021年第7期杭州市建设工程人工信息价, 一类138元/工日；二类149元/工日；三类171元/工日。</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4．其他相关文件、解释及法律法规。</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三、取费标准</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(一)通用安装工程</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1.施工组织措施费：按市区工程弹性费率的下限计取，以人工费和机械费为计算基数，总费率为6.47%。</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2.企业管理费、利润：按水、电、暖通、消防、智能、自控及通信安装工程弹性费率下限计取，以人工费和机械费为计算基数，管理费费率为16.29%，利润费率为7.8%。</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3.规费：按水、电、暖通、消防、智能、自控及通信安装工程费率计取，以人工费和机械费为计算基数，费率为30.63%。</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4.税金：以税前工程造价为计算基数，费率为9%。</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(二)房屋建筑与装饰工程</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1.施工组织措施费：按市区工程弹性费率的下限计取，以人工费和机械费为计算基数，总费率为10.13%。</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2.企业管理费、利润：按房屋建筑及构筑物工程弹性费率下限计取，以人工费和机械费为计算基数，管理费费率为12.43%，利润费率为6.08%。</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3.规费：按房屋建筑及构筑物工程费率计取，以人工费和机械费为计算基数，费率为25.78%。</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4.税金：以税前工程造价为计算基数，费率为9%。</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四、编制说明</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1、土方外运暂按1公里考虑。</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2、室外汽车坡道不在本次预算范围内。</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3、室外排水沟不在本次预算范围内。</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4、玻璃幕墙及玻璃幕墙内的门窗不在本次预算范围内，其余门窗计入本次预算。</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5、钢结构连廊不在本次预算范围内。</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6、玻璃栏板不在本次预算范围内。</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7、脚手架主体完成后暂不拆除，待单独幕墙工程完成后拆除。</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8、现场的平台拆除未考虑，暂按土方开挖2057.2立方米考虑计入。</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五、暂定价</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1、室外钢梯一座                      27250元/项</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六、预留金</w:t>
      </w:r>
    </w:p>
    <w:p>
      <w:pPr>
        <w:spacing w:line="360" w:lineRule="auto"/>
        <w:ind w:right="346"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无。</w:t>
      </w:r>
    </w:p>
    <w:p>
      <w:pPr>
        <w:spacing w:line="360" w:lineRule="auto"/>
        <w:ind w:right="346" w:firstLine="420" w:firstLineChars="200"/>
        <w:rPr>
          <w:rFonts w:hint="eastAsia" w:ascii="宋体" w:hAnsi="宋体" w:eastAsia="宋体" w:cs="宋体"/>
          <w:color w:val="auto"/>
          <w:szCs w:val="21"/>
          <w:highlight w:val="none"/>
          <w:lang w:eastAsia="zh-CN"/>
        </w:rPr>
      </w:pPr>
    </w:p>
    <w:p>
      <w:pPr>
        <w:pStyle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八、图纸、工程量清单（另附）</w:t>
      </w:r>
    </w:p>
    <w:p>
      <w:pPr>
        <w:spacing w:line="360" w:lineRule="auto"/>
        <w:rPr>
          <w:rFonts w:hint="eastAsia" w:ascii="宋体" w:hAnsi="宋体" w:eastAsia="宋体" w:cs="宋体"/>
          <w:color w:val="auto"/>
          <w:highlight w:val="none"/>
        </w:rPr>
      </w:pPr>
    </w:p>
    <w:p>
      <w:pPr>
        <w:pStyle w:val="2"/>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tabs>
          <w:tab w:val="left" w:pos="300"/>
        </w:tabs>
        <w:spacing w:line="366" w:lineRule="exact"/>
        <w:jc w:val="center"/>
        <w:outlineLvl w:val="0"/>
        <w:rPr>
          <w:rFonts w:hint="eastAsia" w:ascii="宋体" w:hAnsi="宋体" w:eastAsia="宋体" w:cs="宋体"/>
          <w:color w:val="auto"/>
          <w:sz w:val="20"/>
          <w:szCs w:val="20"/>
          <w:highlight w:val="none"/>
        </w:rPr>
      </w:pPr>
      <w:bookmarkStart w:id="80" w:name="_Toc23564_WPSOffice_Level1"/>
      <w:bookmarkStart w:id="81" w:name="_Toc1627"/>
      <w:r>
        <w:rPr>
          <w:rFonts w:hint="eastAsia" w:ascii="宋体" w:hAnsi="宋体" w:eastAsia="宋体" w:cs="宋体"/>
          <w:b/>
          <w:bCs/>
          <w:color w:val="auto"/>
          <w:sz w:val="32"/>
          <w:szCs w:val="32"/>
          <w:highlight w:val="none"/>
        </w:rPr>
        <w:t>第五章  合同条款</w:t>
      </w:r>
      <w:bookmarkEnd w:id="80"/>
      <w:bookmarkEnd w:id="81"/>
    </w:p>
    <w:p>
      <w:pPr>
        <w:jc w:val="center"/>
        <w:rPr>
          <w:rFonts w:hint="eastAsia" w:ascii="宋体" w:hAnsi="宋体" w:eastAsia="宋体" w:cs="宋体"/>
          <w:b/>
          <w:bCs/>
          <w:color w:val="auto"/>
          <w:sz w:val="32"/>
          <w:szCs w:val="32"/>
          <w:highlight w:val="none"/>
        </w:rPr>
      </w:pPr>
      <w:bookmarkStart w:id="82" w:name="_Toc5198_WPSOffice_Level2"/>
      <w:bookmarkStart w:id="83" w:name="_Toc5281"/>
      <w:bookmarkStart w:id="84" w:name="_Toc359576785"/>
      <w:bookmarkStart w:id="85" w:name="_Toc359576784"/>
      <w:bookmarkStart w:id="86" w:name="_Toc534620501"/>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杭州科技职业技术学院                 项目政府采购合同</w:t>
      </w:r>
      <w:bookmarkEnd w:id="82"/>
      <w:bookmarkEnd w:id="83"/>
    </w:p>
    <w:p>
      <w:pPr>
        <w:pStyle w:val="5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第一节合同协议书</w:t>
      </w:r>
    </w:p>
    <w:p>
      <w:pPr>
        <w:spacing w:line="360" w:lineRule="auto"/>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合同编号:  </w:t>
      </w:r>
    </w:p>
    <w:p>
      <w:pPr>
        <w:spacing w:line="360" w:lineRule="auto"/>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确认书编号： </w:t>
      </w:r>
    </w:p>
    <w:p>
      <w:pPr>
        <w:spacing w:line="360" w:lineRule="auto"/>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甲方（采购人）：杭州科技职业技术学院</w:t>
      </w:r>
    </w:p>
    <w:p>
      <w:pPr>
        <w:spacing w:line="360" w:lineRule="auto"/>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乙方（成交供应商）：  </w:t>
      </w:r>
    </w:p>
    <w:p>
      <w:pPr>
        <w:spacing w:line="360" w:lineRule="auto"/>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鉴证方（采购代理机构）：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签约时间、地点： 年   月    日，杭州科技职业技术学院</w:t>
      </w:r>
    </w:p>
    <w:p>
      <w:pPr>
        <w:spacing w:line="360" w:lineRule="auto"/>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浙江五石工程咨询有限公司 </w:t>
      </w:r>
      <w:r>
        <w:rPr>
          <w:rFonts w:hint="eastAsia" w:ascii="宋体" w:hAnsi="宋体" w:eastAsia="宋体" w:cs="宋体"/>
          <w:color w:val="auto"/>
          <w:szCs w:val="21"/>
          <w:highlight w:val="none"/>
        </w:rPr>
        <w:t>受杭州科技职业技术学院委托代理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，经过竞争性磋商，确定为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成交单位。经协商双方就本采购事项达成以下条款：</w:t>
      </w:r>
    </w:p>
    <w:p>
      <w:pPr>
        <w:spacing w:line="360" w:lineRule="auto"/>
        <w:jc w:val="center"/>
        <w:rPr>
          <w:rFonts w:hint="eastAsia" w:ascii="宋体" w:hAnsi="宋体" w:eastAsia="宋体" w:cs="宋体"/>
          <w:color w:val="auto"/>
          <w:szCs w:val="21"/>
          <w:highlight w:val="none"/>
        </w:rPr>
      </w:pPr>
      <w:bookmarkStart w:id="87" w:name="_Toc11422_WPSOffice_Level2"/>
      <w:r>
        <w:rPr>
          <w:rFonts w:hint="eastAsia" w:ascii="宋体" w:hAnsi="宋体" w:eastAsia="宋体" w:cs="宋体"/>
          <w:color w:val="auto"/>
          <w:szCs w:val="21"/>
          <w:highlight w:val="none"/>
        </w:rPr>
        <w:t>第一节合同协议书</w:t>
      </w:r>
      <w:bookmarkEnd w:id="87"/>
    </w:p>
    <w:p>
      <w:pPr>
        <w:tabs>
          <w:tab w:val="left" w:pos="1134"/>
        </w:tabs>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杭州科技职业技术学院</w:t>
      </w:r>
      <w:r>
        <w:rPr>
          <w:rFonts w:hint="eastAsia" w:ascii="宋体" w:hAnsi="宋体" w:eastAsia="宋体" w:cs="宋体"/>
          <w:color w:val="auto"/>
          <w:szCs w:val="21"/>
          <w:highlight w:val="none"/>
        </w:rPr>
        <w:t>(以下简称“发包人”)为实施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，已接受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(以下简称“承包人”)对该项目施工的投标。发包人和承包人共同达成如下协议。</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1.工程概况：</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1.1工程名称： </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1.2资金来源： </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1.3工程地点： </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1.4承包范围： </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1.5承包方式：</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2.签约合同价：人民币(大写)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3.承包人项目负责人： </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4.工程质量符合</w:t>
      </w:r>
      <w:r>
        <w:rPr>
          <w:rFonts w:hint="eastAsia" w:ascii="宋体" w:hAnsi="宋体" w:eastAsia="宋体" w:cs="宋体"/>
          <w:color w:val="auto"/>
          <w:szCs w:val="21"/>
          <w:highlight w:val="none"/>
          <w:u w:val="single"/>
        </w:rPr>
        <w:t>合格</w:t>
      </w:r>
      <w:r>
        <w:rPr>
          <w:rFonts w:hint="eastAsia" w:ascii="宋体" w:hAnsi="宋体" w:eastAsia="宋体" w:cs="宋体"/>
          <w:color w:val="auto"/>
          <w:szCs w:val="21"/>
          <w:highlight w:val="none"/>
        </w:rPr>
        <w:t>标准。</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5.承包人承诺按合同约定承担工程的实施、完成及缺陷修复。</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6.发包人承诺按合同约定的条件、时间和方式向承包人支付合同价款。</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7.承包人应按照监理人指示开工，工期为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8. 本协议书与下列文件一起构成合同文件</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8.1中标通知书；</w:t>
      </w:r>
    </w:p>
    <w:p>
      <w:pPr>
        <w:tabs>
          <w:tab w:val="left" w:pos="1134"/>
        </w:tabs>
        <w:ind w:left="7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8.2采购文件及其补充文件；</w:t>
      </w:r>
    </w:p>
    <w:p>
      <w:pPr>
        <w:tabs>
          <w:tab w:val="left" w:pos="1134"/>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8.3投标函及投标函附录；</w:t>
      </w:r>
    </w:p>
    <w:p>
      <w:pPr>
        <w:tabs>
          <w:tab w:val="left" w:pos="1134"/>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8.4专用合同条款；</w:t>
      </w:r>
    </w:p>
    <w:p>
      <w:pPr>
        <w:tabs>
          <w:tab w:val="left" w:pos="1134"/>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8.5通用合同条款；</w:t>
      </w:r>
    </w:p>
    <w:p>
      <w:pPr>
        <w:tabs>
          <w:tab w:val="left" w:pos="1134"/>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8.6标准、规范及有关技术文件；</w:t>
      </w:r>
    </w:p>
    <w:p>
      <w:pPr>
        <w:tabs>
          <w:tab w:val="left" w:pos="1134"/>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8.7变更文件；</w:t>
      </w:r>
    </w:p>
    <w:p>
      <w:pPr>
        <w:tabs>
          <w:tab w:val="left" w:pos="1134"/>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8.8已标价工程量清单； </w:t>
      </w:r>
    </w:p>
    <w:p>
      <w:pPr>
        <w:tabs>
          <w:tab w:val="left" w:pos="1134"/>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8.9响应文件；</w:t>
      </w:r>
    </w:p>
    <w:p>
      <w:pPr>
        <w:tabs>
          <w:tab w:val="left" w:pos="1134"/>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8.10其他合同文件。</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9. 上述文件互相补充和解释，如有不明确或不一致之处，以合同约定次序在先者为准。</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10本协议书一</w:t>
      </w:r>
      <w:r>
        <w:rPr>
          <w:rFonts w:hint="eastAsia" w:ascii="宋体" w:hAnsi="宋体" w:eastAsia="宋体" w:cs="宋体"/>
          <w:color w:val="auto"/>
          <w:szCs w:val="21"/>
          <w:highlight w:val="none"/>
          <w:u w:val="single"/>
        </w:rPr>
        <w:t>一式玖份，甲方柒份，乙方壹份，招标代理机构壹份。</w:t>
      </w:r>
    </w:p>
    <w:p>
      <w:pPr>
        <w:spacing w:line="360" w:lineRule="auto"/>
        <w:ind w:left="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11.合同未尽事宜，双方另行签订补充协议。补充协议是合同的组成部分。</w:t>
      </w:r>
    </w:p>
    <w:p>
      <w:pPr>
        <w:spacing w:line="360" w:lineRule="auto"/>
        <w:ind w:left="426"/>
        <w:rPr>
          <w:rFonts w:hint="eastAsia" w:ascii="宋体" w:hAnsi="宋体" w:eastAsia="宋体" w:cs="宋体"/>
          <w:color w:val="auto"/>
          <w:szCs w:val="21"/>
          <w:highlight w:val="none"/>
        </w:rPr>
      </w:pPr>
    </w:p>
    <w:p>
      <w:pPr>
        <w:spacing w:line="360" w:lineRule="auto"/>
        <w:ind w:left="426"/>
        <w:rPr>
          <w:rFonts w:hint="eastAsia" w:ascii="宋体" w:hAnsi="宋体" w:eastAsia="宋体" w:cs="宋体"/>
          <w:color w:val="auto"/>
          <w:szCs w:val="21"/>
          <w:highlight w:val="none"/>
        </w:rPr>
      </w:pPr>
    </w:p>
    <w:p>
      <w:pPr>
        <w:spacing w:line="360" w:lineRule="auto"/>
        <w:ind w:left="426"/>
        <w:rPr>
          <w:rFonts w:hint="eastAsia" w:ascii="宋体" w:hAnsi="宋体" w:eastAsia="宋体" w:cs="宋体"/>
          <w:color w:val="auto"/>
          <w:szCs w:val="21"/>
          <w:highlight w:val="none"/>
        </w:rPr>
      </w:pPr>
    </w:p>
    <w:tbl>
      <w:tblPr>
        <w:tblStyle w:val="20"/>
        <w:tblW w:w="9240" w:type="dxa"/>
        <w:tblInd w:w="288" w:type="dxa"/>
        <w:tblLayout w:type="fixed"/>
        <w:tblCellMar>
          <w:top w:w="0" w:type="dxa"/>
          <w:left w:w="108" w:type="dxa"/>
          <w:bottom w:w="0" w:type="dxa"/>
          <w:right w:w="108" w:type="dxa"/>
        </w:tblCellMar>
      </w:tblPr>
      <w:tblGrid>
        <w:gridCol w:w="4581"/>
        <w:gridCol w:w="4659"/>
      </w:tblGrid>
      <w:tr>
        <w:tblPrEx>
          <w:tblCellMar>
            <w:top w:w="0" w:type="dxa"/>
            <w:left w:w="108" w:type="dxa"/>
            <w:bottom w:w="0" w:type="dxa"/>
            <w:right w:w="108" w:type="dxa"/>
          </w:tblCellMar>
        </w:tblPrEx>
        <w:trPr>
          <w:trHeight w:val="513" w:hRule="atLeast"/>
        </w:trPr>
        <w:tc>
          <w:tcPr>
            <w:tcW w:w="4581" w:type="dxa"/>
            <w:vAlign w:val="bottom"/>
          </w:tcPr>
          <w:p>
            <w:pPr>
              <w:pStyle w:val="57"/>
              <w:tabs>
                <w:tab w:val="left" w:pos="8100"/>
              </w:tabs>
              <w:ind w:left="0" w:right="7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w:t>
            </w:r>
            <w:r>
              <w:rPr>
                <w:rFonts w:hint="eastAsia" w:ascii="宋体" w:hAnsi="宋体" w:eastAsia="宋体" w:cs="宋体"/>
                <w:color w:val="auto"/>
                <w:kern w:val="2"/>
                <w:sz w:val="21"/>
                <w:szCs w:val="21"/>
                <w:highlight w:val="none"/>
                <w:u w:val="single"/>
              </w:rPr>
              <w:t xml:space="preserve">                        (盖章)</w:t>
            </w:r>
          </w:p>
        </w:tc>
        <w:tc>
          <w:tcPr>
            <w:tcW w:w="4659" w:type="dxa"/>
            <w:vAlign w:val="bottom"/>
          </w:tcPr>
          <w:p>
            <w:pPr>
              <w:pStyle w:val="57"/>
              <w:tabs>
                <w:tab w:val="left" w:pos="8100"/>
              </w:tabs>
              <w:ind w:left="0" w:right="7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w:t>
            </w:r>
            <w:r>
              <w:rPr>
                <w:rFonts w:hint="eastAsia" w:ascii="宋体" w:hAnsi="宋体" w:eastAsia="宋体" w:cs="宋体"/>
                <w:color w:val="auto"/>
                <w:kern w:val="2"/>
                <w:sz w:val="21"/>
                <w:szCs w:val="21"/>
                <w:highlight w:val="none"/>
                <w:u w:val="single"/>
              </w:rPr>
              <w:t xml:space="preserve">                         (盖章)</w:t>
            </w:r>
          </w:p>
        </w:tc>
      </w:tr>
      <w:tr>
        <w:tblPrEx>
          <w:tblCellMar>
            <w:top w:w="0" w:type="dxa"/>
            <w:left w:w="108" w:type="dxa"/>
            <w:bottom w:w="0" w:type="dxa"/>
            <w:right w:w="108" w:type="dxa"/>
          </w:tblCellMar>
        </w:tblPrEx>
        <w:trPr>
          <w:trHeight w:val="513" w:hRule="atLeast"/>
        </w:trPr>
        <w:tc>
          <w:tcPr>
            <w:tcW w:w="4581" w:type="dxa"/>
            <w:vAlign w:val="bottom"/>
          </w:tcPr>
          <w:p>
            <w:pPr>
              <w:pStyle w:val="57"/>
              <w:tabs>
                <w:tab w:val="left" w:pos="8100"/>
              </w:tabs>
              <w:ind w:left="0" w:right="7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法定代表人或其委托代理人：</w:t>
            </w:r>
            <w:r>
              <w:rPr>
                <w:rFonts w:hint="eastAsia" w:ascii="宋体" w:hAnsi="宋体" w:eastAsia="宋体" w:cs="宋体"/>
                <w:color w:val="auto"/>
                <w:kern w:val="2"/>
                <w:sz w:val="21"/>
                <w:szCs w:val="21"/>
                <w:highlight w:val="none"/>
                <w:u w:val="single"/>
              </w:rPr>
              <w:t xml:space="preserve">        (签字)</w:t>
            </w:r>
          </w:p>
        </w:tc>
        <w:tc>
          <w:tcPr>
            <w:tcW w:w="4659" w:type="dxa"/>
            <w:vAlign w:val="bottom"/>
          </w:tcPr>
          <w:p>
            <w:pPr>
              <w:pStyle w:val="57"/>
              <w:tabs>
                <w:tab w:val="left" w:pos="8100"/>
              </w:tabs>
              <w:ind w:left="0" w:right="7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法定代表人或其委托代理人</w:t>
            </w:r>
            <w:r>
              <w:rPr>
                <w:rFonts w:hint="eastAsia" w:ascii="宋体" w:hAnsi="宋体" w:eastAsia="宋体" w:cs="宋体"/>
                <w:color w:val="auto"/>
                <w:kern w:val="2"/>
                <w:sz w:val="21"/>
                <w:szCs w:val="21"/>
                <w:highlight w:val="none"/>
                <w:u w:val="single"/>
              </w:rPr>
              <w:t>：       (签字)</w:t>
            </w:r>
          </w:p>
        </w:tc>
      </w:tr>
      <w:tr>
        <w:tblPrEx>
          <w:tblCellMar>
            <w:top w:w="0" w:type="dxa"/>
            <w:left w:w="108" w:type="dxa"/>
            <w:bottom w:w="0" w:type="dxa"/>
            <w:right w:w="108" w:type="dxa"/>
          </w:tblCellMar>
        </w:tblPrEx>
        <w:trPr>
          <w:trHeight w:val="513" w:hRule="atLeast"/>
        </w:trPr>
        <w:tc>
          <w:tcPr>
            <w:tcW w:w="4581" w:type="dxa"/>
            <w:vAlign w:val="bottom"/>
          </w:tcPr>
          <w:p>
            <w:pPr>
              <w:pStyle w:val="57"/>
              <w:tabs>
                <w:tab w:val="left" w:pos="8100"/>
              </w:tabs>
              <w:ind w:left="0" w:right="7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tc>
        <w:tc>
          <w:tcPr>
            <w:tcW w:w="4659" w:type="dxa"/>
            <w:vAlign w:val="bottom"/>
          </w:tcPr>
          <w:p>
            <w:pPr>
              <w:pStyle w:val="57"/>
              <w:tabs>
                <w:tab w:val="left" w:pos="8100"/>
              </w:tabs>
              <w:ind w:left="0" w:right="7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vAlign w:val="bottom"/>
          </w:tcPr>
          <w:p>
            <w:pPr>
              <w:pStyle w:val="57"/>
              <w:tabs>
                <w:tab w:val="left" w:pos="8100"/>
              </w:tabs>
              <w:ind w:left="0" w:right="77"/>
              <w:jc w:val="both"/>
              <w:rPr>
                <w:rFonts w:hint="eastAsia" w:ascii="宋体" w:hAnsi="宋体" w:eastAsia="宋体" w:cs="宋体"/>
                <w:color w:val="auto"/>
                <w:kern w:val="2"/>
                <w:sz w:val="21"/>
                <w:szCs w:val="21"/>
                <w:highlight w:val="none"/>
              </w:rPr>
            </w:pPr>
          </w:p>
          <w:p>
            <w:pPr>
              <w:pStyle w:val="57"/>
              <w:tabs>
                <w:tab w:val="left" w:pos="8100"/>
              </w:tabs>
              <w:ind w:left="0" w:right="77"/>
              <w:jc w:val="both"/>
              <w:rPr>
                <w:rFonts w:hint="eastAsia" w:ascii="宋体" w:hAnsi="宋体" w:eastAsia="宋体" w:cs="宋体"/>
                <w:color w:val="auto"/>
                <w:kern w:val="2"/>
                <w:sz w:val="21"/>
                <w:szCs w:val="21"/>
                <w:highlight w:val="none"/>
              </w:rPr>
            </w:pPr>
          </w:p>
          <w:p>
            <w:pPr>
              <w:pStyle w:val="57"/>
              <w:tabs>
                <w:tab w:val="left" w:pos="8100"/>
              </w:tabs>
              <w:ind w:left="0" w:right="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采购代理机构： </w:t>
            </w:r>
          </w:p>
        </w:tc>
      </w:tr>
      <w:tr>
        <w:tblPrEx>
          <w:tblCellMar>
            <w:top w:w="0" w:type="dxa"/>
            <w:left w:w="108" w:type="dxa"/>
            <w:bottom w:w="0" w:type="dxa"/>
            <w:right w:w="108" w:type="dxa"/>
          </w:tblCellMar>
        </w:tblPrEx>
        <w:trPr>
          <w:gridAfter w:val="1"/>
          <w:wAfter w:w="4659" w:type="dxa"/>
          <w:trHeight w:val="513" w:hRule="atLeast"/>
        </w:trPr>
        <w:tc>
          <w:tcPr>
            <w:tcW w:w="4581" w:type="dxa"/>
            <w:vAlign w:val="bottom"/>
          </w:tcPr>
          <w:p>
            <w:pPr>
              <w:pStyle w:val="57"/>
              <w:tabs>
                <w:tab w:val="left" w:pos="8100"/>
              </w:tabs>
              <w:ind w:left="0" w:right="7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采购代理机构代表：</w:t>
            </w:r>
            <w:r>
              <w:rPr>
                <w:rFonts w:hint="eastAsia" w:ascii="宋体" w:hAnsi="宋体" w:eastAsia="宋体" w:cs="宋体"/>
                <w:color w:val="auto"/>
                <w:kern w:val="2"/>
                <w:sz w:val="21"/>
                <w:szCs w:val="21"/>
                <w:highlight w:val="none"/>
                <w:u w:val="single"/>
              </w:rPr>
              <w:t>（签字）</w:t>
            </w:r>
          </w:p>
        </w:tc>
      </w:tr>
      <w:tr>
        <w:tblPrEx>
          <w:tblCellMar>
            <w:top w:w="0" w:type="dxa"/>
            <w:left w:w="108" w:type="dxa"/>
            <w:bottom w:w="0" w:type="dxa"/>
            <w:right w:w="108" w:type="dxa"/>
          </w:tblCellMar>
        </w:tblPrEx>
        <w:trPr>
          <w:gridAfter w:val="1"/>
          <w:wAfter w:w="4659" w:type="dxa"/>
          <w:trHeight w:val="513" w:hRule="atLeast"/>
        </w:trPr>
        <w:tc>
          <w:tcPr>
            <w:tcW w:w="4581" w:type="dxa"/>
            <w:vAlign w:val="bottom"/>
          </w:tcPr>
          <w:p>
            <w:pPr>
              <w:pStyle w:val="57"/>
              <w:tabs>
                <w:tab w:val="left" w:pos="8100"/>
              </w:tabs>
              <w:ind w:left="0" w:right="7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年    月   日</w:t>
            </w:r>
          </w:p>
        </w:tc>
      </w:tr>
    </w:tbl>
    <w:p>
      <w:pPr>
        <w:pStyle w:val="58"/>
        <w:jc w:val="center"/>
        <w:rPr>
          <w:rFonts w:hint="eastAsia" w:ascii="宋体" w:hAnsi="宋体" w:eastAsia="宋体" w:cs="宋体"/>
          <w:color w:val="auto"/>
          <w:sz w:val="21"/>
          <w:szCs w:val="21"/>
          <w:highlight w:val="none"/>
        </w:rPr>
        <w:sectPr>
          <w:footerReference r:id="rId9" w:type="default"/>
          <w:pgSz w:w="11900" w:h="16838"/>
          <w:pgMar w:top="1440" w:right="1080" w:bottom="1440" w:left="1080" w:header="567" w:footer="567" w:gutter="0"/>
          <w:cols w:equalWidth="0" w:num="1">
            <w:col w:w="9026"/>
          </w:cols>
        </w:sectPr>
      </w:pPr>
      <w:bookmarkStart w:id="88" w:name="_Toc19559"/>
      <w:bookmarkStart w:id="89" w:name="_Toc23766_WPSOffice_Level2"/>
    </w:p>
    <w:p>
      <w:pPr>
        <w:pStyle w:val="5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第二节通用合同条款</w:t>
      </w:r>
      <w:bookmarkEnd w:id="88"/>
      <w:bookmarkEnd w:id="8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一、词语定义及合同文件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1.词语定义</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下列词语除专用条款另有约定外，应具有本条所赋予的定义：</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1.1通用条款：是根据法律、行政法规规定及建设工程施工的需要订方，通用于建设工程施工的条款。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1.2专用条款：是发包人与承包人根据法律、行政法规规定，结合具体工程实际，经协商达成一致意见的条款，是对通用条款的具体化、补充或修改。</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1.3发包人：指在协议书中约定，具有工程发包主体资格和支付工程价款能力的当事人以及取得该当事人资格的合法继承人。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1.4承包人：指在协议书中约定，被发包人接受的具有工程施工承包主体资格的当事人以及取得该当事人资格的合法继承人。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1.5项目经理：指承包人在专用条款中指定的负责施工管理和合同履行的代表。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1.6设计单位：指发包人委托的负责本工程设计并取得相应工程设计资质等级证书的单位。</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1.7监理单位：指发包人委托的负责本工程监理并取得相应工程监理资质等级证书的单位。</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1.8工程师：指本工程监理单位委派的总监理工程师或发包人指定的履行本合同的代表，其具体身份和职权由发包人承包人在专用条款中约定。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1.9工程造价管理部门：指国务院有关部门、县级以上人民政府建设行政主管部门或其委托的工程造价管理机构。</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1.10工程：指发包人承包人在协议书中约定的承包范围内的工程。</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1.11合同价款：指发包人承包人在协议书中约定，发包人用以支付承包人按照合同约定完成承包范围内全部工程并承担质量保修责任的款项。</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1.12追加合同价款：指在合同履行中发生需要增加合同价款的情况，经发包人确认后按计算合同价款的方法增加的合同价款。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1.13费用：指不包含在合同价款之内的应当由发包人或承包人承担的经济支出。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1.14工期；指发包人承包人在协议书中约定，按总日历天数（包括法定节假日）计算的承包天数。</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1.15开工日期：指发包人承包人在协议书中约定，承包人开始施工的绝对或相对的日期。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1.16竣工日期：指发包人承包人在协议书中约定，承包人完成承包范围内工程的绝对或相对的日期。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1.17图纸：指由发包人提供或由承包人提供并经发包人批准，满足承包人施工需要的所有图纸（包括配套说明和有关资料）。</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1.18施工场地：指由发包人提供的用于工程施工的场所以及发包人在图纸中具体指定的供施工使用的任何其他场所。</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1.19书面形式：指合同书、信件和数据电文（包括电报、电传、传真、电子数据交换和电子邮件）等可以有形地表现所载内容的形式。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1.20违约责任：指合同一方不履行合同义务或履行合同义务不符合约定所应承担的责任。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1.21索赔：指在合同履行过程中，对于并非自己的过错，而是应由对方承担责任的情况造成的实际损失，向对方提出经济补偿和（或）工期顺延的要求。</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1.22不可抗力：指不能预见、不能避免并不能克服的客观情况。</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2.合同文件及解释顺序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2.1合同文件应能相互解释，互为说明。除专用条款另有约定外，组成本合同的文件及优先解释顺序如下：</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（1）本合同协议书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（2）中标通知书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（3）投标书及其附件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（4）本合同专用条款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（5）本合同通用条款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（6）标准、规范及有关技术文件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（7）图纸</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（8）工程量清单</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（9）工程报价单或预算书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合同履行中，发包人承包人有关工程的洽商、变更等书面协议或文件视为本合同的组成部分。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2.2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3.语言文字和适用法律、标准及规范</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3.1语言文字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本合同文件使用汉语语言文字书写、解释和说明。如专用条款约定使用两种以上（含两种）语言文字时，汉语应为解释和说明本合同的标准语言文字。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在少数民族地区，双方可以约定使用少数民族语言文字书写和解释、说明本合同。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3.2适用法律和法规</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本合同文件适用国家的法律和行政法规。需要明示的法律、行政法规，由双方在专用条款中约定。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3.3适用标准、规范</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国内没有相应标准、规范的，由发包人按专用条款约定的时间向承包人提出施工技术要求，承包人按约定的时间和要求提出施工工艺，经发包人认可后执行。发包人要求使用国外标准、规范的，应负责提供中文译本。</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本条所发生的购买、翻译标准、规范或制定施工工艺的费用，由发包人承担。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4.图纸</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4.2承包人未经发包人同意，不得将本工程图纸转给第三人。工程质量保修期满后，除承包人存档需要的图纸外，应将全部图纸退还给发包人。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4.3承包人应在施工现场保留一套完整图纸，供工程师及有关人员进行工程检查时使用。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二、双方一般权利和义务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5.工程师</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5.1实行工程监理的，发包人应在实施监理前将委托的监理单位名称、监理内容及监理权限以书面形式通知承包人。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5.4合同履行中，发生影响发包人承包人双方权利或义务的事件时，负责监理的工程师应依据合同在其职权范围内客观公正地进行处理。一方对工程师的处理有异议时，按本通用条款条37条关于争议的约定处理。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5.5除合同内有明确约定或经发包人同意外，负责监理的工程师无权解除本合同约定的承包人的任何权利与义务。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5.6不实行工程监理的，本合同中工程师专指发包人派驻施工场地履行合同的代表，其具体职权由发包人在专用条款内写明。</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6.工程师的委派和指令</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除工程师或工程师代表外，发包人派驻工地的其他人员均无权向承包人发出任何指令。</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本款规定同样适用于由工程师代表发出的指令、通知。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6.3工程师应按合同约定，及时向承包人提供所需指令、批准并履行约定的其他义务。由于工程师未能按合同约定履行义务造成工期延误，发包人应承担延误造成的追加合同价款，并赔偿承包人有关损失，顺延延误的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6.4如需更换工程师，发包人应至少提前7天以书面形式通知承包人，后任继续行使合同文件约定的前任的职权，履行前任的义务。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7.项目经理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7.1项目经理的姓名、职务在专用条款内写明。</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7.2承包人依据合同发出的通知，以书面形式由项目经理签字后送交工程师，工程师在回执上签署姓名和收到时间后生效。</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7.4承包人如需更换项目经理，应至少提前7天以书面形式通知发包人，并征得发包人同意。后任继续行使合同文件约定的前任的职权，履行前任的义务。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7.5发包人可以与承包人协商，建议更换其认为不称职的项目经理。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8.发包人工作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8.1发包人按专用条款约定的内容和时间完成以下工作：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（1）办理土地征用、拆迁补偿、平整施工场地等工作，使施工场地具备施工条件，在开工后继续负责解决以上事项遗留问题；</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（2）将施工所需水、电、电讯线路从施工场地外部接至专用条款约定地点，保证施工期间的需要；</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（3）开通施工场地与城乡公共道路的通道，以及专用条款约定的施工场地内的主要道路，满足施工运输的需要，保证施工期间的畅通；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（4）向承包人提供施工场地的工程地质和地下管线资料，对资料的真实准确性负责；</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（5）办理施工许可证及其他施工所需证件、批件和临时用地、停水、停电、中断道路交通、爆破作业等的申请批准手续（证明承包人自身资质的证件除外）；</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（6）确定水准点与座标控制点，以书面形式交给承包人，进行现场交验；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（7）组织承包人和设计单位进行图纸会审和设计交底；</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（8）协调处理施工场地周围地下管线和邻近建筑物、构筑物（包括文物保护建筑）、古树名木的保护工作，承担有关费用；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8.2发包人可以将8.1款部分工作委托承包人办理，双方在专用条款内约定，其费用由发包人承担。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8.3发包人未能履行8.1款各项义务，导致工期延误或给承包人造成损失的，发包人赔偿承包人有关损失，顺延延误的工期。</w:t>
      </w:r>
    </w:p>
    <w:p>
      <w:pPr>
        <w:spacing w:line="360" w:lineRule="auto"/>
        <w:ind w:firstLine="420" w:firstLineChars="200"/>
        <w:rPr>
          <w:rFonts w:hint="eastAsia" w:ascii="宋体" w:hAnsi="宋体" w:eastAsia="宋体" w:cs="宋体"/>
          <w:color w:val="auto"/>
          <w:szCs w:val="21"/>
          <w:highlight w:val="none"/>
        </w:rPr>
        <w:sectPr>
          <w:pgSz w:w="11900" w:h="16838"/>
          <w:pgMar w:top="1440" w:right="1080" w:bottom="1440" w:left="1080" w:header="567" w:footer="567" w:gutter="0"/>
          <w:cols w:equalWidth="0" w:num="1">
            <w:col w:w="9026"/>
          </w:cols>
        </w:sectPr>
      </w:pPr>
      <w:r>
        <w:rPr>
          <w:rFonts w:hint="eastAsia" w:ascii="宋体" w:hAnsi="宋体" w:eastAsia="宋体" w:cs="宋体"/>
          <w:color w:val="auto"/>
          <w:szCs w:val="21"/>
          <w:highlight w:val="none"/>
        </w:rPr>
        <w:t>（9）发包人应做的其他工作，双方在专用条款内约定。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9.承包人工作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9.1承包人按专用条款约定的内容和时间完成以下工作：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（1）根据发包人委托，在其设计资质等级和业务允许的范围内，完成施工图设计或与工程配套的设计，经工程师确认后使用，发包人承担由此发生的费用；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（2）向工程师提供年、季、月度工程进度计划及相应进度统计报表；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（3）根据工程需要，提供和维修非夜间施工使用的照明、围栏设施，并负责安全保卫；</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（4）按专用条款约定的数量和要求，向发包人提供施工场地办公和生活的房屋及设施，发包人承担由此发生的费用；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（5）遵守政府有关主管部门对施工场地交通、施工噪音以及环境保护和安全生产等的管理规定，按规定办理有关手续，并以书面形式通知发包人，发包人承担由此发生的费用，因承包人责任造成的罚款除外；</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（7）按专用条款约定做好施工场地地下管线和邻近建筑物、构筑物（包括文物保护建筑）、古树名木的保护工作；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（8）保证施工场地清洁符合环境卫生管理的有关规定，交工前清理现场达到专用条款约定的要求，承担因自身原因违反有关规定造成的损失和罚款；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（9）承包人应做的其他工作，双方在专用条款内约定。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9.2承包人未能履行9.1款各项义务，造成发包人损失的，承包人赔偿发包人有关损失。</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三、施工组织设计和工期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10.进度计划</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10.1承包人应按专用条款约定的日期，将施工组织设计和工程进度计划提交工程师，工程师按专用条款约定的时间予以确认或提出修改意见，逾期不确认也不提出书面意见的，视为同意。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10.2群体工程中单位工程分期进行施工的，承包人应按照发包人提供图纸及有关资料的时间，按单位工程编制进度计划，其具体内容双方在专用条款中约定。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11.开工及延期开工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11.2因发包人原因不能按照协议书约定的开工日期开工，工程师应以书面形式通知承包人，推迟开工日期。发包人赔偿承包人因延期开工造成的损失，并相应顺延工期。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12.暂停施工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13.工期延误</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13.1因以下原因造成工期延误，经工程师确认，工期相应顺延：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（1）发包人未能按专用条款的约定提供图纸及开工条件；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（2）发包人未能按约定日期支付工程预付款、进度款，致使施工不能正常进行；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（3）工程师未按合同约定提供所需指令、批准等，致使施工不能正常地行；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（4）设计变更和工程量增加；</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（5）一周内非承包人原因停水、停电、停气造成停工累计超过8小时；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（6）不可抗力；</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（7）专用条款中约定或工程师同意工期顺延的其他情况。</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13.2承包人在13.1款情况发生后14天内，就延误的工期以书面形式向工程师提出报告。工程师在收到报告后14天内予以确认，逾期不予确认也不提出修改意见，视为同意顺延工期。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14工程竣工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14.1承包人必须按照协议书约定的竣工日期或工程师同意顺延的工期竣工。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14.2因承包人原因不能按照协议书约定的竣工日期或工程师同意顺延的工期竣工的，承包人承担违约责任。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四、质量与检验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15.工程质量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15.1工程质量应当达到协议书约定的质量标准，质量标准的评定以国家或行业的质量检验评定标准为依据。因承包人原因工程质量达不到约定的质量标准，承包人承担违约责任。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15.2双方对工程质量有争议，由双方同意的工程质量检测机构鉴定，所需费用及因此造成的损失，由责任方承担。双方均有责任，由双方根据其责任分别承担。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16.检查和返工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16.1承包人应认真按照标准、规范和设计图纸要求以及工程师依据合同发出的指令施工，随时接受工程师的检查检验，为检查检验提供便利条件。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16.3工程师的检查检验不应影响施工正常进行。如影响施工正常进行，检查检验不合格时，影响正常施工的费用由承包人承担。除此之外影响正常施工的追加合同价款由发包人承担，相应顺延工期。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16.4因工程师指令失误或其他非承包人原因发生的追加合同价款，由发包人承担。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17.隐蔽工程和中间验收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17.2工程师不能按时进行验收，应在验收前24小时以书面形式向承包人提出延期要求，延期不能超过48小时。工程师未能按以上时间提出延期要求，不进行验收，承包人可自行组织验收，工程师应承认验收记录。</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17.3经工程师验收，工程质量符合标准、规范和设计图纸等要求，验收24小时后，工程师不在验收记录上签字，视为工程师已经认可验收记录，承包人可进行隐蔽或继续施工。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18.重新检验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19.工程试车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19.1双方约定需要试车的，试车内容应与承包人承包的安装范围相一致。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19.3工程师不能按时参加试车，须在开始试车前24小时以书面形式向承包人提出延期要求，延期不能超过48小时。工程师未能按以上时间提出延期要求，不参加试车，应承认试车记录。</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19.4设备安装工程具备无负荷联动试车条件，发包人组织试车，并在试车前48小时以书面形式通知承包人。通知包括试车内容、时间、地点和对承包人的要求，承包人按要求做好准备工作。试车合格，双方在试车记录上签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19.5双方责任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（1）由于设计原因试车达不到验收要求，发包人应要求设计单位修改设计，承包人按修改后的设计重新安装。发包人承担修改设计、拆除及重新安装的全部费用和追加合同价款，工期相应顺延。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（3）由于承包人施工原因试车达不到验收要求，承包人按工程师要求重新安装和试车，并承担重新安装和试车的费用，工期不予顺延。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（4）试车费用除已包括在合同价款之内或专用条款另有约定外，均由发包人承担。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（5）工程师在试车合格后不在试车记录上签字，试车结束24小时后，视为工程师已经认可试车记录，承包人可继续施工或办理竣工手续。</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19.6投料试车应在工程竣工验收后由发包人负责，如发包人要求在工程竣工验收前进行或需要承包人配合时，应征得承包人同意，另行签订补充协议。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五、安全施工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20.安全施工与检查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20.2发包人应对其在施工场地的工作人员进行安全教育，并对他们的安全负责。发包人不得要求承包人违反安全管理的规定进行施工。因发包人原因导致的安全事故，由发包人承担相应责任及发生的费用。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21.安全防护</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21.1承包人在动力设备、输电线路、地下管道、密封防震车间、易燃易爆地段以及临街交通要道附近施工时，施工开始前应向工程师提出安全防护措施，经工程师认可后实施，防护措施费用由发包人承担。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22.事故处理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22.1发生重大伤亡及其他安全事故，承包人应按有关规定立即上报有关部门并通知工程师，同时按政府有关部门要求处理，由事故责任方承担发生的费用。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22.2发包人承包人对事故责任有争议时，应按政府有关部门的认定处理。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六、合同价款与支付</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23.合同价款及调整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23.1招标工程的合同价款由发包人承包人依据中标通知书中的中标价格在协议书内约定。非招标工程的合同价款由发包人承包人依据工程预算书在协议书内约定。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23.2合同价款在协议书内约定后，任何一方不得擅自改变。下列三种确定合同价款的方式，双方可在专用条款内约定采用其中一种：</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（1）固定价格合同。双方在专用条款内约定合同价款包含的风险范围和风险费用的计算方法，在约定的风险范围内合同价款不再调整。风险范围以外的合同价款调整方法，应当在专用条款内约定。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（2）可调价格合同。合同价款可根据双方的约定而调整，双方在专用条款内约定合同价款调整方法。</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（3）成本加酬金合同。合同价款包括成本和酬金两部分，双方在专用条款内约定成本构成和酬金的计算方法。</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23.3可调价格合同中合同价款的调整因素包括：</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（1）法律、行政法规和国家有关政策变化影响合同价款；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（2）工程造价管理部门公布的价格调整；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（3）一周内非承包人原因停水、停电、停气造成停工累计超过8时；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（4）双方约定的其他因素。</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24.工程预付款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25.工程量的确认</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25.2工程师收到承包人报告后７天内未进行计量，从第8天起，承包人报告中开列的工程量即视为被确认，作为工程价款支付的依据。工程师不按约定时间通知承包人，致使承包人未能参加计量，计量结果无效。</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25.3对承包人超出设计图纸范围和因承包人原因造成返工的工程量，工程师不予计量。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26.工程款（进度款）支付</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26.1在确认计量结果后14天内，发包人应向承包人支付工程款（进度款）。按约定时间发包人应扣回的预付款，与工程款（进度款）同期结算。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26.2本通用条款第23条确定调整的合同价款，第31条工程变更调整的合同价款及其他条款中约定的追加合同价款，应与工程款（进度款）同期调整支付。</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26.4发包人不按合同约定支付工程款（进度款），双方又未达成延期付款协议，导致施工无法进行，承包人可停止施工，由发包人承担违约责任。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七、材料设备供应</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27.发包人供应材料设备</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27.1实行发包人供应材料设备的，双方应当约定发包人供应材料设备的一览表，作为本合同附件（附件2）。一览表包括发包人供应材料设备的品种、规格、型号、数量、单价、质量等级、提供时间和地点。</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27.2发包人按一览表约定的内容提供材料设备，并向承包人提供产品合格证明，对其质量负责。发包人在所供材料设备到货前24小时，以书面形式通知承包人，由承包人派人与发包人共同清点。</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27.3发包人供应的材料设备，承包人派人参加清点后由承包人妥善保管，发包人支付相应保管费用。因承包人原因发生丢失损坏，由承包人负责赔偿。</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发包人未通知承包人清点，承包人不负责材料设备的保管，丢失损坏由发包人负责。</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27.4发包人供应的材料设备与一览表不符时，发包人承担有关责任。发包人应承担责任的具体内容，双方根据下列情况在专用条款内约定：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（1）材料设备单价与一览表不符，由发包人承担所有价差；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（2）材料设备的品种、规格、型号、质量等级与一览表不符，承包人可拒绝接收保管，由发包人运出施工场地并重新采购；</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（3）发包人供应的材料规格、型号与一览表不符，经发包人同意，承包人可代为调剂串换，由发包人承担相应费用；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（4）到货地点与一览表不符，由发包人负责运至一览表指定地点；</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（5）供应数量少于一览表约定的数量时，由发包人补齐，多于一览表约定数量时，发包人负责将多出部分运出施工场地；</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（6）到货时间早于一览表约定时间，由发包人承担因此发生的保管费用；到货时间迟于一览表约定的供应时间，发包人赔偿由此造成的承包人损失，造成工期延误的，相应顺延工期；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27.5发包人供应的材料设备使用前，由承包人负责检验或试验，不合格的不得使用，检验或试验费用由发包人承担。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27.6发包人供应材料设备的结算方法，双方在专用条款内约定。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28.承包人采购材料设备</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28.1承包人负责采购材料设备的，应按照专用条款约定及设计和有关标准要求采购，并提供产品合格证明，对材料设备质量负责。承包人在材料设备到货前24小时通知工程师清点。</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28.2承包人采购的材料设备与设计或标准要求不符时，承包人应按工程师要求的时间运出施工场地，重新采购符合要求的产品，承担由此发生的费用，由此延误的工期不予顺延。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28.3承包人采购的材料设备在使用前，承包人应按工程师的要求进行检验或试验，不合格的不得使用，检验或试验费用由承包人承担。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28.4工程师发现承包人采购并使用不符合设计和标准要求的材料设备时，应要求承包人负责修复、拆除或重新采购，由承包人承担发生的费用，由此延误的工期不予顺延。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28.5承包人需要使用代用材料时，应经工程师认可后才能使用，由此增减的合同价款双方以书面形式议定。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28.6由承包人采购的材料设备，发包人不得指定生产厂或供应商。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八、工程变更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29.工程设计变更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（1）更改工程有关部分的标高、基线、位置和尺寸；</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（2）增减合同中约定的工程量；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（3）改变有关工程的施工时间和顺序；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（4）其他有关工程变更需要的附加工作。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因变更导致合同价款的增减及造成的承包人损失，由发包人承担，延误的工期相应顺延。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29.2施工中承包人不得对原工程设计进行变更。因承包人擅自变更设计发生的费用和由此导致发包人的直接损失，由承包人承担，延误的工期不予顺延。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工程师同意采用承包人合理化建议，所发生的费用和获得的收益，发包人承包人另行约定分担或分享。</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30.其他变更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合同履行中发包人要求变更工程质量标准及发生其他实质性变更，由双方协商解决。</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31.确定变更价款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31.1承包人在工程变更确定后14天内，提出变更工程价款的报告，经工程师确认后调整合同价款。变更合同价款按下列方法进行：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（1）合同中已有适用于变更工程的价格，按合同已有的价格变更合同价款；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（2）合同中只有类似于变更工程的价格，可以参照类似价格变更合同价款；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（3）合同中没有适用或类似于变更工程的价格，由承包人提出适当的变更价格，经工程师确认后执行。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31.2承包人在双方确定变更后14天内不向工程师提出变更工程价款报告时，视为该项变更不涉及合同价款的变更。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31.3工程师应在收到变更工程价款报告之日起14天内予以确认，工程师无正当理由不确认时，自变更工程价款报告送达之日起14天后视为变更工程价款报告已被确认。</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31.4工程师不同意承包人提出的变更价款，按本通用条款第37条关于争议的约定处理。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31.5工程师确认增加的工程变更价款作为追加合同价款，与工程款同期支付。</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31.6因承包人自身原因导致的工程变更，承包人无权要求追加合同价款。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九、竣工验收与结算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32.竣工验收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32.1工程具备竣工验收条件，承包人按国家工程竣工验收有关规定，向发包人提供完整竣工资料及竣工验收报告。双方约定由承包人提供竣工图的，应当在专用条款内约定提供的日期和份数。</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32.2发包人收到竣工验收报告后28天内组织有关单位验收，并在验收后14天内给予认可或提出修改意见。承包人按要求修改，并承担由自身原因造成修改的费用。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32.3发包人收到承包人送交的竣工验收报告后28天内不组织验收，或验收后14天内不提出修改意见，视为竣工验收报告已被认可。</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32.4工程竣工验收通过，承包人送交竣工验收报告的日期为实际竣工日期。工程按发包人要求修改后通过竣工验收的，实际竣工日期为承包人修改后提请发包人验收的日期。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32.5发包人收到承包人竣工验收报告后28天内不组织验收，从第29天起承担工程保管及一切意外责任。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32.6中间交工工程的范围和竣工时间，双方在专用条款内约定，其验收程序按本通用条款32.1款至32.4款办理。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32.7因特殊原因，发包人要求部分单位工程或工程部位甩项竣工的，双方另行签订甩项竣工协议，明确双方责任和工程价款的支付方法。</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32.8工程未经竣工验收或竣工验收未通过的，发包人不得使用。发包人强行使用时，由此发生的质量问题及其他问题，由发包人承担责任。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33.竣工结算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33.1工程竣工验收报告经发包人认可后28天内，承包人向发包人递交竣工结算报告及完整的结算资料，双方按照协议书约定的合同价款及专用条款约定的合同价款调整内容，进行工程竣工结算。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33.3发包人收到竣工结算报告及结算资料后28天内无正当理由不支付工程竣工结算价款，从第29天起按承包人同期向银行贷款利率支付拖欠工程价款的利息，并承担违约责任。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33.6发包人承包人对工程竣工结算价款发生争议时，按本通用条款第37条关于争议的约定处理。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34.质量保修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34.1承包人应按法律、行政法规或国家关于工程质量保修的有关规定，对交付发包人使用的工程在质量保修期内承担质量保修责任。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34.2质量保修工作的实施。承包人应在工程竣工验收之前，与发包人签订质量保修书，作为本合同附件（附件3）。</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34.3质量保修书的主要内容包括：</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（1）质量保修项目内容及范围；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（2）质理保修期；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（3）质量保修责任；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（4）质量保修金的支付方法。</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十、违约、索赔和争议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35.违约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35.1发包人违约。当发生下列情况时：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（1）本通用条款第24条提到的发包人不按时支付工程预付款；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（2）本通用条款第26.4款提到的发包人不按合同约定支付工程款，导致施工无法进行；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（3）本通用条款第33.3款提到的发包人无正当理由不支付工程竣工结算价款；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（4）发包人不履行合同义务或不按合同约定履行义务的其他情况。</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发包人承担违约责任，赔偿因其违约给承包人造成的经济损失，顺延延误的工期。双方在专用条款内约定发包人赔偿承包人损失的计算方法或者发包人应当支付违约金的数额或计算方法。</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35.2承包人违约。当发生下列情况时：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（1）本通用条款第14.2款提到的因承包人原因不能按照协议书约定的竣工日期或工程师同意顺延的工期竣工；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（2）本通用条款第15.1款提到的因承包人原因工程质量达不到协议书约定的质量标准；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（3）承包人不履行合同义务或不按合同约定履行义务的其他情况。</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承包人承担违约责任，赔偿因其违约给发包人造成的损失。双方在专用条款内约定承包人赔偿发包人损失的计算方法或者承包人应当支付违约金的数额或计算方法。</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35.3一方违约后，另一方要求违约方继续履行合同时，违约方承担上述违约责任后仍应继续履行合同。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36.索赔</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36.1当一方向另一方提出索赔时，要有正当索赔理由，且有索赔事件发生时的有效证据。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（1）索赔事件发生后28天内，向工程师发出索赔意向通知；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（2）发出索赔意向通知后28天内，向工程师提出延长工期和（或）补偿经济损失的索赔报告及有关资料；</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（3）工程师在收到承包人送交的索赔报告和有关资料后，于28天内给予答复，或要求承包人进一步补充索赔理由和证据；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（4）工程师在收到承包人送交的索赔报告和有关资料后28天内未予答复或未对承包人作进一步要求，视为该项索赔已经认可；</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（5）当该索赔事件持续进行时，承包人应当阶段性向工程师发出索赔意向，在索赔事件终了后28天内，向工程师送交索赔的有关资料和最终索赔报告。索赔答复程序与（3）、（4）规定相同。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36.3承包人未能按合同约定履行自己的各项义务或发生错误，给发包人造成经济损失，发包人可按36.2款确定的时限向承包人提出索赔。</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37.争议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37.1发包人承包人在履行合同时发生争议，可以和解或者要求有关主管部门调解。当事人不愿和解、调解或者和解、调解不成的，双方可以在专用条款内约定以下一种方式解决争议：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第一种解决方式：双方达成仲裁协议，向约定的仲裁委员会申请仲裁；</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第二种解决方式；向有管辖权的人民法院起诉。</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37.2发生争议后，除非出现下列情况的，双方都应继续履行合同，保持施工连续，保护好已完工程：</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（1）单方违约导致合同确已无法履行，双方协议停止施工；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（2）调解要求停止施工，且为双方接受；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（3）仲裁机构要求停止施工；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（4）法院要求停止施工。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十一、其他</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38.工程分包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38.1承包人按专用条款的约定分包所承包的部分工程，并与分包单位签订分包合同。非经发包人同意，承包人不得将承包工程的任何部分分包。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38.2承包人不得将其承包的全部工程转包给他人，也不得将其承包的全部工程肢解以后以分包的名义分别转包给他人。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38.3工程分包不能解除承包人任何责任与义务。承包人应在分包场地派驻相应管理人员，保证本合同的履行。分包单位的任何违约行为或疏忽导致工程损害或给发包人造成其他损失，承包人承担连带责任。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38.4分包工程价款由承包人与分包单位结算。发包人未经承包人同意不得以任何形式向分包单位支付各种工程款项。</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39.不可抗力</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39.1不可抗力包括因战争、动乱、空中飞行物体坠落或其他非发包人承包人责任造成的爆炸、火灾，以及专用条款约定的风、雨、雪、洪、震等自然灾害。</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39.3因不可抗力事件导致的费用及延误的工期由双方按以下方法分别承担：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（1）工程本身的损害、因工程损害导致第三人人员伤亡和财产损失以及运至施工场地用于施工的材料和待安装的设备的损害，由发包人承担；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（2）发包人承包人人员伤亡由其所在单位负责，并承担相应费用；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（3）承包人机械设备损坏及停工损失，由承包人承担；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（4）停工期间，承包人应工程师要求留在施工场地的必要的管理人员及保卫人员的费用由发包人承担；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（5）工程所需清理、修复费用，由发包人承担；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（6）延误的工期相应顺延。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39.4因合同一方迟延履行合同后发生不可抗力的，不能免除迟延履行方的相应责任。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40.保险</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40.1工程开工前，发包人为建设工程和施工场地内的自有人员及第三人人员生命财产办理保险，支付保险费用。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40.2运至施工场地内用于工程的材料和待安装设备，由发包人办理保险，并支付保险费用。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40.3发包人可以将有关保险事项委托承包人办理，费用由发包人承担。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40.4承包人必须为从事危险作业的职工办理意外伤害保险，并为施工场地内自有人员生命财产和施工机械设备办理保险，支付保险费用。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40.5保险事故发生时，发包人承包人有责任尽力采取必要的措施，防止或者减少损失。</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40.6具体投保内容和相关责任，发包人承包人在专用条款中约定。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41.担保</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41.1发包人承包人为了全面履行合同，应互相提供以下担保：</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（1）发包人向承包人提供履约保证金，按合同约定支付工程价款及履行合同约定的其他义务。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（2）承包人向发包人提供履约保证金，按合同约定履行自己的各项义务。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41.2一方违约后，另一方可要求提供担保的第三人承担相应责任。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41.3提供担保的内容、方式和相关责任，发包人承包人除在专用条款中约定外，被担保方与担保方还应签订担保合同，作为本合同附件。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42.专利技术及特殊工艺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42.1发包人要求使用专利技术或特殊工艺，应负责办理相应的申报手续，承担申报、试验、使用等费用；承包人提出使用专利技术或特殊工艺，应取得工程师认可，承包人负责办理申报手续并承担有关费用。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42.2擅自使用专利技术侵犯他人专利权的，责任者依法承担相应责任。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43.文物和地下障碍物</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如发现后隐瞒不报，致使文物遭受破坏，责任者依法承担相应责任。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43.2施工中发现影响施工的地下障碍物时，承包人应于8小时内以书面形式通知工程师，同时提出处置方案，工程师收到处置方案后24小时内予以认可或提出修正方案。发包人承担由此发生的费用，顺延延误的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所发现的地下障碍物有归属单位时，发包人应报请有关部门协同处置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44.合同解除</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44.1发包人承包人协商一致，可以解除合同。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44.2发生本通用条款第26.4款情况，停止施工超过56天，发包人仍不支付工程款（进度款），承包人有权解除合同。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44.3发生本通用条款第38.2款禁止的情况，承包人将其承包的全部工程转包给他人或者肢解以后以分包的包义分别转包给他人，发包人有权解除合同。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44.4有下列情形之一的，发包人承包人可以解除合同：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（1）因不可抗力致使合同无法履行；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（2）因一方违约（包括因发包人原因造成工程停建或缓建）致使合同无法履行。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44.5一方依据44.2、44.3、44.4款约定要求解除合同的，应以书面形式向对方发出解除合同的通知，并在发出通知前7天告知对方，通知到达对方时合同解除。对解除合同有争议的，按本通用条款第37条关于争议的约定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44.7合同解除后，不影响双方在合同中约定的结算和清理条款的效力。</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45.合同生效与终止</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45.1双方在协议书中约定合同生效方式。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45.2除本通用条款第34条外，发包人承包人履行合同全部义务，竣工结算价款支付完毕，承包人向发包人交付竣工工程后，本合同即告终止。</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45.3合同的权利义务终止后，发包人承包人应当遵循诚实信用原则，履行通知、协助、保密等义务。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46.合同份数</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46.1本合同正本两份，具有同等效力，由发包人承包人分别保存一份。</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46.2本合同副本份数，由双方根据需要在专用条款内约定。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47.补充条款。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双方根据有关法律、行政法规规定，结合工程实际，经协商一致后，可对本通用条款内容具体化、补充或修改，在专用条款内约定。</w:t>
      </w:r>
    </w:p>
    <w:p>
      <w:pPr>
        <w:pStyle w:val="58"/>
        <w:jc w:val="center"/>
        <w:rPr>
          <w:rFonts w:hint="eastAsia" w:ascii="宋体" w:hAnsi="宋体" w:eastAsia="宋体" w:cs="宋体"/>
          <w:color w:val="auto"/>
          <w:sz w:val="21"/>
          <w:szCs w:val="21"/>
          <w:highlight w:val="none"/>
        </w:rPr>
      </w:pPr>
      <w:bookmarkStart w:id="90" w:name="_Toc5417"/>
      <w:bookmarkStart w:id="91" w:name="_Toc18917_WPSOffice_Level2"/>
      <w:r>
        <w:rPr>
          <w:rFonts w:hint="eastAsia" w:ascii="宋体" w:hAnsi="宋体" w:eastAsia="宋体" w:cs="宋体"/>
          <w:color w:val="auto"/>
          <w:sz w:val="21"/>
          <w:szCs w:val="21"/>
          <w:highlight w:val="none"/>
        </w:rPr>
        <w:t>第三节专用合同条款</w:t>
      </w:r>
      <w:bookmarkEnd w:id="90"/>
      <w:bookmarkEnd w:id="9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一、词语定义及合同文件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2．合同文件及解释顺序</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合同文件组成及解释顺序：（1）</w:t>
      </w:r>
      <w:r>
        <w:rPr>
          <w:rFonts w:hint="eastAsia" w:ascii="宋体" w:hAnsi="宋体" w:eastAsia="宋体" w:cs="宋体"/>
          <w:color w:val="auto"/>
          <w:szCs w:val="21"/>
          <w:highlight w:val="none"/>
          <w:u w:val="single"/>
        </w:rPr>
        <w:t>本合同协议书（2）中标通知书（3）本合同专用条款（4）补充协议（5）采购文件及附件（6）响应文件及附件（7）本合同通用条款（8）技术标准及规范等。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3.语言文字和适用法律、标准及规范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本合同除使用汉语外，还使用</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语言文字。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3.2适用法律和法规</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需要明示的法律、行政法规：</w:t>
      </w:r>
      <w:r>
        <w:rPr>
          <w:rFonts w:hint="eastAsia" w:ascii="宋体" w:hAnsi="宋体" w:eastAsia="宋体" w:cs="宋体"/>
          <w:color w:val="auto"/>
          <w:szCs w:val="21"/>
          <w:highlight w:val="none"/>
          <w:u w:val="single"/>
        </w:rPr>
        <w:t>《中华人民共和国建筑法》、《中华人民共和国民法典》、《中华人民共和国招标投标法》、《中华人民共和国安全生产法》、《建筑工程质量管理条例》、《建设工程安全生产管理条例》及现行相关法律、法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3.3适用标准、规范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适用标准、规范的名称：</w:t>
      </w:r>
      <w:r>
        <w:rPr>
          <w:rFonts w:hint="eastAsia" w:ascii="宋体" w:hAnsi="宋体" w:eastAsia="宋体" w:cs="宋体"/>
          <w:color w:val="auto"/>
          <w:szCs w:val="21"/>
          <w:highlight w:val="none"/>
          <w:u w:val="single"/>
        </w:rPr>
        <w:t>现行的国家、地方和行业质量标准、规范、《建筑工程施工质量验收统一标准GB50300-2013》。</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发包人提供标准、规范的时间：</w:t>
      </w:r>
      <w:r>
        <w:rPr>
          <w:rFonts w:hint="eastAsia" w:ascii="宋体" w:hAnsi="宋体" w:eastAsia="宋体" w:cs="宋体"/>
          <w:color w:val="auto"/>
          <w:szCs w:val="21"/>
          <w:highlight w:val="none"/>
          <w:u w:val="single"/>
        </w:rPr>
        <w:t>本合同签订之日。</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国内没有相应标准、规范的约定：</w:t>
      </w:r>
      <w:r>
        <w:rPr>
          <w:rFonts w:hint="eastAsia" w:ascii="宋体" w:hAnsi="宋体" w:eastAsia="宋体" w:cs="宋体"/>
          <w:color w:val="auto"/>
          <w:szCs w:val="21"/>
          <w:highlight w:val="none"/>
          <w:u w:val="single"/>
        </w:rPr>
        <w:t>按地方、行业协会及企业标准、规范、规定、经发包人、承包人双方确认后执行。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4．图纸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4.1发包人向承包人提供图纸日期和套数：</w:t>
      </w:r>
      <w:r>
        <w:rPr>
          <w:rFonts w:hint="eastAsia" w:ascii="宋体" w:hAnsi="宋体" w:eastAsia="宋体" w:cs="宋体"/>
          <w:color w:val="auto"/>
          <w:szCs w:val="21"/>
          <w:highlight w:val="none"/>
          <w:u w:val="single"/>
        </w:rPr>
        <w:t xml:space="preserve">    开工前提供蓝图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发包人对图纸的保密要求：</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使用国外图纸的要求及费用承担：/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二、双方一般权利和义务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5.2监理单位委派的工程师</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姓名：         职务：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发包人委托的职权：</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需要取得发包人批准才能行使的职权：</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5.3发包人派驻的工程师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5.6工程师的职权：</w:t>
      </w:r>
      <w:r>
        <w:rPr>
          <w:rFonts w:hint="eastAsia" w:ascii="宋体" w:hAnsi="宋体" w:eastAsia="宋体" w:cs="宋体"/>
          <w:color w:val="auto"/>
          <w:szCs w:val="21"/>
          <w:highlight w:val="none"/>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7．项目负责人</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8.1发包人应按约定的时间和要求完成以下工作：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（1）施工场地具备施工条件的要求及完成的时间：</w:t>
      </w:r>
      <w:r>
        <w:rPr>
          <w:rFonts w:hint="eastAsia" w:ascii="宋体" w:hAnsi="宋体" w:eastAsia="宋体" w:cs="宋体"/>
          <w:color w:val="auto"/>
          <w:szCs w:val="21"/>
          <w:highlight w:val="none"/>
          <w:u w:val="single"/>
        </w:rPr>
        <w:t>已具备。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（2）将施工所需的水、电、电讯线路接至施工场地的时间、地点和供应要求：</w:t>
      </w:r>
      <w:r>
        <w:rPr>
          <w:rFonts w:hint="eastAsia" w:ascii="宋体" w:hAnsi="宋体" w:eastAsia="宋体" w:cs="宋体"/>
          <w:color w:val="auto"/>
          <w:szCs w:val="21"/>
          <w:highlight w:val="none"/>
          <w:u w:val="single"/>
        </w:rPr>
        <w:t>发包人提供施工所需的水、电、电讯线路的接入口，承包人负责安装单独计量表接入，产生的水电等一切费用由承包人自行承担，并另行向发包人支付。如无法安装水电表，则按规定将从工程款中扣除水电费（按定额含量扣除）</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（3）施工场地与公共道路的通道开通时间和要求：</w:t>
      </w:r>
      <w:r>
        <w:rPr>
          <w:rFonts w:hint="eastAsia" w:ascii="宋体" w:hAnsi="宋体" w:eastAsia="宋体" w:cs="宋体"/>
          <w:color w:val="auto"/>
          <w:szCs w:val="21"/>
          <w:highlight w:val="none"/>
          <w:u w:val="single"/>
        </w:rPr>
        <w:t>已开通。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（4）工程地质和地下管线资料的提供时间：</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（5）由发包人办理的施工所需证件、批件的名称和完成时间：</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（6）水准点与座标控制点交验要求：</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（7）图纸会审和设计交底时间：</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（8）协调处理施工场地周围地下管线和邻近建筑物、构筑物（含文物保护建筑）、古树名木的保护工作.</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（9）双方约定发包工应做的其他工作：</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8.2发包人委托承包人办理的工作：</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9．承包人工作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9.1承包人应按约定时间和要求，完成以下工作：</w:t>
      </w:r>
    </w:p>
    <w:p>
      <w:pPr>
        <w:spacing w:line="360" w:lineRule="auto"/>
        <w:ind w:left="120" w:leftChars="57" w:firstLine="333" w:firstLineChars="15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（1）需由设计资质等级和业务范围允许的承包人完成的设计文件提交时间：</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（2）应提供计划、报表的名称及完成时间：</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（3）承担施工安全保卫工作及非夜间施工照明的责任和要求：</w:t>
      </w:r>
      <w:r>
        <w:rPr>
          <w:rFonts w:hint="eastAsia" w:ascii="宋体" w:hAnsi="宋体" w:eastAsia="宋体" w:cs="宋体"/>
          <w:color w:val="auto"/>
          <w:szCs w:val="21"/>
          <w:highlight w:val="none"/>
          <w:u w:val="single"/>
        </w:rPr>
        <w:t>承包人施工过程中负责安全保卫，确保场内人员及过路行人的安全。</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（4）向发包人提供的办公和生活房屋及设施的要求：</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（5）需承包人办理的有关施工场地交通、环卫和施工噪音管理等手续：</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（6）已完工程成品保护的特殊要求及费用承担：</w:t>
      </w:r>
      <w:r>
        <w:rPr>
          <w:rFonts w:hint="eastAsia" w:ascii="宋体" w:hAnsi="宋体" w:eastAsia="宋体" w:cs="宋体"/>
          <w:color w:val="auto"/>
          <w:szCs w:val="21"/>
          <w:highlight w:val="none"/>
          <w:u w:val="single"/>
        </w:rPr>
        <w:t>在未竣工验收交货前，成品保护及费用均由承包人承担。</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（7）施工场地周围地下管线和邻近建筑物、构筑物（含文物保护建筑）、古树名木的保护要求及费用承担：</w:t>
      </w:r>
      <w:r>
        <w:rPr>
          <w:rFonts w:hint="eastAsia" w:ascii="宋体" w:hAnsi="宋体" w:eastAsia="宋体" w:cs="宋体"/>
          <w:color w:val="auto"/>
          <w:szCs w:val="21"/>
          <w:highlight w:val="none"/>
          <w:u w:val="single"/>
        </w:rPr>
        <w:t>由承包人负责保护并承担费用。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（8）施工场地清洁卫生的要求：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每天清扫一次，现场公共部位的清洁工作，工程完工后2天内现场应清除所有不再需要的临时工程，承包人的设备和多余材料，全部建筑和生活垃圾。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（9）双方约定承包人应做的其他工作：</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施工期间，休息时段（早、中、晚）施工场地应不影响学校正常通行。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三、施工组织设计和工期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10．进度计划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10.1承包人提供施工组织设计（施工方案）和进度计划的时间：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开工前       3       天提交施工组织设计，并同时提交进度计划。</w:t>
      </w:r>
    </w:p>
    <w:p>
      <w:pPr>
        <w:spacing w:line="360" w:lineRule="auto"/>
        <w:ind w:firstLine="420" w:firstLineChars="200"/>
        <w:rPr>
          <w:rFonts w:hint="eastAsia" w:ascii="宋体" w:hAnsi="宋体" w:eastAsia="宋体" w:cs="宋体"/>
          <w:i/>
          <w:iCs/>
          <w:color w:val="auto"/>
          <w:szCs w:val="21"/>
          <w:highlight w:val="none"/>
          <w:u w:val="single"/>
        </w:rPr>
      </w:pPr>
      <w:r>
        <w:rPr>
          <w:rFonts w:hint="eastAsia" w:ascii="宋体" w:hAnsi="宋体" w:eastAsia="宋体" w:cs="宋体"/>
          <w:color w:val="auto"/>
          <w:szCs w:val="21"/>
          <w:highlight w:val="none"/>
        </w:rPr>
        <w:t>工程师确认的时间：</w:t>
      </w:r>
      <w:r>
        <w:rPr>
          <w:rFonts w:hint="eastAsia" w:ascii="宋体" w:hAnsi="宋体" w:eastAsia="宋体" w:cs="宋体"/>
          <w:color w:val="auto"/>
          <w:szCs w:val="21"/>
          <w:highlight w:val="none"/>
          <w:u w:val="single"/>
        </w:rPr>
        <w:t>收到完整资料后一周。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10.2群体工程中有关进度计划的要求：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13．工期延误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13.1双方约定工期顺延的其他情况：</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遇不可抗力情况，国家法规规定可顺延条件及发包人责任引起的工期延误，经承包人申报，发包人批准后，可顺延工期。设计变更或者甲方原因引起的延期。</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非上述原因引起的工期延误，3天以内的按3000元人民币/天扣除工期延误费，3天以上的，则以上天数按5000元人民币/天计算。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四、质量与验收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17.隐蔽工程和中间验收</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17.1双方约定中间验收部位：</w:t>
      </w:r>
      <w:r>
        <w:rPr>
          <w:rFonts w:hint="eastAsia" w:ascii="宋体" w:hAnsi="宋体" w:eastAsia="宋体" w:cs="宋体"/>
          <w:color w:val="auto"/>
          <w:szCs w:val="21"/>
          <w:highlight w:val="none"/>
          <w:u w:val="single"/>
        </w:rPr>
        <w:t>由建设单位跟踪验收，总体工程质量符合《工程施工质量验收规范GB50300-2013》标准。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19．工程试车</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19.5试车费用的承担：</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五、安全施工</w:t>
      </w:r>
    </w:p>
    <w:p>
      <w:pPr>
        <w:adjustRightInd w:val="0"/>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六、合同价款与支付</w:t>
      </w:r>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23．合同价款及调整</w:t>
      </w:r>
    </w:p>
    <w:p>
      <w:pPr>
        <w:autoSpaceDE/>
        <w:autoSpaceDN/>
        <w:adjustRightIn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23.2</w:t>
      </w:r>
      <w:r>
        <w:rPr>
          <w:rFonts w:hint="eastAsia" w:ascii="宋体" w:hAnsi="宋体" w:eastAsia="宋体" w:cs="宋体"/>
          <w:bCs/>
          <w:color w:val="auto"/>
          <w:szCs w:val="21"/>
          <w:highlight w:val="none"/>
        </w:rPr>
        <w:t>本合同价款采用</w:t>
      </w:r>
      <w:r>
        <w:rPr>
          <w:rFonts w:hint="eastAsia" w:ascii="宋体" w:hAnsi="宋体" w:eastAsia="宋体" w:cs="宋体"/>
          <w:bCs/>
          <w:color w:val="auto"/>
          <w:szCs w:val="21"/>
          <w:highlight w:val="none"/>
          <w:u w:val="single"/>
        </w:rPr>
        <w:t xml:space="preserve">  (1)  </w:t>
      </w:r>
      <w:r>
        <w:rPr>
          <w:rFonts w:hint="eastAsia" w:ascii="宋体" w:hAnsi="宋体" w:eastAsia="宋体" w:cs="宋体"/>
          <w:bCs/>
          <w:color w:val="auto"/>
          <w:szCs w:val="21"/>
          <w:highlight w:val="none"/>
        </w:rPr>
        <w:t>方式确定。</w:t>
      </w:r>
    </w:p>
    <w:p>
      <w:pPr>
        <w:autoSpaceDE/>
        <w:autoSpaceDN/>
        <w:adjustRightInd/>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(1)采用固定总价合同，合同价款中包括的风险范围: ①工程量清单并按现场踏勘实际情况包干；②由承包人承担的工、料、机在响应编制期或预算书编制期与合同实施期间所发生的市场价格波动；③连续8小时及以上的停水、电、气；④政策性的调整；⑤技术措施费；⑥有经验的承包商应该可以预料的风险；⑦施工图（如有）虽未明确表示但按国家规范必须实施的内容；⑧采购文件明确要求包干的内容。</w:t>
      </w:r>
    </w:p>
    <w:p>
      <w:pPr>
        <w:autoSpaceDE w:val="0"/>
        <w:autoSpaceDN w:val="0"/>
        <w:adjustRightIn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风险费用的计算方法:以上风险费用已在投标报价时考虑，不再另行计取。如因此而造成停工、罢工的，除按工期有关条款外，还须没收全部履约保证金，罚没的保证金归甲方所有(在工程款中扣除〉。</w:t>
      </w:r>
    </w:p>
    <w:p>
      <w:pPr>
        <w:autoSpaceDE w:val="0"/>
        <w:autoSpaceDN w:val="0"/>
        <w:adjustRightIn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风险范围以外合同价款调整方法:</w:t>
      </w:r>
      <w:r>
        <w:rPr>
          <w:rFonts w:hint="eastAsia" w:ascii="宋体" w:hAnsi="宋体" w:eastAsia="宋体" w:cs="宋体"/>
          <w:b/>
          <w:bCs/>
          <w:color w:val="auto"/>
          <w:szCs w:val="21"/>
          <w:highlight w:val="none"/>
          <w:u w:val="single"/>
        </w:rPr>
        <w:t>本项目需要进行结算审计，最终支付金额需按审定价及成交价为依据，且最多只能支付到成交价（即如果审定价超出成交价，超出部分不予支付，由供应商自行承担；审定价低于成交价的，支付到审定价）</w:t>
      </w:r>
      <w:r>
        <w:rPr>
          <w:rFonts w:hint="eastAsia" w:ascii="宋体" w:hAnsi="宋体" w:eastAsia="宋体" w:cs="宋体"/>
          <w:color w:val="auto"/>
          <w:szCs w:val="21"/>
          <w:highlight w:val="none"/>
          <w:u w:val="single"/>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（2）采用可调价格合同，合同价款调整方法：</w:t>
      </w:r>
      <w:r>
        <w:rPr>
          <w:rFonts w:hint="eastAsia" w:ascii="宋体" w:hAnsi="宋体" w:eastAsia="宋体" w:cs="宋体"/>
          <w:color w:val="auto"/>
          <w:szCs w:val="21"/>
          <w:highlight w:val="none"/>
          <w:lang w:val="en-US" w:eastAsia="zh-CN"/>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（3）采用成本加酬金合同，有关成本和酬金的约定：</w:t>
      </w:r>
      <w:r>
        <w:rPr>
          <w:rFonts w:hint="eastAsia" w:ascii="宋体" w:hAnsi="宋体" w:eastAsia="宋体" w:cs="宋体"/>
          <w:color w:val="auto"/>
          <w:szCs w:val="21"/>
          <w:highlight w:val="none"/>
          <w:lang w:val="en-US" w:eastAsia="zh-CN"/>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23.3双方约定合同价款的其他调整因素：</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24．工程预付款及安全文明施工费</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预付款</w:t>
      </w:r>
      <w:r>
        <w:rPr>
          <w:rFonts w:hint="eastAsia" w:ascii="宋体" w:hAnsi="宋体" w:eastAsia="宋体" w:cs="宋体"/>
          <w:color w:val="auto"/>
          <w:szCs w:val="21"/>
          <w:highlight w:val="none"/>
        </w:rPr>
        <w:t>及安全文明施工费</w:t>
      </w:r>
      <w:r>
        <w:rPr>
          <w:rFonts w:hint="eastAsia" w:ascii="宋体" w:hAnsi="宋体" w:eastAsia="宋体" w:cs="宋体"/>
          <w:color w:val="auto"/>
          <w:szCs w:val="21"/>
          <w:highlight w:val="none"/>
          <w:u w:val="single"/>
        </w:rPr>
        <w:t>支付比例或金额：  合同款的20%  。</w:t>
      </w:r>
    </w:p>
    <w:p>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预付款</w:t>
      </w:r>
      <w:r>
        <w:rPr>
          <w:rFonts w:hint="eastAsia" w:ascii="宋体" w:hAnsi="宋体" w:eastAsia="宋体" w:cs="宋体"/>
          <w:color w:val="auto"/>
          <w:szCs w:val="21"/>
          <w:highlight w:val="none"/>
        </w:rPr>
        <w:t>及安全文明施工费</w:t>
      </w:r>
      <w:r>
        <w:rPr>
          <w:rFonts w:hint="eastAsia" w:ascii="宋体" w:hAnsi="宋体" w:eastAsia="宋体" w:cs="宋体"/>
          <w:color w:val="auto"/>
          <w:szCs w:val="21"/>
          <w:highlight w:val="none"/>
          <w:u w:val="single"/>
        </w:rPr>
        <w:t>支付期限：建设工程施工许可证办理完成后，承包人的关键设备和主要人员必须到达施工现场，并经监理工程师核实、发包人（含代建人）书面批准，发包人向承包人支付预付款</w:t>
      </w:r>
      <w:r>
        <w:rPr>
          <w:rFonts w:hint="eastAsia" w:ascii="宋体" w:hAnsi="宋体" w:eastAsia="宋体" w:cs="宋体"/>
          <w:color w:val="auto"/>
          <w:szCs w:val="21"/>
          <w:highlight w:val="none"/>
        </w:rPr>
        <w:t>及安全文明施工费</w:t>
      </w:r>
      <w:r>
        <w:rPr>
          <w:rFonts w:hint="eastAsia" w:ascii="宋体" w:hAnsi="宋体" w:eastAsia="宋体" w:cs="宋体"/>
          <w:color w:val="auto"/>
          <w:szCs w:val="21"/>
          <w:highlight w:val="none"/>
          <w:u w:val="single"/>
        </w:rPr>
        <w:t>为合同款的20%。</w:t>
      </w:r>
    </w:p>
    <w:p>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预付款</w:t>
      </w:r>
      <w:r>
        <w:rPr>
          <w:rFonts w:hint="eastAsia" w:ascii="宋体" w:hAnsi="宋体" w:eastAsia="宋体" w:cs="宋体"/>
          <w:color w:val="auto"/>
          <w:szCs w:val="21"/>
          <w:highlight w:val="none"/>
        </w:rPr>
        <w:t>及安全文明施工费</w:t>
      </w:r>
      <w:r>
        <w:rPr>
          <w:rFonts w:hint="eastAsia" w:ascii="宋体" w:hAnsi="宋体" w:eastAsia="宋体" w:cs="宋体"/>
          <w:color w:val="auto"/>
          <w:szCs w:val="21"/>
          <w:highlight w:val="none"/>
          <w:u w:val="single"/>
        </w:rPr>
        <w:t>扣回的方式：工程预付款</w:t>
      </w:r>
      <w:r>
        <w:rPr>
          <w:rFonts w:hint="eastAsia" w:ascii="宋体" w:hAnsi="宋体" w:eastAsia="宋体" w:cs="宋体"/>
          <w:color w:val="auto"/>
          <w:szCs w:val="21"/>
          <w:highlight w:val="none"/>
        </w:rPr>
        <w:t>及安全文明施工费</w:t>
      </w:r>
      <w:r>
        <w:rPr>
          <w:rFonts w:hint="eastAsia" w:ascii="宋体" w:hAnsi="宋体" w:eastAsia="宋体" w:cs="宋体"/>
          <w:color w:val="auto"/>
          <w:szCs w:val="21"/>
          <w:highlight w:val="none"/>
          <w:u w:val="single"/>
        </w:rPr>
        <w:t>在发包人支付给承包人的第一期、第二期、第三期工程款中扣回，每期扣回工程预付款的30%、30%、40%，扣完为止。</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25．工程量确认</w:t>
      </w:r>
    </w:p>
    <w:p>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25.1承包人向工程师提交已完工程量报告的时间：</w:t>
      </w:r>
      <w:r>
        <w:rPr>
          <w:rFonts w:hint="eastAsia" w:ascii="宋体" w:hAnsi="宋体" w:eastAsia="宋体" w:cs="宋体"/>
          <w:color w:val="auto"/>
          <w:szCs w:val="21"/>
          <w:highlight w:val="none"/>
          <w:u w:val="single"/>
        </w:rPr>
        <w:t>每月25日前承包方向发包方提交已完成工程量报告。</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26．工程款（进度款）支付</w:t>
      </w:r>
    </w:p>
    <w:p>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双方约定的工程款（进度款）支付的方式和时间：</w:t>
      </w:r>
      <w:r>
        <w:rPr>
          <w:rFonts w:hint="eastAsia" w:ascii="宋体" w:hAnsi="宋体" w:eastAsia="宋体" w:cs="宋体"/>
          <w:color w:val="auto"/>
          <w:szCs w:val="21"/>
          <w:highlight w:val="none"/>
          <w:lang w:val="en-US" w:eastAsia="zh-CN"/>
        </w:rPr>
        <w:t xml:space="preserve">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（1）地基基础完成之日起30个日历天内，支付合同价款的20%；</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（2）钢结构主体结构结顶完成之日起30个日历天内，支付合同价款的40%；</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（3）工程竣工验收合格后30个日历天内，支付合同价款的25%；</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（4）工程通过结算审计后30个日历天内，支付至该部分结算总价的90%</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（5）办理不动产登记手续资料齐全后30个日历天内，支付至审计结算总价的100%，但最终支付金额不得超过成交金额，超出部分由成交供应商自行承担；</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（6）履约保证金在工程结算审核完成后转为质量保证金。工程质量保证金在缺陷责任期满后无息退还；</w:t>
      </w:r>
    </w:p>
    <w:p>
      <w:pPr>
        <w:spacing w:line="240" w:lineRule="auto"/>
        <w:ind w:firstLine="0" w:firstLineChars="0"/>
        <w:rPr>
          <w:rFonts w:hint="eastAsia" w:ascii="宋体" w:hAnsi="宋体" w:eastAsia="宋体" w:cs="宋体"/>
          <w:color w:val="auto"/>
          <w:szCs w:val="22"/>
          <w:highlight w:val="none"/>
        </w:rPr>
      </w:pPr>
    </w:p>
    <w:p>
      <w:pPr>
        <w:adjustRightInd w:val="0"/>
        <w:snapToGrid w:val="0"/>
        <w:spacing w:line="360" w:lineRule="auto"/>
        <w:ind w:firstLine="420" w:firstLineChars="200"/>
        <w:rPr>
          <w:rFonts w:hint="eastAsia" w:ascii="宋体" w:hAnsi="宋体" w:eastAsia="宋体" w:cs="宋体"/>
          <w:snapToGrid w:val="0"/>
          <w:color w:val="auto"/>
          <w:sz w:val="11"/>
          <w:szCs w:val="11"/>
          <w:highlight w:val="none"/>
        </w:rPr>
      </w:pP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lang w:val="en-US" w:eastAsia="zh-CN"/>
        </w:rPr>
        <w:t>7</w:t>
      </w: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rPr>
        <w:t>甲方凭乙方递交的支付申请书及发票进行付款，如乙方未递交支付申请书及发票的，甲方有权暂缓付款。甲方凭乙方递交</w:t>
      </w:r>
      <w:r>
        <w:rPr>
          <w:rFonts w:hint="eastAsia" w:ascii="宋体" w:hAnsi="宋体" w:eastAsia="宋体" w:cs="宋体"/>
          <w:snapToGrid w:val="0"/>
          <w:color w:val="auto"/>
          <w:szCs w:val="21"/>
          <w:highlight w:val="none"/>
          <w:lang w:val="zh-CN"/>
        </w:rPr>
        <w:t>正规发票、甲方开据的履约保证金收款凭证复印件和验收</w:t>
      </w:r>
      <w:r>
        <w:rPr>
          <w:rFonts w:hint="eastAsia" w:ascii="宋体" w:hAnsi="宋体" w:eastAsia="宋体" w:cs="宋体"/>
          <w:snapToGrid w:val="0"/>
          <w:color w:val="auto"/>
          <w:szCs w:val="21"/>
          <w:highlight w:val="none"/>
        </w:rPr>
        <w:t>合格报告进行付款，如乙方递交材料不齐，甲方有权暂缓付款。</w:t>
      </w:r>
    </w:p>
    <w:p>
      <w:pPr>
        <w:adjustRightInd w:val="0"/>
        <w:snapToGrid w:val="0"/>
        <w:spacing w:line="360"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lang w:val="en-US" w:eastAsia="zh-CN"/>
        </w:rPr>
        <w:t>8</w:t>
      </w: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rPr>
        <w:t>以上合同款的具体支付时间以建设单位审核及支付时间为准。由于建设单位审核流程致使付款延迟的，不视作甲方违约。</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七、材料设备供应</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27．发包人供应材料设计</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27.4发包人供应的材料设备与一览表不符时，双方约定发包人承担责任如下：</w:t>
      </w:r>
    </w:p>
    <w:p>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（1）材料设备单价与一览表不符：</w:t>
      </w:r>
      <w:r>
        <w:rPr>
          <w:rFonts w:hint="eastAsia" w:ascii="宋体" w:hAnsi="宋体" w:eastAsia="宋体" w:cs="宋体"/>
          <w:color w:val="auto"/>
          <w:szCs w:val="21"/>
          <w:highlight w:val="none"/>
          <w:u w:val="single"/>
        </w:rPr>
        <w:t xml:space="preserve">  /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（2）材料设备的品种、规格、型号、质量等级与一览表不符：</w:t>
      </w:r>
      <w:r>
        <w:rPr>
          <w:rFonts w:hint="eastAsia" w:ascii="宋体" w:hAnsi="宋体" w:eastAsia="宋体" w:cs="宋体"/>
          <w:color w:val="auto"/>
          <w:szCs w:val="21"/>
          <w:highlight w:val="none"/>
          <w:u w:val="single"/>
        </w:rPr>
        <w:t xml:space="preserve">  /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（3）承包人可代为调剂串换的材料：</w:t>
      </w:r>
      <w:r>
        <w:rPr>
          <w:rFonts w:hint="eastAsia" w:ascii="宋体" w:hAnsi="宋体" w:eastAsia="宋体" w:cs="宋体"/>
          <w:color w:val="auto"/>
          <w:szCs w:val="21"/>
          <w:highlight w:val="none"/>
          <w:u w:val="single"/>
        </w:rPr>
        <w:t xml:space="preserve">  /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（4）到货地点与一览表不符：</w:t>
      </w:r>
      <w:r>
        <w:rPr>
          <w:rFonts w:hint="eastAsia" w:ascii="宋体" w:hAnsi="宋体" w:eastAsia="宋体" w:cs="宋体"/>
          <w:color w:val="auto"/>
          <w:szCs w:val="21"/>
          <w:highlight w:val="none"/>
          <w:u w:val="single"/>
        </w:rPr>
        <w:t xml:space="preserve">  /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（5）供应数量与一览表不符：</w:t>
      </w:r>
      <w:r>
        <w:rPr>
          <w:rFonts w:hint="eastAsia" w:ascii="宋体" w:hAnsi="宋体" w:eastAsia="宋体" w:cs="宋体"/>
          <w:color w:val="auto"/>
          <w:szCs w:val="21"/>
          <w:highlight w:val="none"/>
          <w:u w:val="single"/>
        </w:rPr>
        <w:t xml:space="preserve">  /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（6）到货时间与一览表不符：</w:t>
      </w:r>
      <w:r>
        <w:rPr>
          <w:rFonts w:hint="eastAsia" w:ascii="宋体" w:hAnsi="宋体" w:eastAsia="宋体" w:cs="宋体"/>
          <w:color w:val="auto"/>
          <w:szCs w:val="21"/>
          <w:highlight w:val="none"/>
          <w:u w:val="single"/>
        </w:rPr>
        <w:t xml:space="preserve">  /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27.6发包人供应材料设备的结算方法：</w:t>
      </w:r>
      <w:r>
        <w:rPr>
          <w:rFonts w:hint="eastAsia" w:ascii="宋体" w:hAnsi="宋体" w:eastAsia="宋体" w:cs="宋体"/>
          <w:color w:val="auto"/>
          <w:szCs w:val="21"/>
          <w:highlight w:val="none"/>
          <w:u w:val="single"/>
        </w:rPr>
        <w:t xml:space="preserve">  /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28．承包人采购材料设备</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28.1承包人采购材料设备的约定：</w:t>
      </w:r>
    </w:p>
    <w:p>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由承包人自行采购，所有材料均应有合格证和质保书，并符合国家规定的技术标准和设计要求。施工前须经发包方验收。承包人使用不合格产品无条件返工，并承担发包人由此造成的损失。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八、工程变更</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设计变更必须经设计单位确认；因工程变更而产生的新增减工程量，经发包人工程联系单盖章签复意见后，方可作为决算依据。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九、竣工验收与结算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具备竣工验收条件，承包人按国家工程验收有关规定，向发包人提供完整竣工资料及竣工验收报告；工程价款结算最终以审计部门审定结果为支付依据。在竣工验收后一个月内提交完整的结算资料送交发包人审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32．竣工验收</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32.1承包人提供竣工图的约定：</w:t>
      </w:r>
      <w:r>
        <w:rPr>
          <w:rFonts w:hint="eastAsia" w:ascii="宋体" w:hAnsi="宋体" w:eastAsia="宋体" w:cs="宋体"/>
          <w:color w:val="auto"/>
          <w:szCs w:val="21"/>
          <w:highlight w:val="none"/>
          <w:u w:val="single"/>
        </w:rPr>
        <w:t>工程竣工验收一个月内提交发包方完整的竣工图伍套、技术资料伍套及全套电子文档一份，并按富阳区城建档案馆资料归档要求整理（含工程施工过程的声像资料一套），如资料不符合归档要求，需档案馆重新整理，费用由承包人承担。3、竣工资料递交档案馆过程中发生的一切费用由承包人承担，并负责归档一切手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32.6中间交工工程的范围和竣工时间：</w:t>
      </w:r>
      <w:r>
        <w:rPr>
          <w:rFonts w:hint="eastAsia" w:ascii="宋体" w:hAnsi="宋体" w:eastAsia="宋体" w:cs="宋体"/>
          <w:color w:val="auto"/>
          <w:szCs w:val="21"/>
          <w:highlight w:val="none"/>
          <w:u w:val="single"/>
        </w:rPr>
        <w:t>按签订工程合同为准。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十、违约、索赔和争议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35．违约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35.1本合同中关于发包人违约的具体责任如下：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本合同通用条款第24条约定发包人违约应承担的违约责任：</w:t>
      </w:r>
      <w:r>
        <w:rPr>
          <w:rFonts w:hint="eastAsia" w:ascii="宋体" w:hAnsi="宋体" w:eastAsia="宋体" w:cs="宋体"/>
          <w:color w:val="auto"/>
          <w:szCs w:val="21"/>
          <w:highlight w:val="none"/>
          <w:u w:val="single"/>
        </w:rPr>
        <w:t>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本合同通用条款第26.4 款约定发包人违约应承担的违约责任：</w:t>
      </w:r>
      <w:r>
        <w:rPr>
          <w:rFonts w:hint="eastAsia" w:ascii="宋体" w:hAnsi="宋体" w:eastAsia="宋体" w:cs="宋体"/>
          <w:color w:val="auto"/>
          <w:szCs w:val="21"/>
          <w:highlight w:val="none"/>
          <w:u w:val="single"/>
        </w:rPr>
        <w:t>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本合同通用条款第33.3 款约定发包人违约应承担的违约责任：</w:t>
      </w:r>
      <w:r>
        <w:rPr>
          <w:rFonts w:hint="eastAsia" w:ascii="宋体" w:hAnsi="宋体" w:eastAsia="宋体" w:cs="宋体"/>
          <w:color w:val="auto"/>
          <w:szCs w:val="21"/>
          <w:highlight w:val="none"/>
          <w:u w:val="single"/>
        </w:rPr>
        <w:t>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双方约定的发包人其他违约责任：</w:t>
      </w:r>
      <w:r>
        <w:rPr>
          <w:rFonts w:hint="eastAsia" w:ascii="宋体" w:hAnsi="宋体" w:eastAsia="宋体" w:cs="宋体"/>
          <w:color w:val="auto"/>
          <w:szCs w:val="21"/>
          <w:highlight w:val="none"/>
          <w:u w:val="single"/>
        </w:rPr>
        <w:t>由于发包人的原因造成的工期延误，工期顺延天数由现场监理及发包签证确定。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35.2本合同中关于承包人违约的具体责任如下：</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双方约定的承包人其他违约责任：</w:t>
      </w:r>
      <w:r>
        <w:rPr>
          <w:rFonts w:hint="eastAsia" w:ascii="宋体" w:hAnsi="宋体" w:eastAsia="宋体" w:cs="宋体"/>
          <w:color w:val="auto"/>
          <w:szCs w:val="21"/>
          <w:highlight w:val="none"/>
          <w:u w:val="single"/>
        </w:rPr>
        <w:t>以签订合同为准。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37．争议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37.1本合同在履行过程中发生的争议，由双方当事人协商解决，协商不成的，按下列第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种方式解决：</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（1）提交</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种裁委员会仲裁；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（2）依法向</w:t>
      </w:r>
      <w:r>
        <w:rPr>
          <w:rFonts w:hint="eastAsia" w:ascii="宋体" w:hAnsi="宋体" w:eastAsia="宋体" w:cs="宋体"/>
          <w:color w:val="auto"/>
          <w:szCs w:val="21"/>
          <w:highlight w:val="none"/>
          <w:u w:val="single"/>
        </w:rPr>
        <w:t>杭州市</w:t>
      </w:r>
      <w:r>
        <w:rPr>
          <w:rFonts w:hint="eastAsia" w:ascii="宋体" w:hAnsi="宋体" w:eastAsia="宋体" w:cs="宋体"/>
          <w:color w:val="auto"/>
          <w:szCs w:val="21"/>
          <w:highlight w:val="none"/>
        </w:rPr>
        <w:t>仲裁委员会提请仲裁或向</w:t>
      </w:r>
      <w:r>
        <w:rPr>
          <w:rFonts w:hint="eastAsia" w:ascii="宋体" w:hAnsi="宋体" w:eastAsia="宋体" w:cs="宋体"/>
          <w:color w:val="auto"/>
          <w:szCs w:val="21"/>
          <w:highlight w:val="none"/>
          <w:u w:val="single"/>
        </w:rPr>
        <w:t>杭州市</w:t>
      </w:r>
      <w:r>
        <w:rPr>
          <w:rFonts w:hint="eastAsia" w:ascii="宋体" w:hAnsi="宋体" w:eastAsia="宋体" w:cs="宋体"/>
          <w:color w:val="auto"/>
          <w:szCs w:val="21"/>
          <w:highlight w:val="none"/>
        </w:rPr>
        <w:t>人民法院提起诉讼。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38．工程分包</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38.1本工程发包人同意承包人分包的工程：</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分包施工单位为：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val="en-US" w:eastAsia="zh-CN"/>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39．不可抗力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39.1双方关于不可抗力的约定：</w:t>
      </w:r>
      <w:r>
        <w:rPr>
          <w:rFonts w:hint="eastAsia" w:ascii="宋体" w:hAnsi="宋体" w:eastAsia="宋体" w:cs="宋体"/>
          <w:color w:val="auto"/>
          <w:szCs w:val="21"/>
          <w:highlight w:val="none"/>
          <w:u w:val="single"/>
        </w:rPr>
        <w:t>按通用条款的相应条款执行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40．保险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40.6本工程双方约定投保内容如下：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（1）发包人投保内容：</w:t>
      </w:r>
      <w:r>
        <w:rPr>
          <w:rFonts w:hint="eastAsia" w:ascii="宋体" w:hAnsi="宋体" w:eastAsia="宋体" w:cs="宋体"/>
          <w:color w:val="auto"/>
          <w:szCs w:val="21"/>
          <w:highlight w:val="none"/>
          <w:u w:val="single"/>
        </w:rPr>
        <w:t>发包人工地自身人员和第三者人身意外伤害保险。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发包人委托承包人办理的保险事项：</w:t>
      </w:r>
      <w:r>
        <w:rPr>
          <w:rFonts w:hint="eastAsia" w:ascii="宋体" w:hAnsi="宋体" w:eastAsia="宋体" w:cs="宋体"/>
          <w:color w:val="auto"/>
          <w:szCs w:val="21"/>
          <w:highlight w:val="none"/>
          <w:u w:val="single"/>
        </w:rPr>
        <w:t>按通用条款办理。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（2）承包人保内容：</w:t>
      </w:r>
      <w:r>
        <w:rPr>
          <w:rFonts w:hint="eastAsia" w:ascii="宋体" w:hAnsi="宋体" w:eastAsia="宋体" w:cs="宋体"/>
          <w:color w:val="auto"/>
          <w:szCs w:val="21"/>
          <w:highlight w:val="none"/>
          <w:u w:val="single"/>
        </w:rPr>
        <w:t>承包人必须为施工场地内自有人员办理意外伤害保险，并为施工机械设备办理保险，支付相关保险费用。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41．担保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41.3本工程双方约定担保事项如下：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（1）发包人向承包人提供履约保证金，缴纳方式为：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（2）承包人向发包人提供履约保证金，缴纳方式为</w:t>
      </w:r>
      <w:r>
        <w:rPr>
          <w:rFonts w:hint="eastAsia" w:ascii="宋体" w:hAnsi="宋体" w:eastAsia="宋体" w:cs="宋体"/>
          <w:color w:val="auto"/>
          <w:szCs w:val="21"/>
          <w:highlight w:val="none"/>
          <w:u w:val="single"/>
        </w:rPr>
        <w:t>合同总价</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%的</w:t>
      </w:r>
      <w:r>
        <w:rPr>
          <w:rFonts w:hint="eastAsia" w:ascii="宋体" w:hAnsi="宋体" w:eastAsia="宋体" w:cs="宋体"/>
          <w:color w:val="auto"/>
          <w:highlight w:val="none"/>
          <w:u w:val="single"/>
        </w:rPr>
        <w:t>银行汇票、支票、</w:t>
      </w:r>
      <w:r>
        <w:rPr>
          <w:rFonts w:hint="eastAsia" w:ascii="宋体" w:hAnsi="宋体" w:eastAsia="宋体" w:cs="宋体"/>
          <w:color w:val="auto"/>
          <w:szCs w:val="21"/>
          <w:highlight w:val="none"/>
          <w:u w:val="single"/>
        </w:rPr>
        <w:t>电汇、银行保函，</w:t>
      </w:r>
      <w:r>
        <w:rPr>
          <w:rFonts w:hint="eastAsia" w:ascii="宋体" w:hAnsi="宋体" w:eastAsia="宋体" w:cs="宋体"/>
          <w:color w:val="auto"/>
          <w:szCs w:val="21"/>
          <w:highlight w:val="none"/>
        </w:rPr>
        <w:t>担保合同作为本合同附件。</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（3）双方约定的其他担保事项：</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46．合同份数</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46.1双方约定合同副本份数：</w:t>
      </w:r>
      <w:r>
        <w:rPr>
          <w:rFonts w:hint="eastAsia" w:ascii="宋体" w:hAnsi="宋体" w:eastAsia="宋体" w:cs="宋体"/>
          <w:color w:val="auto"/>
          <w:szCs w:val="21"/>
          <w:highlight w:val="none"/>
          <w:u w:val="single"/>
        </w:rPr>
        <w:t>一式玖份，甲方柒份，乙方壹份，招标代理机构壹份。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47．补充条款</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47.1合同双方确认，本合同及本合同约定的其它文件组成部分中的各项约定都是通过法定招标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%的履约保证金。并且由承包人承担由此造成的损失和责任，由此导致的工期拖延，发包人不顺延工期。</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47.3主材的相关要求：乙方提供的施工材料必须全部符合绿色环保规定要求，不得使用任何三无产品。施工时，必须按照响应文件中确定的材料进行，未经甲方同意不得更换已确定的施工材料。</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47.4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47.5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万元/人/次（发包人要求除外），同时拟更换的人员须经发包人书面同意。</w:t>
      </w:r>
    </w:p>
    <w:p>
      <w:pPr>
        <w:pStyle w:val="53"/>
        <w:spacing w:before="120" w:after="120" w:line="360" w:lineRule="auto"/>
        <w:ind w:firstLine="48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47.6发包方另行分包的项目包括玻璃幕墙等，总包配合费（管理费）含在总包费用内，不得再向分包单位另行收取其他费用。总包配合费（管理费）包括：配合接电接水；简易脚手架；提供材料及设备堆放场地、施工安装条件（包括但不限于预留孔洞，准确的预埋件、预留套管等）及必要的作业面；承包人应负责完成所有交接面的处理（包括但不限于孔洞补修）、资料汇总、安全管理等。</w:t>
      </w:r>
    </w:p>
    <w:p>
      <w:pPr>
        <w:pStyle w:val="53"/>
        <w:spacing w:before="120" w:after="120" w:line="360" w:lineRule="auto"/>
        <w:ind w:firstLine="482"/>
        <w:rPr>
          <w:rFonts w:hint="eastAsia" w:ascii="宋体" w:hAnsi="宋体" w:eastAsia="宋体" w:cs="宋体"/>
          <w:color w:val="auto"/>
          <w:sz w:val="21"/>
          <w:highlight w:val="none"/>
          <w:u w:val="single"/>
        </w:rPr>
      </w:pPr>
      <w:r>
        <w:rPr>
          <w:rFonts w:hint="eastAsia" w:ascii="宋体" w:hAnsi="宋体" w:eastAsia="宋体" w:cs="宋体"/>
          <w:b w:val="0"/>
          <w:color w:val="auto"/>
          <w:kern w:val="0"/>
          <w:sz w:val="21"/>
          <w:highlight w:val="none"/>
          <w:u w:val="single"/>
        </w:rPr>
        <w:t>47.7</w:t>
      </w:r>
      <w:r>
        <w:rPr>
          <w:rFonts w:hint="eastAsia" w:ascii="宋体" w:hAnsi="宋体" w:eastAsia="宋体" w:cs="宋体"/>
          <w:color w:val="auto"/>
          <w:kern w:val="0"/>
          <w:sz w:val="21"/>
          <w:highlight w:val="none"/>
          <w:u w:val="single"/>
        </w:rPr>
        <w:t>已通过现场踏勘充分了解工程现场情况，</w:t>
      </w:r>
      <w:r>
        <w:rPr>
          <w:rFonts w:hint="eastAsia" w:ascii="宋体" w:hAnsi="宋体" w:eastAsia="宋体" w:cs="宋体"/>
          <w:b/>
          <w:bCs/>
          <w:color w:val="auto"/>
          <w:kern w:val="0"/>
          <w:sz w:val="21"/>
          <w:highlight w:val="none"/>
          <w:u w:val="single"/>
        </w:rPr>
        <w:t>承诺施工场地内道路和交通设施自行解决</w:t>
      </w:r>
      <w:r>
        <w:rPr>
          <w:rFonts w:hint="eastAsia" w:ascii="宋体" w:hAnsi="宋体" w:eastAsia="宋体" w:cs="宋体"/>
          <w:b w:val="0"/>
          <w:color w:val="auto"/>
          <w:kern w:val="0"/>
          <w:sz w:val="21"/>
          <w:highlight w:val="none"/>
          <w:u w:val="single"/>
        </w:rPr>
        <w:t>；</w:t>
      </w:r>
      <w:r>
        <w:rPr>
          <w:rFonts w:hint="eastAsia" w:ascii="宋体" w:hAnsi="宋体" w:eastAsia="宋体" w:cs="宋体"/>
          <w:color w:val="auto"/>
          <w:kern w:val="0"/>
          <w:sz w:val="21"/>
          <w:highlight w:val="none"/>
          <w:u w:val="single"/>
        </w:rPr>
        <w:t>承诺根据图纸内容实行土方包干。土方堆放在项目施工区域附近由发包人指定的区域，根据发包人要求对堆放土方进行整形修坡，此费用费用含在合同总价中。</w:t>
      </w:r>
    </w:p>
    <w:p>
      <w:pPr>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szCs w:val="21"/>
          <w:highlight w:val="none"/>
          <w:u w:val="single"/>
        </w:rPr>
      </w:pPr>
    </w:p>
    <w:p>
      <w:pPr>
        <w:spacing w:line="360" w:lineRule="auto"/>
        <w:ind w:firstLine="420" w:firstLineChars="200"/>
        <w:rPr>
          <w:rFonts w:hint="eastAsia" w:ascii="宋体" w:hAnsi="宋体" w:eastAsia="宋体" w:cs="宋体"/>
          <w:color w:val="auto"/>
          <w:szCs w:val="21"/>
          <w:highlight w:val="none"/>
          <w:u w:val="single"/>
        </w:rPr>
      </w:pPr>
    </w:p>
    <w:p>
      <w:pPr>
        <w:spacing w:line="360" w:lineRule="auto"/>
        <w:ind w:firstLine="420" w:firstLineChars="200"/>
        <w:rPr>
          <w:rFonts w:hint="eastAsia" w:ascii="宋体" w:hAnsi="宋体" w:eastAsia="宋体" w:cs="宋体"/>
          <w:color w:val="auto"/>
          <w:szCs w:val="21"/>
          <w:highlight w:val="none"/>
          <w:u w:val="single"/>
        </w:rPr>
      </w:pPr>
    </w:p>
    <w:p>
      <w:pPr>
        <w:pStyle w:val="5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92" w:name="_Toc28000"/>
      <w:bookmarkStart w:id="93" w:name="_Toc3589_WPSOffice_Level2"/>
      <w:r>
        <w:rPr>
          <w:rFonts w:hint="eastAsia" w:ascii="宋体" w:hAnsi="宋体" w:eastAsia="宋体" w:cs="宋体"/>
          <w:color w:val="auto"/>
          <w:sz w:val="21"/>
          <w:szCs w:val="21"/>
          <w:highlight w:val="none"/>
        </w:rPr>
        <w:t>第四节合同附件</w:t>
      </w:r>
      <w:bookmarkEnd w:id="84"/>
      <w:bookmarkEnd w:id="85"/>
      <w:bookmarkEnd w:id="86"/>
      <w:bookmarkEnd w:id="92"/>
      <w:bookmarkEnd w:id="93"/>
      <w:r>
        <w:rPr>
          <w:rFonts w:hint="eastAsia" w:ascii="宋体" w:hAnsi="宋体" w:eastAsia="宋体" w:cs="宋体"/>
          <w:color w:val="auto"/>
          <w:sz w:val="21"/>
          <w:szCs w:val="21"/>
          <w:highlight w:val="none"/>
        </w:rPr>
        <w:t xml:space="preserve"> </w:t>
      </w:r>
    </w:p>
    <w:p>
      <w:pPr>
        <w:pStyle w:val="57"/>
        <w:tabs>
          <w:tab w:val="left" w:pos="8100"/>
        </w:tabs>
        <w:ind w:left="0" w:right="77"/>
        <w:outlineLvl w:val="2"/>
        <w:rPr>
          <w:rFonts w:hint="eastAsia" w:ascii="宋体" w:hAnsi="宋体" w:eastAsia="宋体" w:cs="宋体"/>
          <w:snapToGrid w:val="0"/>
          <w:color w:val="auto"/>
          <w:sz w:val="21"/>
          <w:szCs w:val="21"/>
          <w:highlight w:val="none"/>
        </w:rPr>
      </w:pPr>
      <w:bookmarkStart w:id="94" w:name="_Toc21100_WPSOffice_Level2"/>
      <w:bookmarkStart w:id="95" w:name="_Toc534620509"/>
      <w:bookmarkStart w:id="96" w:name="_Toc249091536"/>
      <w:r>
        <w:rPr>
          <w:rFonts w:hint="eastAsia" w:ascii="宋体" w:hAnsi="宋体" w:eastAsia="宋体" w:cs="宋体"/>
          <w:snapToGrid w:val="0"/>
          <w:color w:val="auto"/>
          <w:sz w:val="21"/>
          <w:szCs w:val="21"/>
          <w:highlight w:val="none"/>
        </w:rPr>
        <w:t>附件一：质量保修书</w:t>
      </w:r>
      <w:bookmarkEnd w:id="94"/>
      <w:bookmarkEnd w:id="95"/>
      <w:bookmarkEnd w:id="96"/>
      <w:r>
        <w:rPr>
          <w:rFonts w:hint="eastAsia" w:ascii="宋体" w:hAnsi="宋体" w:eastAsia="宋体" w:cs="宋体"/>
          <w:snapToGrid w:val="0"/>
          <w:color w:val="auto"/>
          <w:sz w:val="21"/>
          <w:szCs w:val="21"/>
          <w:highlight w:val="none"/>
        </w:rPr>
        <w:t xml:space="preserve"> </w:t>
      </w:r>
    </w:p>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房屋建筑工程质量保修书</w:t>
      </w:r>
    </w:p>
    <w:p>
      <w:pPr>
        <w:pStyle w:val="57"/>
        <w:tabs>
          <w:tab w:val="left" w:pos="7920"/>
          <w:tab w:val="left" w:pos="8640"/>
        </w:tabs>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___杭州科技职业技术学院_____</w:t>
      </w:r>
    </w:p>
    <w:p>
      <w:pPr>
        <w:pStyle w:val="57"/>
        <w:tabs>
          <w:tab w:val="left" w:pos="7920"/>
          <w:tab w:val="left" w:pos="8640"/>
        </w:tabs>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__                 ___</w:t>
      </w:r>
      <w:r>
        <w:rPr>
          <w:rFonts w:hint="eastAsia" w:ascii="宋体" w:hAnsi="宋体" w:eastAsia="宋体" w:cs="宋体"/>
          <w:color w:val="auto"/>
          <w:sz w:val="21"/>
          <w:szCs w:val="21"/>
          <w:highlight w:val="none"/>
        </w:rPr>
        <w:t>_</w:t>
      </w:r>
    </w:p>
    <w:p>
      <w:pPr>
        <w:pStyle w:val="57"/>
        <w:tabs>
          <w:tab w:val="left" w:pos="7920"/>
          <w:tab w:val="left" w:pos="8640"/>
        </w:tabs>
        <w:spacing w:before="0" w:after="0" w:line="480" w:lineRule="auto"/>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发包人、承包人根据《中华人民共和国建筑法》、《建设工程质量管理条例》和《房屋建筑工程质量保修办法》，经协商一致，对</w:t>
      </w:r>
      <w:r>
        <w:rPr>
          <w:rFonts w:hint="eastAsia" w:ascii="宋体" w:hAnsi="宋体" w:eastAsia="宋体" w:cs="宋体"/>
          <w:color w:val="auto"/>
          <w:sz w:val="21"/>
          <w:szCs w:val="21"/>
          <w:highlight w:val="none"/>
          <w:u w:val="single"/>
        </w:rPr>
        <w:t>_                                     __</w:t>
      </w:r>
      <w:r>
        <w:rPr>
          <w:rFonts w:hint="eastAsia" w:ascii="宋体" w:hAnsi="宋体" w:eastAsia="宋体" w:cs="宋体"/>
          <w:color w:val="auto"/>
          <w:sz w:val="21"/>
          <w:szCs w:val="21"/>
          <w:highlight w:val="none"/>
        </w:rPr>
        <w:t>（工程全称）签定工程质量保修书。</w:t>
      </w:r>
    </w:p>
    <w:p>
      <w:pPr>
        <w:pStyle w:val="57"/>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一、工程质量保修范围和内容</w:t>
      </w:r>
    </w:p>
    <w:p>
      <w:pPr>
        <w:pStyle w:val="57"/>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承包人在质量保修期内，按照有关法律、法规、规章的管理规定和双方约定，承担本工程质量保修责任。</w:t>
      </w:r>
    </w:p>
    <w:p>
      <w:pPr>
        <w:pStyle w:val="57"/>
        <w:tabs>
          <w:tab w:val="left" w:pos="7920"/>
          <w:tab w:val="left" w:pos="8640"/>
        </w:tabs>
        <w:spacing w:before="0" w:after="0" w:line="480" w:lineRule="auto"/>
        <w:ind w:left="0" w:right="72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保修范围为承包人所承包项目的全部内容。</w:t>
      </w:r>
    </w:p>
    <w:p>
      <w:pPr>
        <w:pStyle w:val="57"/>
        <w:tabs>
          <w:tab w:val="left" w:pos="7920"/>
          <w:tab w:val="left" w:pos="8640"/>
        </w:tabs>
        <w:spacing w:before="0" w:after="0" w:line="480" w:lineRule="auto"/>
        <w:ind w:left="0" w:right="72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二、保修期</w:t>
      </w:r>
    </w:p>
    <w:p>
      <w:pPr>
        <w:pStyle w:val="57"/>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双方根据《建设工程质量管理条例》及有关规定，约定本工程的质量保修期如下：</w:t>
      </w:r>
    </w:p>
    <w:p>
      <w:pPr>
        <w:pStyle w:val="57"/>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1.屋面防水工程、房间和外墙面的防渗漏为</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年；</w:t>
      </w:r>
    </w:p>
    <w:p>
      <w:pPr>
        <w:pStyle w:val="57"/>
        <w:tabs>
          <w:tab w:val="left" w:pos="7920"/>
          <w:tab w:val="left" w:pos="8640"/>
        </w:tabs>
        <w:spacing w:before="0" w:after="0" w:line="480" w:lineRule="auto"/>
        <w:ind w:left="0" w:right="720"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2.其他项目保修期限约定如下：</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pPr>
        <w:pStyle w:val="57"/>
        <w:tabs>
          <w:tab w:val="left" w:pos="7768"/>
          <w:tab w:val="left" w:pos="7920"/>
          <w:tab w:val="left" w:pos="8640"/>
        </w:tabs>
        <w:snapToGrid w:val="0"/>
        <w:spacing w:before="0" w:after="0" w:line="48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质量保修期自工程竣工验收合格之日起计算。</w:t>
      </w:r>
    </w:p>
    <w:p>
      <w:pPr>
        <w:pStyle w:val="57"/>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三、质量保修责任</w:t>
      </w:r>
    </w:p>
    <w:p>
      <w:pPr>
        <w:pStyle w:val="57"/>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⒈属于保修范围、内容的项目，承包人应当在接到保修通知之日起2天内派人保修。承包人不在约定期限内派人保修的，发包人可以委托他人修理，费用可直接从质保金中扣除。如质量保修金金额不足以支付工程保修及赔偿等费用，承包人应在接到发包人通知后15天内将差额补齐。</w:t>
      </w:r>
    </w:p>
    <w:p>
      <w:pPr>
        <w:pStyle w:val="57"/>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⒉发生紧急抢修事故的，承包人在接到事故通知后，应当立即到达事故现场抢修。</w:t>
      </w:r>
    </w:p>
    <w:p>
      <w:pPr>
        <w:pStyle w:val="57"/>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57"/>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⒋质量保修完成后，由发包人组织验收。</w:t>
      </w:r>
    </w:p>
    <w:p>
      <w:pPr>
        <w:pStyle w:val="57"/>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四、保修费用</w:t>
      </w:r>
    </w:p>
    <w:p>
      <w:pPr>
        <w:pStyle w:val="57"/>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pPr>
        <w:pStyle w:val="57"/>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五、其他</w:t>
      </w:r>
    </w:p>
    <w:p>
      <w:pPr>
        <w:pStyle w:val="57"/>
        <w:tabs>
          <w:tab w:val="left" w:pos="7920"/>
          <w:tab w:val="left" w:pos="8640"/>
        </w:tabs>
        <w:spacing w:before="0" w:after="0" w:line="480" w:lineRule="auto"/>
        <w:ind w:left="0" w:right="720"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双方约定的其他工程质量保修事项：</w:t>
      </w:r>
    </w:p>
    <w:p>
      <w:pPr>
        <w:pStyle w:val="57"/>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本工程质量保修书，由施工合同发包人、承包人双方在竣工验收前共同签署，作为施工合同附件，其有效期限至保修期满。</w:t>
      </w:r>
    </w:p>
    <w:p>
      <w:pPr>
        <w:pStyle w:val="57"/>
        <w:tabs>
          <w:tab w:val="left" w:pos="8100"/>
        </w:tabs>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　包　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　包　人（公章）：</w:t>
      </w:r>
    </w:p>
    <w:p>
      <w:pPr>
        <w:pStyle w:val="57"/>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法定地址：杭州科技职业技术学院             法定地址：</w:t>
      </w:r>
    </w:p>
    <w:p>
      <w:pPr>
        <w:pStyle w:val="57"/>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（签字或盖章）   </w:t>
      </w: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（签字或盖章）</w:t>
      </w:r>
    </w:p>
    <w:p>
      <w:pPr>
        <w:pStyle w:val="57"/>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                                     电话：</w:t>
      </w:r>
    </w:p>
    <w:p>
      <w:pPr>
        <w:pStyle w:val="57"/>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pPr>
        <w:pStyle w:val="57"/>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                                 电子邮箱：</w:t>
      </w:r>
    </w:p>
    <w:p>
      <w:pPr>
        <w:pStyle w:val="57"/>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pStyle w:val="57"/>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                                     帐号：</w:t>
      </w:r>
    </w:p>
    <w:p>
      <w:pPr>
        <w:pStyle w:val="57"/>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                                 邮政编码：</w:t>
      </w:r>
    </w:p>
    <w:p>
      <w:pPr>
        <w:pStyle w:val="57"/>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年　月　日　　　　　　　　　　                            　年　月　日</w:t>
      </w:r>
    </w:p>
    <w:p>
      <w:pPr>
        <w:pStyle w:val="59"/>
        <w:numPr>
          <w:ilvl w:val="0"/>
          <w:numId w:val="0"/>
        </w:numPr>
        <w:rPr>
          <w:rFonts w:hint="eastAsia" w:ascii="宋体" w:hAnsi="宋体" w:eastAsia="宋体" w:cs="宋体"/>
          <w:b w:val="0"/>
          <w:snapToGrid w:val="0"/>
          <w:color w:val="auto"/>
          <w:sz w:val="21"/>
          <w:szCs w:val="21"/>
          <w:highlight w:val="none"/>
        </w:rPr>
      </w:pPr>
      <w:r>
        <w:rPr>
          <w:rFonts w:hint="eastAsia" w:ascii="宋体" w:hAnsi="宋体" w:eastAsia="宋体" w:cs="宋体"/>
          <w:color w:val="auto"/>
          <w:sz w:val="21"/>
          <w:szCs w:val="21"/>
          <w:highlight w:val="none"/>
        </w:rPr>
        <w:br w:type="page"/>
      </w:r>
      <w:bookmarkStart w:id="97" w:name="_Toc31436_WPSOffice_Level2"/>
      <w:r>
        <w:rPr>
          <w:rFonts w:hint="eastAsia" w:ascii="宋体" w:hAnsi="宋体" w:eastAsia="宋体" w:cs="宋体"/>
          <w:b w:val="0"/>
          <w:snapToGrid w:val="0"/>
          <w:color w:val="auto"/>
          <w:sz w:val="21"/>
          <w:szCs w:val="21"/>
          <w:highlight w:val="none"/>
        </w:rPr>
        <w:t>附件二：廉政协议书</w:t>
      </w:r>
      <w:bookmarkEnd w:id="97"/>
    </w:p>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廉政协议书</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建设单位（甲方）：</w:t>
      </w:r>
      <w:r>
        <w:rPr>
          <w:rFonts w:hint="eastAsia" w:ascii="宋体" w:hAnsi="宋体" w:eastAsia="宋体" w:cs="宋体"/>
          <w:color w:val="auto"/>
          <w:szCs w:val="21"/>
          <w:highlight w:val="none"/>
          <w:u w:val="single"/>
        </w:rPr>
        <w:t>杭州科技职业技术学院</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施工单位（乙方）： </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甲乙双方的责任</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（一）应严格遵守国家关于市场准入、项目招标投标、工程建设、施工安装和市场活动等有关法律、法规，相关政策，以及廉政建设的各项规定。</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（二）严格执行建设工程项目施工合同文件，自觉履行合同的约定。</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（三）工程建设的业务活动必须坚持公平、公正、公开、诚信、透明的原则（除法律法规另有规定者外），不得为获取不正当的利益而损害国家、集体和对方利益；不得违反工程建设管理、施工安装的规章制度。</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（四）发现对方在工程建设业务活动中有违规、违纪、违法行为的，应及时纠正对方，情节严重的，应向其上级主管部门或院校纪检监察、司法等有关机关举报。</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甲方的责任</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甲方的领导和从事该工程建设项目的管理部门及工作人员，在工程建设业务活动的事前、事中、事后应遵守以下规定：</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（一）不准向乙方和相关单位索要或接受回扣、礼金、有价证券、贵重物品和好处费、感谢费等。</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（二）不准在乙方和相关单位报销任何应由甲方或个人支付的费用。</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（三）不准要求、暗示和接受乙方和相关单位为个人装修住房、婚丧嫁娶、配偶子女的工作安排以及出国（境）、旅游等提供方便。</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（四）不准参加有可能影响公正执行公务的乙方和相关单位的宴请和健身、娱乐等活动。</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乙方的责任</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应与甲方保持正常的业务交往，按照有关法律法规和程序开展业务工作，严格执行工程建设的有关方针、政策，尤其是有关建筑施工安装的强制性标准和规范，并遵守以下规定：</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（一）不准以任何理由向甲方、相关单位及其工作人员赠送礼金、有价证券、贵重物品和回扣、好处费、感谢费等。</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（二）不准以任何理由为甲方和相关单位报销应由对方或个人支付的费用。</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（三）不准接受或暗示为甲方、相关单位或个人装修住房、婚丧嫁娶、配偶子女的工作安排以及出国（境）、旅游等提供方便。</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（四）不准以任何理由为甲方、相关单位或个人组织有可能影响公正执行公务的宴请、健身、娱乐等活动。</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违约责任</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（一）甲方及其工作人员有违反本协议书第一、二条责任行为的，按照管理权限，依据有关法律法规和规定，给予党纪、政纪处分或组织处理；涉嫌犯罪的，移交司法机关追究刑事责任。</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（二）乙方及其工作人员有违反本协议书第一、三条责任行为的，按照管理权限，依据有关法律法规和规定，给予党纪、政纪处分或组织处理；涉嫌犯罪的，移交司法机关追究刑事责任。</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本协议书作为工程建设施工合同的附件，与工程建设施工合同具有同等法律效力。经双方签署后立即生效。</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本协议书的有效期为双方签署之日起至该工程项目竣工验收合格时止。</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第七条　本协议书一式四份，由甲乙双方各执一份，送交双方监督单位各一份。</w:t>
      </w:r>
    </w:p>
    <w:p>
      <w:pPr>
        <w:rPr>
          <w:rFonts w:hint="eastAsia" w:ascii="宋体" w:hAnsi="宋体" w:eastAsia="宋体" w:cs="宋体"/>
          <w:b/>
          <w:bCs/>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甲方单位：（盖章）                               乙方单位：（盖章）</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spacing w:line="288" w:lineRule="auto"/>
        <w:rPr>
          <w:rFonts w:hint="eastAsia" w:ascii="宋体" w:hAnsi="宋体" w:eastAsia="宋体" w:cs="宋体"/>
          <w:color w:val="auto"/>
          <w:szCs w:val="21"/>
          <w:highlight w:val="none"/>
        </w:rPr>
        <w:sectPr>
          <w:pgSz w:w="11900" w:h="16838"/>
          <w:pgMar w:top="1440" w:right="1080" w:bottom="1440" w:left="1080" w:header="567" w:footer="567" w:gutter="0"/>
          <w:cols w:equalWidth="0" w:num="1">
            <w:col w:w="9026"/>
          </w:cols>
        </w:sectPr>
      </w:pPr>
      <w:r>
        <w:rPr>
          <w:rFonts w:hint="eastAsia" w:ascii="宋体" w:hAnsi="宋体" w:eastAsia="宋体" w:cs="宋体"/>
          <w:color w:val="auto"/>
          <w:szCs w:val="21"/>
          <w:highlight w:val="none"/>
        </w:rPr>
        <w:t>年　月　日                                             年　月　日</w:t>
      </w:r>
    </w:p>
    <w:p>
      <w:pPr>
        <w:tabs>
          <w:tab w:val="left" w:pos="300"/>
        </w:tabs>
        <w:spacing w:line="366" w:lineRule="exact"/>
        <w:jc w:val="center"/>
        <w:outlineLvl w:val="0"/>
        <w:rPr>
          <w:rFonts w:hint="eastAsia" w:ascii="宋体" w:hAnsi="宋体" w:eastAsia="宋体" w:cs="宋体"/>
          <w:b/>
          <w:bCs/>
          <w:color w:val="auto"/>
          <w:sz w:val="32"/>
          <w:szCs w:val="32"/>
          <w:highlight w:val="none"/>
        </w:rPr>
      </w:pPr>
      <w:bookmarkStart w:id="98" w:name="_Toc12050_WPSOffice_Level1"/>
      <w:bookmarkStart w:id="99" w:name="_Toc954"/>
      <w:r>
        <w:rPr>
          <w:rFonts w:hint="eastAsia" w:ascii="宋体" w:hAnsi="宋体" w:eastAsia="宋体" w:cs="宋体"/>
          <w:b/>
          <w:bCs/>
          <w:color w:val="auto"/>
          <w:sz w:val="32"/>
          <w:szCs w:val="32"/>
          <w:highlight w:val="none"/>
        </w:rPr>
        <w:t>第六章  响应文件格式</w:t>
      </w:r>
      <w:bookmarkEnd w:id="98"/>
      <w:bookmarkEnd w:id="99"/>
    </w:p>
    <w:p>
      <w:pPr>
        <w:spacing w:line="256" w:lineRule="exact"/>
        <w:rPr>
          <w:rFonts w:hint="eastAsia" w:ascii="宋体" w:hAnsi="宋体" w:eastAsia="宋体" w:cs="宋体"/>
          <w:color w:val="auto"/>
          <w:sz w:val="20"/>
          <w:szCs w:val="20"/>
          <w:highlight w:val="none"/>
        </w:rPr>
      </w:pPr>
    </w:p>
    <w:p>
      <w:pPr>
        <w:spacing w:line="240" w:lineRule="exact"/>
        <w:ind w:right="-13"/>
        <w:jc w:val="center"/>
        <w:rPr>
          <w:rFonts w:hint="eastAsia" w:ascii="宋体" w:hAnsi="宋体" w:eastAsia="宋体" w:cs="宋体"/>
          <w:color w:val="auto"/>
          <w:sz w:val="20"/>
          <w:szCs w:val="20"/>
          <w:highlight w:val="none"/>
        </w:rPr>
      </w:pPr>
      <w:bookmarkStart w:id="100" w:name="_Toc23816_WPSOffice_Level2"/>
      <w:bookmarkStart w:id="101" w:name="_Toc20282_WPSOffice_Level2"/>
      <w:r>
        <w:rPr>
          <w:rFonts w:hint="eastAsia" w:ascii="宋体" w:hAnsi="宋体" w:eastAsia="宋体" w:cs="宋体"/>
          <w:color w:val="auto"/>
          <w:szCs w:val="21"/>
          <w:highlight w:val="none"/>
        </w:rPr>
        <w:t>（未提供格式的由供应商自拟）</w:t>
      </w:r>
      <w:bookmarkEnd w:id="100"/>
      <w:bookmarkEnd w:id="101"/>
    </w:p>
    <w:p>
      <w:pPr>
        <w:tabs>
          <w:tab w:val="left" w:pos="300"/>
        </w:tabs>
        <w:spacing w:line="366" w:lineRule="exact"/>
        <w:jc w:val="center"/>
        <w:rPr>
          <w:rFonts w:hint="eastAsia" w:ascii="宋体" w:hAnsi="宋体" w:eastAsia="宋体" w:cs="宋体"/>
          <w:b/>
          <w:bCs/>
          <w:color w:val="auto"/>
          <w:sz w:val="32"/>
          <w:szCs w:val="32"/>
          <w:highlight w:val="none"/>
        </w:rPr>
      </w:pPr>
    </w:p>
    <w:p>
      <w:pPr>
        <w:pStyle w:val="8"/>
        <w:rPr>
          <w:rFonts w:hint="eastAsia" w:ascii="宋体" w:hAnsi="宋体" w:eastAsia="宋体" w:cs="宋体"/>
          <w:color w:val="auto"/>
          <w:highlight w:val="none"/>
        </w:rPr>
      </w:pPr>
    </w:p>
    <w:p>
      <w:pPr>
        <w:spacing w:line="320" w:lineRule="exact"/>
        <w:ind w:left="360"/>
        <w:rPr>
          <w:rFonts w:hint="eastAsia" w:ascii="宋体" w:hAnsi="宋体" w:eastAsia="宋体" w:cs="宋体"/>
          <w:color w:val="auto"/>
          <w:sz w:val="20"/>
          <w:szCs w:val="20"/>
          <w:highlight w:val="none"/>
        </w:rPr>
      </w:pPr>
      <w:bookmarkStart w:id="102" w:name="_Toc22347_WPSOffice_Level2"/>
      <w:r>
        <w:rPr>
          <w:rFonts w:hint="eastAsia" w:ascii="宋体" w:hAnsi="宋体" w:eastAsia="宋体" w:cs="宋体"/>
          <w:color w:val="auto"/>
          <w:sz w:val="28"/>
          <w:szCs w:val="28"/>
          <w:highlight w:val="none"/>
        </w:rPr>
        <w:t>外包装封面</w:t>
      </w:r>
      <w:bookmarkEnd w:id="102"/>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0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03" w:name="_Toc10074_WPSOffice_Level2"/>
      <w:r>
        <w:rPr>
          <w:rFonts w:hint="eastAsia" w:ascii="宋体" w:hAnsi="宋体" w:eastAsia="宋体" w:cs="宋体"/>
          <w:color w:val="auto"/>
          <w:sz w:val="28"/>
          <w:szCs w:val="28"/>
          <w:highlight w:val="none"/>
        </w:rPr>
        <w:t>项目名称：</w:t>
      </w:r>
      <w:bookmarkEnd w:id="103"/>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直线 11" o:spid="_x0000_s1026" o:spt="20" style="position:absolute;left:0pt;margin-left:136.95pt;margin-top:0.05pt;height:0pt;width:287.1pt;z-index:-251656192;mso-width-relative:page;mso-height-relative:page;"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v+qytEA&#10;AAAFAQAADwAAAAAAAAABACAAAAAiAAAAZHJzL2Rvd25yZXYueG1sUEsBAhQAFAAAAAgAh07iQH73&#10;8AztAQAA5wMAAA4AAAAAAAAAAQAgAAAAIAEAAGRycy9lMm9Eb2MueG1sUEsFBgAAAAAGAAYAWQEA&#10;AH8FA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04" w:name="_Toc27691_WPSOffice_Level2"/>
      <w:r>
        <w:rPr>
          <w:rFonts w:hint="eastAsia" w:ascii="宋体" w:hAnsi="宋体" w:eastAsia="宋体" w:cs="宋体"/>
          <w:color w:val="auto"/>
          <w:sz w:val="28"/>
          <w:szCs w:val="28"/>
          <w:highlight w:val="none"/>
        </w:rPr>
        <w:t>项目编号：</w:t>
      </w:r>
      <w:bookmarkEnd w:id="104"/>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直线 12" o:spid="_x0000_s1050" o:spt="20" style="position:absolute;left:0pt;margin-left:136.95pt;margin-top:0.05pt;height:0pt;width:287.1pt;z-index:-251655168;mso-width-relative:page;mso-height-relative:page;"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srR&#10;AAAABQEAAA8AAAAAAAAAAQAgAAAAIgAAAGRycy9kb3ducmV2LnhtbFBLAQIUABQAAAAIAIdO4kAb&#10;Vbsm7gEAAOcDAAAOAAAAAAAAAAEAIAAAACABAABkcnMvZTJvRG9jLnhtbFBLBQYAAAAABgAGAFkB&#10;AACABQ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25"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响应文件</w:t>
      </w:r>
    </w:p>
    <w:p>
      <w:pPr>
        <w:spacing w:line="200" w:lineRule="exact"/>
        <w:rPr>
          <w:rFonts w:hint="eastAsia" w:ascii="宋体" w:hAnsi="宋体" w:eastAsia="宋体" w:cs="宋体"/>
          <w:color w:val="auto"/>
          <w:sz w:val="20"/>
          <w:szCs w:val="20"/>
          <w:highlight w:val="none"/>
        </w:rPr>
      </w:pPr>
    </w:p>
    <w:p>
      <w:pPr>
        <w:spacing w:line="381"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（报价、商务技术文件）</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67" w:lineRule="exact"/>
        <w:rPr>
          <w:rFonts w:hint="eastAsia" w:ascii="宋体" w:hAnsi="宋体" w:eastAsia="宋体" w:cs="宋体"/>
          <w:color w:val="auto"/>
          <w:sz w:val="20"/>
          <w:szCs w:val="20"/>
          <w:highlight w:val="none"/>
        </w:rPr>
      </w:pPr>
    </w:p>
    <w:p>
      <w:pPr>
        <w:tabs>
          <w:tab w:val="left" w:pos="5880"/>
        </w:tabs>
        <w:spacing w:line="320" w:lineRule="exact"/>
        <w:ind w:left="1140"/>
        <w:jc w:val="both"/>
        <w:rPr>
          <w:rFonts w:hint="eastAsia" w:ascii="宋体" w:hAnsi="宋体" w:eastAsia="宋体" w:cs="宋体"/>
          <w:color w:val="auto"/>
          <w:sz w:val="20"/>
          <w:szCs w:val="20"/>
          <w:highlight w:val="none"/>
        </w:rPr>
      </w:pPr>
      <w:bookmarkStart w:id="105" w:name="_Toc15720_WPSOffice_Level2"/>
      <w:r>
        <w:rPr>
          <w:rFonts w:hint="eastAsia" w:ascii="宋体" w:hAnsi="宋体" w:eastAsia="宋体" w:cs="宋体"/>
          <w:color w:val="auto"/>
          <w:sz w:val="28"/>
          <w:szCs w:val="28"/>
          <w:highlight w:val="none"/>
        </w:rPr>
        <w:t>供应商：</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（盖单位公章）</w:t>
      </w:r>
      <w:bookmarkEnd w:id="105"/>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直线 13" o:spid="_x0000_s1049" o:spt="20" style="position:absolute;left:0pt;margin-left:112.6pt;margin-top:0.05pt;height:0pt;width:182.05pt;z-index:-251654144;mso-width-relative:page;mso-height-relative:page;"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95r4R&#10;0gAAAAUBAAAPAAAAAAAAAAEAIAAAACIAAABkcnMvZG93bnJldi54bWxQSwECFAAUAAAACACHTuJA&#10;0VlspO4BAADnAwAADgAAAAAAAAABACAAAAAhAQAAZHJzL2Uyb0RvYy54bWxQSwUGAAAAAAYABgBZ&#10;AQAAgQUAAAAA&#10;">
            <v:path arrowok="t"/>
            <v:fill focussize="0,0"/>
            <v:stroke weight="1.08pt" joinstyle="miter"/>
            <v:imagedata o:title=""/>
            <o:lock v:ext="edit"/>
          </v:line>
        </w:pict>
      </w:r>
    </w:p>
    <w:p>
      <w:pPr>
        <w:spacing w:line="205" w:lineRule="exact"/>
        <w:rPr>
          <w:rFonts w:hint="eastAsia" w:ascii="宋体" w:hAnsi="宋体" w:eastAsia="宋体" w:cs="宋体"/>
          <w:color w:val="auto"/>
          <w:sz w:val="20"/>
          <w:szCs w:val="20"/>
          <w:highlight w:val="none"/>
        </w:rPr>
      </w:pPr>
    </w:p>
    <w:p>
      <w:pPr>
        <w:tabs>
          <w:tab w:val="left" w:pos="5460"/>
        </w:tabs>
        <w:spacing w:line="320" w:lineRule="exact"/>
        <w:ind w:left="1140"/>
        <w:rPr>
          <w:rFonts w:hint="eastAsia" w:ascii="宋体" w:hAnsi="宋体" w:eastAsia="宋体" w:cs="宋体"/>
          <w:color w:val="auto"/>
          <w:sz w:val="20"/>
          <w:szCs w:val="20"/>
          <w:highlight w:val="none"/>
        </w:rPr>
      </w:pPr>
      <w:bookmarkStart w:id="106" w:name="_Toc28306_WPSOffice_Level2"/>
      <w:r>
        <w:rPr>
          <w:rFonts w:hint="eastAsia" w:ascii="宋体" w:hAnsi="宋体" w:eastAsia="宋体" w:cs="宋体"/>
          <w:color w:val="auto"/>
          <w:sz w:val="28"/>
          <w:szCs w:val="28"/>
          <w:highlight w:val="none"/>
        </w:rPr>
        <w:t>响应文件签署人：</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（签字或盖章）</w:t>
      </w:r>
      <w:bookmarkEnd w:id="106"/>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直线 14" o:spid="_x0000_s1048" o:spt="20" style="position:absolute;left:0pt;margin-left:168.65pt;margin-top:0.05pt;height:0pt;width:105pt;z-index:-251653120;mso-width-relative:page;mso-height-relative:page;"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bLqa0AAA&#10;AAUBAAAPAAAAAAAAAAEAIAAAACIAAABkcnMvZG93bnJldi54bWxQSwECFAAUAAAACACHTuJAlAOj&#10;k+0BAADnAwAADgAAAAAAAAABACAAAAAfAQAAZHJzL2Uyb0RvYy54bWxQSwUGAAAAAAYABgBZAQAA&#10;fgU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tabs>
          <w:tab w:val="left" w:pos="4600"/>
          <w:tab w:val="left" w:pos="5300"/>
        </w:tabs>
        <w:spacing w:line="320" w:lineRule="exact"/>
        <w:ind w:left="3920"/>
        <w:rPr>
          <w:rFonts w:hint="eastAsia" w:ascii="宋体" w:hAnsi="宋体" w:eastAsia="宋体" w:cs="宋体"/>
          <w:color w:val="auto"/>
          <w:sz w:val="20"/>
          <w:szCs w:val="20"/>
          <w:highlight w:val="none"/>
        </w:rPr>
      </w:pPr>
      <w:bookmarkStart w:id="107" w:name="_Toc8356_WPSOffice_Level2"/>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日</w:t>
      </w:r>
      <w:bookmarkEnd w:id="107"/>
    </w:p>
    <w:p>
      <w:pPr>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spacing w:line="32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资格证明文件封面</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0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项目名称：</w:t>
      </w:r>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直线 34" o:spid="_x0000_s1047" o:spt="20" style="position:absolute;left:0pt;margin-left:136.95pt;margin-top:0.05pt;height:0pt;width:287.1pt;z-index:-251652096;mso-width-relative:page;mso-height-relative:page;"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srR&#10;AAAABQEAAA8AAAAAAAAAAQAgAAAAIgAAAGRycy9kb3ducmV2LnhtbFBLAQIUABQAAAAIAIdO4kDX&#10;IiL67gEAAOcDAAAOAAAAAAAAAAEAIAAAACABAABkcnMvZTJvRG9jLnhtbFBLBQYAAAAABgAGAFkB&#10;AACABQ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项目编号：</w:t>
      </w:r>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直线 35" o:spid="_x0000_s1046" o:spt="20" style="position:absolute;left:0pt;margin-left:136.95pt;margin-top:0.05pt;height:0pt;width:287.1pt;z-index:-251651072;mso-width-relative:page;mso-height-relative:page;"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srR&#10;AAAABQEAAA8AAAAAAAAAAQAgAAAAIgAAAGRycy9kb3ducmV2LnhtbFBLAQIUABQAAAAIAIdO4kDD&#10;CBh77gEAAOcDAAAOAAAAAAAAAAEAIAAAACABAABkcnMvZTJvRG9jLnhtbFBLBQYAAAAABgAGAFkB&#10;AACABQ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24"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响应文件</w:t>
      </w:r>
    </w:p>
    <w:p>
      <w:pPr>
        <w:spacing w:line="200" w:lineRule="exact"/>
        <w:rPr>
          <w:rFonts w:hint="eastAsia" w:ascii="宋体" w:hAnsi="宋体" w:eastAsia="宋体" w:cs="宋体"/>
          <w:color w:val="auto"/>
          <w:sz w:val="20"/>
          <w:szCs w:val="20"/>
          <w:highlight w:val="none"/>
        </w:rPr>
      </w:pPr>
    </w:p>
    <w:p>
      <w:pPr>
        <w:spacing w:line="380"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（资格证明文件）</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22" w:lineRule="exact"/>
        <w:rPr>
          <w:rFonts w:hint="eastAsia" w:ascii="宋体" w:hAnsi="宋体" w:eastAsia="宋体" w:cs="宋体"/>
          <w:color w:val="auto"/>
          <w:sz w:val="20"/>
          <w:szCs w:val="20"/>
          <w:highlight w:val="none"/>
        </w:rPr>
      </w:pPr>
    </w:p>
    <w:p>
      <w:pPr>
        <w:tabs>
          <w:tab w:val="left" w:pos="5880"/>
        </w:tabs>
        <w:spacing w:line="320" w:lineRule="exact"/>
        <w:ind w:left="1140"/>
        <w:jc w:val="both"/>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供应商：</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（盖单位公章）</w:t>
      </w:r>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直线 36" o:spid="_x0000_s1045" o:spt="20" style="position:absolute;left:0pt;margin-left:112.6pt;margin-top:0.05pt;height:0pt;width:182.05pt;z-index:-251650048;mso-width-relative:page;mso-height-relative:page;"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95r4R&#10;0gAAAAUBAAAPAAAAAAAAAAEAIAAAACIAAABkcnMvZG93bnJldi54bWxQSwECFAAUAAAACACHTuJA&#10;WeIcQO4BAADnAwAADgAAAAAAAAABACAAAAAhAQAAZHJzL2Uyb0RvYy54bWxQSwUGAAAAAAYABgBZ&#10;AQAAgQUAAAAA&#10;">
            <v:path arrowok="t"/>
            <v:fill focussize="0,0"/>
            <v:stroke weight="1.08pt" joinstyle="miter"/>
            <v:imagedata o:title=""/>
            <o:lock v:ext="edit"/>
          </v:line>
        </w:pict>
      </w:r>
    </w:p>
    <w:p>
      <w:pPr>
        <w:spacing w:line="205" w:lineRule="exact"/>
        <w:rPr>
          <w:rFonts w:hint="eastAsia" w:ascii="宋体" w:hAnsi="宋体" w:eastAsia="宋体" w:cs="宋体"/>
          <w:color w:val="auto"/>
          <w:sz w:val="20"/>
          <w:szCs w:val="20"/>
          <w:highlight w:val="none"/>
        </w:rPr>
      </w:pPr>
    </w:p>
    <w:p>
      <w:pPr>
        <w:tabs>
          <w:tab w:val="left" w:pos="5460"/>
        </w:tabs>
        <w:spacing w:line="320" w:lineRule="exact"/>
        <w:ind w:left="114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响应文件签署人：</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（签字或盖章）</w:t>
      </w:r>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直线 37" o:spid="_x0000_s1044" o:spt="20" style="position:absolute;left:0pt;margin-left:168.65pt;margin-top:0.05pt;height:0pt;width:105pt;z-index:-251649024;mso-width-relative:page;mso-height-relative:page;" coordsize="21600,21600" o:allowincell="f" o:gfxdata="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RBKeNEA&#10;AAAFAQAADwAAAAAAAAABACAAAAAiAAAAZHJzL2Rvd25yZXYueG1sUEsBAhQAFAAAAAgAh07iQDj2&#10;P9btAQAA5wMAAA4AAAAAAAAAAQAgAAAAIAEAAGRycy9lMm9Eb2MueG1sUEsFBgAAAAAGAAYAWQEA&#10;AH8FAAAAAA==&#10;">
            <v:path arrowok="t"/>
            <v:fill focussize="0,0"/>
            <v:stroke weight="1.07992125984252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tabs>
          <w:tab w:val="left" w:pos="4600"/>
          <w:tab w:val="left" w:pos="5300"/>
        </w:tabs>
        <w:spacing w:line="320" w:lineRule="exact"/>
        <w:ind w:left="392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日</w:t>
      </w:r>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直线 38" o:spid="_x0000_s1043" o:spt="20" style="position:absolute;left:0pt;margin-left:153.85pt;margin-top:0.05pt;height:0pt;width:42.15pt;z-index:-251648000;mso-width-relative:page;mso-height-relative:page;"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Kl0LR&#10;AAAABQEAAA8AAAAAAAAAAQAgAAAAIgAAAGRycy9kb3ducmV2LnhtbFBLAQIUABQAAAAIAIdO4kDA&#10;XVG77gEAAOcDAAAOAAAAAAAAAAEAIAAAACABAABkcnMvZTJvRG9jLnhtbFBLBQYAAAAABgAGAFkB&#10;AACABQAAAAA=&#10;">
            <v:path arrowok="t"/>
            <v:fill focussize="0,0"/>
            <v:stroke weight="1.08pt" joinstyle="miter"/>
            <v:imagedata o:title=""/>
            <o:lock v:ext="edit"/>
          </v:line>
        </w:pict>
      </w:r>
      <w:r>
        <w:rPr>
          <w:rFonts w:hint="eastAsia" w:ascii="宋体" w:hAnsi="宋体" w:eastAsia="宋体" w:cs="宋体"/>
          <w:color w:val="auto"/>
          <w:highlight w:val="none"/>
        </w:rPr>
        <w:pict>
          <v:line id="直线 39" o:spid="_x0000_s1042" o:spt="20" style="position:absolute;left:0pt;margin-left:209.9pt;margin-top:0.05pt;height:0pt;width:21.05pt;z-index:-251646976;mso-width-relative:page;mso-height-relative:page;"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nC+TLR&#10;AAAABQEAAA8AAAAAAAAAAQAgAAAAIgAAAGRycy9kb3ducmV2LnhtbFBLAQIUABQAAAAIAIdO4kB/&#10;JU+V7gEAAOcDAAAOAAAAAAAAAAEAIAAAACABAABkcnMvZTJvRG9jLnhtbFBLBQYAAAAABgAGAFkB&#10;AACABQAAAAA=&#10;">
            <v:path arrowok="t"/>
            <v:fill focussize="0,0"/>
            <v:stroke weight="1.08pt" joinstyle="miter"/>
            <v:imagedata o:title=""/>
            <o:lock v:ext="edit"/>
          </v:line>
        </w:pict>
      </w:r>
      <w:r>
        <w:rPr>
          <w:rFonts w:hint="eastAsia" w:ascii="宋体" w:hAnsi="宋体" w:eastAsia="宋体" w:cs="宋体"/>
          <w:color w:val="auto"/>
          <w:highlight w:val="none"/>
        </w:rPr>
        <w:pict>
          <v:line id="直线 40" o:spid="_x0000_s1041" o:spt="20" style="position:absolute;left:0pt;margin-left:244.95pt;margin-top:0.05pt;height:0pt;width:20.9pt;z-index:-251645952;mso-width-relative:page;mso-height-relative:page;"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t3zS&#10;AAAABQEAAA8AAAAAAAAAAQAgAAAAIgAAAGRycy9kb3ducmV2LnhtbFBLAQIUABQAAAAIAIdO4kAp&#10;GM9k7QEAAOcDAAAOAAAAAAAAAAEAIAAAACEBAABkcnMvZTJvRG9jLnhtbFBLBQYAAAAABgAGAFkB&#10;AACABQ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pStyle w:val="28"/>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spacing w:line="168" w:lineRule="exact"/>
        <w:rPr>
          <w:rFonts w:hint="eastAsia" w:ascii="宋体" w:hAnsi="宋体" w:eastAsia="宋体" w:cs="宋体"/>
          <w:color w:val="auto"/>
          <w:sz w:val="20"/>
          <w:szCs w:val="20"/>
          <w:highlight w:val="none"/>
        </w:rPr>
      </w:pPr>
    </w:p>
    <w:p>
      <w:pPr>
        <w:pStyle w:val="4"/>
        <w:rPr>
          <w:rFonts w:hint="eastAsia" w:ascii="宋体" w:hAnsi="宋体" w:eastAsia="宋体" w:cs="宋体"/>
          <w:color w:val="auto"/>
          <w:highlight w:val="none"/>
        </w:rPr>
      </w:pPr>
      <w:bookmarkStart w:id="108" w:name="_Toc9817_WPSOffice_Level2"/>
      <w:bookmarkStart w:id="109" w:name="_Toc23848_WPSOffice_Level2"/>
      <w:r>
        <w:rPr>
          <w:rFonts w:hint="eastAsia" w:ascii="宋体" w:hAnsi="宋体" w:eastAsia="宋体" w:cs="宋体"/>
          <w:color w:val="auto"/>
          <w:highlight w:val="none"/>
        </w:rPr>
        <w:t>资格审查资料</w:t>
      </w:r>
      <w:bookmarkEnd w:id="108"/>
    </w:p>
    <w:p>
      <w:pPr>
        <w:spacing w:line="33" w:lineRule="exact"/>
        <w:rPr>
          <w:rFonts w:hint="eastAsia" w:ascii="宋体" w:hAnsi="宋体" w:eastAsia="宋体" w:cs="宋体"/>
          <w:color w:val="auto"/>
          <w:sz w:val="20"/>
          <w:szCs w:val="20"/>
          <w:highlight w:val="none"/>
        </w:rPr>
      </w:pPr>
    </w:p>
    <w:p>
      <w:pPr>
        <w:spacing w:line="360" w:lineRule="auto"/>
        <w:ind w:left="780"/>
        <w:rPr>
          <w:rFonts w:hint="eastAsia" w:ascii="宋体" w:hAnsi="宋体" w:eastAsia="宋体" w:cs="宋体"/>
          <w:b/>
          <w:bCs/>
          <w:color w:val="auto"/>
          <w:sz w:val="20"/>
          <w:szCs w:val="20"/>
          <w:highlight w:val="none"/>
        </w:rPr>
      </w:pPr>
      <w:r>
        <w:rPr>
          <w:rFonts w:hint="eastAsia" w:ascii="宋体" w:hAnsi="宋体" w:eastAsia="宋体" w:cs="宋体"/>
          <w:b/>
          <w:bCs/>
          <w:color w:val="auto"/>
          <w:szCs w:val="21"/>
          <w:highlight w:val="none"/>
        </w:rPr>
        <w:t>（一）资格审查须知</w:t>
      </w: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1、供应商必须认真填写竞争性磋商文件规定的所有表格，并对其真实性负责，采购人</w:t>
      </w: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有权对其进行调查核实和要求澄清。</w:t>
      </w: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2、资格审查按通过和不通过两种方式进行评定，供应商的资格等方面的要求作为资格</w:t>
      </w:r>
    </w:p>
    <w:p>
      <w:pPr>
        <w:spacing w:line="360" w:lineRule="auto"/>
        <w:ind w:left="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审查通过的强制性资格条件，经核实有一项不符合要求，则供应商的资格为不通过，不通过</w:t>
      </w: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的供应商对其响应文件不进行后续评审。</w:t>
      </w:r>
    </w:p>
    <w:p>
      <w:pPr>
        <w:spacing w:line="360" w:lineRule="auto"/>
        <w:ind w:left="780"/>
        <w:rPr>
          <w:rFonts w:hint="eastAsia" w:ascii="宋体" w:hAnsi="宋体" w:eastAsia="宋体" w:cs="宋体"/>
          <w:b/>
          <w:bCs/>
          <w:color w:val="auto"/>
          <w:sz w:val="20"/>
          <w:szCs w:val="20"/>
          <w:highlight w:val="none"/>
        </w:rPr>
      </w:pPr>
      <w:r>
        <w:rPr>
          <w:rFonts w:hint="eastAsia" w:ascii="宋体" w:hAnsi="宋体" w:eastAsia="宋体" w:cs="宋体"/>
          <w:b/>
          <w:bCs/>
          <w:color w:val="auto"/>
          <w:szCs w:val="21"/>
          <w:highlight w:val="none"/>
        </w:rPr>
        <w:t>（二）资格审查资料材料及格式</w:t>
      </w:r>
    </w:p>
    <w:p>
      <w:pPr>
        <w:spacing w:line="149" w:lineRule="exact"/>
        <w:rPr>
          <w:rFonts w:hint="eastAsia" w:ascii="宋体" w:hAnsi="宋体" w:eastAsia="宋体" w:cs="宋体"/>
          <w:color w:val="auto"/>
          <w:sz w:val="20"/>
          <w:szCs w:val="20"/>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序号</w:t>
            </w:r>
          </w:p>
        </w:tc>
        <w:tc>
          <w:tcPr>
            <w:tcW w:w="2740" w:type="dxa"/>
          </w:tcPr>
          <w:p>
            <w:pPr>
              <w:spacing w:line="400" w:lineRule="exact"/>
              <w:ind w:firstLine="482"/>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资格条件要求</w:t>
            </w:r>
          </w:p>
        </w:tc>
        <w:tc>
          <w:tcPr>
            <w:tcW w:w="5955" w:type="dxa"/>
          </w:tcPr>
          <w:p>
            <w:pPr>
              <w:spacing w:line="400" w:lineRule="exact"/>
              <w:ind w:firstLine="482"/>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1</w:t>
            </w:r>
          </w:p>
        </w:tc>
        <w:tc>
          <w:tcPr>
            <w:tcW w:w="2740" w:type="dxa"/>
          </w:tcPr>
          <w:p>
            <w:pPr>
              <w:spacing w:line="400" w:lineRule="exact"/>
              <w:rPr>
                <w:rFonts w:hint="eastAsia" w:ascii="宋体" w:hAnsi="宋体" w:eastAsia="宋体" w:cs="宋体"/>
                <w:b/>
                <w:color w:val="auto"/>
                <w:kern w:val="2"/>
                <w:szCs w:val="21"/>
                <w:highlight w:val="none"/>
              </w:rPr>
            </w:pPr>
            <w:r>
              <w:rPr>
                <w:rFonts w:hint="eastAsia" w:ascii="宋体" w:hAnsi="宋体" w:eastAsia="宋体" w:cs="宋体"/>
                <w:color w:val="auto"/>
                <w:kern w:val="2"/>
                <w:szCs w:val="21"/>
                <w:highlight w:val="none"/>
              </w:rPr>
              <w:t>具有独立承担民事责任的能力</w:t>
            </w:r>
          </w:p>
        </w:tc>
        <w:tc>
          <w:tcPr>
            <w:tcW w:w="5955" w:type="dxa"/>
          </w:tcPr>
          <w:p>
            <w:pPr>
              <w:pStyle w:val="19"/>
              <w:numPr>
                <w:ilvl w:val="0"/>
                <w:numId w:val="2"/>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如磋商响应供应商是企业（包括合伙企业），提供在工商部门注册的有效“企业法人营业执照”或“营业执照”；</w:t>
            </w:r>
          </w:p>
          <w:p>
            <w:pPr>
              <w:pStyle w:val="19"/>
              <w:numPr>
                <w:ilvl w:val="0"/>
                <w:numId w:val="2"/>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如磋商响应供应商是事业单位，提供有效的“事业单位法人证书”；</w:t>
            </w:r>
          </w:p>
          <w:p>
            <w:pPr>
              <w:pStyle w:val="19"/>
              <w:numPr>
                <w:ilvl w:val="0"/>
                <w:numId w:val="2"/>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如磋商响应供应商是非企业专业服务机构的，提供执业许可证等证明文件；</w:t>
            </w:r>
          </w:p>
          <w:p>
            <w:pPr>
              <w:pStyle w:val="19"/>
              <w:numPr>
                <w:ilvl w:val="0"/>
                <w:numId w:val="2"/>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如磋商响应供应商是个体工商户，提供有效的“个体工商户营业执照”；</w:t>
            </w:r>
          </w:p>
          <w:p>
            <w:pPr>
              <w:pStyle w:val="19"/>
              <w:numPr>
                <w:ilvl w:val="0"/>
                <w:numId w:val="2"/>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如磋商响应供应商是自然人，提供有效的自然人身份证明。</w:t>
            </w:r>
          </w:p>
          <w:p>
            <w:pPr>
              <w:pStyle w:val="19"/>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2</w:t>
            </w:r>
          </w:p>
        </w:tc>
        <w:tc>
          <w:tcPr>
            <w:tcW w:w="2740" w:type="dxa"/>
          </w:tcPr>
          <w:p>
            <w:p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具有良好的商业信誉和健全的财务会计制度</w:t>
            </w:r>
          </w:p>
        </w:tc>
        <w:tc>
          <w:tcPr>
            <w:tcW w:w="5955" w:type="dxa"/>
          </w:tcPr>
          <w:p>
            <w:pPr>
              <w:pStyle w:val="19"/>
              <w:numPr>
                <w:ilvl w:val="0"/>
                <w:numId w:val="3"/>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磋商响应供应商是法人的，</w:t>
            </w:r>
            <w:r>
              <w:rPr>
                <w:rFonts w:hint="eastAsia" w:ascii="宋体" w:hAnsi="宋体" w:eastAsia="宋体" w:cs="宋体"/>
                <w:b/>
                <w:bCs/>
                <w:color w:val="auto"/>
                <w:kern w:val="2"/>
                <w:sz w:val="21"/>
                <w:szCs w:val="21"/>
                <w:highlight w:val="none"/>
              </w:rPr>
              <w:t>提供最近一年任意一月财务报表（资产负债表、利润表）或开标前三个月内其基本开户银行出具的资信证明</w:t>
            </w:r>
            <w:r>
              <w:rPr>
                <w:rFonts w:hint="eastAsia" w:ascii="宋体" w:hAnsi="宋体" w:eastAsia="宋体" w:cs="宋体"/>
                <w:b/>
                <w:color w:val="auto"/>
                <w:kern w:val="2"/>
                <w:sz w:val="21"/>
                <w:szCs w:val="21"/>
                <w:highlight w:val="none"/>
              </w:rPr>
              <w:t>（若资信证明中注明复</w:t>
            </w:r>
            <w:r>
              <w:rPr>
                <w:rFonts w:hint="eastAsia" w:ascii="宋体" w:hAnsi="宋体" w:eastAsia="宋体" w:cs="宋体"/>
                <w:b/>
                <w:bCs/>
                <w:color w:val="auto"/>
                <w:kern w:val="2"/>
                <w:sz w:val="21"/>
                <w:szCs w:val="21"/>
                <w:highlight w:val="none"/>
              </w:rPr>
              <w:t>印无效，需提交正本</w:t>
            </w:r>
            <w:r>
              <w:rPr>
                <w:rFonts w:hint="eastAsia" w:ascii="宋体" w:hAnsi="宋体" w:eastAsia="宋体" w:cs="宋体"/>
                <w:color w:val="auto"/>
                <w:kern w:val="2"/>
                <w:sz w:val="21"/>
                <w:szCs w:val="21"/>
                <w:highlight w:val="none"/>
              </w:rPr>
              <w:t>），并加盖公章；</w:t>
            </w:r>
          </w:p>
          <w:p>
            <w:pPr>
              <w:pStyle w:val="19"/>
              <w:numPr>
                <w:ilvl w:val="0"/>
                <w:numId w:val="3"/>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部分其他组织和自然人没有财务状况报告的，可以提供银行出具的资信证明(若资信证明中注明复印无效，需提交正本),并加盖公章；</w:t>
            </w:r>
          </w:p>
          <w:p>
            <w:pPr>
              <w:pStyle w:val="19"/>
              <w:numPr>
                <w:ilvl w:val="0"/>
                <w:numId w:val="3"/>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银行资信证明应能说明磋商响应供应商与银行之间业务往来正常，企业信誉良好等，银行出具的存款证明不能替代</w:t>
            </w:r>
            <w:r>
              <w:rPr>
                <w:rFonts w:hint="eastAsia" w:ascii="宋体" w:hAnsi="宋体" w:eastAsia="宋体" w:cs="宋体"/>
                <w:b/>
                <w:color w:val="auto"/>
                <w:kern w:val="2"/>
                <w:sz w:val="21"/>
                <w:szCs w:val="21"/>
                <w:highlight w:val="none"/>
              </w:rPr>
              <w:t>银行资信证明。</w:t>
            </w:r>
          </w:p>
          <w:p>
            <w:pPr>
              <w:pStyle w:val="19"/>
              <w:numPr>
                <w:ilvl w:val="0"/>
                <w:numId w:val="3"/>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磋商响应供应商因新注册成立等原因无法提供相关材料的，应在响应文件中提交如实的情况说明。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3</w:t>
            </w:r>
          </w:p>
        </w:tc>
        <w:tc>
          <w:tcPr>
            <w:tcW w:w="2740" w:type="dxa"/>
          </w:tcPr>
          <w:p>
            <w:p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具有良好的商业信誉</w:t>
            </w:r>
          </w:p>
        </w:tc>
        <w:tc>
          <w:tcPr>
            <w:tcW w:w="5955" w:type="dxa"/>
          </w:tcPr>
          <w:p>
            <w:pPr>
              <w:snapToGrid w:val="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4</w:t>
            </w:r>
          </w:p>
        </w:tc>
        <w:tc>
          <w:tcPr>
            <w:tcW w:w="2740" w:type="dxa"/>
          </w:tcPr>
          <w:p>
            <w:p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具有履行合同所必需的设备和专业技术能力</w:t>
            </w:r>
          </w:p>
        </w:tc>
        <w:tc>
          <w:tcPr>
            <w:tcW w:w="5955" w:type="dxa"/>
          </w:tcPr>
          <w:p>
            <w:pPr>
              <w:pStyle w:val="1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具有履行合同所必需的设备和专业技术能力的承诺函--详见附件2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5</w:t>
            </w:r>
          </w:p>
        </w:tc>
        <w:tc>
          <w:tcPr>
            <w:tcW w:w="2740" w:type="dxa"/>
          </w:tcPr>
          <w:p>
            <w:p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有依法缴纳税收和社会保障资金的良好记录</w:t>
            </w:r>
          </w:p>
        </w:tc>
        <w:tc>
          <w:tcPr>
            <w:tcW w:w="5955" w:type="dxa"/>
          </w:tcPr>
          <w:p>
            <w:pPr>
              <w:pStyle w:val="19"/>
              <w:numPr>
                <w:ilvl w:val="0"/>
                <w:numId w:val="4"/>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最近一年任意一月依法缴纳税收的证明材料指磋商响应供应商参加政府采购活动前最近一年任意一月内依法缴纳税收的凭据（完税证明或纳税证明或银行电子缴税付款凭证等）；</w:t>
            </w:r>
          </w:p>
          <w:p>
            <w:pPr>
              <w:pStyle w:val="19"/>
              <w:numPr>
                <w:ilvl w:val="0"/>
                <w:numId w:val="4"/>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依法免税的磋商响应供应商，应提供相应文件证明其依法免税；</w:t>
            </w:r>
          </w:p>
          <w:p>
            <w:pPr>
              <w:pStyle w:val="19"/>
              <w:numPr>
                <w:ilvl w:val="0"/>
                <w:numId w:val="4"/>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最近一年任意一月依法缴纳社会保障资金的证明</w:t>
            </w:r>
            <w:r>
              <w:rPr>
                <w:rFonts w:hint="eastAsia" w:ascii="宋体" w:hAnsi="宋体" w:eastAsia="宋体" w:cs="宋体"/>
                <w:b/>
                <w:color w:val="auto"/>
                <w:kern w:val="2"/>
                <w:sz w:val="21"/>
                <w:szCs w:val="21"/>
                <w:highlight w:val="none"/>
              </w:rPr>
              <w:t>材料指磋商响应供应商参加政府采购活动前最近一年任意一月内依法缴纳社会保险的凭</w:t>
            </w:r>
            <w:r>
              <w:rPr>
                <w:rFonts w:hint="eastAsia" w:ascii="宋体" w:hAnsi="宋体" w:eastAsia="宋体" w:cs="宋体"/>
                <w:color w:val="auto"/>
                <w:kern w:val="2"/>
                <w:sz w:val="21"/>
                <w:szCs w:val="21"/>
                <w:highlight w:val="none"/>
              </w:rPr>
              <w:t>据（社保缴费专用收据或银行电子缴税付款凭证或社会保险缴纳清单等）；</w:t>
            </w:r>
          </w:p>
          <w:p>
            <w:pPr>
              <w:pStyle w:val="19"/>
              <w:numPr>
                <w:ilvl w:val="0"/>
                <w:numId w:val="4"/>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依法不需要缴纳社会保障资金的磋商响应供应商，应提供相应文件证明其依法不需要缴纳社会保障资金；</w:t>
            </w:r>
          </w:p>
          <w:p>
            <w:pPr>
              <w:pStyle w:val="19"/>
              <w:numPr>
                <w:ilvl w:val="0"/>
                <w:numId w:val="4"/>
              </w:num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磋商响应供应商因新注册成立等原因无法提供相关材料的，应在响应文件中提交如实的情况说明。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6</w:t>
            </w:r>
          </w:p>
        </w:tc>
        <w:tc>
          <w:tcPr>
            <w:tcW w:w="2740" w:type="dxa"/>
          </w:tcPr>
          <w:p>
            <w:pPr>
              <w:pStyle w:val="1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参加政府采购活动前三年内（新成立不满三年的公司自成立之日起算）在经营活动中没有重大违法记录</w:t>
            </w:r>
          </w:p>
        </w:tc>
        <w:tc>
          <w:tcPr>
            <w:tcW w:w="5955" w:type="dxa"/>
          </w:tcPr>
          <w:p>
            <w:pPr>
              <w:pStyle w:val="1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7</w:t>
            </w:r>
          </w:p>
        </w:tc>
        <w:tc>
          <w:tcPr>
            <w:tcW w:w="2740" w:type="dxa"/>
          </w:tcPr>
          <w:p>
            <w:pP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未被信用中国网站（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21"/>
                <w:highlight w:val="none"/>
              </w:rPr>
              <w:t>www.creditchina.gov.cn</w:t>
            </w:r>
            <w:r>
              <w:rPr>
                <w:rFonts w:hint="eastAsia" w:ascii="宋体" w:hAnsi="宋体" w:eastAsia="宋体" w:cs="宋体"/>
                <w:color w:val="auto"/>
                <w:kern w:val="2"/>
                <w:szCs w:val="21"/>
                <w:highlight w:val="none"/>
              </w:rPr>
              <w:fldChar w:fldCharType="end"/>
            </w:r>
            <w:r>
              <w:rPr>
                <w:rFonts w:hint="eastAsia" w:ascii="宋体" w:hAnsi="宋体" w:eastAsia="宋体" w:cs="宋体"/>
                <w:color w:val="auto"/>
                <w:kern w:val="2"/>
                <w:szCs w:val="21"/>
                <w:highlight w:val="none"/>
              </w:rPr>
              <w:t>）列入失信被执行人、重大税收违法案件当事人名单，未被中国政府采购网（www.ccgp.gov.cn）列入政府采购严重违法失信行为记录名单。</w:t>
            </w:r>
          </w:p>
        </w:tc>
        <w:tc>
          <w:tcPr>
            <w:tcW w:w="5955" w:type="dxa"/>
          </w:tcPr>
          <w:p>
            <w:pPr>
              <w:pStyle w:val="1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提供信息网站截图（2个）：查询渠道：“信用中国”（www.creditchina.gov.cn）、“中国政府采购网”（www.ccgp.gov.cn）。</w:t>
            </w:r>
          </w:p>
          <w:p>
            <w:pP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具体以投标截止当日招标代理机构在上述两个网站上查询到的信息为准。</w:t>
            </w:r>
          </w:p>
          <w:p>
            <w:pP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对列入失信被执行人、重大税收违法案件当事人名单、政府采购严重违法失信行为记录名单及其他不符合《中华人民共和国政府采购法》第二十二条规定条件的磋商响应供应商，将拒绝其参与政府采购活动；</w:t>
            </w:r>
          </w:p>
          <w:p>
            <w:pPr>
              <w:pStyle w:val="1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行政处罚较大数额罚款标准认定：按照处罚机关所在地较大金额罚款标准进行认定。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8</w:t>
            </w:r>
          </w:p>
        </w:tc>
        <w:tc>
          <w:tcPr>
            <w:tcW w:w="2740" w:type="dxa"/>
          </w:tcPr>
          <w:p>
            <w:pPr>
              <w:pStyle w:val="19"/>
              <w:spacing w:before="75" w:beforeAutospacing="0" w:after="75" w:afterAutospacing="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单位负责人为同一人或者存在直接控股、管理关系的不同供应商，不得参加同一合同项下的政府采购活动。</w:t>
            </w:r>
          </w:p>
        </w:tc>
        <w:tc>
          <w:tcPr>
            <w:tcW w:w="5955" w:type="dxa"/>
          </w:tcPr>
          <w:p>
            <w:pPr>
              <w:numPr>
                <w:ilvl w:val="0"/>
                <w:numId w:val="5"/>
              </w:numP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提供信息网站截图，查询渠道：“国家企业信用信息公示系统”（w</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"http://www.gsxt.gov.cn/corp-query-homepage.html"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21"/>
                <w:highlight w:val="none"/>
              </w:rPr>
              <w:t>ww.gsxt.gov.cn/corp-query-homepage.html</w:t>
            </w:r>
            <w:r>
              <w:rPr>
                <w:rFonts w:hint="eastAsia" w:ascii="宋体" w:hAnsi="宋体" w:eastAsia="宋体" w:cs="宋体"/>
                <w:color w:val="auto"/>
                <w:kern w:val="2"/>
                <w:szCs w:val="21"/>
                <w:highlight w:val="none"/>
              </w:rPr>
              <w:fldChar w:fldCharType="end"/>
            </w:r>
            <w:r>
              <w:rPr>
                <w:rFonts w:hint="eastAsia" w:ascii="宋体" w:hAnsi="宋体" w:eastAsia="宋体" w:cs="宋体"/>
                <w:color w:val="auto"/>
                <w:kern w:val="2"/>
                <w:szCs w:val="21"/>
                <w:highlight w:val="none"/>
              </w:rPr>
              <w:t>）</w:t>
            </w:r>
          </w:p>
          <w:p>
            <w:pPr>
              <w:numPr>
                <w:ilvl w:val="0"/>
                <w:numId w:val="5"/>
              </w:numP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9</w:t>
            </w:r>
          </w:p>
        </w:tc>
        <w:tc>
          <w:tcPr>
            <w:tcW w:w="2740" w:type="dxa"/>
          </w:tcPr>
          <w:p>
            <w:pPr>
              <w:pStyle w:val="19"/>
              <w:spacing w:before="75" w:beforeAutospacing="0" w:after="75" w:afterAutospacing="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特定资格要求</w:t>
            </w:r>
          </w:p>
        </w:tc>
        <w:tc>
          <w:tcPr>
            <w:tcW w:w="5955" w:type="dxa"/>
          </w:tcPr>
          <w:p>
            <w:pP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特定资格要求证明材料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w:t>
            </w:r>
          </w:p>
        </w:tc>
        <w:tc>
          <w:tcPr>
            <w:tcW w:w="2740" w:type="dxa"/>
            <w:vAlign w:val="center"/>
          </w:tcPr>
          <w:p>
            <w:p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供应商是否为联合体</w:t>
            </w:r>
          </w:p>
        </w:tc>
        <w:tc>
          <w:tcPr>
            <w:tcW w:w="5955" w:type="dxa"/>
            <w:vAlign w:val="center"/>
          </w:tcPr>
          <w:p>
            <w:p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w:t>
            </w:r>
          </w:p>
        </w:tc>
        <w:tc>
          <w:tcPr>
            <w:tcW w:w="2740" w:type="dxa"/>
            <w:vAlign w:val="center"/>
          </w:tcPr>
          <w:p>
            <w:p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本项目只面向小微企业</w:t>
            </w:r>
          </w:p>
        </w:tc>
        <w:tc>
          <w:tcPr>
            <w:tcW w:w="5955" w:type="dxa"/>
            <w:vAlign w:val="center"/>
          </w:tcPr>
          <w:p>
            <w:p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提供《中小企业声明函》，见附件4</w:t>
            </w:r>
          </w:p>
        </w:tc>
      </w:tr>
    </w:tbl>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3" w:lineRule="exact"/>
        <w:rPr>
          <w:rFonts w:hint="eastAsia" w:ascii="宋体" w:hAnsi="宋体" w:eastAsia="宋体" w:cs="宋体"/>
          <w:color w:val="auto"/>
          <w:sz w:val="20"/>
          <w:szCs w:val="20"/>
          <w:highlight w:val="none"/>
        </w:rPr>
      </w:pPr>
    </w:p>
    <w:p>
      <w:pPr>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注：1、证明材料复印件需齐全，不得缺页，否则证明无效，加盖公章。</w:t>
      </w:r>
    </w:p>
    <w:p>
      <w:pPr>
        <w:rPr>
          <w:rFonts w:hint="eastAsia" w:ascii="宋体" w:hAnsi="宋体" w:eastAsia="宋体" w:cs="宋体"/>
          <w:b/>
          <w:bCs/>
          <w:color w:val="auto"/>
          <w:sz w:val="22"/>
          <w:szCs w:val="24"/>
          <w:highlight w:val="none"/>
        </w:rPr>
      </w:pPr>
    </w:p>
    <w:p>
      <w:pPr>
        <w:ind w:firstLine="442" w:firstLineChars="200"/>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2、证明材料因具备充分性，与要求相对应，否则由此产生的责任和风险磋商响应供应商承担。</w:t>
      </w:r>
    </w:p>
    <w:p>
      <w:pPr>
        <w:spacing w:line="200" w:lineRule="exact"/>
        <w:rPr>
          <w:rFonts w:hint="eastAsia" w:ascii="宋体" w:hAnsi="宋体" w:eastAsia="宋体" w:cs="宋体"/>
          <w:color w:val="auto"/>
          <w:sz w:val="20"/>
          <w:szCs w:val="20"/>
          <w:highlight w:val="none"/>
        </w:rPr>
      </w:pPr>
    </w:p>
    <w:p>
      <w:pPr>
        <w:spacing w:line="315" w:lineRule="exact"/>
        <w:rPr>
          <w:rFonts w:hint="eastAsia" w:ascii="宋体" w:hAnsi="宋体" w:eastAsia="宋体" w:cs="宋体"/>
          <w:color w:val="auto"/>
          <w:sz w:val="20"/>
          <w:szCs w:val="20"/>
          <w:highlight w:val="none"/>
        </w:rPr>
      </w:pPr>
    </w:p>
    <w:p>
      <w:pPr>
        <w:spacing w:line="240" w:lineRule="exact"/>
        <w:ind w:left="9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供应商全称（盖单位公章）：</w:t>
      </w:r>
    </w:p>
    <w:p>
      <w:pPr>
        <w:spacing w:line="168" w:lineRule="exact"/>
        <w:rPr>
          <w:rFonts w:hint="eastAsia" w:ascii="宋体" w:hAnsi="宋体" w:eastAsia="宋体" w:cs="宋体"/>
          <w:color w:val="auto"/>
          <w:sz w:val="20"/>
          <w:szCs w:val="20"/>
          <w:highlight w:val="none"/>
        </w:rPr>
      </w:pPr>
    </w:p>
    <w:p>
      <w:pPr>
        <w:spacing w:line="240" w:lineRule="exact"/>
        <w:ind w:left="9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响应文件签署人（签字或盖章）：</w:t>
      </w:r>
    </w:p>
    <w:p>
      <w:pPr>
        <w:spacing w:line="168" w:lineRule="exact"/>
        <w:rPr>
          <w:rFonts w:hint="eastAsia" w:ascii="宋体" w:hAnsi="宋体" w:eastAsia="宋体" w:cs="宋体"/>
          <w:color w:val="auto"/>
          <w:sz w:val="20"/>
          <w:szCs w:val="20"/>
          <w:highlight w:val="none"/>
        </w:rPr>
      </w:pPr>
    </w:p>
    <w:p>
      <w:pPr>
        <w:spacing w:line="240" w:lineRule="exact"/>
        <w:ind w:left="9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日期：</w:t>
      </w:r>
    </w:p>
    <w:p>
      <w:pPr>
        <w:rPr>
          <w:rFonts w:hint="eastAsia" w:ascii="宋体" w:hAnsi="宋体" w:eastAsia="宋体" w:cs="宋体"/>
          <w:color w:val="auto"/>
          <w:highlight w:val="none"/>
        </w:rPr>
        <w:sectPr>
          <w:pgSz w:w="11900" w:h="16838"/>
          <w:pgMar w:top="1440" w:right="1080" w:bottom="1440" w:left="1080" w:header="567" w:footer="567" w:gutter="0"/>
          <w:cols w:equalWidth="0" w:num="1">
            <w:col w:w="9900"/>
          </w:cols>
        </w:sectPr>
      </w:pPr>
    </w:p>
    <w:p>
      <w:pPr>
        <w:ind w:firstLine="321" w:firstLineChars="100"/>
        <w:rPr>
          <w:rFonts w:hint="eastAsia" w:ascii="宋体" w:hAnsi="宋体" w:eastAsia="宋体" w:cs="宋体"/>
          <w:b/>
          <w:color w:val="auto"/>
          <w:sz w:val="32"/>
          <w:szCs w:val="32"/>
          <w:highlight w:val="none"/>
        </w:rPr>
      </w:pPr>
      <w:bookmarkStart w:id="110" w:name="page80"/>
      <w:bookmarkEnd w:id="110"/>
      <w:r>
        <w:rPr>
          <w:rFonts w:hint="eastAsia" w:ascii="宋体" w:hAnsi="宋体" w:eastAsia="宋体" w:cs="宋体"/>
          <w:b/>
          <w:color w:val="auto"/>
          <w:sz w:val="32"/>
          <w:szCs w:val="32"/>
          <w:highlight w:val="none"/>
        </w:rPr>
        <w:t>附件1</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具有良好商业信誉特别声明</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截至投标截止时间，我方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具有良好的商业信誉，不存在下列情形（包括但不限于）。否则，我方将承担在资格审查时不被通过的后果。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1、按照磋商文件规定的信用信息查询渠道及截止时间，经查询列入失信被执行人名单、重大税收违法案件当事人名单、政府采购严重违法失信行为记录名单；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2、截至投标截止时间，因违反《浙江省政府采购供应商注册及诚信管理暂行办法》而被列入‘黑名单’，在处罚有效期内。 </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磋商响应供应商名称（盖章）：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60"/>
        <w:jc w:val="both"/>
        <w:rPr>
          <w:rFonts w:hint="eastAsia" w:ascii="宋体" w:hAnsi="宋体" w:eastAsia="宋体" w:cs="宋体"/>
          <w:b/>
          <w:bCs/>
          <w:color w:val="auto"/>
          <w:sz w:val="28"/>
          <w:szCs w:val="28"/>
          <w:highlight w:val="none"/>
        </w:rPr>
      </w:pPr>
    </w:p>
    <w:p>
      <w:pPr>
        <w:spacing w:line="360" w:lineRule="auto"/>
        <w:ind w:left="36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附件2</w:t>
      </w:r>
    </w:p>
    <w:p>
      <w:pPr>
        <w:spacing w:line="360" w:lineRule="auto"/>
        <w:ind w:left="360"/>
        <w:jc w:val="center"/>
        <w:rPr>
          <w:rFonts w:hint="eastAsia" w:ascii="宋体" w:hAnsi="宋体" w:eastAsia="宋体" w:cs="宋体"/>
          <w:b/>
          <w:bCs/>
          <w:color w:val="auto"/>
          <w:sz w:val="28"/>
          <w:szCs w:val="28"/>
          <w:highlight w:val="none"/>
        </w:rPr>
      </w:pPr>
      <w:bookmarkStart w:id="111" w:name="_Toc22411_WPSOffice_Level2"/>
      <w:r>
        <w:rPr>
          <w:rFonts w:hint="eastAsia" w:ascii="宋体" w:hAnsi="宋体" w:eastAsia="宋体" w:cs="宋体"/>
          <w:b/>
          <w:bCs/>
          <w:color w:val="auto"/>
          <w:sz w:val="28"/>
          <w:szCs w:val="28"/>
          <w:highlight w:val="none"/>
        </w:rPr>
        <w:t>具有履行合同所必需的设备和专业技术能力的承诺函</w:t>
      </w:r>
      <w:bookmarkEnd w:id="111"/>
    </w:p>
    <w:p>
      <w:pPr>
        <w:spacing w:line="360" w:lineRule="auto"/>
        <w:rPr>
          <w:rFonts w:hint="eastAsia" w:ascii="宋体" w:hAnsi="宋体" w:eastAsia="宋体" w:cs="宋体"/>
          <w:color w:val="auto"/>
          <w:sz w:val="20"/>
          <w:szCs w:val="20"/>
          <w:highlight w:val="none"/>
        </w:rPr>
      </w:pP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承诺具有履行合同所必需的设备和专业技术能力。如有虚假，采购人可取消我方任何资格（投标/中标/签订合同），我方对此无任何异议。</w:t>
      </w:r>
    </w:p>
    <w:p>
      <w:pPr>
        <w:spacing w:line="360" w:lineRule="auto"/>
        <w:rPr>
          <w:rFonts w:hint="eastAsia" w:ascii="宋体" w:hAnsi="宋体" w:eastAsia="宋体" w:cs="宋体"/>
          <w:color w:val="auto"/>
          <w:sz w:val="20"/>
          <w:szCs w:val="20"/>
          <w:highlight w:val="none"/>
        </w:rPr>
      </w:pP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特此承诺！</w:t>
      </w: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供应商名称（盖章） ：</w:t>
      </w: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法定代表人或其授权代表（签字或盖章）：</w:t>
      </w:r>
    </w:p>
    <w:p>
      <w:pPr>
        <w:tabs>
          <w:tab w:val="left" w:pos="1920"/>
          <w:tab w:val="left" w:pos="2340"/>
          <w:tab w:val="left" w:pos="2760"/>
        </w:tabs>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 xml:space="preserve">日期：  年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月</w:t>
      </w:r>
      <w:r>
        <w:rPr>
          <w:rFonts w:hint="eastAsia" w:ascii="宋体" w:hAnsi="宋体" w:eastAsia="宋体" w:cs="宋体"/>
          <w:color w:val="auto"/>
          <w:sz w:val="20"/>
          <w:szCs w:val="20"/>
          <w:highlight w:val="none"/>
        </w:rPr>
        <w:tab/>
      </w:r>
      <w:r>
        <w:rPr>
          <w:rFonts w:hint="eastAsia" w:ascii="宋体" w:hAnsi="宋体" w:eastAsia="宋体" w:cs="宋体"/>
          <w:color w:val="auto"/>
          <w:sz w:val="20"/>
          <w:szCs w:val="20"/>
          <w:highlight w:val="none"/>
        </w:rPr>
        <w:t xml:space="preserve"> 日</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60" w:lineRule="auto"/>
        <w:ind w:left="360"/>
        <w:jc w:val="both"/>
        <w:rPr>
          <w:rFonts w:hint="eastAsia" w:ascii="宋体" w:hAnsi="宋体" w:eastAsia="宋体" w:cs="宋体"/>
          <w:b/>
          <w:bCs/>
          <w:color w:val="auto"/>
          <w:sz w:val="28"/>
          <w:szCs w:val="28"/>
          <w:highlight w:val="none"/>
        </w:rPr>
        <w:sectPr>
          <w:pgSz w:w="11900" w:h="16838"/>
          <w:pgMar w:top="1440" w:right="1080" w:bottom="1440" w:left="1080" w:header="567" w:footer="567" w:gutter="0"/>
          <w:cols w:equalWidth="0" w:num="1">
            <w:col w:w="9026"/>
          </w:cols>
        </w:sectPr>
      </w:pPr>
      <w:bookmarkStart w:id="112" w:name="page81"/>
      <w:bookmarkEnd w:id="112"/>
      <w:bookmarkStart w:id="113" w:name="_Toc16196_WPSOffice_Level2"/>
    </w:p>
    <w:p>
      <w:pPr>
        <w:spacing w:line="360" w:lineRule="auto"/>
        <w:ind w:left="36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附件3</w:t>
      </w:r>
    </w:p>
    <w:p>
      <w:pPr>
        <w:spacing w:line="366" w:lineRule="exact"/>
        <w:jc w:val="center"/>
        <w:rPr>
          <w:rFonts w:hint="eastAsia" w:ascii="宋体" w:hAnsi="宋体" w:eastAsia="宋体" w:cs="宋体"/>
          <w:b/>
          <w:bCs/>
          <w:color w:val="auto"/>
          <w:sz w:val="28"/>
          <w:szCs w:val="28"/>
          <w:highlight w:val="none"/>
        </w:rPr>
      </w:pP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没有重大违法记录承诺函</w:t>
      </w:r>
      <w:bookmarkEnd w:id="113"/>
    </w:p>
    <w:p>
      <w:pPr>
        <w:spacing w:line="375" w:lineRule="exact"/>
        <w:rPr>
          <w:rFonts w:hint="eastAsia" w:ascii="宋体" w:hAnsi="宋体" w:eastAsia="宋体" w:cs="宋体"/>
          <w:color w:val="auto"/>
          <w:sz w:val="20"/>
          <w:szCs w:val="20"/>
          <w:highlight w:val="none"/>
        </w:rPr>
      </w:pPr>
    </w:p>
    <w:p>
      <w:pPr>
        <w:spacing w:line="360" w:lineRule="auto"/>
        <w:ind w:left="360"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u w:val="single"/>
        </w:rPr>
        <w:t>（采购人）：</w:t>
      </w:r>
    </w:p>
    <w:p>
      <w:pPr>
        <w:spacing w:line="360" w:lineRule="auto"/>
        <w:ind w:right="346" w:firstLine="630" w:firstLineChars="3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（供应商）</w:t>
      </w:r>
      <w:r>
        <w:rPr>
          <w:rFonts w:hint="eastAsia" w:ascii="宋体" w:hAnsi="宋体" w:eastAsia="宋体" w:cs="宋体"/>
          <w:color w:val="auto"/>
          <w:szCs w:val="21"/>
          <w:highlight w:val="none"/>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right="346" w:firstLine="630" w:firstLineChars="300"/>
        <w:jc w:val="both"/>
        <w:rPr>
          <w:rFonts w:hint="eastAsia" w:ascii="宋体" w:hAnsi="宋体" w:eastAsia="宋体" w:cs="宋体"/>
          <w:color w:val="auto"/>
          <w:szCs w:val="21"/>
          <w:highlight w:val="none"/>
        </w:rPr>
      </w:pPr>
    </w:p>
    <w:p>
      <w:pPr>
        <w:spacing w:line="360" w:lineRule="auto"/>
        <w:ind w:right="346" w:firstLine="630" w:firstLineChars="300"/>
        <w:jc w:val="both"/>
        <w:rPr>
          <w:rFonts w:hint="eastAsia" w:ascii="宋体" w:hAnsi="宋体" w:eastAsia="宋体" w:cs="宋体"/>
          <w:color w:val="auto"/>
          <w:szCs w:val="21"/>
          <w:highlight w:val="none"/>
        </w:rPr>
      </w:pP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特此承诺！</w:t>
      </w:r>
    </w:p>
    <w:p>
      <w:pPr>
        <w:spacing w:line="360" w:lineRule="auto"/>
        <w:ind w:left="360"/>
        <w:rPr>
          <w:rFonts w:hint="eastAsia" w:ascii="宋体" w:hAnsi="宋体" w:eastAsia="宋体" w:cs="宋体"/>
          <w:color w:val="auto"/>
          <w:szCs w:val="21"/>
          <w:highlight w:val="none"/>
        </w:rPr>
      </w:pPr>
    </w:p>
    <w:p>
      <w:pPr>
        <w:spacing w:line="360" w:lineRule="auto"/>
        <w:ind w:left="360"/>
        <w:rPr>
          <w:rFonts w:hint="eastAsia" w:ascii="宋体" w:hAnsi="宋体" w:eastAsia="宋体" w:cs="宋体"/>
          <w:color w:val="auto"/>
          <w:szCs w:val="21"/>
          <w:highlight w:val="none"/>
        </w:rPr>
      </w:pP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供应商全称（盖单位公章）：</w:t>
      </w: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响应文件签署人（签字或盖章）：</w:t>
      </w: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日期：</w:t>
      </w:r>
    </w:p>
    <w:p>
      <w:pPr>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spacing w:line="360" w:lineRule="auto"/>
        <w:ind w:right="-13"/>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附件4</w:t>
      </w:r>
    </w:p>
    <w:p>
      <w:pPr>
        <w:spacing w:line="360" w:lineRule="auto"/>
        <w:ind w:right="-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中小企业声明函（工程）</w:t>
      </w:r>
    </w:p>
    <w:p>
      <w:pPr>
        <w:spacing w:line="360" w:lineRule="auto"/>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本公司郑重声明，根据《政府采购促进中小企业发展管理办法》（财库﹝2020﹞46 号）的规定，本公司参加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采购活动，工程的施工单位全部为符合政策要求的中小企业。相关企业的具体情况如下：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（项目名称）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（采购文件中明确的所属行业） </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 xml:space="preserve">）；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本企业对上述声明内容的真实性负责。如有虚假，将依法承担相应责任。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企业名称（盖章）：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30"/>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28"/>
        <w:spacing w:line="360" w:lineRule="auto"/>
        <w:rPr>
          <w:rFonts w:hint="eastAsia" w:ascii="宋体" w:hAnsi="宋体" w:eastAsia="宋体" w:cs="宋体"/>
          <w:color w:val="auto"/>
          <w:highlight w:val="none"/>
        </w:rPr>
      </w:pPr>
    </w:p>
    <w:p>
      <w:pPr>
        <w:spacing w:line="360" w:lineRule="auto"/>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1.从业人员、营业收入、资产总额填报上一年度数据，数据未填写的视为未提供《中小企业声明函》；</w:t>
      </w:r>
    </w:p>
    <w:p>
      <w:pPr>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2.企业类型必须明确属于何种类型（中型/小型/微型），供应商应根据自身情况参考下表《中小微行业划型标准规定》填写确认；</w:t>
      </w:r>
    </w:p>
    <w:p>
      <w:pPr>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3.以上内容有任何缺漏的，均视作未提供《中小企业声明函》。</w:t>
      </w:r>
    </w:p>
    <w:p>
      <w:pPr>
        <w:pStyle w:val="28"/>
        <w:rPr>
          <w:rFonts w:hint="eastAsia" w:ascii="宋体" w:hAnsi="宋体" w:eastAsia="宋体" w:cs="宋体"/>
          <w:color w:val="auto"/>
          <w:highlight w:val="none"/>
        </w:rPr>
      </w:pPr>
    </w:p>
    <w:p>
      <w:pPr>
        <w:spacing w:line="366" w:lineRule="exact"/>
        <w:jc w:val="center"/>
        <w:rPr>
          <w:rFonts w:hint="eastAsia" w:ascii="宋体" w:hAnsi="宋体" w:eastAsia="宋体" w:cs="宋体"/>
          <w:b/>
          <w:bCs/>
          <w:color w:val="auto"/>
          <w:sz w:val="28"/>
          <w:szCs w:val="28"/>
          <w:highlight w:val="none"/>
        </w:rPr>
        <w:sectPr>
          <w:pgSz w:w="11900" w:h="16838"/>
          <w:pgMar w:top="1440" w:right="1080" w:bottom="1440" w:left="1080" w:header="567" w:footer="567" w:gutter="0"/>
          <w:cols w:equalWidth="0" w:num="1">
            <w:col w:w="9026"/>
          </w:cols>
        </w:sectPr>
      </w:pPr>
    </w:p>
    <w:p>
      <w:pPr>
        <w:spacing w:line="32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报价文件封面</w:t>
      </w:r>
      <w:bookmarkEnd w:id="109"/>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0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14" w:name="_Toc1313_WPSOffice_Level2"/>
      <w:r>
        <w:rPr>
          <w:rFonts w:hint="eastAsia" w:ascii="宋体" w:hAnsi="宋体" w:eastAsia="宋体" w:cs="宋体"/>
          <w:color w:val="auto"/>
          <w:sz w:val="28"/>
          <w:szCs w:val="28"/>
          <w:highlight w:val="none"/>
        </w:rPr>
        <w:t>项目名称：</w:t>
      </w:r>
      <w:bookmarkEnd w:id="114"/>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15" o:spid="_x0000_s1040" o:spt="20" style="position:absolute;left:0pt;margin-left:136.95pt;margin-top:0.05pt;height:0pt;width:287.1pt;z-index:-251644928;mso-width-relative:page;mso-height-relative:page;"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v+qytEAAAAFAQAADwAAAAAA&#10;AAABACAAAAAiAAAAZHJzL2Rvd25yZXYueG1sUEsBAhQAFAAAAAgAh07iQKJ+9CvhAQAA6AMAAA4A&#10;AAAAAAAAAQAgAAAAIAEAAGRycy9lMm9Eb2MueG1sUEsFBgAAAAAGAAYAWQEAAHMFA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15" w:name="_Toc13212_WPSOffice_Level2"/>
      <w:r>
        <w:rPr>
          <w:rFonts w:hint="eastAsia" w:ascii="宋体" w:hAnsi="宋体" w:eastAsia="宋体" w:cs="宋体"/>
          <w:color w:val="auto"/>
          <w:sz w:val="28"/>
          <w:szCs w:val="28"/>
          <w:highlight w:val="none"/>
        </w:rPr>
        <w:t>项目编号：</w:t>
      </w:r>
      <w:bookmarkEnd w:id="115"/>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16" o:spid="_x0000_s1039" o:spt="20" style="position:absolute;left:0pt;margin-left:136.95pt;margin-top:0.05pt;height:0pt;width:287.1pt;z-index:-251643904;mso-width-relative:page;mso-height-relative:page;"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v+qytEAAAAFAQAADwAAAAAA&#10;AAABACAAAAAiAAAAZHJzL2Rvd25yZXYueG1sUEsBAhQAFAAAAAgAh07iQO+yIpfhAQAA6AMAAA4A&#10;AAAAAAAAAQAgAAAAIAEAAGRycy9lMm9Eb2MueG1sUEsFBgAAAAAGAAYAWQEAAHMFA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24"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响应文件</w:t>
      </w:r>
    </w:p>
    <w:p>
      <w:pPr>
        <w:spacing w:line="200" w:lineRule="exact"/>
        <w:rPr>
          <w:rFonts w:hint="eastAsia" w:ascii="宋体" w:hAnsi="宋体" w:eastAsia="宋体" w:cs="宋体"/>
          <w:color w:val="auto"/>
          <w:sz w:val="20"/>
          <w:szCs w:val="20"/>
          <w:highlight w:val="none"/>
        </w:rPr>
      </w:pPr>
    </w:p>
    <w:p>
      <w:pPr>
        <w:spacing w:line="380"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（报价文件）</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22" w:lineRule="exact"/>
        <w:rPr>
          <w:rFonts w:hint="eastAsia" w:ascii="宋体" w:hAnsi="宋体" w:eastAsia="宋体" w:cs="宋体"/>
          <w:color w:val="auto"/>
          <w:sz w:val="20"/>
          <w:szCs w:val="20"/>
          <w:highlight w:val="none"/>
        </w:rPr>
      </w:pPr>
    </w:p>
    <w:p>
      <w:pPr>
        <w:tabs>
          <w:tab w:val="left" w:pos="5880"/>
        </w:tabs>
        <w:spacing w:line="320" w:lineRule="exact"/>
        <w:ind w:left="1140"/>
        <w:jc w:val="both"/>
        <w:rPr>
          <w:rFonts w:hint="eastAsia" w:ascii="宋体" w:hAnsi="宋体" w:eastAsia="宋体" w:cs="宋体"/>
          <w:color w:val="auto"/>
          <w:sz w:val="20"/>
          <w:szCs w:val="20"/>
          <w:highlight w:val="none"/>
        </w:rPr>
      </w:pPr>
      <w:bookmarkStart w:id="116" w:name="_Toc14375_WPSOffice_Level2"/>
      <w:r>
        <w:rPr>
          <w:rFonts w:hint="eastAsia" w:ascii="宋体" w:hAnsi="宋体" w:eastAsia="宋体" w:cs="宋体"/>
          <w:color w:val="auto"/>
          <w:sz w:val="28"/>
          <w:szCs w:val="28"/>
          <w:highlight w:val="none"/>
        </w:rPr>
        <w:t>供应商：</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（盖单位公章）</w:t>
      </w:r>
      <w:bookmarkEnd w:id="116"/>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17" o:spid="_x0000_s1038" o:spt="20" style="position:absolute;left:0pt;margin-left:112.6pt;margin-top:0.05pt;height:0pt;width:182.05pt;z-index:-251642880;mso-width-relative:page;mso-height-relative:page;"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3mvhHSAAAABQEAAA8AAAAA&#10;AAAAAQAgAAAAIgAAAGRycy9kb3ducmV2LnhtbFBLAQIUABQAAAAIAIdO4kAN0GiD4QEAAOgDAAAO&#10;AAAAAAAAAAEAIAAAACEBAABkcnMvZTJvRG9jLnhtbFBLBQYAAAAABgAGAFkBAAB0BQAAAAA=&#10;">
            <v:path arrowok="t"/>
            <v:fill focussize="0,0"/>
            <v:stroke weight="1.08pt" joinstyle="miter"/>
            <v:imagedata o:title=""/>
            <o:lock v:ext="edit"/>
          </v:line>
        </w:pict>
      </w:r>
    </w:p>
    <w:p>
      <w:pPr>
        <w:spacing w:line="205" w:lineRule="exact"/>
        <w:rPr>
          <w:rFonts w:hint="eastAsia" w:ascii="宋体" w:hAnsi="宋体" w:eastAsia="宋体" w:cs="宋体"/>
          <w:color w:val="auto"/>
          <w:sz w:val="20"/>
          <w:szCs w:val="20"/>
          <w:highlight w:val="none"/>
        </w:rPr>
      </w:pPr>
    </w:p>
    <w:p>
      <w:pPr>
        <w:tabs>
          <w:tab w:val="left" w:pos="5460"/>
        </w:tabs>
        <w:spacing w:line="320" w:lineRule="exact"/>
        <w:ind w:left="1140"/>
        <w:rPr>
          <w:rFonts w:hint="eastAsia" w:ascii="宋体" w:hAnsi="宋体" w:eastAsia="宋体" w:cs="宋体"/>
          <w:color w:val="auto"/>
          <w:sz w:val="20"/>
          <w:szCs w:val="20"/>
          <w:highlight w:val="none"/>
        </w:rPr>
      </w:pPr>
      <w:bookmarkStart w:id="117" w:name="_Toc12549_WPSOffice_Level2"/>
      <w:r>
        <w:rPr>
          <w:rFonts w:hint="eastAsia" w:ascii="宋体" w:hAnsi="宋体" w:eastAsia="宋体" w:cs="宋体"/>
          <w:color w:val="auto"/>
          <w:sz w:val="28"/>
          <w:szCs w:val="28"/>
          <w:highlight w:val="none"/>
        </w:rPr>
        <w:t>响应文件签署人：</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（签字或盖章）</w:t>
      </w:r>
      <w:bookmarkEnd w:id="117"/>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18" o:spid="_x0000_s1037" o:spt="20" style="position:absolute;left:0pt;margin-left:168.65pt;margin-top:0.05pt;height:0pt;width:105pt;z-index:-251641856;mso-width-relative:page;mso-height-relative:page;" coordsize="21600,21600" o:allowincell="f" o:gfxdata="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RBKeNEAAAAFAQAADwAAAAAA&#10;AAABACAAAAAiAAAAZHJzL2Rvd25yZXYueG1sUEsBAhQAFAAAAAgAh07iQKGriYHhAQAA6AMAAA4A&#10;AAAAAAAAAQAgAAAAIAEAAGRycy9lMm9Eb2MueG1sUEsFBgAAAAAGAAYAWQEAAHMFAAAAAA==&#10;">
            <v:path arrowok="t"/>
            <v:fill focussize="0,0"/>
            <v:stroke weight="1.07992125984252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tabs>
          <w:tab w:val="left" w:pos="4600"/>
          <w:tab w:val="left" w:pos="5300"/>
        </w:tabs>
        <w:spacing w:line="320" w:lineRule="exact"/>
        <w:ind w:left="3920"/>
        <w:rPr>
          <w:rFonts w:hint="eastAsia" w:ascii="宋体" w:hAnsi="宋体" w:eastAsia="宋体" w:cs="宋体"/>
          <w:color w:val="auto"/>
          <w:sz w:val="20"/>
          <w:szCs w:val="20"/>
          <w:highlight w:val="none"/>
        </w:rPr>
      </w:pPr>
      <w:bookmarkStart w:id="118" w:name="_Toc20379_WPSOffice_Level2"/>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日</w:t>
      </w:r>
      <w:bookmarkEnd w:id="118"/>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19" o:spid="_x0000_s1036" o:spt="20" style="position:absolute;left:0pt;margin-left:153.85pt;margin-top:0.05pt;height:0pt;width:42.15pt;z-index:-251640832;mso-width-relative:page;mso-height-relative:page;"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iKl0LRAAAABQEAAA8AAAAA&#10;AAAAAQAgAAAAIgAAAGRycy9kb3ducmV2LnhtbFBLAQIUABQAAAAIAIdO4kCr18S14gEAAOcDAAAO&#10;AAAAAAAAAAEAIAAAACABAABkcnMvZTJvRG9jLnhtbFBLBQYAAAAABgAGAFkBAAB0BQAAAAA=&#10;">
            <v:path arrowok="t"/>
            <v:fill focussize="0,0"/>
            <v:stroke weight="1.08pt" joinstyle="miter"/>
            <v:imagedata o:title=""/>
            <o:lock v:ext="edit"/>
          </v:line>
        </w:pict>
      </w:r>
      <w:r>
        <w:rPr>
          <w:rFonts w:hint="eastAsia" w:ascii="宋体" w:hAnsi="宋体" w:eastAsia="宋体" w:cs="宋体"/>
          <w:color w:val="auto"/>
          <w:highlight w:val="none"/>
        </w:rPr>
        <w:pict>
          <v:line id="Shape 220" o:spid="_x0000_s1035" o:spt="20" style="position:absolute;left:0pt;margin-left:209.9pt;margin-top:0.05pt;height:0pt;width:21.05pt;z-index:-251639808;mso-width-relative:page;mso-height-relative:page;"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wvky0QAAAAUBAAAPAAAAAAAA&#10;AAEAIAAAACIAAABkcnMvZG93bnJldi54bWxQSwECFAAUAAAACACHTuJAER2t5uABAADnAwAADgAA&#10;AAAAAAABACAAAAAgAQAAZHJzL2Uyb0RvYy54bWxQSwUGAAAAAAYABgBZAQAAcgUAAAAA&#10;">
            <v:path arrowok="t"/>
            <v:fill focussize="0,0"/>
            <v:stroke weight="1.08pt" joinstyle="miter"/>
            <v:imagedata o:title=""/>
            <o:lock v:ext="edit"/>
          </v:line>
        </w:pict>
      </w:r>
      <w:r>
        <w:rPr>
          <w:rFonts w:hint="eastAsia" w:ascii="宋体" w:hAnsi="宋体" w:eastAsia="宋体" w:cs="宋体"/>
          <w:color w:val="auto"/>
          <w:highlight w:val="none"/>
        </w:rPr>
        <w:pict>
          <v:line id="Shape 221" o:spid="_x0000_s1034" o:spt="20" style="position:absolute;left:0pt;margin-left:244.95pt;margin-top:0.05pt;height:0pt;width:20.9pt;z-index:-251638784;mso-width-relative:page;mso-height-relative:page;"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5K3fNIAAAAFAQAADwAAAAAA&#10;AAABACAAAAAiAAAAZHJzL2Rvd25yZXYueG1sUEsBAhQAFAAAAAgAh07iQDTONBXgAQAA5wMAAA4A&#10;AAAAAAAAAQAgAAAAIQEAAGRycy9lMm9Eb2MueG1sUEsFBgAAAAAGAAYAWQEAAHMFA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pStyle w:val="4"/>
        <w:rPr>
          <w:rFonts w:hint="eastAsia" w:ascii="宋体" w:hAnsi="宋体" w:eastAsia="宋体" w:cs="宋体"/>
          <w:color w:val="auto"/>
          <w:highlight w:val="none"/>
        </w:rPr>
      </w:pPr>
      <w:bookmarkStart w:id="119" w:name="page49"/>
      <w:bookmarkEnd w:id="119"/>
      <w:r>
        <w:rPr>
          <w:rFonts w:hint="eastAsia" w:ascii="宋体" w:hAnsi="宋体" w:eastAsia="宋体" w:cs="宋体"/>
          <w:color w:val="auto"/>
          <w:highlight w:val="none"/>
        </w:rPr>
        <w:t>报价文件</w:t>
      </w:r>
    </w:p>
    <w:p>
      <w:pPr>
        <w:spacing w:line="366" w:lineRule="exact"/>
        <w:ind w:right="6"/>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一、报价函</w:t>
      </w:r>
    </w:p>
    <w:p>
      <w:pPr>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（采购人单位名称）、浙江五石工程咨询有限公司：</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（供应商全称）</w:t>
      </w:r>
      <w:r>
        <w:rPr>
          <w:rFonts w:hint="eastAsia" w:ascii="宋体" w:hAnsi="宋体" w:eastAsia="宋体" w:cs="宋体"/>
          <w:color w:val="auto"/>
          <w:highlight w:val="none"/>
        </w:rPr>
        <w:t>参加贵方组织的</w:t>
      </w:r>
      <w:r>
        <w:rPr>
          <w:rFonts w:hint="eastAsia" w:ascii="宋体" w:hAnsi="宋体" w:eastAsia="宋体" w:cs="宋体"/>
          <w:color w:val="auto"/>
          <w:highlight w:val="none"/>
          <w:u w:val="single"/>
        </w:rPr>
        <w:t xml:space="preserve"> （项目名称） （项目编号） </w:t>
      </w:r>
      <w:r>
        <w:rPr>
          <w:rFonts w:hint="eastAsia" w:ascii="宋体" w:hAnsi="宋体" w:eastAsia="宋体" w:cs="宋体"/>
          <w:color w:val="auto"/>
          <w:highlight w:val="none"/>
        </w:rPr>
        <w:t xml:space="preserve">磋商的有关活动，并对 </w:t>
      </w:r>
      <w:r>
        <w:rPr>
          <w:rFonts w:hint="eastAsia" w:ascii="宋体" w:hAnsi="宋体" w:eastAsia="宋体" w:cs="宋体"/>
          <w:color w:val="auto"/>
          <w:highlight w:val="none"/>
          <w:u w:val="single"/>
        </w:rPr>
        <w:t xml:space="preserve">（项目名称）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（标项内容） </w:t>
      </w:r>
      <w:r>
        <w:rPr>
          <w:rFonts w:hint="eastAsia" w:ascii="宋体" w:hAnsi="宋体" w:eastAsia="宋体" w:cs="宋体"/>
          <w:color w:val="auto"/>
          <w:highlight w:val="none"/>
        </w:rPr>
        <w:t>进行磋商。为此我方：</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1、承诺在供应商须知规定的投标截止日起遵守本响应文件中的承诺，且在投标有效期满之前均具有约束力。</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2、承诺已经具备《中华人民共和国政府采购法》中规定的参加政府采购活动的供应商应当具备的条件及采购人规定的特定条件。</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3、已详细审核全部竞争性磋商文件，包括竞争性磋商文件补充（如果有）、参考资料及有关附件，确认无误。</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4、提供供应商须知规定的全部响应文件，包括响应文件正本 1 份，副本 4 份。</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5、投标报价详见《初次报价一览表》。</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6、保证遵守竞争性磋商文件中的其他有关规定。</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7、完全理解不一定接受最低价中标。</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8、愿意向贵方提供任何与该项目投标有关的数据、情况和技术资料。若贵方需要，愿意提供我方做出的一切承诺的证明材料。</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9、保证忠实地执行双方所签订的合同，并承担合同规定的责任和义务。</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10、将严格遵守《中华人民共和国政府采购法》第七十七条规定，供应商有下列情形之一的，处以采购金额 5‰以上 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12"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a）提供虚假材料谋取中标、成交的；</w:t>
      </w:r>
    </w:p>
    <w:p>
      <w:pPr>
        <w:adjustRightInd w:val="0"/>
        <w:snapToGrid w:val="0"/>
        <w:spacing w:line="312"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b）采取不正当手段诋毁、排挤其他供应商的；</w:t>
      </w:r>
    </w:p>
    <w:p>
      <w:pPr>
        <w:adjustRightInd w:val="0"/>
        <w:snapToGrid w:val="0"/>
        <w:spacing w:line="312"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c）与采购人、其它供应商或者采购代理机构恶意串通的；</w:t>
      </w:r>
    </w:p>
    <w:p>
      <w:pPr>
        <w:adjustRightInd w:val="0"/>
        <w:snapToGrid w:val="0"/>
        <w:spacing w:line="312"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d）向采购人、采购代理机构行贿或者提供其他不正当利益的；</w:t>
      </w:r>
    </w:p>
    <w:p>
      <w:pPr>
        <w:adjustRightInd w:val="0"/>
        <w:snapToGrid w:val="0"/>
        <w:spacing w:line="312"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e）在招标采购过程中与采购人进行协商谈判的；</w:t>
      </w:r>
    </w:p>
    <w:p>
      <w:pPr>
        <w:adjustRightInd w:val="0"/>
        <w:snapToGrid w:val="0"/>
        <w:spacing w:line="312"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f）拒绝有关部门监督检查或提供虚假情况的。</w:t>
      </w:r>
    </w:p>
    <w:p>
      <w:pPr>
        <w:adjustRightInd w:val="0"/>
        <w:snapToGrid w:val="0"/>
        <w:spacing w:line="312"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供应商有前款第 a）至 f）项情形之一的，中标、成交无效。</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11、本响应文件的有效期为自投标截止时间起</w:t>
      </w:r>
      <w:r>
        <w:rPr>
          <w:rFonts w:hint="eastAsia" w:ascii="宋体" w:hAnsi="宋体" w:eastAsia="宋体" w:cs="宋体"/>
          <w:color w:val="auto"/>
          <w:highlight w:val="none"/>
          <w:u w:val="single"/>
        </w:rPr>
        <w:t xml:space="preserve"> 120 </w:t>
      </w:r>
      <w:r>
        <w:rPr>
          <w:rFonts w:hint="eastAsia" w:ascii="宋体" w:hAnsi="宋体" w:eastAsia="宋体" w:cs="宋体"/>
          <w:color w:val="auto"/>
          <w:highlight w:val="none"/>
        </w:rPr>
        <w:t>天。</w:t>
      </w:r>
    </w:p>
    <w:p>
      <w:pPr>
        <w:spacing w:line="360" w:lineRule="auto"/>
        <w:ind w:left="840"/>
        <w:rPr>
          <w:rFonts w:hint="eastAsia" w:ascii="宋体" w:hAnsi="宋体" w:eastAsia="宋体" w:cs="宋体"/>
          <w:color w:val="auto"/>
          <w:szCs w:val="21"/>
          <w:highlight w:val="none"/>
        </w:rPr>
      </w:pPr>
    </w:p>
    <w:p>
      <w:pPr>
        <w:adjustRightInd w:val="0"/>
        <w:snapToGrid w:val="0"/>
        <w:spacing w:line="312" w:lineRule="auto"/>
        <w:ind w:left="839"/>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供应商全称（盖单位公章）：</w:t>
      </w:r>
    </w:p>
    <w:p>
      <w:pPr>
        <w:adjustRightInd w:val="0"/>
        <w:snapToGrid w:val="0"/>
        <w:spacing w:line="312" w:lineRule="auto"/>
        <w:ind w:left="839"/>
        <w:rPr>
          <w:rFonts w:hint="eastAsia" w:ascii="宋体" w:hAnsi="宋体" w:eastAsia="宋体" w:cs="宋体"/>
          <w:color w:val="auto"/>
          <w:sz w:val="20"/>
          <w:szCs w:val="20"/>
          <w:highlight w:val="none"/>
        </w:rPr>
      </w:pPr>
      <w:bookmarkStart w:id="120" w:name="page50"/>
      <w:bookmarkEnd w:id="120"/>
      <w:r>
        <w:rPr>
          <w:rFonts w:hint="eastAsia" w:ascii="宋体" w:hAnsi="宋体" w:eastAsia="宋体" w:cs="宋体"/>
          <w:color w:val="auto"/>
          <w:szCs w:val="21"/>
          <w:highlight w:val="none"/>
        </w:rPr>
        <w:t>响应文件签署人（签字或盖章）：</w:t>
      </w:r>
    </w:p>
    <w:p>
      <w:pPr>
        <w:adjustRightInd w:val="0"/>
        <w:snapToGrid w:val="0"/>
        <w:spacing w:line="312" w:lineRule="auto"/>
        <w:ind w:left="839"/>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日期：</w:t>
      </w:r>
    </w:p>
    <w:p>
      <w:pPr>
        <w:adjustRightInd w:val="0"/>
        <w:snapToGrid w:val="0"/>
        <w:spacing w:line="312" w:lineRule="auto"/>
        <w:ind w:left="839"/>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单位地址：</w:t>
      </w:r>
    </w:p>
    <w:p>
      <w:pPr>
        <w:tabs>
          <w:tab w:val="left" w:pos="2700"/>
          <w:tab w:val="left" w:pos="4380"/>
        </w:tabs>
        <w:adjustRightInd w:val="0"/>
        <w:snapToGrid w:val="0"/>
        <w:spacing w:line="312" w:lineRule="auto"/>
        <w:ind w:left="839"/>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邮编：</w:t>
      </w:r>
      <w:r>
        <w:rPr>
          <w:rFonts w:hint="eastAsia" w:ascii="宋体" w:hAnsi="宋体" w:eastAsia="宋体" w:cs="宋体"/>
          <w:color w:val="auto"/>
          <w:sz w:val="20"/>
          <w:szCs w:val="20"/>
          <w:highlight w:val="none"/>
        </w:rPr>
        <w:tab/>
      </w:r>
      <w:r>
        <w:rPr>
          <w:rFonts w:hint="eastAsia" w:ascii="宋体" w:hAnsi="宋体" w:eastAsia="宋体" w:cs="宋体"/>
          <w:color w:val="auto"/>
          <w:szCs w:val="21"/>
          <w:highlight w:val="none"/>
        </w:rPr>
        <w:t>电话：</w:t>
      </w:r>
      <w:r>
        <w:rPr>
          <w:rFonts w:hint="eastAsia" w:ascii="宋体" w:hAnsi="宋体" w:eastAsia="宋体" w:cs="宋体"/>
          <w:color w:val="auto"/>
          <w:sz w:val="20"/>
          <w:szCs w:val="20"/>
          <w:highlight w:val="none"/>
        </w:rPr>
        <w:tab/>
      </w:r>
      <w:r>
        <w:rPr>
          <w:rFonts w:hint="eastAsia" w:ascii="宋体" w:hAnsi="宋体" w:eastAsia="宋体" w:cs="宋体"/>
          <w:color w:val="auto"/>
          <w:szCs w:val="21"/>
          <w:highlight w:val="none"/>
        </w:rPr>
        <w:t>传真：</w:t>
      </w:r>
    </w:p>
    <w:p>
      <w:pPr>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spacing w:line="366" w:lineRule="exact"/>
        <w:ind w:right="6"/>
        <w:jc w:val="center"/>
        <w:rPr>
          <w:rFonts w:hint="eastAsia" w:ascii="宋体" w:hAnsi="宋体" w:eastAsia="宋体" w:cs="宋体"/>
          <w:color w:val="auto"/>
          <w:sz w:val="28"/>
          <w:szCs w:val="28"/>
          <w:highlight w:val="none"/>
        </w:rPr>
      </w:pPr>
      <w:bookmarkStart w:id="121" w:name="page51"/>
      <w:bookmarkEnd w:id="121"/>
      <w:r>
        <w:rPr>
          <w:rFonts w:hint="eastAsia" w:ascii="宋体" w:hAnsi="宋体" w:eastAsia="宋体" w:cs="宋体"/>
          <w:b/>
          <w:bCs/>
          <w:color w:val="auto"/>
          <w:sz w:val="28"/>
          <w:szCs w:val="28"/>
          <w:highlight w:val="none"/>
        </w:rPr>
        <w:t>二、初次报价一览表</w:t>
      </w:r>
    </w:p>
    <w:p>
      <w:pPr>
        <w:spacing w:line="252" w:lineRule="exact"/>
        <w:rPr>
          <w:rFonts w:hint="eastAsia" w:ascii="宋体" w:hAnsi="宋体" w:eastAsia="宋体" w:cs="宋体"/>
          <w:color w:val="auto"/>
          <w:sz w:val="20"/>
          <w:szCs w:val="20"/>
          <w:highlight w:val="none"/>
        </w:rPr>
      </w:pPr>
    </w:p>
    <w:tbl>
      <w:tblPr>
        <w:tblStyle w:val="20"/>
        <w:tblW w:w="8960" w:type="dxa"/>
        <w:tblInd w:w="50" w:type="dxa"/>
        <w:tblLayout w:type="fixed"/>
        <w:tblCellMar>
          <w:top w:w="0" w:type="dxa"/>
          <w:left w:w="0" w:type="dxa"/>
          <w:bottom w:w="0" w:type="dxa"/>
          <w:right w:w="0" w:type="dxa"/>
        </w:tblCellMar>
      </w:tblPr>
      <w:tblGrid>
        <w:gridCol w:w="1480"/>
        <w:gridCol w:w="520"/>
        <w:gridCol w:w="1460"/>
        <w:gridCol w:w="540"/>
        <w:gridCol w:w="1700"/>
        <w:gridCol w:w="1731"/>
        <w:gridCol w:w="1529"/>
      </w:tblGrid>
      <w:tr>
        <w:tblPrEx>
          <w:tblCellMar>
            <w:top w:w="0" w:type="dxa"/>
            <w:left w:w="0" w:type="dxa"/>
            <w:bottom w:w="0" w:type="dxa"/>
            <w:right w:w="0" w:type="dxa"/>
          </w:tblCellMar>
        </w:tblPrEx>
        <w:trPr>
          <w:trHeight w:val="240" w:hRule="atLeast"/>
        </w:trPr>
        <w:tc>
          <w:tcPr>
            <w:tcW w:w="1480" w:type="dxa"/>
            <w:vAlign w:val="bottom"/>
          </w:tcPr>
          <w:p>
            <w:pPr>
              <w:spacing w:line="360" w:lineRule="auto"/>
              <w:ind w:left="320"/>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项目名称：</w:t>
            </w:r>
          </w:p>
        </w:tc>
        <w:tc>
          <w:tcPr>
            <w:tcW w:w="520" w:type="dxa"/>
            <w:tcBorders>
              <w:bottom w:val="single" w:color="auto" w:sz="8" w:space="0"/>
            </w:tcBorders>
            <w:vAlign w:val="bottom"/>
          </w:tcPr>
          <w:p>
            <w:pPr>
              <w:spacing w:line="360" w:lineRule="auto"/>
              <w:rPr>
                <w:rFonts w:hint="eastAsia" w:ascii="宋体" w:hAnsi="宋体" w:eastAsia="宋体" w:cs="宋体"/>
                <w:color w:val="auto"/>
                <w:kern w:val="2"/>
                <w:sz w:val="20"/>
                <w:szCs w:val="20"/>
                <w:highlight w:val="none"/>
              </w:rPr>
            </w:pPr>
          </w:p>
        </w:tc>
        <w:tc>
          <w:tcPr>
            <w:tcW w:w="1460" w:type="dxa"/>
            <w:tcBorders>
              <w:bottom w:val="single" w:color="auto" w:sz="8" w:space="0"/>
            </w:tcBorders>
            <w:vAlign w:val="bottom"/>
          </w:tcPr>
          <w:p>
            <w:pPr>
              <w:spacing w:line="360" w:lineRule="auto"/>
              <w:rPr>
                <w:rFonts w:hint="eastAsia" w:ascii="宋体" w:hAnsi="宋体" w:eastAsia="宋体" w:cs="宋体"/>
                <w:color w:val="auto"/>
                <w:kern w:val="2"/>
                <w:sz w:val="20"/>
                <w:szCs w:val="20"/>
                <w:highlight w:val="none"/>
              </w:rPr>
            </w:pPr>
          </w:p>
        </w:tc>
        <w:tc>
          <w:tcPr>
            <w:tcW w:w="540" w:type="dxa"/>
            <w:vAlign w:val="bottom"/>
          </w:tcPr>
          <w:p>
            <w:pPr>
              <w:spacing w:line="360" w:lineRule="auto"/>
              <w:rPr>
                <w:rFonts w:hint="eastAsia" w:ascii="宋体" w:hAnsi="宋体" w:eastAsia="宋体" w:cs="宋体"/>
                <w:color w:val="auto"/>
                <w:kern w:val="2"/>
                <w:sz w:val="20"/>
                <w:szCs w:val="20"/>
                <w:highlight w:val="none"/>
              </w:rPr>
            </w:pPr>
          </w:p>
        </w:tc>
        <w:tc>
          <w:tcPr>
            <w:tcW w:w="1700" w:type="dxa"/>
            <w:vAlign w:val="bottom"/>
          </w:tcPr>
          <w:p>
            <w:pPr>
              <w:spacing w:line="360" w:lineRule="auto"/>
              <w:rPr>
                <w:rFonts w:hint="eastAsia" w:ascii="宋体" w:hAnsi="宋体" w:eastAsia="宋体" w:cs="宋体"/>
                <w:color w:val="auto"/>
                <w:kern w:val="2"/>
                <w:sz w:val="20"/>
                <w:szCs w:val="20"/>
                <w:highlight w:val="none"/>
              </w:rPr>
            </w:pPr>
          </w:p>
        </w:tc>
        <w:tc>
          <w:tcPr>
            <w:tcW w:w="1731" w:type="dxa"/>
            <w:vAlign w:val="bottom"/>
          </w:tcPr>
          <w:p>
            <w:pPr>
              <w:spacing w:line="360" w:lineRule="auto"/>
              <w:rPr>
                <w:rFonts w:hint="eastAsia" w:ascii="宋体" w:hAnsi="宋体" w:eastAsia="宋体" w:cs="宋体"/>
                <w:color w:val="auto"/>
                <w:kern w:val="2"/>
                <w:sz w:val="20"/>
                <w:szCs w:val="20"/>
                <w:highlight w:val="none"/>
              </w:rPr>
            </w:pPr>
          </w:p>
        </w:tc>
        <w:tc>
          <w:tcPr>
            <w:tcW w:w="1529" w:type="dxa"/>
            <w:vAlign w:val="bottom"/>
          </w:tcPr>
          <w:p>
            <w:pPr>
              <w:spacing w:line="360" w:lineRule="auto"/>
              <w:rPr>
                <w:rFonts w:hint="eastAsia" w:ascii="宋体" w:hAnsi="宋体" w:eastAsia="宋体" w:cs="宋体"/>
                <w:color w:val="auto"/>
                <w:kern w:val="2"/>
                <w:sz w:val="20"/>
                <w:szCs w:val="20"/>
                <w:highlight w:val="none"/>
              </w:rPr>
            </w:pPr>
          </w:p>
        </w:tc>
      </w:tr>
      <w:tr>
        <w:tblPrEx>
          <w:tblCellMar>
            <w:top w:w="0" w:type="dxa"/>
            <w:left w:w="0" w:type="dxa"/>
            <w:bottom w:w="0" w:type="dxa"/>
            <w:right w:w="0" w:type="dxa"/>
          </w:tblCellMar>
        </w:tblPrEx>
        <w:trPr>
          <w:trHeight w:val="388" w:hRule="atLeast"/>
        </w:trPr>
        <w:tc>
          <w:tcPr>
            <w:tcW w:w="1480" w:type="dxa"/>
            <w:vAlign w:val="bottom"/>
          </w:tcPr>
          <w:p>
            <w:pPr>
              <w:spacing w:line="360" w:lineRule="auto"/>
              <w:ind w:left="320"/>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项目编号：</w:t>
            </w:r>
          </w:p>
        </w:tc>
        <w:tc>
          <w:tcPr>
            <w:tcW w:w="520" w:type="dxa"/>
            <w:tcBorders>
              <w:bottom w:val="single" w:color="auto" w:sz="8" w:space="0"/>
            </w:tcBorders>
            <w:vAlign w:val="bottom"/>
          </w:tcPr>
          <w:p>
            <w:pPr>
              <w:spacing w:line="360" w:lineRule="auto"/>
              <w:rPr>
                <w:rFonts w:hint="eastAsia" w:ascii="宋体" w:hAnsi="宋体" w:eastAsia="宋体" w:cs="宋体"/>
                <w:color w:val="auto"/>
                <w:kern w:val="2"/>
                <w:sz w:val="24"/>
                <w:szCs w:val="24"/>
                <w:highlight w:val="none"/>
              </w:rPr>
            </w:pPr>
          </w:p>
        </w:tc>
        <w:tc>
          <w:tcPr>
            <w:tcW w:w="1460" w:type="dxa"/>
            <w:tcBorders>
              <w:bottom w:val="single" w:color="auto" w:sz="8" w:space="0"/>
            </w:tcBorders>
            <w:vAlign w:val="bottom"/>
          </w:tcPr>
          <w:p>
            <w:pPr>
              <w:spacing w:line="360" w:lineRule="auto"/>
              <w:rPr>
                <w:rFonts w:hint="eastAsia" w:ascii="宋体" w:hAnsi="宋体" w:eastAsia="宋体" w:cs="宋体"/>
                <w:color w:val="auto"/>
                <w:kern w:val="2"/>
                <w:sz w:val="24"/>
                <w:szCs w:val="24"/>
                <w:highlight w:val="none"/>
              </w:rPr>
            </w:pPr>
          </w:p>
        </w:tc>
        <w:tc>
          <w:tcPr>
            <w:tcW w:w="540" w:type="dxa"/>
            <w:vAlign w:val="bottom"/>
          </w:tcPr>
          <w:p>
            <w:pPr>
              <w:spacing w:line="360" w:lineRule="auto"/>
              <w:rPr>
                <w:rFonts w:hint="eastAsia" w:ascii="宋体" w:hAnsi="宋体" w:eastAsia="宋体" w:cs="宋体"/>
                <w:color w:val="auto"/>
                <w:kern w:val="2"/>
                <w:sz w:val="24"/>
                <w:szCs w:val="24"/>
                <w:highlight w:val="none"/>
              </w:rPr>
            </w:pPr>
          </w:p>
        </w:tc>
        <w:tc>
          <w:tcPr>
            <w:tcW w:w="1700" w:type="dxa"/>
            <w:vAlign w:val="bottom"/>
          </w:tcPr>
          <w:p>
            <w:pPr>
              <w:spacing w:line="360" w:lineRule="auto"/>
              <w:rPr>
                <w:rFonts w:hint="eastAsia" w:ascii="宋体" w:hAnsi="宋体" w:eastAsia="宋体" w:cs="宋体"/>
                <w:color w:val="auto"/>
                <w:kern w:val="2"/>
                <w:sz w:val="24"/>
                <w:szCs w:val="24"/>
                <w:highlight w:val="none"/>
              </w:rPr>
            </w:pPr>
          </w:p>
        </w:tc>
        <w:tc>
          <w:tcPr>
            <w:tcW w:w="3260" w:type="dxa"/>
            <w:gridSpan w:val="2"/>
            <w:vAlign w:val="bottom"/>
          </w:tcPr>
          <w:p>
            <w:pPr>
              <w:spacing w:line="360" w:lineRule="auto"/>
              <w:ind w:left="500"/>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（价格单位：元人民币）</w:t>
            </w:r>
          </w:p>
        </w:tc>
      </w:tr>
      <w:tr>
        <w:tblPrEx>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spacing w:line="360" w:lineRule="auto"/>
              <w:rPr>
                <w:rFonts w:hint="eastAsia" w:ascii="宋体" w:hAnsi="宋体" w:eastAsia="宋体" w:cs="宋体"/>
                <w:color w:val="auto"/>
                <w:kern w:val="2"/>
                <w:sz w:val="13"/>
                <w:szCs w:val="13"/>
                <w:highlight w:val="none"/>
              </w:rPr>
            </w:pPr>
          </w:p>
        </w:tc>
        <w:tc>
          <w:tcPr>
            <w:tcW w:w="520" w:type="dxa"/>
            <w:tcBorders>
              <w:bottom w:val="single" w:color="auto" w:sz="8" w:space="0"/>
            </w:tcBorders>
            <w:vAlign w:val="bottom"/>
          </w:tcPr>
          <w:p>
            <w:pPr>
              <w:spacing w:line="360" w:lineRule="auto"/>
              <w:rPr>
                <w:rFonts w:hint="eastAsia" w:ascii="宋体" w:hAnsi="宋体" w:eastAsia="宋体" w:cs="宋体"/>
                <w:color w:val="auto"/>
                <w:kern w:val="2"/>
                <w:sz w:val="13"/>
                <w:szCs w:val="13"/>
                <w:highlight w:val="none"/>
              </w:rPr>
            </w:pPr>
          </w:p>
        </w:tc>
        <w:tc>
          <w:tcPr>
            <w:tcW w:w="2000" w:type="dxa"/>
            <w:gridSpan w:val="2"/>
            <w:tcBorders>
              <w:bottom w:val="single" w:color="auto" w:sz="8" w:space="0"/>
            </w:tcBorders>
            <w:vAlign w:val="bottom"/>
          </w:tcPr>
          <w:p>
            <w:pPr>
              <w:spacing w:line="360" w:lineRule="auto"/>
              <w:rPr>
                <w:rFonts w:hint="eastAsia" w:ascii="宋体" w:hAnsi="宋体" w:eastAsia="宋体" w:cs="宋体"/>
                <w:color w:val="auto"/>
                <w:kern w:val="2"/>
                <w:sz w:val="13"/>
                <w:szCs w:val="13"/>
                <w:highlight w:val="none"/>
              </w:rPr>
            </w:pPr>
          </w:p>
        </w:tc>
        <w:tc>
          <w:tcPr>
            <w:tcW w:w="1700" w:type="dxa"/>
            <w:tcBorders>
              <w:bottom w:val="single" w:color="auto" w:sz="8" w:space="0"/>
            </w:tcBorders>
            <w:vAlign w:val="bottom"/>
          </w:tcPr>
          <w:p>
            <w:pPr>
              <w:spacing w:line="360" w:lineRule="auto"/>
              <w:rPr>
                <w:rFonts w:hint="eastAsia" w:ascii="宋体" w:hAnsi="宋体" w:eastAsia="宋体" w:cs="宋体"/>
                <w:color w:val="auto"/>
                <w:kern w:val="2"/>
                <w:sz w:val="13"/>
                <w:szCs w:val="13"/>
                <w:highlight w:val="none"/>
              </w:rPr>
            </w:pPr>
          </w:p>
        </w:tc>
        <w:tc>
          <w:tcPr>
            <w:tcW w:w="1731" w:type="dxa"/>
            <w:tcBorders>
              <w:bottom w:val="single" w:color="auto" w:sz="8" w:space="0"/>
            </w:tcBorders>
            <w:vAlign w:val="bottom"/>
          </w:tcPr>
          <w:p>
            <w:pPr>
              <w:spacing w:line="360" w:lineRule="auto"/>
              <w:rPr>
                <w:rFonts w:hint="eastAsia" w:ascii="宋体" w:hAnsi="宋体" w:eastAsia="宋体" w:cs="宋体"/>
                <w:color w:val="auto"/>
                <w:kern w:val="2"/>
                <w:sz w:val="13"/>
                <w:szCs w:val="13"/>
                <w:highlight w:val="none"/>
              </w:rPr>
            </w:pPr>
          </w:p>
        </w:tc>
        <w:tc>
          <w:tcPr>
            <w:tcW w:w="1529" w:type="dxa"/>
            <w:tcBorders>
              <w:bottom w:val="single" w:color="auto" w:sz="8" w:space="0"/>
            </w:tcBorders>
            <w:vAlign w:val="bottom"/>
          </w:tcPr>
          <w:p>
            <w:pPr>
              <w:spacing w:line="360" w:lineRule="auto"/>
              <w:rPr>
                <w:rFonts w:hint="eastAsia" w:ascii="宋体" w:hAnsi="宋体" w:eastAsia="宋体" w:cs="宋体"/>
                <w:color w:val="auto"/>
                <w:kern w:val="2"/>
                <w:sz w:val="13"/>
                <w:szCs w:val="13"/>
                <w:highlight w:val="none"/>
              </w:rPr>
            </w:pPr>
          </w:p>
        </w:tc>
      </w:tr>
      <w:tr>
        <w:tblPrEx>
          <w:tblCellMar>
            <w:top w:w="0" w:type="dxa"/>
            <w:left w:w="0" w:type="dxa"/>
            <w:bottom w:w="0" w:type="dxa"/>
            <w:right w:w="0" w:type="dxa"/>
          </w:tblCellMar>
        </w:tblPrEx>
        <w:trPr>
          <w:trHeight w:val="632" w:hRule="atLeast"/>
        </w:trPr>
        <w:tc>
          <w:tcPr>
            <w:tcW w:w="2000" w:type="dxa"/>
            <w:gridSpan w:val="2"/>
            <w:tcBorders>
              <w:left w:val="single" w:color="auto" w:sz="8" w:space="0"/>
              <w:right w:val="single" w:color="auto" w:sz="8" w:space="0"/>
            </w:tcBorders>
            <w:vAlign w:val="bottom"/>
          </w:tcPr>
          <w:p>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Cs w:val="21"/>
                <w:highlight w:val="none"/>
              </w:rPr>
              <w:t>项目名称</w:t>
            </w:r>
          </w:p>
        </w:tc>
        <w:tc>
          <w:tcPr>
            <w:tcW w:w="2000" w:type="dxa"/>
            <w:gridSpan w:val="2"/>
            <w:tcBorders>
              <w:right w:val="single" w:color="auto" w:sz="8" w:space="0"/>
            </w:tcBorders>
            <w:vAlign w:val="bottom"/>
          </w:tcPr>
          <w:p>
            <w:pPr>
              <w:spacing w:line="360" w:lineRule="auto"/>
              <w:ind w:left="240"/>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响应报价（元）</w:t>
            </w:r>
          </w:p>
        </w:tc>
        <w:tc>
          <w:tcPr>
            <w:tcW w:w="1700" w:type="dxa"/>
            <w:tcBorders>
              <w:right w:val="single" w:color="auto" w:sz="8" w:space="0"/>
            </w:tcBorders>
            <w:vAlign w:val="bottom"/>
          </w:tcPr>
          <w:p>
            <w:pPr>
              <w:spacing w:line="360" w:lineRule="auto"/>
              <w:ind w:left="100"/>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工期（日历天）</w:t>
            </w:r>
          </w:p>
        </w:tc>
        <w:tc>
          <w:tcPr>
            <w:tcW w:w="1731" w:type="dxa"/>
            <w:tcBorders>
              <w:right w:val="single" w:color="auto" w:sz="8" w:space="0"/>
            </w:tcBorders>
            <w:vAlign w:val="bottom"/>
          </w:tcPr>
          <w:p>
            <w:pPr>
              <w:spacing w:line="360" w:lineRule="auto"/>
              <w:ind w:left="460"/>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项目经理</w:t>
            </w:r>
          </w:p>
        </w:tc>
        <w:tc>
          <w:tcPr>
            <w:tcW w:w="1529" w:type="dxa"/>
            <w:tcBorders>
              <w:bottom w:val="single" w:color="auto" w:sz="4" w:space="0"/>
              <w:right w:val="single" w:color="auto" w:sz="8" w:space="0"/>
            </w:tcBorders>
            <w:vAlign w:val="bottom"/>
          </w:tcPr>
          <w:p>
            <w:pPr>
              <w:spacing w:line="360" w:lineRule="auto"/>
              <w:ind w:left="300"/>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执业证书</w:t>
            </w:r>
          </w:p>
        </w:tc>
      </w:tr>
      <w:tr>
        <w:tblPrEx>
          <w:tblCellMar>
            <w:top w:w="0" w:type="dxa"/>
            <w:left w:w="0" w:type="dxa"/>
            <w:bottom w:w="0" w:type="dxa"/>
            <w:right w:w="0" w:type="dxa"/>
          </w:tblCellMar>
        </w:tblPrEx>
        <w:trPr>
          <w:trHeight w:val="647" w:hRule="atLeast"/>
        </w:trPr>
        <w:tc>
          <w:tcPr>
            <w:tcW w:w="2000"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宋体" w:hAnsi="宋体" w:eastAsia="宋体" w:cs="宋体"/>
                <w:color w:val="auto"/>
                <w:kern w:val="2"/>
                <w:sz w:val="24"/>
                <w:szCs w:val="24"/>
                <w:highlight w:val="none"/>
              </w:rPr>
            </w:pPr>
          </w:p>
        </w:tc>
        <w:tc>
          <w:tcPr>
            <w:tcW w:w="2000"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宋体" w:hAnsi="宋体" w:eastAsia="宋体" w:cs="宋体"/>
                <w:color w:val="auto"/>
                <w:kern w:val="2"/>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宋体" w:hAnsi="宋体" w:eastAsia="宋体" w:cs="宋体"/>
                <w:color w:val="auto"/>
                <w:kern w:val="2"/>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宋体" w:hAnsi="宋体" w:eastAsia="宋体" w:cs="宋体"/>
                <w:color w:val="auto"/>
                <w:kern w:val="2"/>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宋体" w:hAnsi="宋体" w:eastAsia="宋体" w:cs="宋体"/>
                <w:color w:val="auto"/>
                <w:kern w:val="2"/>
                <w:sz w:val="24"/>
                <w:szCs w:val="24"/>
                <w:highlight w:val="none"/>
              </w:rPr>
            </w:pPr>
          </w:p>
        </w:tc>
      </w:tr>
      <w:tr>
        <w:tblPrEx>
          <w:tblCellMar>
            <w:top w:w="0" w:type="dxa"/>
            <w:left w:w="0" w:type="dxa"/>
            <w:bottom w:w="0" w:type="dxa"/>
            <w:right w:w="0" w:type="dxa"/>
          </w:tblCellMar>
        </w:tblPrEx>
        <w:trPr>
          <w:trHeight w:val="647" w:hRule="atLeast"/>
        </w:trPr>
        <w:tc>
          <w:tcPr>
            <w:tcW w:w="8960" w:type="dxa"/>
            <w:gridSpan w:val="7"/>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bl>
    <w:p>
      <w:pPr>
        <w:spacing w:line="360" w:lineRule="auto"/>
        <w:ind w:left="460"/>
        <w:rPr>
          <w:rFonts w:hint="eastAsia" w:ascii="宋体" w:hAnsi="宋体" w:eastAsia="宋体" w:cs="宋体"/>
          <w:color w:val="auto"/>
          <w:szCs w:val="21"/>
          <w:highlight w:val="none"/>
        </w:rPr>
      </w:pPr>
    </w:p>
    <w:p>
      <w:pPr>
        <w:spacing w:line="360" w:lineRule="auto"/>
        <w:ind w:left="46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注：大写金额与小写金额不一致时，以大写金额为准。</w:t>
      </w:r>
    </w:p>
    <w:p>
      <w:pPr>
        <w:spacing w:line="360" w:lineRule="auto"/>
        <w:rPr>
          <w:rFonts w:hint="eastAsia" w:ascii="宋体" w:hAnsi="宋体" w:eastAsia="宋体" w:cs="宋体"/>
          <w:color w:val="auto"/>
          <w:sz w:val="20"/>
          <w:szCs w:val="20"/>
          <w:highlight w:val="none"/>
        </w:rPr>
      </w:pPr>
    </w:p>
    <w:p>
      <w:pPr>
        <w:spacing w:line="360" w:lineRule="auto"/>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18"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供应商全称（盖单位公章）：</w:t>
      </w:r>
    </w:p>
    <w:p>
      <w:pPr>
        <w:spacing w:line="168"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响应文件签署人（签字或盖章）：</w:t>
      </w:r>
    </w:p>
    <w:p>
      <w:pPr>
        <w:spacing w:line="168"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日期：</w:t>
      </w:r>
    </w:p>
    <w:p>
      <w:pPr>
        <w:spacing w:line="200"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spacing w:line="360" w:lineRule="auto"/>
        <w:jc w:val="center"/>
        <w:rPr>
          <w:rFonts w:hint="eastAsia" w:ascii="宋体" w:hAnsi="宋体" w:eastAsia="宋体" w:cs="宋体"/>
          <w:color w:val="auto"/>
          <w:sz w:val="28"/>
          <w:szCs w:val="28"/>
          <w:highlight w:val="none"/>
        </w:rPr>
      </w:pPr>
      <w:bookmarkStart w:id="122" w:name="page52"/>
      <w:bookmarkEnd w:id="122"/>
      <w:r>
        <w:rPr>
          <w:rFonts w:hint="eastAsia" w:ascii="宋体" w:hAnsi="宋体" w:eastAsia="宋体" w:cs="宋体"/>
          <w:b/>
          <w:bCs/>
          <w:color w:val="auto"/>
          <w:sz w:val="28"/>
          <w:szCs w:val="28"/>
          <w:highlight w:val="none"/>
        </w:rPr>
        <w:t>三、</w:t>
      </w:r>
      <w:r>
        <w:rPr>
          <w:rFonts w:hint="eastAsia" w:ascii="宋体" w:hAnsi="宋体" w:eastAsia="宋体" w:cs="宋体"/>
          <w:b/>
          <w:color w:val="auto"/>
          <w:sz w:val="28"/>
          <w:szCs w:val="28"/>
          <w:highlight w:val="none"/>
        </w:rPr>
        <w:t>已标价工程量清单报价表格式</w:t>
      </w:r>
    </w:p>
    <w:p>
      <w:pPr>
        <w:spacing w:line="150" w:lineRule="exact"/>
        <w:rPr>
          <w:rFonts w:hint="eastAsia" w:ascii="宋体" w:hAnsi="宋体" w:eastAsia="宋体" w:cs="宋体"/>
          <w:color w:val="auto"/>
          <w:sz w:val="20"/>
          <w:szCs w:val="20"/>
          <w:highlight w:val="none"/>
        </w:rPr>
      </w:pPr>
    </w:p>
    <w:p>
      <w:pPr>
        <w:spacing w:line="240" w:lineRule="exact"/>
        <w:ind w:left="4160"/>
        <w:rPr>
          <w:rFonts w:hint="eastAsia" w:ascii="宋体" w:hAnsi="宋体" w:eastAsia="宋体" w:cs="宋体"/>
          <w:b/>
          <w:bCs/>
          <w:color w:val="auto"/>
          <w:szCs w:val="21"/>
          <w:highlight w:val="none"/>
        </w:rPr>
      </w:pPr>
    </w:p>
    <w:p>
      <w:pPr>
        <w:spacing w:line="360" w:lineRule="auto"/>
        <w:jc w:val="center"/>
        <w:rPr>
          <w:rFonts w:hint="eastAsia" w:ascii="宋体" w:hAnsi="宋体" w:eastAsia="宋体" w:cs="宋体"/>
          <w:b/>
          <w:bCs/>
          <w:color w:val="auto"/>
          <w:sz w:val="28"/>
          <w:szCs w:val="28"/>
          <w:highlight w:val="none"/>
        </w:rPr>
      </w:pPr>
      <w:bookmarkStart w:id="123" w:name="_Toc26372_WPSOffice_Level2"/>
      <w:r>
        <w:rPr>
          <w:rFonts w:hint="eastAsia" w:ascii="宋体" w:hAnsi="宋体" w:eastAsia="宋体" w:cs="宋体"/>
          <w:b/>
          <w:bCs/>
          <w:color w:val="auto"/>
          <w:sz w:val="28"/>
          <w:szCs w:val="28"/>
          <w:highlight w:val="none"/>
        </w:rPr>
        <w:t>（具体请按照《浙江省建设工程计价规则》（2018版）投标报价格式编制）</w:t>
      </w:r>
      <w:bookmarkEnd w:id="123"/>
    </w:p>
    <w:p>
      <w:pPr>
        <w:spacing w:line="200" w:lineRule="exact"/>
        <w:rPr>
          <w:rFonts w:hint="eastAsia" w:ascii="宋体" w:hAnsi="宋体" w:eastAsia="宋体" w:cs="宋体"/>
          <w:color w:val="auto"/>
          <w:sz w:val="20"/>
          <w:szCs w:val="20"/>
          <w:highlight w:val="none"/>
        </w:rPr>
      </w:pPr>
    </w:p>
    <w:p>
      <w:pPr>
        <w:spacing w:line="296" w:lineRule="exact"/>
        <w:rPr>
          <w:rFonts w:hint="eastAsia" w:ascii="宋体" w:hAnsi="宋体" w:eastAsia="宋体" w:cs="宋体"/>
          <w:color w:val="auto"/>
          <w:sz w:val="20"/>
          <w:szCs w:val="20"/>
          <w:highlight w:val="none"/>
          <w:u w:val="single"/>
        </w:rPr>
      </w:pPr>
    </w:p>
    <w:p>
      <w:pPr>
        <w:spacing w:line="366" w:lineRule="exact"/>
        <w:jc w:val="center"/>
        <w:rPr>
          <w:rFonts w:hint="eastAsia" w:ascii="宋体" w:hAnsi="宋体" w:eastAsia="宋体" w:cs="宋体"/>
          <w:b/>
          <w:bCs/>
          <w:color w:val="auto"/>
          <w:sz w:val="28"/>
          <w:szCs w:val="28"/>
          <w:highlight w:val="none"/>
        </w:rPr>
      </w:pPr>
      <w:bookmarkStart w:id="124" w:name="page73"/>
      <w:bookmarkEnd w:id="124"/>
    </w:p>
    <w:p>
      <w:pPr>
        <w:spacing w:line="366" w:lineRule="exact"/>
        <w:jc w:val="center"/>
        <w:rPr>
          <w:rFonts w:hint="eastAsia" w:ascii="宋体" w:hAnsi="宋体" w:eastAsia="宋体" w:cs="宋体"/>
          <w:b/>
          <w:bCs/>
          <w:color w:val="auto"/>
          <w:sz w:val="28"/>
          <w:szCs w:val="28"/>
          <w:highlight w:val="none"/>
        </w:rPr>
      </w:pPr>
    </w:p>
    <w:p>
      <w:pPr>
        <w:spacing w:line="366" w:lineRule="exact"/>
        <w:jc w:val="center"/>
        <w:rPr>
          <w:rFonts w:hint="eastAsia" w:ascii="宋体" w:hAnsi="宋体" w:eastAsia="宋体" w:cs="宋体"/>
          <w:b/>
          <w:bCs/>
          <w:color w:val="auto"/>
          <w:sz w:val="28"/>
          <w:szCs w:val="28"/>
          <w:highlight w:val="none"/>
        </w:rPr>
      </w:pPr>
    </w:p>
    <w:p>
      <w:pPr>
        <w:spacing w:line="366" w:lineRule="exact"/>
        <w:jc w:val="center"/>
        <w:rPr>
          <w:rFonts w:hint="eastAsia" w:ascii="宋体" w:hAnsi="宋体" w:eastAsia="宋体" w:cs="宋体"/>
          <w:b/>
          <w:bCs/>
          <w:color w:val="auto"/>
          <w:sz w:val="28"/>
          <w:szCs w:val="28"/>
          <w:highlight w:val="none"/>
        </w:rPr>
        <w:sectPr>
          <w:pgSz w:w="11900" w:h="16838"/>
          <w:pgMar w:top="1440" w:right="1080" w:bottom="1440" w:left="1080" w:header="567" w:footer="567" w:gutter="0"/>
          <w:cols w:equalWidth="0" w:num="1">
            <w:col w:w="9026"/>
          </w:cols>
        </w:sectPr>
      </w:pP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四、中小企业声明函、监狱企业、残疾人福利性单位声明函及其相关的充分的证明材料</w:t>
      </w:r>
    </w:p>
    <w:p>
      <w:pPr>
        <w:spacing w:line="169" w:lineRule="exact"/>
        <w:rPr>
          <w:rFonts w:hint="eastAsia" w:ascii="宋体" w:hAnsi="宋体" w:eastAsia="宋体" w:cs="宋体"/>
          <w:color w:val="auto"/>
          <w:sz w:val="20"/>
          <w:szCs w:val="20"/>
          <w:highlight w:val="none"/>
        </w:rPr>
      </w:pPr>
    </w:p>
    <w:p>
      <w:pPr>
        <w:jc w:val="center"/>
        <w:rPr>
          <w:rFonts w:hint="eastAsia" w:ascii="宋体" w:hAnsi="宋体" w:eastAsia="宋体" w:cs="宋体"/>
          <w:b/>
          <w:bCs/>
          <w:color w:val="auto"/>
          <w:sz w:val="28"/>
          <w:szCs w:val="32"/>
          <w:highlight w:val="none"/>
        </w:rPr>
      </w:pPr>
    </w:p>
    <w:p>
      <w:pPr>
        <w:spacing w:line="360" w:lineRule="auto"/>
        <w:ind w:right="-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中小企业声明函（工程）</w:t>
      </w:r>
    </w:p>
    <w:p>
      <w:pPr>
        <w:spacing w:line="360" w:lineRule="auto"/>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本公司郑重声明，根据《政府采购促进中小企业发展管理办法》（财库﹝2020﹞46 号）的规定，本公司参加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采购活动，工程的施工单位全部为符合政策要求的中小企业。相关企业的具体情况如下：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（项目名称）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（采购文件中明确的所属行业） </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 xml:space="preserve">）；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本企业对上述声明内容的真实性负责。如有虚假，将依法承担相应责任。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企业名称（盖章）：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30"/>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28"/>
        <w:spacing w:line="360" w:lineRule="auto"/>
        <w:rPr>
          <w:rFonts w:hint="eastAsia" w:ascii="宋体" w:hAnsi="宋体" w:eastAsia="宋体" w:cs="宋体"/>
          <w:color w:val="auto"/>
          <w:highlight w:val="none"/>
        </w:rPr>
      </w:pPr>
    </w:p>
    <w:p>
      <w:pPr>
        <w:spacing w:line="360" w:lineRule="auto"/>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1.从业人员、营业收入、资产总额填报上一年度数据，数据未填写的视为未提供《中小企业声明函》；</w:t>
      </w:r>
    </w:p>
    <w:p>
      <w:pPr>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2.企业类型必须明确属于何种类型（中型/小型/微型），供应商应根据自身情况参考下表《中小微行业划型标准规定》填写确认；</w:t>
      </w:r>
    </w:p>
    <w:p>
      <w:pPr>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3.以上内容有任何缺漏的，均视作未提供《中小企业声明函》。</w:t>
      </w:r>
    </w:p>
    <w:p>
      <w:pPr>
        <w:pStyle w:val="30"/>
        <w:rPr>
          <w:rFonts w:hint="eastAsia" w:ascii="宋体" w:hAnsi="宋体" w:eastAsia="宋体" w:cs="宋体"/>
          <w:color w:val="auto"/>
          <w:highlight w:val="none"/>
        </w:rPr>
        <w:sectPr>
          <w:pgSz w:w="12242" w:h="15842"/>
          <w:pgMar w:top="1440" w:right="1080" w:bottom="1440" w:left="1080" w:header="851" w:footer="992" w:gutter="0"/>
          <w:cols w:space="720" w:num="1"/>
          <w:docGrid w:linePitch="312" w:charSpace="0"/>
        </w:sectPr>
      </w:pPr>
    </w:p>
    <w:tbl>
      <w:tblPr>
        <w:tblStyle w:val="20"/>
        <w:tblW w:w="4998" w:type="pct"/>
        <w:jc w:val="center"/>
        <w:tblLayout w:type="autofit"/>
        <w:tblCellMar>
          <w:top w:w="0" w:type="dxa"/>
          <w:left w:w="108" w:type="dxa"/>
          <w:bottom w:w="0" w:type="dxa"/>
          <w:right w:w="108" w:type="dxa"/>
        </w:tblCellMar>
      </w:tblPr>
      <w:tblGrid>
        <w:gridCol w:w="1215"/>
        <w:gridCol w:w="915"/>
        <w:gridCol w:w="1079"/>
        <w:gridCol w:w="1022"/>
        <w:gridCol w:w="758"/>
        <w:gridCol w:w="953"/>
        <w:gridCol w:w="977"/>
        <w:gridCol w:w="783"/>
        <w:gridCol w:w="780"/>
        <w:gridCol w:w="669"/>
        <w:gridCol w:w="87"/>
      </w:tblGrid>
      <w:tr>
        <w:tblPrEx>
          <w:tblCellMar>
            <w:top w:w="0" w:type="dxa"/>
            <w:left w:w="108" w:type="dxa"/>
            <w:bottom w:w="0" w:type="dxa"/>
            <w:right w:w="108" w:type="dxa"/>
          </w:tblCellMar>
        </w:tblPrEx>
        <w:trPr>
          <w:gridAfter w:val="1"/>
          <w:wAfter w:w="48" w:type="pct"/>
          <w:trHeight w:val="420" w:hRule="atLeast"/>
          <w:jc w:val="center"/>
        </w:trPr>
        <w:tc>
          <w:tcPr>
            <w:tcW w:w="4951" w:type="pct"/>
            <w:gridSpan w:val="10"/>
            <w:tcBorders>
              <w:top w:val="nil"/>
              <w:left w:val="nil"/>
              <w:bottom w:val="nil"/>
              <w:right w:val="nil"/>
            </w:tcBorders>
            <w:vAlign w:val="bottom"/>
          </w:tcPr>
          <w:p>
            <w:pPr>
              <w:adjustRightInd w:val="0"/>
              <w:snapToGrid w:val="0"/>
              <w:jc w:val="center"/>
              <w:rPr>
                <w:rFonts w:hint="eastAsia" w:ascii="宋体" w:hAnsi="宋体" w:eastAsia="宋体" w:cs="宋体"/>
                <w:b/>
                <w:bCs/>
                <w:color w:val="auto"/>
                <w:kern w:val="2"/>
                <w:sz w:val="15"/>
                <w:szCs w:val="15"/>
                <w:highlight w:val="none"/>
              </w:rPr>
            </w:pPr>
            <w:r>
              <w:rPr>
                <w:rFonts w:hint="eastAsia" w:ascii="宋体" w:hAnsi="宋体" w:eastAsia="宋体" w:cs="宋体"/>
                <w:b/>
                <w:bCs/>
                <w:color w:val="auto"/>
                <w:kern w:val="2"/>
                <w:sz w:val="15"/>
                <w:szCs w:val="15"/>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jc w:val="center"/>
        </w:trPr>
        <w:tc>
          <w:tcPr>
            <w:tcW w:w="658" w:type="pct"/>
            <w:vMerge w:val="restart"/>
            <w:tcBorders>
              <w:top w:val="single" w:color="auto" w:sz="8" w:space="0"/>
              <w:left w:val="single" w:color="auto" w:sz="8" w:space="0"/>
              <w:bottom w:val="single" w:color="000000" w:sz="4" w:space="0"/>
              <w:right w:val="single" w:color="auto" w:sz="8" w:space="0"/>
            </w:tcBorders>
            <w:vAlign w:val="center"/>
          </w:tcPr>
          <w:p>
            <w:pPr>
              <w:adjustRightInd w:val="0"/>
              <w:snapToGrid w:val="0"/>
              <w:jc w:val="center"/>
              <w:rPr>
                <w:rFonts w:hint="eastAsia" w:ascii="宋体" w:hAnsi="宋体" w:eastAsia="宋体" w:cs="宋体"/>
                <w:b/>
                <w:bCs/>
                <w:color w:val="auto"/>
                <w:kern w:val="2"/>
                <w:sz w:val="15"/>
                <w:szCs w:val="15"/>
                <w:highlight w:val="none"/>
              </w:rPr>
            </w:pPr>
            <w:r>
              <w:rPr>
                <w:rFonts w:hint="eastAsia" w:ascii="宋体" w:hAnsi="宋体" w:eastAsia="宋体" w:cs="宋体"/>
                <w:b/>
                <w:bCs/>
                <w:color w:val="auto"/>
                <w:kern w:val="2"/>
                <w:sz w:val="15"/>
                <w:szCs w:val="15"/>
                <w:highlight w:val="none"/>
              </w:rPr>
              <w:t>行业</w:t>
            </w:r>
          </w:p>
        </w:tc>
        <w:tc>
          <w:tcPr>
            <w:tcW w:w="1632" w:type="pct"/>
            <w:gridSpan w:val="3"/>
            <w:tcBorders>
              <w:top w:val="single" w:color="auto" w:sz="8" w:space="0"/>
              <w:left w:val="nil"/>
              <w:bottom w:val="single" w:color="auto" w:sz="4" w:space="0"/>
              <w:right w:val="single" w:color="000000" w:sz="8" w:space="0"/>
            </w:tcBorders>
            <w:vAlign w:val="bottom"/>
          </w:tcPr>
          <w:p>
            <w:pPr>
              <w:adjustRightInd w:val="0"/>
              <w:snapToGrid w:val="0"/>
              <w:jc w:val="center"/>
              <w:rPr>
                <w:rFonts w:hint="eastAsia" w:ascii="宋体" w:hAnsi="宋体" w:eastAsia="宋体" w:cs="宋体"/>
                <w:b/>
                <w:bCs/>
                <w:color w:val="auto"/>
                <w:kern w:val="2"/>
                <w:sz w:val="15"/>
                <w:szCs w:val="15"/>
                <w:highlight w:val="none"/>
              </w:rPr>
            </w:pPr>
            <w:r>
              <w:rPr>
                <w:rFonts w:hint="eastAsia" w:ascii="宋体" w:hAnsi="宋体" w:eastAsia="宋体" w:cs="宋体"/>
                <w:b/>
                <w:bCs/>
                <w:color w:val="auto"/>
                <w:kern w:val="2"/>
                <w:sz w:val="15"/>
                <w:szCs w:val="15"/>
                <w:highlight w:val="none"/>
              </w:rPr>
              <w:t>中型企业</w:t>
            </w:r>
          </w:p>
        </w:tc>
        <w:tc>
          <w:tcPr>
            <w:tcW w:w="1455" w:type="pct"/>
            <w:gridSpan w:val="3"/>
            <w:tcBorders>
              <w:top w:val="single" w:color="auto" w:sz="8" w:space="0"/>
              <w:left w:val="nil"/>
              <w:bottom w:val="single" w:color="auto" w:sz="4" w:space="0"/>
              <w:right w:val="single" w:color="000000" w:sz="8" w:space="0"/>
            </w:tcBorders>
            <w:vAlign w:val="bottom"/>
          </w:tcPr>
          <w:p>
            <w:pPr>
              <w:adjustRightInd w:val="0"/>
              <w:snapToGrid w:val="0"/>
              <w:jc w:val="center"/>
              <w:rPr>
                <w:rFonts w:hint="eastAsia" w:ascii="宋体" w:hAnsi="宋体" w:eastAsia="宋体" w:cs="宋体"/>
                <w:b/>
                <w:bCs/>
                <w:color w:val="auto"/>
                <w:kern w:val="2"/>
                <w:sz w:val="15"/>
                <w:szCs w:val="15"/>
                <w:highlight w:val="none"/>
              </w:rPr>
            </w:pPr>
            <w:r>
              <w:rPr>
                <w:rFonts w:hint="eastAsia" w:ascii="宋体" w:hAnsi="宋体" w:eastAsia="宋体" w:cs="宋体"/>
                <w:b/>
                <w:bCs/>
                <w:color w:val="auto"/>
                <w:kern w:val="2"/>
                <w:sz w:val="15"/>
                <w:szCs w:val="15"/>
                <w:highlight w:val="none"/>
              </w:rPr>
              <w:t>小型企业</w:t>
            </w:r>
          </w:p>
        </w:tc>
        <w:tc>
          <w:tcPr>
            <w:tcW w:w="1253" w:type="pct"/>
            <w:gridSpan w:val="4"/>
            <w:tcBorders>
              <w:top w:val="single" w:color="auto" w:sz="8" w:space="0"/>
              <w:left w:val="nil"/>
              <w:bottom w:val="single" w:color="auto" w:sz="4" w:space="0"/>
              <w:right w:val="single" w:color="000000" w:sz="8" w:space="0"/>
            </w:tcBorders>
            <w:vAlign w:val="bottom"/>
          </w:tcPr>
          <w:p>
            <w:pPr>
              <w:adjustRightInd w:val="0"/>
              <w:snapToGrid w:val="0"/>
              <w:jc w:val="center"/>
              <w:rPr>
                <w:rFonts w:hint="eastAsia" w:ascii="宋体" w:hAnsi="宋体" w:eastAsia="宋体" w:cs="宋体"/>
                <w:b/>
                <w:bCs/>
                <w:color w:val="auto"/>
                <w:kern w:val="2"/>
                <w:sz w:val="15"/>
                <w:szCs w:val="15"/>
                <w:highlight w:val="none"/>
              </w:rPr>
            </w:pPr>
            <w:r>
              <w:rPr>
                <w:rFonts w:hint="eastAsia" w:ascii="宋体" w:hAnsi="宋体" w:eastAsia="宋体" w:cs="宋体"/>
                <w:b/>
                <w:bCs/>
                <w:color w:val="auto"/>
                <w:kern w:val="2"/>
                <w:sz w:val="15"/>
                <w:szCs w:val="15"/>
                <w:highlight w:val="none"/>
              </w:rPr>
              <w:t>微型企业</w:t>
            </w:r>
          </w:p>
        </w:tc>
      </w:tr>
      <w:tr>
        <w:tblPrEx>
          <w:tblCellMar>
            <w:top w:w="0" w:type="dxa"/>
            <w:left w:w="108" w:type="dxa"/>
            <w:bottom w:w="0" w:type="dxa"/>
            <w:right w:w="108" w:type="dxa"/>
          </w:tblCellMar>
        </w:tblPrEx>
        <w:trPr>
          <w:trHeight w:val="525" w:hRule="atLeast"/>
          <w:jc w:val="center"/>
        </w:trPr>
        <w:tc>
          <w:tcPr>
            <w:tcW w:w="658" w:type="pct"/>
            <w:vMerge w:val="continue"/>
            <w:tcBorders>
              <w:top w:val="single" w:color="auto" w:sz="8" w:space="0"/>
              <w:left w:val="single" w:color="auto" w:sz="8" w:space="0"/>
              <w:bottom w:val="single" w:color="000000" w:sz="4" w:space="0"/>
              <w:right w:val="single" w:color="auto" w:sz="8" w:space="0"/>
            </w:tcBorders>
            <w:vAlign w:val="center"/>
          </w:tcPr>
          <w:p>
            <w:pPr>
              <w:adjustRightInd w:val="0"/>
              <w:snapToGrid w:val="0"/>
              <w:rPr>
                <w:rFonts w:hint="eastAsia" w:ascii="宋体" w:hAnsi="宋体" w:eastAsia="宋体" w:cs="宋体"/>
                <w:b/>
                <w:bCs/>
                <w:color w:val="auto"/>
                <w:kern w:val="2"/>
                <w:sz w:val="15"/>
                <w:szCs w:val="15"/>
                <w:highlight w:val="none"/>
              </w:rPr>
            </w:pPr>
          </w:p>
        </w:tc>
        <w:tc>
          <w:tcPr>
            <w:tcW w:w="495" w:type="pct"/>
            <w:tcBorders>
              <w:top w:val="nil"/>
              <w:left w:val="nil"/>
              <w:bottom w:val="single" w:color="auto" w:sz="4" w:space="0"/>
              <w:right w:val="single" w:color="auto" w:sz="4" w:space="0"/>
            </w:tcBorders>
            <w:vAlign w:val="bottom"/>
          </w:tcPr>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从业人员X（人）</w:t>
            </w:r>
          </w:p>
        </w:tc>
        <w:tc>
          <w:tcPr>
            <w:tcW w:w="584" w:type="pct"/>
            <w:tcBorders>
              <w:top w:val="nil"/>
              <w:left w:val="nil"/>
              <w:bottom w:val="single" w:color="auto" w:sz="4" w:space="0"/>
              <w:right w:val="single" w:color="auto" w:sz="4" w:space="0"/>
            </w:tcBorders>
            <w:vAlign w:val="bottom"/>
          </w:tcPr>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营业收入Y</w:t>
            </w:r>
          </w:p>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（万元）</w:t>
            </w:r>
          </w:p>
        </w:tc>
        <w:tc>
          <w:tcPr>
            <w:tcW w:w="552" w:type="pct"/>
            <w:tcBorders>
              <w:top w:val="nil"/>
              <w:left w:val="nil"/>
              <w:bottom w:val="single" w:color="auto" w:sz="4" w:space="0"/>
              <w:right w:val="single" w:color="auto" w:sz="8" w:space="0"/>
            </w:tcBorders>
            <w:vAlign w:val="bottom"/>
          </w:tcPr>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资产总额Z</w:t>
            </w:r>
          </w:p>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（万元）</w:t>
            </w:r>
          </w:p>
        </w:tc>
        <w:tc>
          <w:tcPr>
            <w:tcW w:w="410" w:type="pct"/>
            <w:tcBorders>
              <w:top w:val="nil"/>
              <w:left w:val="nil"/>
              <w:bottom w:val="single" w:color="auto" w:sz="4" w:space="0"/>
              <w:right w:val="single" w:color="auto" w:sz="4" w:space="0"/>
            </w:tcBorders>
            <w:vAlign w:val="bottom"/>
          </w:tcPr>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从业人员X（人）</w:t>
            </w:r>
          </w:p>
        </w:tc>
        <w:tc>
          <w:tcPr>
            <w:tcW w:w="516" w:type="pct"/>
            <w:tcBorders>
              <w:top w:val="nil"/>
              <w:left w:val="nil"/>
              <w:bottom w:val="single" w:color="auto" w:sz="4" w:space="0"/>
              <w:right w:val="single" w:color="auto" w:sz="4" w:space="0"/>
            </w:tcBorders>
            <w:vAlign w:val="bottom"/>
          </w:tcPr>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营业收入Y</w:t>
            </w:r>
          </w:p>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（万元）</w:t>
            </w:r>
          </w:p>
        </w:tc>
        <w:tc>
          <w:tcPr>
            <w:tcW w:w="528" w:type="pct"/>
            <w:tcBorders>
              <w:top w:val="nil"/>
              <w:left w:val="nil"/>
              <w:bottom w:val="single" w:color="auto" w:sz="4" w:space="0"/>
              <w:right w:val="single" w:color="auto" w:sz="8" w:space="0"/>
            </w:tcBorders>
            <w:vAlign w:val="bottom"/>
          </w:tcPr>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资产总额Z</w:t>
            </w:r>
          </w:p>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（万元）</w:t>
            </w:r>
          </w:p>
        </w:tc>
        <w:tc>
          <w:tcPr>
            <w:tcW w:w="424" w:type="pct"/>
            <w:tcBorders>
              <w:top w:val="nil"/>
              <w:left w:val="nil"/>
              <w:bottom w:val="single" w:color="auto" w:sz="4" w:space="0"/>
              <w:right w:val="single" w:color="auto" w:sz="4" w:space="0"/>
            </w:tcBorders>
            <w:vAlign w:val="bottom"/>
          </w:tcPr>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从业人员X（人）</w:t>
            </w:r>
          </w:p>
        </w:tc>
        <w:tc>
          <w:tcPr>
            <w:tcW w:w="422" w:type="pct"/>
            <w:tcBorders>
              <w:top w:val="nil"/>
              <w:left w:val="nil"/>
              <w:bottom w:val="single" w:color="auto" w:sz="4" w:space="0"/>
              <w:right w:val="single" w:color="auto" w:sz="4" w:space="0"/>
            </w:tcBorders>
            <w:vAlign w:val="bottom"/>
          </w:tcPr>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营业收入Y（万元）</w:t>
            </w:r>
          </w:p>
        </w:tc>
        <w:tc>
          <w:tcPr>
            <w:tcW w:w="406" w:type="pct"/>
            <w:gridSpan w:val="2"/>
            <w:tcBorders>
              <w:top w:val="nil"/>
              <w:left w:val="nil"/>
              <w:bottom w:val="single" w:color="auto" w:sz="4" w:space="0"/>
              <w:right w:val="single" w:color="auto" w:sz="8" w:space="0"/>
            </w:tcBorders>
            <w:vAlign w:val="bottom"/>
          </w:tcPr>
          <w:p>
            <w:pPr>
              <w:adjustRightInd w:val="0"/>
              <w:snapToGrid w:val="0"/>
              <w:jc w:val="center"/>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资产总额Z（万元）</w:t>
            </w: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1、农林牧渔业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500≤Y＜20000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50≤Y＜500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Y＜50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2、工业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300≤X＜1000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2000≤Y＜40000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20≤X＜300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300≤Y＜2000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X＜20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Y＜300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3、建筑业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6000≤Y＜80000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5000≤Z＜80000</w:t>
            </w: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300≤Y＜6000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300≤Z＜5000</w:t>
            </w: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Y＜300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Z＜300</w:t>
            </w: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4、批发业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20≤X＜200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5000≤Y＜40000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5≤X＜20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1000≤Y＜5000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X＜5</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Y＜1000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5、零售业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50≤X＜300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500≤Y＜20000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10≤X＜50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100≤Y＜500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6、交通运输业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300≤X＜1000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3000≤Y＜30000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20≤X＜300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200≤Y＜3000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X＜20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V＜200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7、仓储业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100≤X＜200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1000≤Y＜30000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20≤X＜100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100≤Y＜1000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X＜20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8、邮政业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300≤X＜1000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2000≤Y＜30000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20≤X＜300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100≤Y＜2000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X＜20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9、住宿业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100≤X＜300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2000≤Y＜10000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10≤X＜100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100≤Y＜2000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10、餐饮业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100≤X＜300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2000≤Y＜10000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10≤X＜100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100≤Y＜2000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V＜100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11、信息传输业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100≤X＜2000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1000≤Y＜100000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10≤X＜100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100≤Y＜1000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12、软件和信息技术服务业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100≤X＜300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1000≤Y＜10000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10≤X＜100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50≤Y＜1000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Y＜50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13、房地产开发经营</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1000≤Y＜200000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5000≤Z＜10000</w:t>
            </w: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100≤Y＜1000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2000≤Z＜5000</w:t>
            </w: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Z＜2000</w:t>
            </w: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14、物业管理</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300≤X＜1000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1000≤Y＜5000</w:t>
            </w: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100≤X＜300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500≤Y＜1000</w:t>
            </w: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X＜100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Y＜500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15、租赁和商务服务业</w:t>
            </w:r>
          </w:p>
        </w:tc>
        <w:tc>
          <w:tcPr>
            <w:tcW w:w="495"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100≤X＜300</w:t>
            </w:r>
          </w:p>
        </w:tc>
        <w:tc>
          <w:tcPr>
            <w:tcW w:w="58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552"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8000≤Z＜120000</w:t>
            </w:r>
          </w:p>
        </w:tc>
        <w:tc>
          <w:tcPr>
            <w:tcW w:w="410"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10≤X＜100</w:t>
            </w:r>
          </w:p>
        </w:tc>
        <w:tc>
          <w:tcPr>
            <w:tcW w:w="516"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528" w:type="pct"/>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 xml:space="preserve"> 100≤Z＜8000</w:t>
            </w:r>
          </w:p>
        </w:tc>
        <w:tc>
          <w:tcPr>
            <w:tcW w:w="424"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406" w:type="pct"/>
            <w:gridSpan w:val="2"/>
            <w:tcBorders>
              <w:top w:val="nil"/>
              <w:left w:val="nil"/>
              <w:bottom w:val="single" w:color="auto" w:sz="4"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Z＜100</w:t>
            </w: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8"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16、其他未列明行业</w:t>
            </w:r>
          </w:p>
        </w:tc>
        <w:tc>
          <w:tcPr>
            <w:tcW w:w="495" w:type="pct"/>
            <w:tcBorders>
              <w:top w:val="nil"/>
              <w:left w:val="nil"/>
              <w:bottom w:val="single" w:color="auto" w:sz="8"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100≤X＜300</w:t>
            </w:r>
          </w:p>
        </w:tc>
        <w:tc>
          <w:tcPr>
            <w:tcW w:w="584" w:type="pct"/>
            <w:tcBorders>
              <w:top w:val="nil"/>
              <w:left w:val="nil"/>
              <w:bottom w:val="single" w:color="auto" w:sz="8"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552" w:type="pct"/>
            <w:tcBorders>
              <w:top w:val="nil"/>
              <w:left w:val="nil"/>
              <w:bottom w:val="single" w:color="auto" w:sz="8"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10" w:type="pct"/>
            <w:tcBorders>
              <w:top w:val="nil"/>
              <w:left w:val="nil"/>
              <w:bottom w:val="single" w:color="auto" w:sz="8"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10≤X＜100</w:t>
            </w:r>
          </w:p>
        </w:tc>
        <w:tc>
          <w:tcPr>
            <w:tcW w:w="516" w:type="pct"/>
            <w:tcBorders>
              <w:top w:val="nil"/>
              <w:left w:val="nil"/>
              <w:bottom w:val="single" w:color="auto" w:sz="8"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528" w:type="pct"/>
            <w:tcBorders>
              <w:top w:val="nil"/>
              <w:left w:val="nil"/>
              <w:bottom w:val="single" w:color="auto" w:sz="8"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c>
          <w:tcPr>
            <w:tcW w:w="424" w:type="pct"/>
            <w:tcBorders>
              <w:top w:val="nil"/>
              <w:left w:val="nil"/>
              <w:bottom w:val="single" w:color="auto" w:sz="8"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X＜10</w:t>
            </w:r>
          </w:p>
        </w:tc>
        <w:tc>
          <w:tcPr>
            <w:tcW w:w="422" w:type="pct"/>
            <w:tcBorders>
              <w:top w:val="nil"/>
              <w:left w:val="nil"/>
              <w:bottom w:val="single" w:color="auto" w:sz="8" w:space="0"/>
              <w:right w:val="single" w:color="auto" w:sz="4" w:space="0"/>
            </w:tcBorders>
            <w:vAlign w:val="bottom"/>
          </w:tcPr>
          <w:p>
            <w:pPr>
              <w:adjustRightInd w:val="0"/>
              <w:snapToGrid w:val="0"/>
              <w:rPr>
                <w:rFonts w:hint="eastAsia" w:ascii="宋体" w:hAnsi="宋体" w:eastAsia="宋体" w:cs="宋体"/>
                <w:color w:val="auto"/>
                <w:kern w:val="2"/>
                <w:sz w:val="15"/>
                <w:szCs w:val="15"/>
                <w:highlight w:val="none"/>
              </w:rPr>
            </w:pPr>
          </w:p>
        </w:tc>
        <w:tc>
          <w:tcPr>
            <w:tcW w:w="406" w:type="pct"/>
            <w:gridSpan w:val="2"/>
            <w:tcBorders>
              <w:top w:val="nil"/>
              <w:left w:val="nil"/>
              <w:bottom w:val="single" w:color="auto" w:sz="8" w:space="0"/>
              <w:right w:val="single" w:color="auto" w:sz="8" w:space="0"/>
            </w:tcBorders>
            <w:vAlign w:val="bottom"/>
          </w:tcPr>
          <w:p>
            <w:pPr>
              <w:adjustRightInd w:val="0"/>
              <w:snapToGrid w:val="0"/>
              <w:rPr>
                <w:rFonts w:hint="eastAsia" w:ascii="宋体" w:hAnsi="宋体" w:eastAsia="宋体" w:cs="宋体"/>
                <w:color w:val="auto"/>
                <w:kern w:val="2"/>
                <w:sz w:val="15"/>
                <w:szCs w:val="15"/>
                <w:highlight w:val="none"/>
              </w:rPr>
            </w:pPr>
          </w:p>
        </w:tc>
      </w:tr>
      <w:tr>
        <w:tblPrEx>
          <w:tblCellMar>
            <w:top w:w="0" w:type="dxa"/>
            <w:left w:w="108" w:type="dxa"/>
            <w:bottom w:w="0" w:type="dxa"/>
            <w:right w:w="108" w:type="dxa"/>
          </w:tblCellMar>
        </w:tblPrEx>
        <w:trPr>
          <w:gridAfter w:val="1"/>
          <w:wAfter w:w="48" w:type="pct"/>
          <w:trHeight w:val="285" w:hRule="atLeast"/>
          <w:jc w:val="center"/>
        </w:trPr>
        <w:tc>
          <w:tcPr>
            <w:tcW w:w="4951" w:type="pct"/>
            <w:gridSpan w:val="10"/>
            <w:tcBorders>
              <w:top w:val="nil"/>
              <w:left w:val="nil"/>
              <w:bottom w:val="nil"/>
              <w:right w:val="nil"/>
            </w:tcBorders>
            <w:vAlign w:val="bottom"/>
          </w:tcPr>
          <w:p>
            <w:p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说明1、企业类型的划分以统计部门的统计数据为依据。</w:t>
            </w:r>
          </w:p>
          <w:p>
            <w:pPr>
              <w:numPr>
                <w:ilvl w:val="0"/>
                <w:numId w:val="6"/>
              </w:num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个体工商户和本规定以外的行业，参照本规定进行划型。</w:t>
            </w:r>
          </w:p>
          <w:p>
            <w:pPr>
              <w:numPr>
                <w:ilvl w:val="0"/>
                <w:numId w:val="6"/>
              </w:numPr>
              <w:adjustRightInd w:val="0"/>
              <w:snapToGrid w:val="0"/>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15"/>
                <w:szCs w:val="15"/>
                <w:highlight w:val="none"/>
              </w:rPr>
              <w:t>本规定的中型企业标准上限即为大型企业标准的下限。</w:t>
            </w:r>
          </w:p>
        </w:tc>
      </w:tr>
    </w:tbl>
    <w:p>
      <w:pPr>
        <w:spacing w:line="200" w:lineRule="exact"/>
        <w:rPr>
          <w:rFonts w:hint="eastAsia" w:ascii="宋体" w:hAnsi="宋体" w:eastAsia="宋体" w:cs="宋体"/>
          <w:color w:val="auto"/>
          <w:sz w:val="20"/>
          <w:szCs w:val="20"/>
          <w:highlight w:val="none"/>
        </w:rPr>
      </w:pPr>
    </w:p>
    <w:p>
      <w:pPr>
        <w:spacing w:line="328"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spacing w:line="1" w:lineRule="exact"/>
        <w:rPr>
          <w:rFonts w:hint="eastAsia" w:ascii="宋体" w:hAnsi="宋体" w:eastAsia="宋体" w:cs="宋体"/>
          <w:color w:val="auto"/>
          <w:sz w:val="20"/>
          <w:szCs w:val="20"/>
          <w:highlight w:val="none"/>
        </w:rPr>
      </w:pPr>
      <w:bookmarkStart w:id="125" w:name="page74"/>
      <w:bookmarkEnd w:id="125"/>
    </w:p>
    <w:p>
      <w:pPr>
        <w:spacing w:line="366" w:lineRule="exact"/>
        <w:ind w:right="-13"/>
        <w:jc w:val="center"/>
        <w:rPr>
          <w:rFonts w:hint="eastAsia" w:ascii="宋体" w:hAnsi="宋体" w:eastAsia="宋体" w:cs="宋体"/>
          <w:color w:val="auto"/>
          <w:sz w:val="24"/>
          <w:szCs w:val="24"/>
          <w:highlight w:val="none"/>
        </w:rPr>
      </w:pPr>
      <w:bookmarkStart w:id="126" w:name="_Toc6166"/>
      <w:r>
        <w:rPr>
          <w:rFonts w:hint="eastAsia" w:ascii="宋体" w:hAnsi="宋体" w:eastAsia="宋体" w:cs="宋体"/>
          <w:b/>
          <w:bCs/>
          <w:color w:val="auto"/>
          <w:sz w:val="24"/>
          <w:szCs w:val="24"/>
          <w:highlight w:val="none"/>
        </w:rPr>
        <w:t>监狱企业声明函</w:t>
      </w:r>
      <w:bookmarkEnd w:id="126"/>
    </w:p>
    <w:p>
      <w:pPr>
        <w:spacing w:line="256" w:lineRule="exact"/>
        <w:rPr>
          <w:rFonts w:hint="eastAsia" w:ascii="宋体" w:hAnsi="宋体" w:eastAsia="宋体" w:cs="宋体"/>
          <w:color w:val="auto"/>
          <w:sz w:val="20"/>
          <w:szCs w:val="20"/>
          <w:highlight w:val="none"/>
        </w:rPr>
      </w:pPr>
    </w:p>
    <w:p>
      <w:pPr>
        <w:spacing w:line="240" w:lineRule="exact"/>
        <w:ind w:right="-13"/>
        <w:jc w:val="center"/>
        <w:rPr>
          <w:rFonts w:hint="eastAsia" w:ascii="宋体" w:hAnsi="宋体" w:eastAsia="宋体" w:cs="宋体"/>
          <w:color w:val="auto"/>
          <w:sz w:val="20"/>
          <w:szCs w:val="20"/>
          <w:highlight w:val="none"/>
        </w:rPr>
      </w:pPr>
      <w:r>
        <w:rPr>
          <w:rFonts w:hint="eastAsia" w:ascii="宋体" w:hAnsi="宋体" w:eastAsia="宋体" w:cs="宋体"/>
          <w:b/>
          <w:bCs/>
          <w:color w:val="auto"/>
          <w:szCs w:val="21"/>
          <w:highlight w:val="none"/>
          <w:u w:val="single"/>
        </w:rPr>
        <w:t>【不属于监狱企业的无需填写、递交】</w:t>
      </w:r>
    </w:p>
    <w:p>
      <w:pPr>
        <w:spacing w:line="200" w:lineRule="exact"/>
        <w:rPr>
          <w:rFonts w:hint="eastAsia" w:ascii="宋体" w:hAnsi="宋体" w:eastAsia="宋体" w:cs="宋体"/>
          <w:color w:val="auto"/>
          <w:sz w:val="20"/>
          <w:szCs w:val="20"/>
          <w:highlight w:val="none"/>
        </w:rPr>
      </w:pPr>
    </w:p>
    <w:p>
      <w:pPr>
        <w:spacing w:line="333" w:lineRule="exact"/>
        <w:rPr>
          <w:rFonts w:hint="eastAsia" w:ascii="宋体" w:hAnsi="宋体" w:eastAsia="宋体" w:cs="宋体"/>
          <w:color w:val="auto"/>
          <w:sz w:val="20"/>
          <w:szCs w:val="20"/>
          <w:highlight w:val="none"/>
        </w:rPr>
      </w:pPr>
    </w:p>
    <w:p>
      <w:pPr>
        <w:spacing w:line="240" w:lineRule="exact"/>
        <w:ind w:right="6"/>
        <w:jc w:val="center"/>
        <w:rPr>
          <w:rFonts w:hint="eastAsia" w:ascii="宋体" w:hAnsi="宋体" w:eastAsia="宋体" w:cs="宋体"/>
          <w:color w:val="auto"/>
          <w:sz w:val="20"/>
          <w:szCs w:val="20"/>
          <w:highlight w:val="none"/>
        </w:rPr>
      </w:pPr>
      <w:bookmarkStart w:id="127" w:name="_Toc4951_WPSOffice_Level2"/>
      <w:bookmarkStart w:id="128" w:name="_Toc17834_WPSOffice_Level2"/>
      <w:r>
        <w:rPr>
          <w:rFonts w:hint="eastAsia" w:ascii="宋体" w:hAnsi="宋体" w:eastAsia="宋体" w:cs="宋体"/>
          <w:color w:val="auto"/>
          <w:szCs w:val="21"/>
          <w:highlight w:val="none"/>
        </w:rPr>
        <w:t>本企业郑重声明，根据《关于政府采购支持监狱企业发展有关问题的通知》（财库</w:t>
      </w:r>
      <w:bookmarkEnd w:id="127"/>
      <w:bookmarkEnd w:id="128"/>
    </w:p>
    <w:p>
      <w:pPr>
        <w:spacing w:line="168" w:lineRule="exact"/>
        <w:rPr>
          <w:rFonts w:hint="eastAsia" w:ascii="宋体" w:hAnsi="宋体" w:eastAsia="宋体" w:cs="宋体"/>
          <w:color w:val="auto"/>
          <w:sz w:val="20"/>
          <w:szCs w:val="20"/>
          <w:highlight w:val="none"/>
        </w:rPr>
      </w:pPr>
    </w:p>
    <w:tbl>
      <w:tblPr>
        <w:tblStyle w:val="20"/>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CellMar>
            <w:top w:w="0" w:type="dxa"/>
            <w:left w:w="0" w:type="dxa"/>
            <w:bottom w:w="0" w:type="dxa"/>
            <w:right w:w="0" w:type="dxa"/>
          </w:tblCellMar>
        </w:tblPrEx>
        <w:trPr>
          <w:trHeight w:val="240" w:hRule="atLeast"/>
        </w:trPr>
        <w:tc>
          <w:tcPr>
            <w:tcW w:w="6000" w:type="dxa"/>
            <w:gridSpan w:val="5"/>
            <w:vAlign w:val="bottom"/>
          </w:tcPr>
          <w:p>
            <w:pPr>
              <w:spacing w:line="240" w:lineRule="exact"/>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[2014]68 号）的规定，本企业为监狱企业。</w:t>
            </w:r>
          </w:p>
        </w:tc>
        <w:tc>
          <w:tcPr>
            <w:tcW w:w="100" w:type="dxa"/>
            <w:vAlign w:val="bottom"/>
          </w:tcPr>
          <w:p>
            <w:pPr>
              <w:rPr>
                <w:rFonts w:hint="eastAsia" w:ascii="宋体" w:hAnsi="宋体" w:eastAsia="宋体" w:cs="宋体"/>
                <w:color w:val="auto"/>
                <w:kern w:val="2"/>
                <w:sz w:val="20"/>
                <w:szCs w:val="20"/>
                <w:highlight w:val="none"/>
              </w:rPr>
            </w:pPr>
          </w:p>
        </w:tc>
        <w:tc>
          <w:tcPr>
            <w:tcW w:w="2220" w:type="dxa"/>
            <w:vAlign w:val="bottom"/>
          </w:tcPr>
          <w:p>
            <w:pPr>
              <w:rPr>
                <w:rFonts w:hint="eastAsia" w:ascii="宋体" w:hAnsi="宋体" w:eastAsia="宋体" w:cs="宋体"/>
                <w:color w:val="auto"/>
                <w:kern w:val="2"/>
                <w:sz w:val="20"/>
                <w:szCs w:val="20"/>
                <w:highlight w:val="none"/>
              </w:rPr>
            </w:pPr>
          </w:p>
        </w:tc>
      </w:tr>
      <w:tr>
        <w:tblPrEx>
          <w:tblCellMar>
            <w:top w:w="0" w:type="dxa"/>
            <w:left w:w="0" w:type="dxa"/>
            <w:bottom w:w="0" w:type="dxa"/>
            <w:right w:w="0" w:type="dxa"/>
          </w:tblCellMar>
        </w:tblPrEx>
        <w:trPr>
          <w:trHeight w:val="20" w:hRule="atLeast"/>
        </w:trPr>
        <w:tc>
          <w:tcPr>
            <w:tcW w:w="3000" w:type="dxa"/>
            <w:vAlign w:val="bottom"/>
          </w:tcPr>
          <w:p>
            <w:pPr>
              <w:spacing w:line="20" w:lineRule="exact"/>
              <w:rPr>
                <w:rFonts w:hint="eastAsia" w:ascii="宋体" w:hAnsi="宋体" w:eastAsia="宋体" w:cs="宋体"/>
                <w:color w:val="auto"/>
                <w:kern w:val="2"/>
                <w:sz w:val="2"/>
                <w:szCs w:val="2"/>
                <w:highlight w:val="none"/>
              </w:rPr>
            </w:pPr>
          </w:p>
        </w:tc>
        <w:tc>
          <w:tcPr>
            <w:tcW w:w="780" w:type="dxa"/>
            <w:shd w:val="clear" w:color="auto" w:fill="000000"/>
            <w:vAlign w:val="bottom"/>
          </w:tcPr>
          <w:p>
            <w:pPr>
              <w:spacing w:line="20" w:lineRule="exact"/>
              <w:rPr>
                <w:rFonts w:hint="eastAsia" w:ascii="宋体" w:hAnsi="宋体" w:eastAsia="宋体" w:cs="宋体"/>
                <w:color w:val="auto"/>
                <w:kern w:val="2"/>
                <w:sz w:val="2"/>
                <w:szCs w:val="2"/>
                <w:highlight w:val="none"/>
              </w:rPr>
            </w:pPr>
          </w:p>
        </w:tc>
        <w:tc>
          <w:tcPr>
            <w:tcW w:w="1060" w:type="dxa"/>
            <w:tcBorders>
              <w:left w:val="single" w:color="auto" w:sz="8" w:space="0"/>
            </w:tcBorders>
            <w:vAlign w:val="bottom"/>
          </w:tcPr>
          <w:p>
            <w:pPr>
              <w:spacing w:line="20" w:lineRule="exact"/>
              <w:rPr>
                <w:rFonts w:hint="eastAsia" w:ascii="宋体" w:hAnsi="宋体" w:eastAsia="宋体" w:cs="宋体"/>
                <w:color w:val="auto"/>
                <w:kern w:val="2"/>
                <w:sz w:val="2"/>
                <w:szCs w:val="2"/>
                <w:highlight w:val="none"/>
              </w:rPr>
            </w:pPr>
          </w:p>
        </w:tc>
        <w:tc>
          <w:tcPr>
            <w:tcW w:w="320" w:type="dxa"/>
            <w:vAlign w:val="bottom"/>
          </w:tcPr>
          <w:p>
            <w:pPr>
              <w:spacing w:line="20" w:lineRule="exact"/>
              <w:rPr>
                <w:rFonts w:hint="eastAsia" w:ascii="宋体" w:hAnsi="宋体" w:eastAsia="宋体" w:cs="宋体"/>
                <w:color w:val="auto"/>
                <w:kern w:val="2"/>
                <w:sz w:val="2"/>
                <w:szCs w:val="2"/>
                <w:highlight w:val="none"/>
              </w:rPr>
            </w:pPr>
          </w:p>
        </w:tc>
        <w:tc>
          <w:tcPr>
            <w:tcW w:w="840" w:type="dxa"/>
            <w:vAlign w:val="bottom"/>
          </w:tcPr>
          <w:p>
            <w:pPr>
              <w:spacing w:line="20" w:lineRule="exact"/>
              <w:rPr>
                <w:rFonts w:hint="eastAsia" w:ascii="宋体" w:hAnsi="宋体" w:eastAsia="宋体" w:cs="宋体"/>
                <w:color w:val="auto"/>
                <w:kern w:val="2"/>
                <w:sz w:val="2"/>
                <w:szCs w:val="2"/>
                <w:highlight w:val="none"/>
              </w:rPr>
            </w:pPr>
          </w:p>
        </w:tc>
        <w:tc>
          <w:tcPr>
            <w:tcW w:w="100" w:type="dxa"/>
            <w:vAlign w:val="bottom"/>
          </w:tcPr>
          <w:p>
            <w:pPr>
              <w:spacing w:line="20" w:lineRule="exact"/>
              <w:rPr>
                <w:rFonts w:hint="eastAsia" w:ascii="宋体" w:hAnsi="宋体" w:eastAsia="宋体" w:cs="宋体"/>
                <w:color w:val="auto"/>
                <w:kern w:val="2"/>
                <w:sz w:val="2"/>
                <w:szCs w:val="2"/>
                <w:highlight w:val="none"/>
              </w:rPr>
            </w:pPr>
          </w:p>
        </w:tc>
        <w:tc>
          <w:tcPr>
            <w:tcW w:w="2220" w:type="dxa"/>
            <w:vAlign w:val="bottom"/>
          </w:tcPr>
          <w:p>
            <w:pPr>
              <w:spacing w:line="20" w:lineRule="exact"/>
              <w:rPr>
                <w:rFonts w:hint="eastAsia" w:ascii="宋体" w:hAnsi="宋体" w:eastAsia="宋体" w:cs="宋体"/>
                <w:color w:val="auto"/>
                <w:kern w:val="2"/>
                <w:sz w:val="2"/>
                <w:szCs w:val="2"/>
                <w:highlight w:val="none"/>
              </w:rPr>
            </w:pPr>
          </w:p>
        </w:tc>
      </w:tr>
      <w:tr>
        <w:tblPrEx>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根据上述标准，我企业属于监狱企业的理由为：</w:t>
            </w:r>
          </w:p>
        </w:tc>
        <w:tc>
          <w:tcPr>
            <w:tcW w:w="100" w:type="dxa"/>
            <w:vAlign w:val="bottom"/>
          </w:tcPr>
          <w:p>
            <w:pPr>
              <w:rPr>
                <w:rFonts w:hint="eastAsia" w:ascii="宋体" w:hAnsi="宋体" w:eastAsia="宋体" w:cs="宋体"/>
                <w:color w:val="auto"/>
                <w:kern w:val="2"/>
                <w:sz w:val="24"/>
                <w:szCs w:val="24"/>
                <w:highlight w:val="none"/>
              </w:rPr>
            </w:pPr>
          </w:p>
        </w:tc>
        <w:tc>
          <w:tcPr>
            <w:tcW w:w="2220" w:type="dxa"/>
            <w:vAlign w:val="bottom"/>
          </w:tcPr>
          <w:p>
            <w:pPr>
              <w:spacing w:line="240" w:lineRule="exact"/>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w:t>
            </w:r>
          </w:p>
        </w:tc>
      </w:tr>
      <w:tr>
        <w:tblPrEx>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line="20" w:lineRule="exact"/>
              <w:rPr>
                <w:rFonts w:hint="eastAsia" w:ascii="宋体" w:hAnsi="宋体" w:eastAsia="宋体" w:cs="宋体"/>
                <w:color w:val="auto"/>
                <w:kern w:val="2"/>
                <w:sz w:val="2"/>
                <w:szCs w:val="2"/>
                <w:highlight w:val="none"/>
              </w:rPr>
            </w:pPr>
          </w:p>
        </w:tc>
        <w:tc>
          <w:tcPr>
            <w:tcW w:w="780" w:type="dxa"/>
            <w:shd w:val="clear" w:color="auto" w:fill="000000"/>
            <w:vAlign w:val="bottom"/>
          </w:tcPr>
          <w:p>
            <w:pPr>
              <w:spacing w:line="20" w:lineRule="exact"/>
              <w:rPr>
                <w:rFonts w:hint="eastAsia" w:ascii="宋体" w:hAnsi="宋体" w:eastAsia="宋体" w:cs="宋体"/>
                <w:color w:val="auto"/>
                <w:kern w:val="2"/>
                <w:sz w:val="2"/>
                <w:szCs w:val="2"/>
                <w:highlight w:val="none"/>
              </w:rPr>
            </w:pPr>
          </w:p>
        </w:tc>
        <w:tc>
          <w:tcPr>
            <w:tcW w:w="1060" w:type="dxa"/>
            <w:vAlign w:val="bottom"/>
          </w:tcPr>
          <w:p>
            <w:pPr>
              <w:spacing w:line="20" w:lineRule="exact"/>
              <w:rPr>
                <w:rFonts w:hint="eastAsia" w:ascii="宋体" w:hAnsi="宋体" w:eastAsia="宋体" w:cs="宋体"/>
                <w:color w:val="auto"/>
                <w:kern w:val="2"/>
                <w:sz w:val="2"/>
                <w:szCs w:val="2"/>
                <w:highlight w:val="none"/>
              </w:rPr>
            </w:pPr>
          </w:p>
        </w:tc>
        <w:tc>
          <w:tcPr>
            <w:tcW w:w="320" w:type="dxa"/>
            <w:shd w:val="clear" w:color="auto" w:fill="000000"/>
            <w:vAlign w:val="bottom"/>
          </w:tcPr>
          <w:p>
            <w:pPr>
              <w:spacing w:line="20" w:lineRule="exact"/>
              <w:rPr>
                <w:rFonts w:hint="eastAsia" w:ascii="宋体" w:hAnsi="宋体" w:eastAsia="宋体" w:cs="宋体"/>
                <w:color w:val="auto"/>
                <w:kern w:val="2"/>
                <w:sz w:val="2"/>
                <w:szCs w:val="2"/>
                <w:highlight w:val="none"/>
              </w:rPr>
            </w:pPr>
          </w:p>
        </w:tc>
        <w:tc>
          <w:tcPr>
            <w:tcW w:w="840" w:type="dxa"/>
            <w:shd w:val="clear" w:color="auto" w:fill="000000"/>
            <w:vAlign w:val="bottom"/>
          </w:tcPr>
          <w:p>
            <w:pPr>
              <w:spacing w:line="20" w:lineRule="exact"/>
              <w:rPr>
                <w:rFonts w:hint="eastAsia" w:ascii="宋体" w:hAnsi="宋体" w:eastAsia="宋体" w:cs="宋体"/>
                <w:color w:val="auto"/>
                <w:kern w:val="2"/>
                <w:sz w:val="2"/>
                <w:szCs w:val="2"/>
                <w:highlight w:val="none"/>
              </w:rPr>
            </w:pPr>
          </w:p>
        </w:tc>
        <w:tc>
          <w:tcPr>
            <w:tcW w:w="100" w:type="dxa"/>
            <w:shd w:val="clear" w:color="auto" w:fill="000000"/>
            <w:vAlign w:val="bottom"/>
          </w:tcPr>
          <w:p>
            <w:pPr>
              <w:spacing w:line="20" w:lineRule="exact"/>
              <w:rPr>
                <w:rFonts w:hint="eastAsia" w:ascii="宋体" w:hAnsi="宋体" w:eastAsia="宋体" w:cs="宋体"/>
                <w:color w:val="auto"/>
                <w:kern w:val="2"/>
                <w:sz w:val="2"/>
                <w:szCs w:val="2"/>
                <w:highlight w:val="none"/>
              </w:rPr>
            </w:pPr>
          </w:p>
        </w:tc>
        <w:tc>
          <w:tcPr>
            <w:tcW w:w="2220" w:type="dxa"/>
            <w:vAlign w:val="bottom"/>
          </w:tcPr>
          <w:p>
            <w:pPr>
              <w:spacing w:line="20" w:lineRule="exact"/>
              <w:rPr>
                <w:rFonts w:hint="eastAsia" w:ascii="宋体" w:hAnsi="宋体" w:eastAsia="宋体" w:cs="宋体"/>
                <w:color w:val="auto"/>
                <w:kern w:val="2"/>
                <w:sz w:val="2"/>
                <w:szCs w:val="2"/>
                <w:highlight w:val="none"/>
              </w:rPr>
            </w:pPr>
          </w:p>
        </w:tc>
      </w:tr>
      <w:tr>
        <w:tblPrEx>
          <w:tblCellMar>
            <w:top w:w="0" w:type="dxa"/>
            <w:left w:w="0" w:type="dxa"/>
            <w:bottom w:w="0" w:type="dxa"/>
            <w:right w:w="0" w:type="dxa"/>
          </w:tblCellMar>
        </w:tblPrEx>
        <w:trPr>
          <w:trHeight w:val="388" w:hRule="atLeast"/>
        </w:trPr>
        <w:tc>
          <w:tcPr>
            <w:tcW w:w="3000" w:type="dxa"/>
            <w:vAlign w:val="bottom"/>
          </w:tcPr>
          <w:p>
            <w:pPr>
              <w:spacing w:line="240" w:lineRule="exact"/>
              <w:ind w:left="420"/>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本企业为参加（项目名称：</w:t>
            </w:r>
          </w:p>
        </w:tc>
        <w:tc>
          <w:tcPr>
            <w:tcW w:w="780" w:type="dxa"/>
            <w:tcBorders>
              <w:bottom w:val="single" w:color="auto" w:sz="8" w:space="0"/>
            </w:tcBorders>
            <w:vAlign w:val="bottom"/>
          </w:tcPr>
          <w:p>
            <w:pPr>
              <w:rPr>
                <w:rFonts w:hint="eastAsia" w:ascii="宋体" w:hAnsi="宋体" w:eastAsia="宋体" w:cs="宋体"/>
                <w:color w:val="auto"/>
                <w:kern w:val="2"/>
                <w:sz w:val="24"/>
                <w:szCs w:val="24"/>
                <w:highlight w:val="none"/>
              </w:rPr>
            </w:pPr>
          </w:p>
        </w:tc>
        <w:tc>
          <w:tcPr>
            <w:tcW w:w="1380" w:type="dxa"/>
            <w:gridSpan w:val="2"/>
            <w:vAlign w:val="bottom"/>
          </w:tcPr>
          <w:p>
            <w:pPr>
              <w:spacing w:line="240" w:lineRule="exact"/>
              <w:rPr>
                <w:rFonts w:hint="eastAsia" w:ascii="宋体" w:hAnsi="宋体" w:eastAsia="宋体" w:cs="宋体"/>
                <w:color w:val="auto"/>
                <w:kern w:val="2"/>
                <w:sz w:val="20"/>
                <w:szCs w:val="20"/>
                <w:highlight w:val="none"/>
              </w:rPr>
            </w:pPr>
            <w:r>
              <w:rPr>
                <w:rFonts w:hint="eastAsia" w:ascii="宋体" w:hAnsi="宋体" w:eastAsia="宋体" w:cs="宋体"/>
                <w:color w:val="auto"/>
                <w:w w:val="92"/>
                <w:kern w:val="2"/>
                <w:szCs w:val="21"/>
                <w:highlight w:val="none"/>
              </w:rPr>
              <w:t>）（项目编号：</w:t>
            </w:r>
          </w:p>
        </w:tc>
        <w:tc>
          <w:tcPr>
            <w:tcW w:w="840" w:type="dxa"/>
            <w:tcBorders>
              <w:bottom w:val="single" w:color="auto" w:sz="8" w:space="0"/>
            </w:tcBorders>
            <w:vAlign w:val="bottom"/>
          </w:tcPr>
          <w:p>
            <w:pPr>
              <w:rPr>
                <w:rFonts w:hint="eastAsia" w:ascii="宋体" w:hAnsi="宋体" w:eastAsia="宋体" w:cs="宋体"/>
                <w:color w:val="auto"/>
                <w:kern w:val="2"/>
                <w:sz w:val="24"/>
                <w:szCs w:val="24"/>
                <w:highlight w:val="none"/>
              </w:rPr>
            </w:pPr>
          </w:p>
        </w:tc>
        <w:tc>
          <w:tcPr>
            <w:tcW w:w="2320" w:type="dxa"/>
            <w:gridSpan w:val="2"/>
            <w:vAlign w:val="bottom"/>
          </w:tcPr>
          <w:p>
            <w:pPr>
              <w:spacing w:line="240" w:lineRule="exact"/>
              <w:rPr>
                <w:rFonts w:hint="eastAsia" w:ascii="宋体" w:hAnsi="宋体" w:eastAsia="宋体" w:cs="宋体"/>
                <w:color w:val="auto"/>
                <w:kern w:val="2"/>
                <w:sz w:val="20"/>
                <w:szCs w:val="20"/>
                <w:highlight w:val="none"/>
              </w:rPr>
            </w:pPr>
            <w:r>
              <w:rPr>
                <w:rFonts w:hint="eastAsia" w:ascii="宋体" w:hAnsi="宋体" w:eastAsia="宋体" w:cs="宋体"/>
                <w:color w:val="auto"/>
                <w:w w:val="99"/>
                <w:kern w:val="2"/>
                <w:szCs w:val="21"/>
                <w:highlight w:val="none"/>
              </w:rPr>
              <w:t>）采购活动提供本企业的</w:t>
            </w:r>
          </w:p>
        </w:tc>
      </w:tr>
      <w:tr>
        <w:tblPrEx>
          <w:tblCellMar>
            <w:top w:w="0" w:type="dxa"/>
            <w:left w:w="0" w:type="dxa"/>
            <w:bottom w:w="0" w:type="dxa"/>
            <w:right w:w="0" w:type="dxa"/>
          </w:tblCellMar>
        </w:tblPrEx>
        <w:trPr>
          <w:trHeight w:val="388" w:hRule="atLeast"/>
        </w:trPr>
        <w:tc>
          <w:tcPr>
            <w:tcW w:w="3000" w:type="dxa"/>
            <w:vAlign w:val="bottom"/>
          </w:tcPr>
          <w:p>
            <w:pPr>
              <w:spacing w:line="240" w:lineRule="exact"/>
              <w:rPr>
                <w:rFonts w:hint="eastAsia" w:ascii="宋体" w:hAnsi="宋体" w:eastAsia="宋体" w:cs="宋体"/>
                <w:color w:val="auto"/>
                <w:kern w:val="2"/>
                <w:sz w:val="20"/>
                <w:szCs w:val="20"/>
                <w:highlight w:val="none"/>
              </w:rPr>
            </w:pPr>
            <w:r>
              <w:rPr>
                <w:rFonts w:hint="eastAsia" w:ascii="宋体" w:hAnsi="宋体" w:eastAsia="宋体" w:cs="宋体"/>
                <w:color w:val="auto"/>
                <w:kern w:val="2"/>
                <w:szCs w:val="21"/>
                <w:highlight w:val="none"/>
              </w:rPr>
              <w:t>产品。</w:t>
            </w:r>
          </w:p>
        </w:tc>
        <w:tc>
          <w:tcPr>
            <w:tcW w:w="780" w:type="dxa"/>
            <w:vAlign w:val="bottom"/>
          </w:tcPr>
          <w:p>
            <w:pPr>
              <w:rPr>
                <w:rFonts w:hint="eastAsia" w:ascii="宋体" w:hAnsi="宋体" w:eastAsia="宋体" w:cs="宋体"/>
                <w:color w:val="auto"/>
                <w:kern w:val="2"/>
                <w:sz w:val="24"/>
                <w:szCs w:val="24"/>
                <w:highlight w:val="none"/>
              </w:rPr>
            </w:pPr>
          </w:p>
        </w:tc>
        <w:tc>
          <w:tcPr>
            <w:tcW w:w="1060" w:type="dxa"/>
            <w:vAlign w:val="bottom"/>
          </w:tcPr>
          <w:p>
            <w:pPr>
              <w:rPr>
                <w:rFonts w:hint="eastAsia" w:ascii="宋体" w:hAnsi="宋体" w:eastAsia="宋体" w:cs="宋体"/>
                <w:color w:val="auto"/>
                <w:kern w:val="2"/>
                <w:sz w:val="24"/>
                <w:szCs w:val="24"/>
                <w:highlight w:val="none"/>
              </w:rPr>
            </w:pPr>
          </w:p>
        </w:tc>
        <w:tc>
          <w:tcPr>
            <w:tcW w:w="320" w:type="dxa"/>
            <w:vAlign w:val="bottom"/>
          </w:tcPr>
          <w:p>
            <w:pPr>
              <w:rPr>
                <w:rFonts w:hint="eastAsia" w:ascii="宋体" w:hAnsi="宋体" w:eastAsia="宋体" w:cs="宋体"/>
                <w:color w:val="auto"/>
                <w:kern w:val="2"/>
                <w:sz w:val="24"/>
                <w:szCs w:val="24"/>
                <w:highlight w:val="none"/>
              </w:rPr>
            </w:pPr>
          </w:p>
        </w:tc>
        <w:tc>
          <w:tcPr>
            <w:tcW w:w="840" w:type="dxa"/>
            <w:vAlign w:val="bottom"/>
          </w:tcPr>
          <w:p>
            <w:pPr>
              <w:rPr>
                <w:rFonts w:hint="eastAsia" w:ascii="宋体" w:hAnsi="宋体" w:eastAsia="宋体" w:cs="宋体"/>
                <w:color w:val="auto"/>
                <w:kern w:val="2"/>
                <w:sz w:val="24"/>
                <w:szCs w:val="24"/>
                <w:highlight w:val="none"/>
              </w:rPr>
            </w:pPr>
          </w:p>
        </w:tc>
        <w:tc>
          <w:tcPr>
            <w:tcW w:w="100" w:type="dxa"/>
            <w:vAlign w:val="bottom"/>
          </w:tcPr>
          <w:p>
            <w:pPr>
              <w:rPr>
                <w:rFonts w:hint="eastAsia" w:ascii="宋体" w:hAnsi="宋体" w:eastAsia="宋体" w:cs="宋体"/>
                <w:color w:val="auto"/>
                <w:kern w:val="2"/>
                <w:sz w:val="24"/>
                <w:szCs w:val="24"/>
                <w:highlight w:val="none"/>
              </w:rPr>
            </w:pPr>
          </w:p>
        </w:tc>
        <w:tc>
          <w:tcPr>
            <w:tcW w:w="2220" w:type="dxa"/>
            <w:vAlign w:val="bottom"/>
          </w:tcPr>
          <w:p>
            <w:pPr>
              <w:rPr>
                <w:rFonts w:hint="eastAsia" w:ascii="宋体" w:hAnsi="宋体" w:eastAsia="宋体" w:cs="宋体"/>
                <w:color w:val="auto"/>
                <w:kern w:val="2"/>
                <w:sz w:val="24"/>
                <w:szCs w:val="24"/>
                <w:highlight w:val="none"/>
              </w:rPr>
            </w:pPr>
          </w:p>
        </w:tc>
      </w:tr>
    </w:tbl>
    <w:p>
      <w:pPr>
        <w:spacing w:line="171"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本企业对上述声明的真实性负责。如有虚假，将依法承担相应责任。</w:t>
      </w:r>
    </w:p>
    <w:p>
      <w:pPr>
        <w:spacing w:line="200" w:lineRule="exact"/>
        <w:rPr>
          <w:rFonts w:hint="eastAsia" w:ascii="宋体" w:hAnsi="宋体" w:eastAsia="宋体" w:cs="宋体"/>
          <w:color w:val="auto"/>
          <w:sz w:val="20"/>
          <w:szCs w:val="20"/>
          <w:highlight w:val="none"/>
        </w:rPr>
      </w:pPr>
    </w:p>
    <w:p>
      <w:pPr>
        <w:spacing w:line="376"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供应商全称（盖章）：</w:t>
      </w:r>
    </w:p>
    <w:p>
      <w:pPr>
        <w:spacing w:line="168"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日期：年月日</w:t>
      </w:r>
    </w:p>
    <w:p>
      <w:pPr>
        <w:spacing w:line="200" w:lineRule="exact"/>
        <w:rPr>
          <w:rFonts w:hint="eastAsia" w:ascii="宋体" w:hAnsi="宋体" w:eastAsia="宋体" w:cs="宋体"/>
          <w:color w:val="auto"/>
          <w:sz w:val="20"/>
          <w:szCs w:val="20"/>
          <w:highlight w:val="none"/>
        </w:rPr>
      </w:pPr>
    </w:p>
    <w:p>
      <w:pPr>
        <w:spacing w:line="360" w:lineRule="auto"/>
        <w:ind w:left="360" w:right="346" w:firstLine="420"/>
        <w:rPr>
          <w:rFonts w:hint="eastAsia" w:ascii="宋体" w:hAnsi="宋体" w:eastAsia="宋体" w:cs="宋体"/>
          <w:color w:val="auto"/>
          <w:szCs w:val="21"/>
          <w:highlight w:val="none"/>
        </w:rPr>
      </w:pPr>
    </w:p>
    <w:p>
      <w:pPr>
        <w:spacing w:line="360" w:lineRule="auto"/>
        <w:ind w:left="360" w:right="346"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66" w:lineRule="exact"/>
        <w:ind w:right="-13"/>
        <w:jc w:val="center"/>
        <w:rPr>
          <w:rFonts w:hint="eastAsia" w:ascii="宋体" w:hAnsi="宋体" w:eastAsia="宋体" w:cs="宋体"/>
          <w:b/>
          <w:bCs/>
          <w:color w:val="auto"/>
          <w:sz w:val="24"/>
          <w:szCs w:val="24"/>
          <w:highlight w:val="none"/>
        </w:rPr>
      </w:pPr>
      <w:bookmarkStart w:id="129" w:name="_Toc9302"/>
      <w:r>
        <w:rPr>
          <w:rFonts w:hint="eastAsia" w:ascii="宋体" w:hAnsi="宋体" w:eastAsia="宋体" w:cs="宋体"/>
          <w:b/>
          <w:bCs/>
          <w:color w:val="auto"/>
          <w:sz w:val="24"/>
          <w:szCs w:val="24"/>
          <w:highlight w:val="none"/>
        </w:rPr>
        <w:t>残疾人福利性单位声明函</w:t>
      </w:r>
      <w:bookmarkEnd w:id="129"/>
    </w:p>
    <w:p>
      <w:pPr>
        <w:spacing w:line="203" w:lineRule="exact"/>
        <w:rPr>
          <w:rFonts w:hint="eastAsia" w:ascii="宋体" w:hAnsi="宋体" w:eastAsia="宋体" w:cs="宋体"/>
          <w:color w:val="auto"/>
          <w:sz w:val="20"/>
          <w:szCs w:val="20"/>
          <w:highlight w:val="none"/>
        </w:rPr>
      </w:pPr>
    </w:p>
    <w:p>
      <w:pPr>
        <w:jc w:val="center"/>
        <w:rPr>
          <w:rFonts w:hint="eastAsia" w:ascii="宋体" w:hAnsi="宋体" w:eastAsia="宋体" w:cs="宋体"/>
          <w:color w:val="auto"/>
          <w:highlight w:val="none"/>
        </w:rPr>
      </w:pPr>
      <w:bookmarkStart w:id="130" w:name="_Toc30098"/>
      <w:bookmarkStart w:id="131" w:name="_Toc20230_WPSOffice_Level2"/>
      <w:bookmarkStart w:id="132" w:name="_Toc1708_WPSOffice_Level2"/>
      <w:r>
        <w:rPr>
          <w:rFonts w:hint="eastAsia" w:ascii="宋体" w:hAnsi="宋体" w:eastAsia="宋体" w:cs="宋体"/>
          <w:color w:val="auto"/>
          <w:highlight w:val="none"/>
        </w:rPr>
        <w:t>【不属于残疾人福利性单位的无需填写、递交】</w:t>
      </w:r>
      <w:bookmarkEnd w:id="130"/>
      <w:bookmarkEnd w:id="131"/>
      <w:bookmarkEnd w:id="132"/>
    </w:p>
    <w:p>
      <w:pPr>
        <w:spacing w:line="360" w:lineRule="auto"/>
        <w:rPr>
          <w:rFonts w:hint="eastAsia" w:ascii="宋体" w:hAnsi="宋体" w:eastAsia="宋体" w:cs="宋体"/>
          <w:color w:val="auto"/>
          <w:sz w:val="20"/>
          <w:szCs w:val="20"/>
          <w:highlight w:val="none"/>
        </w:rPr>
      </w:pPr>
    </w:p>
    <w:p>
      <w:pPr>
        <w:spacing w:line="360" w:lineRule="auto"/>
        <w:ind w:right="366"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 （采购人名称）</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单位的</w:t>
      </w:r>
      <w:r>
        <w:rPr>
          <w:rFonts w:hint="eastAsia" w:ascii="宋体" w:hAnsi="宋体" w:eastAsia="宋体" w:cs="宋体"/>
          <w:color w:val="auto"/>
          <w:sz w:val="20"/>
          <w:szCs w:val="20"/>
          <w:highlight w:val="none"/>
        </w:rPr>
        <w:tab/>
      </w:r>
      <w:r>
        <w:rPr>
          <w:rFonts w:hint="eastAsia" w:ascii="宋体" w:hAnsi="宋体" w:eastAsia="宋体" w:cs="宋体"/>
          <w:color w:val="auto"/>
          <w:szCs w:val="21"/>
          <w:highlight w:val="none"/>
        </w:rPr>
        <w:t>（项目名称）</w:t>
      </w:r>
      <w:r>
        <w:rPr>
          <w:rFonts w:hint="eastAsia" w:ascii="宋体" w:hAnsi="宋体" w:eastAsia="宋体" w:cs="宋体"/>
          <w:color w:val="auto"/>
          <w:sz w:val="20"/>
          <w:szCs w:val="20"/>
          <w:highlight w:val="none"/>
        </w:rPr>
        <w:tab/>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rPr>
          <w:rFonts w:hint="eastAsia" w:ascii="宋体" w:hAnsi="宋体" w:eastAsia="宋体" w:cs="宋体"/>
          <w:color w:val="auto"/>
          <w:sz w:val="20"/>
          <w:szCs w:val="20"/>
          <w:highlight w:val="none"/>
        </w:rPr>
      </w:pP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供应商名称（盖章）：</w:t>
      </w:r>
    </w:p>
    <w:p>
      <w:pPr>
        <w:spacing w:line="79" w:lineRule="exact"/>
        <w:rPr>
          <w:rFonts w:hint="eastAsia" w:ascii="宋体" w:hAnsi="宋体" w:eastAsia="宋体" w:cs="宋体"/>
          <w:color w:val="auto"/>
          <w:sz w:val="20"/>
          <w:szCs w:val="20"/>
          <w:highlight w:val="none"/>
        </w:rPr>
      </w:pPr>
    </w:p>
    <w:p>
      <w:pPr>
        <w:tabs>
          <w:tab w:val="left" w:pos="1700"/>
          <w:tab w:val="left" w:pos="2120"/>
          <w:tab w:val="left" w:pos="2540"/>
        </w:tabs>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日</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20" w:lineRule="exact"/>
        <w:ind w:left="360"/>
        <w:rPr>
          <w:rFonts w:hint="eastAsia" w:ascii="宋体" w:hAnsi="宋体" w:eastAsia="宋体" w:cs="宋体"/>
          <w:color w:val="auto"/>
          <w:szCs w:val="21"/>
          <w:highlight w:val="none"/>
          <w:u w:val="single"/>
        </w:rPr>
      </w:pPr>
      <w:bookmarkStart w:id="133" w:name="page75"/>
      <w:bookmarkEnd w:id="133"/>
      <w:r>
        <w:rPr>
          <w:rFonts w:hint="eastAsia" w:ascii="宋体" w:hAnsi="宋体" w:eastAsia="宋体" w:cs="宋体"/>
          <w:color w:val="auto"/>
          <w:szCs w:val="21"/>
          <w:highlight w:val="none"/>
          <w:u w:val="single"/>
        </w:rPr>
        <w:t>说明：</w:t>
      </w:r>
    </w:p>
    <w:p>
      <w:pPr>
        <w:spacing w:line="32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1.若磋商响应供应商同时满足以下条件，则属于依法享受政府采购支持政策的残疾人福利性单位，可提供《残疾人福利性单位声明函》，并对声明的真实性负责：</w:t>
      </w:r>
    </w:p>
    <w:p>
      <w:pPr>
        <w:spacing w:line="32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（一）安置的残疾人占本单位在职职工人数的比例不低于25%（含25%），并且安置的残疾人人数不少于10人（含10人）；</w:t>
      </w:r>
    </w:p>
    <w:p>
      <w:pPr>
        <w:spacing w:line="32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（二）依法与安置的每位残疾人签订了一年以上（含一年）的劳动合同或服务协议；</w:t>
      </w:r>
    </w:p>
    <w:p>
      <w:pPr>
        <w:spacing w:line="32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（三）为安置的每位残疾人按月足额缴纳了基本养老保险、基本医疗保险、失业保险、工伤保险和生育保险等社会保险费；</w:t>
      </w:r>
    </w:p>
    <w:p>
      <w:pPr>
        <w:spacing w:line="32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（四）通过银行等金融机构向安置的每位残疾人，按月支付了不低于单位所在区县适用的经省级人民政府批准的月最低工资标准的工资；</w:t>
      </w:r>
    </w:p>
    <w:p>
      <w:pPr>
        <w:spacing w:line="32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（五）提供本单位制造的货物、承担的工程或者服务（以下简称产品），或者提供其他残疾人福利性单位制造的货物（不包括使用非残疾人福利性单位注册商标的货物）。</w:t>
      </w:r>
    </w:p>
    <w:p>
      <w:pPr>
        <w:spacing w:line="32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20" w:lineRule="exact"/>
        <w:ind w:left="360"/>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u w:val="single"/>
        </w:rPr>
        <w:t>2.成交供应商为残疾人福利性单位的，《残疾人福利性单位声明函》随中标结果同时公告，接受社会监督。</w:t>
      </w: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sectPr>
          <w:pgSz w:w="11900" w:h="16838"/>
          <w:pgMar w:top="1440" w:right="1080" w:bottom="1440" w:left="1080" w:header="567" w:footer="567" w:gutter="0"/>
          <w:cols w:equalWidth="0" w:num="1">
            <w:col w:w="9026"/>
          </w:cols>
        </w:sectPr>
      </w:pPr>
      <w:bookmarkStart w:id="134" w:name="_Toc5942_WPSOffice_Level2"/>
    </w:p>
    <w:p>
      <w:pPr>
        <w:spacing w:line="32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商务技术文件封面</w:t>
      </w:r>
      <w:bookmarkEnd w:id="134"/>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0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35" w:name="_Toc11046_WPSOffice_Level2"/>
      <w:r>
        <w:rPr>
          <w:rFonts w:hint="eastAsia" w:ascii="宋体" w:hAnsi="宋体" w:eastAsia="宋体" w:cs="宋体"/>
          <w:color w:val="auto"/>
          <w:sz w:val="28"/>
          <w:szCs w:val="28"/>
          <w:highlight w:val="none"/>
        </w:rPr>
        <w:t>项目名称：</w:t>
      </w:r>
      <w:bookmarkEnd w:id="135"/>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316" o:spid="_x0000_s1033" o:spt="20" style="position:absolute;left:0pt;margin-left:136.95pt;margin-top:0.05pt;height:0pt;width:287.1pt;z-index:-251637760;mso-width-relative:page;mso-height-relative:page;"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v+qytEAAAAFAQAADwAAAAAA&#10;AAABACAAAAAiAAAAZHJzL2Rvd25yZXYueG1sUEsBAhQAFAAAAAgAh07iQH9o+QPhAQAA6AMAAA4A&#10;AAAAAAAAAQAgAAAAIAEAAGRycy9lMm9Eb2MueG1sUEsFBgAAAAAGAAYAWQEAAHMFA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36" w:name="_Toc4594_WPSOffice_Level2"/>
      <w:r>
        <w:rPr>
          <w:rFonts w:hint="eastAsia" w:ascii="宋体" w:hAnsi="宋体" w:eastAsia="宋体" w:cs="宋体"/>
          <w:color w:val="auto"/>
          <w:sz w:val="28"/>
          <w:szCs w:val="28"/>
          <w:highlight w:val="none"/>
        </w:rPr>
        <w:t>项目编号：</w:t>
      </w:r>
      <w:bookmarkEnd w:id="136"/>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317" o:spid="_x0000_s1032" o:spt="20" style="position:absolute;left:0pt;margin-left:136.95pt;margin-top:0.05pt;height:0pt;width:287.1pt;z-index:-251636736;mso-width-relative:page;mso-height-relative:page;"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7/qsrRAAAABQEAAA8AAAAA&#10;AAAAAQAgAAAAIgAAAGRycy9kb3ducmV2LnhtbFBLAQIUABQAAAAIAIdO4kBrQsOC4gEAAOgDAAAO&#10;AAAAAAAAAAEAIAAAACABAABkcnMvZTJvRG9jLnhtbFBLBQYAAAAABgAGAFkBAAB0BQ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25"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响应文件</w:t>
      </w:r>
    </w:p>
    <w:p>
      <w:pPr>
        <w:spacing w:line="200" w:lineRule="exact"/>
        <w:rPr>
          <w:rFonts w:hint="eastAsia" w:ascii="宋体" w:hAnsi="宋体" w:eastAsia="宋体" w:cs="宋体"/>
          <w:color w:val="auto"/>
          <w:sz w:val="20"/>
          <w:szCs w:val="20"/>
          <w:highlight w:val="none"/>
        </w:rPr>
      </w:pPr>
    </w:p>
    <w:p>
      <w:pPr>
        <w:spacing w:line="381"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（商务技术文件）</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67" w:lineRule="exact"/>
        <w:rPr>
          <w:rFonts w:hint="eastAsia" w:ascii="宋体" w:hAnsi="宋体" w:eastAsia="宋体" w:cs="宋体"/>
          <w:color w:val="auto"/>
          <w:sz w:val="20"/>
          <w:szCs w:val="20"/>
          <w:highlight w:val="none"/>
        </w:rPr>
      </w:pPr>
    </w:p>
    <w:p>
      <w:pPr>
        <w:tabs>
          <w:tab w:val="left" w:pos="5880"/>
        </w:tabs>
        <w:spacing w:line="320" w:lineRule="exact"/>
        <w:ind w:left="1140"/>
        <w:jc w:val="both"/>
        <w:rPr>
          <w:rFonts w:hint="eastAsia" w:ascii="宋体" w:hAnsi="宋体" w:eastAsia="宋体" w:cs="宋体"/>
          <w:color w:val="auto"/>
          <w:sz w:val="20"/>
          <w:szCs w:val="20"/>
          <w:highlight w:val="none"/>
        </w:rPr>
      </w:pPr>
      <w:bookmarkStart w:id="137" w:name="_Toc1319_WPSOffice_Level2"/>
      <w:r>
        <w:rPr>
          <w:rFonts w:hint="eastAsia" w:ascii="宋体" w:hAnsi="宋体" w:eastAsia="宋体" w:cs="宋体"/>
          <w:color w:val="auto"/>
          <w:sz w:val="28"/>
          <w:szCs w:val="28"/>
          <w:highlight w:val="none"/>
        </w:rPr>
        <w:t>供应商：</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（盖单位公章）</w:t>
      </w:r>
      <w:bookmarkEnd w:id="137"/>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318" o:spid="_x0000_s1031" o:spt="20" style="position:absolute;left:0pt;margin-left:112.6pt;margin-top:0.05pt;height:0pt;width:182.05pt;z-index:-251635712;mso-width-relative:page;mso-height-relative:page;"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ea+EdIAAAAFAQAADwAA&#10;AAAAAAABACAAAAAiAAAAZHJzL2Rvd25yZXYueG1sUEsBAhQAFAAAAAgAh07iQERPSwLjAQAA6AMA&#10;AA4AAAAAAAAAAQAgAAAAIQEAAGRycy9lMm9Eb2MueG1sUEsFBgAAAAAGAAYAWQEAAHYFAAAAAA==&#10;">
            <v:path arrowok="t"/>
            <v:fill focussize="0,0"/>
            <v:stroke weight="1.08pt" joinstyle="miter"/>
            <v:imagedata o:title=""/>
            <o:lock v:ext="edit"/>
          </v:line>
        </w:pict>
      </w:r>
    </w:p>
    <w:p>
      <w:pPr>
        <w:spacing w:line="205" w:lineRule="exact"/>
        <w:rPr>
          <w:rFonts w:hint="eastAsia" w:ascii="宋体" w:hAnsi="宋体" w:eastAsia="宋体" w:cs="宋体"/>
          <w:color w:val="auto"/>
          <w:sz w:val="20"/>
          <w:szCs w:val="20"/>
          <w:highlight w:val="none"/>
        </w:rPr>
      </w:pPr>
    </w:p>
    <w:p>
      <w:pPr>
        <w:tabs>
          <w:tab w:val="left" w:pos="5460"/>
        </w:tabs>
        <w:spacing w:line="320" w:lineRule="exact"/>
        <w:ind w:left="1140"/>
        <w:rPr>
          <w:rFonts w:hint="eastAsia" w:ascii="宋体" w:hAnsi="宋体" w:eastAsia="宋体" w:cs="宋体"/>
          <w:color w:val="auto"/>
          <w:sz w:val="20"/>
          <w:szCs w:val="20"/>
          <w:highlight w:val="none"/>
        </w:rPr>
      </w:pPr>
      <w:bookmarkStart w:id="138" w:name="_Toc18029_WPSOffice_Level2"/>
      <w:r>
        <w:rPr>
          <w:rFonts w:hint="eastAsia" w:ascii="宋体" w:hAnsi="宋体" w:eastAsia="宋体" w:cs="宋体"/>
          <w:color w:val="auto"/>
          <w:sz w:val="28"/>
          <w:szCs w:val="28"/>
          <w:highlight w:val="none"/>
        </w:rPr>
        <w:t>响应文件签署人：</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（签字或盖章）</w:t>
      </w:r>
      <w:bookmarkEnd w:id="138"/>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319" o:spid="_x0000_s1030" o:spt="20" style="position:absolute;left:0pt;margin-left:168.65pt;margin-top:0.05pt;height:0pt;width:105pt;z-index:-251634688;mso-width-relative:page;mso-height-relative:page;"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ubLqa0AAAAAUBAAAPAAAAAAAA&#10;AAEAIAAAACIAAABkcnMvZG93bnJldi54bWxQSwECFAAUAAAACACHTuJA04tnE+EBAADoAwAADgAA&#10;AAAAAAABACAAAAAfAQAAZHJzL2Uyb0RvYy54bWxQSwUGAAAAAAYABgBZAQAAcgU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tabs>
          <w:tab w:val="left" w:pos="4600"/>
          <w:tab w:val="left" w:pos="5300"/>
        </w:tabs>
        <w:spacing w:line="320" w:lineRule="exact"/>
        <w:ind w:left="3920"/>
        <w:rPr>
          <w:rFonts w:hint="eastAsia" w:ascii="宋体" w:hAnsi="宋体" w:eastAsia="宋体" w:cs="宋体"/>
          <w:color w:val="auto"/>
          <w:sz w:val="20"/>
          <w:szCs w:val="20"/>
          <w:highlight w:val="none"/>
        </w:rPr>
      </w:pPr>
      <w:bookmarkStart w:id="139" w:name="_Toc15576_WPSOffice_Level2"/>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日</w:t>
      </w:r>
      <w:bookmarkEnd w:id="139"/>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320" o:spid="_x0000_s1029" o:spt="20" style="position:absolute;left:0pt;margin-left:153.85pt;margin-top:0.05pt;height:0pt;width:42.15pt;z-index:-251633664;mso-width-relative:page;mso-height-relative:page;"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IqXQtEAAAAFAQAADwAAAAAA&#10;AAABACAAAAAiAAAAZHJzL2Rvd25yZXYueG1sUEsBAhQAFAAAAAgAh07iQKrZ6ebhAQAA5wMAAA4A&#10;AAAAAAAAAQAgAAAAIAEAAGRycy9lMm9Eb2MueG1sUEsFBgAAAAAGAAYAWQEAAHMFAAAAAA==&#10;">
            <v:path arrowok="t"/>
            <v:fill focussize="0,0"/>
            <v:stroke weight="1.08pt" joinstyle="miter"/>
            <v:imagedata o:title=""/>
            <o:lock v:ext="edit"/>
          </v:line>
        </w:pict>
      </w:r>
      <w:r>
        <w:rPr>
          <w:rFonts w:hint="eastAsia" w:ascii="宋体" w:hAnsi="宋体" w:eastAsia="宋体" w:cs="宋体"/>
          <w:color w:val="auto"/>
          <w:highlight w:val="none"/>
        </w:rPr>
        <w:pict>
          <v:line id="Shape 321" o:spid="_x0000_s1028" o:spt="20" style="position:absolute;left:0pt;margin-left:209.9pt;margin-top:0.05pt;height:0pt;width:21.05pt;z-index:-251632640;mso-width-relative:page;mso-height-relative:page;"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wvky0QAAAAUBAAAPAAAAAAAA&#10;AAEAIAAAACIAAABkcnMvZG93bnJldi54bWxQSwECFAAUAAAACACHTuJAFaH3yOABAADnAwAADgAA&#10;AAAAAAABACAAAAAgAQAAZHJzL2Uyb0RvYy54bWxQSwUGAAAAAAYABgBZAQAAcgUAAAAA&#10;">
            <v:path arrowok="t"/>
            <v:fill focussize="0,0"/>
            <v:stroke weight="1.08pt" joinstyle="miter"/>
            <v:imagedata o:title=""/>
            <o:lock v:ext="edit"/>
          </v:line>
        </w:pict>
      </w:r>
      <w:r>
        <w:rPr>
          <w:rFonts w:hint="eastAsia" w:ascii="宋体" w:hAnsi="宋体" w:eastAsia="宋体" w:cs="宋体"/>
          <w:color w:val="auto"/>
          <w:highlight w:val="none"/>
        </w:rPr>
        <w:pict>
          <v:line id="Shape 322" o:spid="_x0000_s1027" o:spt="20" style="position:absolute;left:0pt;margin-left:244.95pt;margin-top:0.05pt;height:0pt;width:20.9pt;z-index:-251631616;mso-width-relative:page;mso-height-relative:page;"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krd80gAAAAUBAAAPAAAA&#10;AAAAAAEAIAAAACIAAABkcnMvZG93bnJldi54bWxQSwECFAAUAAAACACHTuJA2cdm6OIBAADnAwAA&#10;DgAAAAAAAAABACAAAAAhAQAAZHJzL2Uyb0RvYy54bWxQSwUGAAAAAAYABgBZAQAAdQUAAAAA&#10;">
            <v:path arrowok="t"/>
            <v:fill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jc w:val="center"/>
        <w:rPr>
          <w:rFonts w:hint="eastAsia" w:ascii="宋体" w:hAnsi="宋体" w:eastAsia="宋体" w:cs="宋体"/>
          <w:b/>
          <w:bCs/>
          <w:color w:val="auto"/>
          <w:sz w:val="28"/>
          <w:szCs w:val="28"/>
          <w:highlight w:val="none"/>
        </w:rPr>
      </w:pPr>
      <w:bookmarkStart w:id="140" w:name="_Toc18958_WPSOffice_Level2"/>
      <w:r>
        <w:rPr>
          <w:rFonts w:hint="eastAsia" w:ascii="宋体" w:hAnsi="宋体" w:eastAsia="宋体" w:cs="宋体"/>
          <w:b/>
          <w:bCs/>
          <w:color w:val="auto"/>
          <w:sz w:val="28"/>
          <w:szCs w:val="28"/>
          <w:highlight w:val="none"/>
        </w:rPr>
        <w:t>索   引</w:t>
      </w:r>
      <w:bookmarkEnd w:id="140"/>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bookmarkStart w:id="141" w:name="_Toc13178_WPSOffice_Level2"/>
      <w:r>
        <w:rPr>
          <w:rFonts w:hint="eastAsia" w:ascii="宋体" w:hAnsi="宋体" w:eastAsia="宋体" w:cs="宋体"/>
          <w:b/>
          <w:bCs/>
          <w:color w:val="auto"/>
          <w:sz w:val="28"/>
          <w:szCs w:val="28"/>
          <w:highlight w:val="none"/>
        </w:rPr>
        <w:t>（请磋商响应供应商自行在评分表基础上自拟）</w:t>
      </w:r>
      <w:bookmarkEnd w:id="141"/>
    </w:p>
    <w:p>
      <w:pPr>
        <w:spacing w:line="251"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pPr>
      <w:bookmarkStart w:id="142" w:name="page76"/>
      <w:bookmarkEnd w:id="142"/>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6" w:lineRule="exact"/>
        <w:rPr>
          <w:rFonts w:hint="eastAsia" w:ascii="宋体" w:hAnsi="宋体" w:eastAsia="宋体" w:cs="宋体"/>
          <w:b/>
          <w:bCs/>
          <w:color w:val="auto"/>
          <w:sz w:val="28"/>
          <w:szCs w:val="28"/>
          <w:highlight w:val="none"/>
        </w:rPr>
      </w:pPr>
    </w:p>
    <w:p>
      <w:pPr>
        <w:spacing w:line="366" w:lineRule="exact"/>
        <w:rPr>
          <w:rFonts w:hint="eastAsia" w:ascii="宋体" w:hAnsi="宋体" w:eastAsia="宋体" w:cs="宋体"/>
          <w:b/>
          <w:bCs/>
          <w:color w:val="auto"/>
          <w:sz w:val="28"/>
          <w:szCs w:val="28"/>
          <w:highlight w:val="none"/>
        </w:rPr>
        <w:sectPr>
          <w:pgSz w:w="11900" w:h="16838"/>
          <w:pgMar w:top="1440" w:right="1080" w:bottom="1440" w:left="1080" w:header="567" w:footer="567" w:gutter="0"/>
          <w:cols w:equalWidth="0" w:num="1">
            <w:col w:w="9026"/>
          </w:cols>
        </w:sect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t>商务文件</w:t>
      </w: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一、法定代表人资格证明书</w:t>
      </w:r>
    </w:p>
    <w:p>
      <w:pPr>
        <w:pStyle w:val="10"/>
        <w:adjustRightInd w:val="0"/>
        <w:spacing w:before="120" w:after="120" w:line="360" w:lineRule="auto"/>
        <w:ind w:firstLine="480" w:firstLineChars="229"/>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 xml:space="preserve">（采购人单位名称）：         </w:t>
      </w:r>
    </w:p>
    <w:p>
      <w:pPr>
        <w:pStyle w:val="10"/>
        <w:adjustRightInd w:val="0"/>
        <w:spacing w:before="120" w:after="120" w:line="360" w:lineRule="auto"/>
        <w:ind w:firstLine="482"/>
        <w:rPr>
          <w:rFonts w:hint="eastAsia" w:ascii="宋体" w:hAnsi="宋体" w:eastAsia="宋体" w:cs="宋体"/>
          <w:color w:val="auto"/>
          <w:sz w:val="21"/>
          <w:highlight w:val="none"/>
        </w:rPr>
      </w:pPr>
      <w:r>
        <w:rPr>
          <w:rFonts w:hint="eastAsia" w:ascii="宋体" w:hAnsi="宋体" w:eastAsia="宋体" w:cs="宋体"/>
          <w:color w:val="auto"/>
          <w:sz w:val="21"/>
          <w:highlight w:val="none"/>
          <w:u w:val="single"/>
        </w:rPr>
        <w:t>浙江五石工程咨询有限公司：</w:t>
      </w:r>
    </w:p>
    <w:p>
      <w:pPr>
        <w:pStyle w:val="9"/>
        <w:adjustRightInd w:val="0"/>
        <w:spacing w:line="360" w:lineRule="auto"/>
        <w:ind w:firstLine="44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u w:val="single"/>
        </w:rPr>
        <w:t xml:space="preserve">     （姓名）    </w:t>
      </w:r>
      <w:r>
        <w:rPr>
          <w:rFonts w:hint="eastAsia" w:ascii="宋体" w:hAnsi="宋体" w:eastAsia="宋体" w:cs="宋体"/>
          <w:snapToGrid w:val="0"/>
          <w:color w:val="auto"/>
          <w:szCs w:val="21"/>
          <w:highlight w:val="none"/>
        </w:rPr>
        <w:t>系</w:t>
      </w:r>
      <w:r>
        <w:rPr>
          <w:rFonts w:hint="eastAsia" w:ascii="宋体" w:hAnsi="宋体" w:eastAsia="宋体" w:cs="宋体"/>
          <w:snapToGrid w:val="0"/>
          <w:color w:val="auto"/>
          <w:szCs w:val="21"/>
          <w:highlight w:val="none"/>
          <w:u w:val="single"/>
        </w:rPr>
        <w:t xml:space="preserve">  （单位名称）  </w:t>
      </w:r>
      <w:r>
        <w:rPr>
          <w:rFonts w:hint="eastAsia" w:ascii="宋体" w:hAnsi="宋体" w:eastAsia="宋体" w:cs="宋体"/>
          <w:snapToGrid w:val="0"/>
          <w:color w:val="auto"/>
          <w:szCs w:val="21"/>
          <w:highlight w:val="none"/>
        </w:rPr>
        <w:t>的法定代表人，</w:t>
      </w:r>
      <w:r>
        <w:rPr>
          <w:rFonts w:hint="eastAsia" w:ascii="宋体" w:hAnsi="宋体" w:eastAsia="宋体" w:cs="宋体"/>
          <w:snapToGrid w:val="0"/>
          <w:color w:val="auto"/>
          <w:szCs w:val="21"/>
          <w:highlight w:val="none"/>
          <w:u w:val="single"/>
        </w:rPr>
        <w:t xml:space="preserve">   （身份证号）     </w:t>
      </w:r>
      <w:r>
        <w:rPr>
          <w:rFonts w:hint="eastAsia" w:ascii="宋体" w:hAnsi="宋体" w:eastAsia="宋体" w:cs="宋体"/>
          <w:snapToGrid w:val="0"/>
          <w:color w:val="auto"/>
          <w:szCs w:val="21"/>
          <w:highlight w:val="none"/>
        </w:rPr>
        <w:t>。</w:t>
      </w:r>
    </w:p>
    <w:p>
      <w:pPr>
        <w:pStyle w:val="9"/>
        <w:adjustRightInd w:val="0"/>
        <w:spacing w:line="360" w:lineRule="auto"/>
        <w:ind w:firstLine="44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特此证明。</w:t>
      </w:r>
    </w:p>
    <w:p>
      <w:pPr>
        <w:pStyle w:val="9"/>
        <w:adjustRightInd w:val="0"/>
        <w:spacing w:line="360" w:lineRule="auto"/>
        <w:ind w:firstLine="44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磋商响应供应商：（盖单位公章）</w:t>
      </w:r>
    </w:p>
    <w:p>
      <w:pPr>
        <w:adjustRightInd w:val="0"/>
        <w:snapToGrid w:val="0"/>
        <w:spacing w:line="360"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日期：</w:t>
      </w:r>
      <w:r>
        <w:rPr>
          <w:rFonts w:hint="eastAsia" w:ascii="宋体" w:hAnsi="宋体" w:eastAsia="宋体" w:cs="宋体"/>
          <w:snapToGrid w:val="0"/>
          <w:color w:val="auto"/>
          <w:szCs w:val="21"/>
          <w:highlight w:val="none"/>
          <w:u w:val="single"/>
        </w:rPr>
        <w:t xml:space="preserve">      </w:t>
      </w:r>
      <w:r>
        <w:rPr>
          <w:rFonts w:hint="eastAsia" w:ascii="宋体" w:hAnsi="宋体" w:eastAsia="宋体" w:cs="宋体"/>
          <w:snapToGrid w:val="0"/>
          <w:color w:val="auto"/>
          <w:szCs w:val="21"/>
          <w:highlight w:val="none"/>
        </w:rPr>
        <w:t>年</w:t>
      </w:r>
      <w:r>
        <w:rPr>
          <w:rFonts w:hint="eastAsia" w:ascii="宋体" w:hAnsi="宋体" w:eastAsia="宋体" w:cs="宋体"/>
          <w:snapToGrid w:val="0"/>
          <w:color w:val="auto"/>
          <w:szCs w:val="21"/>
          <w:highlight w:val="none"/>
          <w:u w:val="single"/>
        </w:rPr>
        <w:t xml:space="preserve">    </w:t>
      </w:r>
      <w:r>
        <w:rPr>
          <w:rFonts w:hint="eastAsia" w:ascii="宋体" w:hAnsi="宋体" w:eastAsia="宋体" w:cs="宋体"/>
          <w:snapToGrid w:val="0"/>
          <w:color w:val="auto"/>
          <w:szCs w:val="21"/>
          <w:highlight w:val="none"/>
        </w:rPr>
        <w:t>月</w:t>
      </w:r>
      <w:r>
        <w:rPr>
          <w:rFonts w:hint="eastAsia" w:ascii="宋体" w:hAnsi="宋体" w:eastAsia="宋体" w:cs="宋体"/>
          <w:snapToGrid w:val="0"/>
          <w:color w:val="auto"/>
          <w:szCs w:val="21"/>
          <w:highlight w:val="none"/>
          <w:u w:val="single"/>
        </w:rPr>
        <w:t xml:space="preserve">     </w:t>
      </w:r>
      <w:r>
        <w:rPr>
          <w:rFonts w:hint="eastAsia" w:ascii="宋体" w:hAnsi="宋体" w:eastAsia="宋体" w:cs="宋体"/>
          <w:snapToGrid w:val="0"/>
          <w:color w:val="auto"/>
          <w:szCs w:val="21"/>
          <w:highlight w:val="none"/>
        </w:rPr>
        <w:t>日</w:t>
      </w:r>
    </w:p>
    <w:p>
      <w:pPr>
        <w:adjustRightInd w:val="0"/>
        <w:snapToGrid w:val="0"/>
        <w:spacing w:line="360"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附：</w:t>
      </w:r>
    </w:p>
    <w:p>
      <w:pPr>
        <w:adjustRightInd w:val="0"/>
        <w:snapToGrid w:val="0"/>
        <w:spacing w:line="360"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法定代表人联系方式及身份证复印件</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snapToGrid w:val="0"/>
          <w:color w:val="auto"/>
          <w:szCs w:val="21"/>
          <w:highlight w:val="none"/>
        </w:rPr>
        <w:t>注：法定代表人直接签署响应文件并参加投标的，在响应文件中出具此资格证明书及身份证复印件。</w:t>
      </w:r>
    </w:p>
    <w:p>
      <w:pPr>
        <w:spacing w:line="366" w:lineRule="exact"/>
        <w:jc w:val="center"/>
        <w:rPr>
          <w:rFonts w:hint="eastAsia" w:ascii="宋体" w:hAnsi="宋体" w:eastAsia="宋体" w:cs="宋体"/>
          <w:b/>
          <w:bCs/>
          <w:color w:val="auto"/>
          <w:sz w:val="28"/>
          <w:szCs w:val="28"/>
          <w:highlight w:val="none"/>
        </w:rPr>
      </w:pPr>
      <w:bookmarkStart w:id="143" w:name="_Toc23739_WPSOffice_Level2"/>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二、法定代表人授权委托书</w:t>
      </w:r>
      <w:bookmarkEnd w:id="143"/>
    </w:p>
    <w:p>
      <w:pPr>
        <w:pStyle w:val="10"/>
        <w:adjustRightInd w:val="0"/>
        <w:spacing w:before="120" w:after="120" w:line="36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（采购人单位名称）：</w:t>
      </w:r>
    </w:p>
    <w:p>
      <w:pPr>
        <w:pStyle w:val="10"/>
        <w:adjustRightInd w:val="0"/>
        <w:spacing w:before="120" w:after="120" w:line="36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浙江五石工程咨询有限公司：</w:t>
      </w:r>
    </w:p>
    <w:p>
      <w:pPr>
        <w:pStyle w:val="10"/>
        <w:spacing w:before="120" w:after="12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我以</w:t>
      </w:r>
      <w:r>
        <w:rPr>
          <w:rFonts w:hint="eastAsia" w:ascii="宋体" w:hAnsi="宋体" w:eastAsia="宋体" w:cs="宋体"/>
          <w:color w:val="auto"/>
          <w:sz w:val="21"/>
          <w:highlight w:val="none"/>
          <w:u w:val="single"/>
        </w:rPr>
        <w:t xml:space="preserve">        （磋商响应供应商全称）    </w:t>
      </w:r>
      <w:r>
        <w:rPr>
          <w:rFonts w:hint="eastAsia" w:ascii="宋体" w:hAnsi="宋体" w:eastAsia="宋体" w:cs="宋体"/>
          <w:color w:val="auto"/>
          <w:sz w:val="21"/>
          <w:highlight w:val="none"/>
        </w:rPr>
        <w:t>法定代表人的身份授权</w:t>
      </w:r>
      <w:r>
        <w:rPr>
          <w:rFonts w:hint="eastAsia" w:ascii="宋体" w:hAnsi="宋体" w:eastAsia="宋体" w:cs="宋体"/>
          <w:color w:val="auto"/>
          <w:sz w:val="21"/>
          <w:highlight w:val="none"/>
          <w:u w:val="single"/>
        </w:rPr>
        <w:t>（全权代表姓名）</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（身份证号</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，为我单位的全权代表，参加贵处组织的</w:t>
      </w:r>
      <w:r>
        <w:rPr>
          <w:rFonts w:hint="eastAsia" w:ascii="宋体" w:hAnsi="宋体" w:eastAsia="宋体" w:cs="宋体"/>
          <w:color w:val="auto"/>
          <w:sz w:val="21"/>
          <w:highlight w:val="none"/>
          <w:u w:val="single"/>
        </w:rPr>
        <w:t xml:space="preserve">  （项目名称） </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招标项目编号</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（标项内容）</w:t>
      </w:r>
      <w:r>
        <w:rPr>
          <w:rFonts w:hint="eastAsia" w:ascii="宋体" w:hAnsi="宋体" w:eastAsia="宋体" w:cs="宋体"/>
          <w:color w:val="auto"/>
          <w:sz w:val="21"/>
          <w:highlight w:val="none"/>
        </w:rPr>
        <w:t>的招标，签署本项目相关响应文件并全权处理投标活动中的一切事宜。我单位承认全权代表做出的与本项目招投标活动有关的全部行为。</w:t>
      </w:r>
    </w:p>
    <w:p>
      <w:pPr>
        <w:pStyle w:val="10"/>
        <w:spacing w:before="120" w:after="12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磋商响应供应商全称（盖单位公章）：</w:t>
      </w:r>
    </w:p>
    <w:p>
      <w:pPr>
        <w:pStyle w:val="10"/>
        <w:spacing w:before="120" w:after="12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法定代表人（签字或盖章）：</w:t>
      </w:r>
    </w:p>
    <w:p>
      <w:pPr>
        <w:pStyle w:val="10"/>
        <w:spacing w:before="120" w:after="12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p>
      <w:pPr>
        <w:pStyle w:val="10"/>
        <w:spacing w:before="120" w:after="12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p>
    <w:p>
      <w:pPr>
        <w:pStyle w:val="10"/>
        <w:spacing w:before="120" w:after="120" w:line="360" w:lineRule="auto"/>
        <w:ind w:firstLine="480"/>
        <w:rPr>
          <w:rFonts w:hint="eastAsia" w:ascii="宋体" w:hAnsi="宋体" w:eastAsia="宋体" w:cs="宋体"/>
          <w:color w:val="auto"/>
          <w:sz w:val="21"/>
          <w:highlight w:val="none"/>
        </w:rPr>
      </w:pPr>
      <w:r>
        <w:rPr>
          <w:rFonts w:hint="eastAsia" w:ascii="宋体" w:hAnsi="宋体" w:eastAsia="宋体" w:cs="宋体"/>
          <w:color w:val="auto"/>
          <w:sz w:val="21"/>
          <w:highlight w:val="none"/>
        </w:rPr>
        <w:t>附：</w:t>
      </w:r>
    </w:p>
    <w:p>
      <w:pPr>
        <w:pStyle w:val="10"/>
        <w:spacing w:before="120" w:after="120" w:line="360" w:lineRule="auto"/>
        <w:ind w:firstLine="480"/>
        <w:rPr>
          <w:rFonts w:hint="eastAsia" w:ascii="宋体" w:hAnsi="宋体" w:eastAsia="宋体" w:cs="宋体"/>
          <w:color w:val="auto"/>
          <w:sz w:val="21"/>
          <w:highlight w:val="none"/>
        </w:rPr>
      </w:pPr>
      <w:r>
        <w:rPr>
          <w:rFonts w:hint="eastAsia" w:ascii="宋体" w:hAnsi="宋体" w:eastAsia="宋体" w:cs="宋体"/>
          <w:color w:val="auto"/>
          <w:sz w:val="21"/>
          <w:highlight w:val="none"/>
        </w:rPr>
        <w:t>全权代表姓名：     身份证号码：      职  务：         电  话：</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全权代表身份证复印件：</w:t>
      </w:r>
    </w:p>
    <w:p>
      <w:pPr>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注：法定代表人授权其公司员工签署及参加投标的，在响应文件中同时出具法定代表人资格证明书及此授权书，并附身份证复印件。</w:t>
      </w:r>
    </w:p>
    <w:p>
      <w:pPr>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响应文件格式中所提到的响应文件签署人是指以上两文件确定的签署人员。</w:t>
      </w:r>
    </w:p>
    <w:p>
      <w:pPr>
        <w:ind w:firstLine="422" w:firstLineChars="200"/>
        <w:rPr>
          <w:rFonts w:hint="eastAsia" w:ascii="宋体" w:hAnsi="宋体" w:eastAsia="宋体" w:cs="宋体"/>
          <w:color w:val="auto"/>
          <w:sz w:val="20"/>
          <w:szCs w:val="20"/>
          <w:highlight w:val="none"/>
        </w:rPr>
      </w:pPr>
      <w:r>
        <w:rPr>
          <w:rFonts w:hint="eastAsia" w:ascii="宋体" w:hAnsi="宋体" w:eastAsia="宋体" w:cs="宋体"/>
          <w:b/>
          <w:color w:val="auto"/>
          <w:szCs w:val="21"/>
          <w:highlight w:val="none"/>
        </w:rPr>
        <w:t>如参加开标并在开评标过程中签署文件的人员与响应文件签署人不一致，须另行提供授权书。</w:t>
      </w:r>
      <w:bookmarkStart w:id="144" w:name="page77"/>
      <w:bookmarkEnd w:id="144"/>
    </w:p>
    <w:p>
      <w:pPr>
        <w:spacing w:line="200" w:lineRule="exact"/>
        <w:rPr>
          <w:rFonts w:hint="eastAsia" w:ascii="宋体" w:hAnsi="宋体" w:eastAsia="宋体" w:cs="宋体"/>
          <w:color w:val="auto"/>
          <w:sz w:val="20"/>
          <w:szCs w:val="20"/>
          <w:highlight w:val="none"/>
        </w:rPr>
      </w:pPr>
    </w:p>
    <w:p>
      <w:pPr>
        <w:tabs>
          <w:tab w:val="left" w:pos="3899"/>
        </w:tabs>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spacing w:line="366" w:lineRule="exact"/>
        <w:jc w:val="center"/>
        <w:rPr>
          <w:rFonts w:hint="eastAsia" w:ascii="宋体" w:hAnsi="宋体" w:eastAsia="宋体" w:cs="宋体"/>
          <w:b/>
          <w:bCs/>
          <w:color w:val="auto"/>
          <w:sz w:val="28"/>
          <w:szCs w:val="28"/>
          <w:highlight w:val="none"/>
        </w:rPr>
      </w:pPr>
      <w:bookmarkStart w:id="145" w:name="page78"/>
      <w:bookmarkEnd w:id="145"/>
      <w:r>
        <w:rPr>
          <w:rFonts w:hint="eastAsia" w:ascii="宋体" w:hAnsi="宋体" w:eastAsia="宋体" w:cs="宋体"/>
          <w:b/>
          <w:bCs/>
          <w:color w:val="auto"/>
          <w:sz w:val="28"/>
          <w:szCs w:val="28"/>
          <w:highlight w:val="none"/>
        </w:rPr>
        <w:t>三、声明函</w:t>
      </w:r>
    </w:p>
    <w:p>
      <w:pPr>
        <w:spacing w:line="360" w:lineRule="auto"/>
        <w:rPr>
          <w:rFonts w:hint="eastAsia" w:ascii="宋体" w:hAnsi="宋体" w:eastAsia="宋体" w:cs="宋体"/>
          <w:color w:val="auto"/>
          <w:spacing w:val="-6"/>
          <w:szCs w:val="21"/>
          <w:highlight w:val="none"/>
        </w:rPr>
      </w:pPr>
    </w:p>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致：</w:t>
      </w:r>
      <w:r>
        <w:rPr>
          <w:rFonts w:hint="eastAsia" w:ascii="宋体" w:hAnsi="宋体" w:eastAsia="宋体" w:cs="宋体"/>
          <w:color w:val="auto"/>
          <w:spacing w:val="-6"/>
          <w:szCs w:val="21"/>
          <w:highlight w:val="none"/>
          <w:u w:val="single"/>
        </w:rPr>
        <w:t>浙江五石工程咨询有限公司</w:t>
      </w:r>
      <w:r>
        <w:rPr>
          <w:rFonts w:hint="eastAsia" w:ascii="宋体" w:hAnsi="宋体" w:eastAsia="宋体" w:cs="宋体"/>
          <w:color w:val="auto"/>
          <w:spacing w:val="-6"/>
          <w:szCs w:val="21"/>
          <w:highlight w:val="none"/>
        </w:rPr>
        <w:t>：</w:t>
      </w:r>
    </w:p>
    <w:p>
      <w:pPr>
        <w:spacing w:line="360" w:lineRule="auto"/>
        <w:ind w:firstLine="594" w:firstLineChars="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（磋商响应供应商名称）系中华人民共和国合法企业，经营地址</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w:t>
      </w:r>
    </w:p>
    <w:p>
      <w:pPr>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我方愿意参加贵方组织的</w:t>
      </w:r>
      <w:del w:id="33" w:author="繁华终易逝" w:date="2021-08-24T19:50:30Z">
        <w:r>
          <w:rPr>
            <w:rFonts w:hint="eastAsia" w:ascii="宋体" w:hAnsi="宋体" w:eastAsia="宋体" w:cs="宋体"/>
            <w:bCs/>
            <w:color w:val="auto"/>
            <w:spacing w:val="-6"/>
            <w:szCs w:val="21"/>
            <w:highlight w:val="none"/>
            <w:u w:val="single"/>
            <w:lang w:eastAsia="zh-CN"/>
          </w:rPr>
          <w:delText>杭州科技职业技术学院汽车综合平台项目</w:delText>
        </w:r>
      </w:del>
      <w:ins w:id="34" w:author="繁华终易逝" w:date="2021-08-24T19:50:30Z">
        <w:r>
          <w:rPr>
            <w:rFonts w:hint="eastAsia" w:ascii="宋体" w:hAnsi="宋体" w:cs="宋体"/>
            <w:bCs/>
            <w:color w:val="auto"/>
            <w:spacing w:val="-6"/>
            <w:szCs w:val="21"/>
            <w:highlight w:val="none"/>
            <w:u w:val="single"/>
            <w:lang w:eastAsia="zh-CN"/>
          </w:rPr>
          <w:t>汽车工程学院实训基地项目</w:t>
        </w:r>
      </w:ins>
      <w:r>
        <w:rPr>
          <w:rFonts w:hint="eastAsia" w:ascii="宋体" w:hAnsi="宋体" w:eastAsia="宋体" w:cs="宋体"/>
          <w:color w:val="auto"/>
          <w:spacing w:val="-6"/>
          <w:szCs w:val="21"/>
          <w:highlight w:val="none"/>
        </w:rPr>
        <w:t>的磋商响应，为便于贵方公正、择优地确定成交供应商及其磋商响应产品和服务，我方就本次磋商有关事项郑重声明如下：</w:t>
      </w:r>
    </w:p>
    <w:p>
      <w:pPr>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1、我方向贵方提交的所有响应文件、资料都是准确的和真实的；</w:t>
      </w:r>
    </w:p>
    <w:p>
      <w:pPr>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2、我方不是采购人的附属机构；在获知本项目采购信息后，与采购人聘请的为此项目提供咨询服务的公司及其附属机构没有任何联系。</w:t>
      </w:r>
    </w:p>
    <w:p>
      <w:pPr>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3、我方最近三年内的被公开披露或查处的违法违规行为有：</w:t>
      </w:r>
    </w:p>
    <w:p>
      <w:pPr>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w:t>
      </w:r>
    </w:p>
    <w:p>
      <w:pPr>
        <w:pStyle w:val="28"/>
        <w:rPr>
          <w:rFonts w:hint="eastAsia" w:ascii="宋体" w:hAnsi="宋体" w:eastAsia="宋体" w:cs="宋体"/>
          <w:color w:val="auto"/>
          <w:highlight w:val="none"/>
        </w:rPr>
      </w:pPr>
    </w:p>
    <w:p>
      <w:pPr>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4、以上事项如有虚假或隐瞒，我方愿意承担一切后果和责任。</w:t>
      </w:r>
    </w:p>
    <w:p>
      <w:pPr>
        <w:pStyle w:val="44"/>
        <w:spacing w:line="360" w:lineRule="auto"/>
        <w:rPr>
          <w:rFonts w:hint="eastAsia" w:ascii="宋体" w:hAnsi="宋体" w:eastAsia="宋体" w:cs="宋体"/>
          <w:color w:val="auto"/>
          <w:spacing w:val="-6"/>
          <w:sz w:val="21"/>
          <w:szCs w:val="21"/>
          <w:highlight w:val="none"/>
        </w:rPr>
      </w:pPr>
    </w:p>
    <w:p>
      <w:pPr>
        <w:pStyle w:val="44"/>
        <w:spacing w:line="360" w:lineRule="auto"/>
        <w:rPr>
          <w:rFonts w:hint="eastAsia" w:ascii="宋体" w:hAnsi="宋体" w:eastAsia="宋体" w:cs="宋体"/>
          <w:color w:val="auto"/>
          <w:spacing w:val="-6"/>
          <w:sz w:val="21"/>
          <w:szCs w:val="21"/>
          <w:highlight w:val="none"/>
        </w:rPr>
      </w:pPr>
    </w:p>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磋商响应供应商名称（盖章）： </w:t>
      </w:r>
    </w:p>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授权代表签字：</w:t>
      </w:r>
    </w:p>
    <w:p>
      <w:pPr>
        <w:spacing w:line="360" w:lineRule="auto"/>
        <w:rPr>
          <w:rFonts w:hint="eastAsia"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日期：  年  月  日</w:t>
      </w:r>
    </w:p>
    <w:p>
      <w:pPr>
        <w:spacing w:line="200" w:lineRule="exact"/>
        <w:rPr>
          <w:rFonts w:hint="eastAsia" w:ascii="宋体" w:hAnsi="宋体" w:eastAsia="宋体" w:cs="宋体"/>
          <w:color w:val="auto"/>
          <w:sz w:val="20"/>
          <w:szCs w:val="20"/>
          <w:highlight w:val="none"/>
        </w:rPr>
      </w:pPr>
    </w:p>
    <w:p>
      <w:pPr>
        <w:spacing w:line="366" w:lineRule="exact"/>
        <w:jc w:val="center"/>
        <w:rPr>
          <w:rFonts w:hint="eastAsia" w:ascii="宋体" w:hAnsi="宋体" w:eastAsia="宋体" w:cs="宋体"/>
          <w:b/>
          <w:bCs/>
          <w:color w:val="auto"/>
          <w:sz w:val="28"/>
          <w:szCs w:val="28"/>
          <w:highlight w:val="none"/>
        </w:rPr>
        <w:sectPr>
          <w:pgSz w:w="11900" w:h="16838"/>
          <w:pgMar w:top="1440" w:right="1080" w:bottom="1440" w:left="1080" w:header="567" w:footer="567" w:gutter="0"/>
          <w:cols w:equalWidth="0" w:num="1">
            <w:col w:w="9026"/>
          </w:cols>
        </w:sectPr>
      </w:pP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四、公司基本情况介绍</w:t>
      </w:r>
    </w:p>
    <w:p>
      <w:pPr>
        <w:spacing w:line="360" w:lineRule="auto"/>
        <w:rPr>
          <w:rFonts w:hint="eastAsia" w:ascii="宋体" w:hAnsi="宋体" w:eastAsia="宋体" w:cs="宋体"/>
          <w:color w:val="auto"/>
          <w:spacing w:val="-6"/>
          <w:highlight w:val="none"/>
        </w:rPr>
      </w:pPr>
    </w:p>
    <w:tbl>
      <w:tblPr>
        <w:tblStyle w:val="2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28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1</w:t>
            </w:r>
          </w:p>
        </w:tc>
        <w:tc>
          <w:tcPr>
            <w:tcW w:w="7629" w:type="dxa"/>
            <w:gridSpan w:val="3"/>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2</w:t>
            </w:r>
          </w:p>
        </w:tc>
        <w:tc>
          <w:tcPr>
            <w:tcW w:w="7629" w:type="dxa"/>
            <w:gridSpan w:val="3"/>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3</w:t>
            </w:r>
          </w:p>
        </w:tc>
        <w:tc>
          <w:tcPr>
            <w:tcW w:w="7629" w:type="dxa"/>
            <w:gridSpan w:val="3"/>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4</w:t>
            </w:r>
          </w:p>
        </w:tc>
        <w:tc>
          <w:tcPr>
            <w:tcW w:w="3801" w:type="dxa"/>
            <w:gridSpan w:val="2"/>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电话：</w:t>
            </w:r>
          </w:p>
        </w:tc>
        <w:tc>
          <w:tcPr>
            <w:tcW w:w="3828" w:type="dxa"/>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5</w:t>
            </w:r>
          </w:p>
        </w:tc>
        <w:tc>
          <w:tcPr>
            <w:tcW w:w="3801" w:type="dxa"/>
            <w:gridSpan w:val="2"/>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传真：</w:t>
            </w:r>
          </w:p>
        </w:tc>
        <w:tc>
          <w:tcPr>
            <w:tcW w:w="3828" w:type="dxa"/>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6</w:t>
            </w:r>
          </w:p>
        </w:tc>
        <w:tc>
          <w:tcPr>
            <w:tcW w:w="3801" w:type="dxa"/>
            <w:gridSpan w:val="2"/>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注册地：</w:t>
            </w:r>
          </w:p>
        </w:tc>
        <w:tc>
          <w:tcPr>
            <w:tcW w:w="3828" w:type="dxa"/>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7</w:t>
            </w:r>
          </w:p>
        </w:tc>
        <w:tc>
          <w:tcPr>
            <w:tcW w:w="7629" w:type="dxa"/>
            <w:gridSpan w:val="3"/>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8</w:t>
            </w:r>
          </w:p>
        </w:tc>
        <w:tc>
          <w:tcPr>
            <w:tcW w:w="7629" w:type="dxa"/>
            <w:gridSpan w:val="3"/>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9</w:t>
            </w:r>
          </w:p>
        </w:tc>
        <w:tc>
          <w:tcPr>
            <w:tcW w:w="2520" w:type="dxa"/>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作为承包人经历年数：</w:t>
            </w:r>
          </w:p>
        </w:tc>
        <w:tc>
          <w:tcPr>
            <w:tcW w:w="5109" w:type="dxa"/>
            <w:gridSpan w:val="2"/>
            <w:vAlign w:val="center"/>
          </w:tcPr>
          <w:p>
            <w:pPr>
              <w:spacing w:line="360" w:lineRule="auto"/>
              <w:rPr>
                <w:rFonts w:hint="eastAsia" w:ascii="宋体" w:hAnsi="宋体" w:eastAsia="宋体" w:cs="宋体"/>
                <w:color w:val="auto"/>
                <w:spacing w:val="-6"/>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10</w:t>
            </w:r>
          </w:p>
        </w:tc>
        <w:tc>
          <w:tcPr>
            <w:tcW w:w="2520" w:type="dxa"/>
            <w:vAlign w:val="center"/>
          </w:tcPr>
          <w:p>
            <w:pPr>
              <w:spacing w:line="360" w:lineRule="auto"/>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其他需要说明的情况</w:t>
            </w:r>
          </w:p>
        </w:tc>
        <w:tc>
          <w:tcPr>
            <w:tcW w:w="5109" w:type="dxa"/>
            <w:gridSpan w:val="2"/>
            <w:vAlign w:val="center"/>
          </w:tcPr>
          <w:p>
            <w:pPr>
              <w:spacing w:line="360" w:lineRule="auto"/>
              <w:rPr>
                <w:rFonts w:hint="eastAsia" w:ascii="宋体" w:hAnsi="宋体" w:eastAsia="宋体" w:cs="宋体"/>
                <w:color w:val="auto"/>
                <w:spacing w:val="-6"/>
                <w:kern w:val="2"/>
                <w:sz w:val="24"/>
                <w:highlight w:val="none"/>
              </w:rPr>
            </w:pPr>
          </w:p>
          <w:p>
            <w:pPr>
              <w:spacing w:line="360" w:lineRule="auto"/>
              <w:rPr>
                <w:rFonts w:hint="eastAsia" w:ascii="宋体" w:hAnsi="宋体" w:eastAsia="宋体" w:cs="宋体"/>
                <w:color w:val="auto"/>
                <w:spacing w:val="-6"/>
                <w:kern w:val="2"/>
                <w:sz w:val="24"/>
                <w:highlight w:val="none"/>
              </w:rPr>
            </w:pPr>
          </w:p>
          <w:p>
            <w:pPr>
              <w:spacing w:line="360" w:lineRule="auto"/>
              <w:rPr>
                <w:rFonts w:hint="eastAsia" w:ascii="宋体" w:hAnsi="宋体" w:eastAsia="宋体" w:cs="宋体"/>
                <w:color w:val="auto"/>
                <w:spacing w:val="-6"/>
                <w:kern w:val="2"/>
                <w:sz w:val="24"/>
                <w:highlight w:val="none"/>
              </w:rPr>
            </w:pPr>
          </w:p>
        </w:tc>
      </w:tr>
    </w:tbl>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说明：所有响应方都须填写此表，后附企业信用、资质证书；</w:t>
      </w:r>
    </w:p>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响应方全称（加盖公章）：</w:t>
      </w: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全权代表签字：</w:t>
      </w: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w:t>
      </w:r>
    </w:p>
    <w:p>
      <w:pPr>
        <w:spacing w:line="366" w:lineRule="exact"/>
        <w:jc w:val="center"/>
        <w:rPr>
          <w:rFonts w:hint="eastAsia" w:ascii="宋体" w:hAnsi="宋体" w:eastAsia="宋体" w:cs="宋体"/>
          <w:b/>
          <w:bCs/>
          <w:color w:val="auto"/>
          <w:sz w:val="28"/>
          <w:szCs w:val="28"/>
          <w:highlight w:val="none"/>
        </w:rPr>
        <w:sectPr>
          <w:pgSz w:w="11900" w:h="16838"/>
          <w:pgMar w:top="1440" w:right="1080" w:bottom="1440" w:left="1080" w:header="567" w:footer="567" w:gutter="0"/>
          <w:cols w:equalWidth="0" w:num="1">
            <w:col w:w="9026"/>
          </w:cols>
        </w:sectPr>
      </w:pP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五、类似业绩证明</w:t>
      </w:r>
    </w:p>
    <w:p>
      <w:pPr>
        <w:pStyle w:val="9"/>
        <w:spacing w:line="360" w:lineRule="auto"/>
        <w:ind w:firstLine="0"/>
        <w:rPr>
          <w:rFonts w:hint="eastAsia" w:ascii="宋体" w:hAnsi="宋体" w:eastAsia="宋体" w:cs="宋体"/>
          <w:color w:val="auto"/>
          <w:spacing w:val="-6"/>
          <w:szCs w:val="21"/>
          <w:highlight w:val="none"/>
        </w:rPr>
      </w:pPr>
    </w:p>
    <w:p>
      <w:pPr>
        <w:pStyle w:val="16"/>
        <w:spacing w:line="360" w:lineRule="auto"/>
        <w:ind w:left="0" w:firstLine="0" w:firstLineChars="0"/>
        <w:jc w:val="center"/>
        <w:rPr>
          <w:rFonts w:hint="eastAsia" w:ascii="宋体" w:hAnsi="宋体" w:eastAsia="宋体" w:cs="宋体"/>
          <w:color w:val="auto"/>
          <w:sz w:val="24"/>
          <w:highlight w:val="none"/>
        </w:rPr>
      </w:pPr>
      <w:bookmarkStart w:id="146" w:name="_Toc20880_WPSOffice_Level2"/>
      <w:bookmarkStart w:id="147" w:name="_Toc32559_WPSOffice_Level2"/>
      <w:bookmarkStart w:id="148" w:name="_Toc26073_WPSOffice_Level2"/>
      <w:r>
        <w:rPr>
          <w:rFonts w:hint="eastAsia" w:ascii="宋体" w:hAnsi="宋体" w:eastAsia="宋体" w:cs="宋体"/>
          <w:color w:val="auto"/>
          <w:sz w:val="24"/>
          <w:highlight w:val="none"/>
        </w:rPr>
        <w:t>（提供同类项目合同复印件）</w:t>
      </w:r>
      <w:bookmarkEnd w:id="146"/>
      <w:bookmarkEnd w:id="147"/>
      <w:bookmarkEnd w:id="148"/>
    </w:p>
    <w:tbl>
      <w:tblPr>
        <w:tblStyle w:val="20"/>
        <w:tblW w:w="84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111"/>
        <w:gridCol w:w="2032"/>
        <w:gridCol w:w="1155"/>
        <w:gridCol w:w="1234"/>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采购单位名称</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合同金额</w:t>
            </w:r>
          </w:p>
          <w:p>
            <w:pPr>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（万元）</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附件页码</w:t>
            </w: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kern w:val="2"/>
                <w:sz w:val="24"/>
                <w:szCs w:val="20"/>
                <w:highlight w:val="none"/>
              </w:rPr>
            </w:pPr>
          </w:p>
        </w:tc>
      </w:tr>
    </w:tbl>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响应方全称（加盖公章）：</w:t>
      </w: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全权代表签字：</w:t>
      </w: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w:t>
      </w:r>
    </w:p>
    <w:p>
      <w:pPr>
        <w:rPr>
          <w:rFonts w:hint="eastAsia" w:ascii="宋体" w:hAnsi="宋体" w:eastAsia="宋体" w:cs="宋体"/>
          <w:color w:val="auto"/>
          <w:highlight w:val="none"/>
        </w:rPr>
      </w:pPr>
    </w:p>
    <w:p>
      <w:pPr>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pStyle w:val="4"/>
        <w:rPr>
          <w:rFonts w:hint="eastAsia" w:ascii="宋体" w:hAnsi="宋体" w:eastAsia="宋体" w:cs="宋体"/>
          <w:bCs w:val="0"/>
          <w:color w:val="auto"/>
          <w:sz w:val="28"/>
          <w:szCs w:val="28"/>
          <w:highlight w:val="none"/>
        </w:rPr>
      </w:pPr>
      <w:bookmarkStart w:id="149" w:name="page83"/>
      <w:bookmarkEnd w:id="149"/>
      <w:r>
        <w:rPr>
          <w:rFonts w:hint="eastAsia" w:ascii="宋体" w:hAnsi="宋体" w:eastAsia="宋体" w:cs="宋体"/>
          <w:color w:val="auto"/>
          <w:highlight w:val="none"/>
        </w:rPr>
        <w:t>技术文件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（2）质量保证措施；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（3）拟投入的主要施工机械设备情况、主要施工机械计划；</w:t>
      </w:r>
    </w:p>
    <w:p>
      <w:pPr>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（4）工期承诺、进度控制措施及施工质量控制措施；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（5）投入本项目的工程技术管理人员的专业配置情况；附表三、附表四、附表五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（6）关键工序、复杂环节的相应技术措施；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（7）安全文明施工保证措施；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（8）材料设备进场计划及施工计划情况；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（9）应急处置方案及售后服务；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（10）主要材料（设备）品牌表；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（11）供应商认为需要提供的资料。</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采用文字表述外可附下列图表，图表及格式要求附后，没有图表的可格式自拟。</w:t>
      </w:r>
    </w:p>
    <w:p>
      <w:pPr>
        <w:spacing w:line="360" w:lineRule="auto"/>
        <w:ind w:firstLine="420" w:firstLineChars="200"/>
        <w:rPr>
          <w:rFonts w:hint="eastAsia" w:ascii="宋体" w:hAnsi="宋体" w:eastAsia="宋体" w:cs="宋体"/>
          <w:color w:val="auto"/>
          <w:szCs w:val="21"/>
          <w:highlight w:val="none"/>
        </w:rPr>
      </w:pPr>
      <w:bookmarkStart w:id="150" w:name="_Toc12163"/>
      <w:r>
        <w:rPr>
          <w:rFonts w:hint="eastAsia" w:ascii="宋体" w:hAnsi="宋体" w:eastAsia="宋体" w:cs="宋体"/>
          <w:color w:val="auto"/>
          <w:szCs w:val="21"/>
          <w:highlight w:val="none"/>
        </w:rPr>
        <w:t>附表一  拟投入的主要施工设备表</w:t>
      </w:r>
      <w:bookmarkEnd w:id="150"/>
    </w:p>
    <w:p>
      <w:pPr>
        <w:spacing w:line="360" w:lineRule="auto"/>
        <w:ind w:firstLine="420" w:firstLineChars="200"/>
        <w:rPr>
          <w:rFonts w:hint="eastAsia" w:ascii="宋体" w:hAnsi="宋体" w:eastAsia="宋体" w:cs="宋体"/>
          <w:color w:val="auto"/>
          <w:szCs w:val="21"/>
          <w:highlight w:val="none"/>
        </w:rPr>
      </w:pPr>
      <w:bookmarkStart w:id="151" w:name="_Toc16569"/>
      <w:r>
        <w:rPr>
          <w:rFonts w:hint="eastAsia" w:ascii="宋体" w:hAnsi="宋体" w:eastAsia="宋体" w:cs="宋体"/>
          <w:color w:val="auto"/>
          <w:szCs w:val="21"/>
          <w:highlight w:val="none"/>
        </w:rPr>
        <w:t>附表二  拟配备的试验和检测仪器设备表</w:t>
      </w:r>
      <w:bookmarkEnd w:id="151"/>
    </w:p>
    <w:p>
      <w:pPr>
        <w:spacing w:line="360" w:lineRule="auto"/>
        <w:ind w:firstLine="420" w:firstLineChars="200"/>
        <w:rPr>
          <w:rFonts w:hint="eastAsia" w:ascii="宋体" w:hAnsi="宋体" w:eastAsia="宋体" w:cs="宋体"/>
          <w:color w:val="auto"/>
          <w:szCs w:val="21"/>
          <w:highlight w:val="none"/>
        </w:rPr>
      </w:pPr>
      <w:bookmarkStart w:id="152" w:name="_Toc17712"/>
      <w:r>
        <w:rPr>
          <w:rFonts w:hint="eastAsia" w:ascii="宋体" w:hAnsi="宋体" w:eastAsia="宋体" w:cs="宋体"/>
          <w:color w:val="auto"/>
          <w:szCs w:val="21"/>
          <w:highlight w:val="none"/>
        </w:rPr>
        <w:t>附表三  项目管理班子配备情况表</w:t>
      </w:r>
      <w:bookmarkEnd w:id="152"/>
    </w:p>
    <w:p>
      <w:pPr>
        <w:spacing w:line="360" w:lineRule="auto"/>
        <w:ind w:firstLine="420" w:firstLineChars="200"/>
        <w:rPr>
          <w:rFonts w:hint="eastAsia" w:ascii="宋体" w:hAnsi="宋体" w:eastAsia="宋体" w:cs="宋体"/>
          <w:color w:val="auto"/>
          <w:szCs w:val="21"/>
          <w:highlight w:val="none"/>
        </w:rPr>
      </w:pPr>
      <w:bookmarkStart w:id="153" w:name="_Toc8498"/>
      <w:r>
        <w:rPr>
          <w:rFonts w:hint="eastAsia" w:ascii="宋体" w:hAnsi="宋体" w:eastAsia="宋体" w:cs="宋体"/>
          <w:color w:val="auto"/>
          <w:szCs w:val="21"/>
          <w:highlight w:val="none"/>
        </w:rPr>
        <w:t>附表四、项目经理简历表</w:t>
      </w:r>
      <w:bookmarkEnd w:id="153"/>
    </w:p>
    <w:p>
      <w:pPr>
        <w:spacing w:line="360" w:lineRule="auto"/>
        <w:ind w:firstLine="420" w:firstLineChars="200"/>
        <w:rPr>
          <w:rFonts w:hint="eastAsia" w:ascii="宋体" w:hAnsi="宋体" w:eastAsia="宋体" w:cs="宋体"/>
          <w:color w:val="auto"/>
          <w:szCs w:val="21"/>
          <w:highlight w:val="none"/>
        </w:rPr>
      </w:pPr>
      <w:bookmarkStart w:id="154" w:name="_Toc23531"/>
      <w:r>
        <w:rPr>
          <w:rFonts w:hint="eastAsia" w:ascii="宋体" w:hAnsi="宋体" w:eastAsia="宋体" w:cs="宋体"/>
          <w:color w:val="auto"/>
          <w:szCs w:val="21"/>
          <w:highlight w:val="none"/>
        </w:rPr>
        <w:t>附表五、技术负责人简历表</w:t>
      </w:r>
      <w:bookmarkEnd w:id="154"/>
    </w:p>
    <w:p>
      <w:pPr>
        <w:spacing w:line="360" w:lineRule="auto"/>
        <w:ind w:firstLine="420" w:firstLineChars="200"/>
        <w:rPr>
          <w:rFonts w:hint="eastAsia" w:ascii="宋体" w:hAnsi="宋体" w:eastAsia="宋体" w:cs="宋体"/>
          <w:color w:val="auto"/>
          <w:szCs w:val="21"/>
          <w:highlight w:val="none"/>
        </w:rPr>
      </w:pPr>
      <w:bookmarkStart w:id="155" w:name="_Toc24245"/>
      <w:r>
        <w:rPr>
          <w:rFonts w:hint="eastAsia" w:ascii="宋体" w:hAnsi="宋体" w:eastAsia="宋体" w:cs="宋体"/>
          <w:color w:val="auto"/>
          <w:szCs w:val="21"/>
          <w:highlight w:val="none"/>
        </w:rPr>
        <w:t>附表六、劳动力计划表</w:t>
      </w:r>
      <w:bookmarkEnd w:id="155"/>
    </w:p>
    <w:p>
      <w:pPr>
        <w:spacing w:line="200"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tabs>
          <w:tab w:val="left" w:pos="720"/>
        </w:tabs>
        <w:spacing w:line="360" w:lineRule="auto"/>
        <w:rPr>
          <w:rFonts w:hint="eastAsia" w:ascii="宋体" w:hAnsi="宋体" w:eastAsia="宋体" w:cs="宋体"/>
          <w:b/>
          <w:color w:val="auto"/>
          <w:sz w:val="24"/>
          <w:szCs w:val="24"/>
          <w:highlight w:val="none"/>
        </w:rPr>
      </w:pPr>
      <w:bookmarkStart w:id="156" w:name="page84"/>
      <w:bookmarkEnd w:id="156"/>
      <w:bookmarkStart w:id="157" w:name="_Toc10701_WPSOffice_Level2"/>
      <w:bookmarkStart w:id="158" w:name="_Toc28261_WPSOffice_Level2"/>
      <w:bookmarkStart w:id="159" w:name="_Toc10163_WPSOffice_Level2"/>
      <w:bookmarkStart w:id="160" w:name="_Toc8165"/>
      <w:r>
        <w:rPr>
          <w:rFonts w:hint="eastAsia" w:ascii="宋体" w:hAnsi="宋体" w:eastAsia="宋体" w:cs="宋体"/>
          <w:b/>
          <w:color w:val="auto"/>
          <w:sz w:val="24"/>
          <w:szCs w:val="24"/>
          <w:highlight w:val="none"/>
        </w:rPr>
        <w:t>附表一：拟投入的主要施工设备表</w:t>
      </w:r>
      <w:bookmarkEnd w:id="157"/>
      <w:bookmarkEnd w:id="158"/>
      <w:bookmarkEnd w:id="159"/>
      <w:bookmarkEnd w:id="160"/>
    </w:p>
    <w:tbl>
      <w:tblPr>
        <w:tblStyle w:val="20"/>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trPr>
        <w:tc>
          <w:tcPr>
            <w:tcW w:w="925" w:type="dxa"/>
            <w:vAlign w:val="center"/>
          </w:tcPr>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序号</w:t>
            </w:r>
          </w:p>
        </w:tc>
        <w:tc>
          <w:tcPr>
            <w:tcW w:w="925" w:type="dxa"/>
            <w:vAlign w:val="center"/>
          </w:tcPr>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设备</w:t>
            </w:r>
          </w:p>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名称</w:t>
            </w:r>
          </w:p>
        </w:tc>
        <w:tc>
          <w:tcPr>
            <w:tcW w:w="926" w:type="dxa"/>
            <w:vAlign w:val="center"/>
          </w:tcPr>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w:t>
            </w:r>
          </w:p>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规格</w:t>
            </w:r>
          </w:p>
        </w:tc>
        <w:tc>
          <w:tcPr>
            <w:tcW w:w="926" w:type="dxa"/>
            <w:vAlign w:val="center"/>
          </w:tcPr>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数量</w:t>
            </w:r>
          </w:p>
        </w:tc>
        <w:tc>
          <w:tcPr>
            <w:tcW w:w="926" w:type="dxa"/>
            <w:vAlign w:val="center"/>
          </w:tcPr>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国别</w:t>
            </w:r>
          </w:p>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产地</w:t>
            </w:r>
          </w:p>
        </w:tc>
        <w:tc>
          <w:tcPr>
            <w:tcW w:w="928" w:type="dxa"/>
            <w:vAlign w:val="center"/>
          </w:tcPr>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制造</w:t>
            </w:r>
          </w:p>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年份</w:t>
            </w:r>
          </w:p>
        </w:tc>
        <w:tc>
          <w:tcPr>
            <w:tcW w:w="947" w:type="dxa"/>
            <w:vAlign w:val="center"/>
          </w:tcPr>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额定功率（KW）</w:t>
            </w:r>
          </w:p>
        </w:tc>
        <w:tc>
          <w:tcPr>
            <w:tcW w:w="928" w:type="dxa"/>
            <w:vAlign w:val="center"/>
          </w:tcPr>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生产</w:t>
            </w:r>
          </w:p>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能力</w:t>
            </w:r>
          </w:p>
        </w:tc>
        <w:tc>
          <w:tcPr>
            <w:tcW w:w="1285" w:type="dxa"/>
            <w:vAlign w:val="center"/>
          </w:tcPr>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用于施工部位</w:t>
            </w:r>
          </w:p>
        </w:tc>
        <w:tc>
          <w:tcPr>
            <w:tcW w:w="928" w:type="dxa"/>
            <w:vAlign w:val="center"/>
          </w:tcPr>
          <w:p>
            <w:pPr>
              <w:tabs>
                <w:tab w:val="left" w:pos="720"/>
              </w:tabs>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hint="eastAsia" w:ascii="宋体" w:hAnsi="宋体" w:eastAsia="宋体" w:cs="宋体"/>
                <w:color w:val="auto"/>
                <w:kern w:val="2"/>
                <w:szCs w:val="21"/>
                <w:highlight w:val="none"/>
              </w:rPr>
            </w:pPr>
          </w:p>
        </w:tc>
        <w:tc>
          <w:tcPr>
            <w:tcW w:w="925" w:type="dxa"/>
            <w:vAlign w:val="center"/>
          </w:tcPr>
          <w:p>
            <w:pPr>
              <w:spacing w:line="440" w:lineRule="exact"/>
              <w:jc w:val="center"/>
              <w:rPr>
                <w:rFonts w:hint="eastAsia" w:ascii="宋体" w:hAnsi="宋体" w:eastAsia="宋体" w:cs="宋体"/>
                <w:color w:val="auto"/>
                <w:kern w:val="2"/>
                <w:szCs w:val="21"/>
                <w:highlight w:val="none"/>
              </w:rPr>
            </w:pPr>
          </w:p>
        </w:tc>
        <w:tc>
          <w:tcPr>
            <w:tcW w:w="926" w:type="dxa"/>
            <w:vAlign w:val="center"/>
          </w:tcPr>
          <w:p>
            <w:pPr>
              <w:spacing w:line="440" w:lineRule="exact"/>
              <w:jc w:val="center"/>
              <w:rPr>
                <w:rFonts w:hint="eastAsia" w:ascii="宋体" w:hAnsi="宋体" w:eastAsia="宋体" w:cs="宋体"/>
                <w:color w:val="auto"/>
                <w:kern w:val="2"/>
                <w:szCs w:val="21"/>
                <w:highlight w:val="none"/>
              </w:rPr>
            </w:pPr>
          </w:p>
        </w:tc>
        <w:tc>
          <w:tcPr>
            <w:tcW w:w="926" w:type="dxa"/>
            <w:vAlign w:val="center"/>
          </w:tcPr>
          <w:p>
            <w:pPr>
              <w:spacing w:line="440" w:lineRule="exact"/>
              <w:jc w:val="center"/>
              <w:rPr>
                <w:rFonts w:hint="eastAsia" w:ascii="宋体" w:hAnsi="宋体" w:eastAsia="宋体" w:cs="宋体"/>
                <w:color w:val="auto"/>
                <w:kern w:val="2"/>
                <w:szCs w:val="21"/>
                <w:highlight w:val="none"/>
              </w:rPr>
            </w:pPr>
          </w:p>
        </w:tc>
        <w:tc>
          <w:tcPr>
            <w:tcW w:w="926" w:type="dxa"/>
            <w:vAlign w:val="center"/>
          </w:tcPr>
          <w:p>
            <w:pPr>
              <w:spacing w:line="440" w:lineRule="exact"/>
              <w:jc w:val="center"/>
              <w:rPr>
                <w:rFonts w:hint="eastAsia" w:ascii="宋体" w:hAnsi="宋体" w:eastAsia="宋体" w:cs="宋体"/>
                <w:color w:val="auto"/>
                <w:kern w:val="2"/>
                <w:szCs w:val="21"/>
                <w:highlight w:val="none"/>
              </w:rPr>
            </w:pPr>
          </w:p>
        </w:tc>
        <w:tc>
          <w:tcPr>
            <w:tcW w:w="928" w:type="dxa"/>
            <w:vAlign w:val="center"/>
          </w:tcPr>
          <w:p>
            <w:pPr>
              <w:spacing w:line="440" w:lineRule="exact"/>
              <w:jc w:val="center"/>
              <w:rPr>
                <w:rFonts w:hint="eastAsia" w:ascii="宋体" w:hAnsi="宋体" w:eastAsia="宋体" w:cs="宋体"/>
                <w:color w:val="auto"/>
                <w:kern w:val="2"/>
                <w:szCs w:val="21"/>
                <w:highlight w:val="none"/>
              </w:rPr>
            </w:pPr>
          </w:p>
        </w:tc>
        <w:tc>
          <w:tcPr>
            <w:tcW w:w="947" w:type="dxa"/>
            <w:vAlign w:val="center"/>
          </w:tcPr>
          <w:p>
            <w:pPr>
              <w:spacing w:line="440" w:lineRule="exact"/>
              <w:jc w:val="center"/>
              <w:rPr>
                <w:rFonts w:hint="eastAsia" w:ascii="宋体" w:hAnsi="宋体" w:eastAsia="宋体" w:cs="宋体"/>
                <w:color w:val="auto"/>
                <w:kern w:val="2"/>
                <w:szCs w:val="21"/>
                <w:highlight w:val="none"/>
              </w:rPr>
            </w:pPr>
          </w:p>
        </w:tc>
        <w:tc>
          <w:tcPr>
            <w:tcW w:w="928" w:type="dxa"/>
            <w:vAlign w:val="center"/>
          </w:tcPr>
          <w:p>
            <w:pPr>
              <w:spacing w:line="440" w:lineRule="exact"/>
              <w:jc w:val="center"/>
              <w:rPr>
                <w:rFonts w:hint="eastAsia" w:ascii="宋体" w:hAnsi="宋体" w:eastAsia="宋体" w:cs="宋体"/>
                <w:color w:val="auto"/>
                <w:kern w:val="2"/>
                <w:szCs w:val="21"/>
                <w:highlight w:val="none"/>
              </w:rPr>
            </w:pPr>
          </w:p>
        </w:tc>
        <w:tc>
          <w:tcPr>
            <w:tcW w:w="1285" w:type="dxa"/>
            <w:vAlign w:val="center"/>
          </w:tcPr>
          <w:p>
            <w:pPr>
              <w:spacing w:line="440" w:lineRule="exact"/>
              <w:jc w:val="center"/>
              <w:rPr>
                <w:rFonts w:hint="eastAsia" w:ascii="宋体" w:hAnsi="宋体" w:eastAsia="宋体" w:cs="宋体"/>
                <w:color w:val="auto"/>
                <w:kern w:val="2"/>
                <w:szCs w:val="21"/>
                <w:highlight w:val="none"/>
              </w:rPr>
            </w:pPr>
          </w:p>
        </w:tc>
        <w:tc>
          <w:tcPr>
            <w:tcW w:w="928" w:type="dxa"/>
            <w:vAlign w:val="center"/>
          </w:tcPr>
          <w:p>
            <w:pPr>
              <w:spacing w:line="440" w:lineRule="exac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hint="eastAsia" w:ascii="宋体" w:hAnsi="宋体" w:eastAsia="宋体" w:cs="宋体"/>
                <w:color w:val="auto"/>
                <w:kern w:val="2"/>
                <w:szCs w:val="21"/>
                <w:highlight w:val="none"/>
              </w:rPr>
            </w:pPr>
          </w:p>
        </w:tc>
        <w:tc>
          <w:tcPr>
            <w:tcW w:w="925" w:type="dxa"/>
            <w:vAlign w:val="center"/>
          </w:tcPr>
          <w:p>
            <w:pPr>
              <w:spacing w:line="440" w:lineRule="exact"/>
              <w:jc w:val="center"/>
              <w:rPr>
                <w:rFonts w:hint="eastAsia" w:ascii="宋体" w:hAnsi="宋体" w:eastAsia="宋体" w:cs="宋体"/>
                <w:color w:val="auto"/>
                <w:kern w:val="2"/>
                <w:szCs w:val="21"/>
                <w:highlight w:val="none"/>
              </w:rPr>
            </w:pPr>
          </w:p>
        </w:tc>
        <w:tc>
          <w:tcPr>
            <w:tcW w:w="926" w:type="dxa"/>
            <w:vAlign w:val="center"/>
          </w:tcPr>
          <w:p>
            <w:pPr>
              <w:spacing w:line="440" w:lineRule="exact"/>
              <w:jc w:val="center"/>
              <w:rPr>
                <w:rFonts w:hint="eastAsia" w:ascii="宋体" w:hAnsi="宋体" w:eastAsia="宋体" w:cs="宋体"/>
                <w:color w:val="auto"/>
                <w:kern w:val="2"/>
                <w:szCs w:val="21"/>
                <w:highlight w:val="none"/>
              </w:rPr>
            </w:pPr>
          </w:p>
        </w:tc>
        <w:tc>
          <w:tcPr>
            <w:tcW w:w="926" w:type="dxa"/>
            <w:vAlign w:val="center"/>
          </w:tcPr>
          <w:p>
            <w:pPr>
              <w:spacing w:line="440" w:lineRule="exact"/>
              <w:jc w:val="center"/>
              <w:rPr>
                <w:rFonts w:hint="eastAsia" w:ascii="宋体" w:hAnsi="宋体" w:eastAsia="宋体" w:cs="宋体"/>
                <w:color w:val="auto"/>
                <w:kern w:val="2"/>
                <w:szCs w:val="21"/>
                <w:highlight w:val="none"/>
              </w:rPr>
            </w:pPr>
          </w:p>
        </w:tc>
        <w:tc>
          <w:tcPr>
            <w:tcW w:w="926" w:type="dxa"/>
            <w:vAlign w:val="center"/>
          </w:tcPr>
          <w:p>
            <w:pPr>
              <w:spacing w:line="440" w:lineRule="exact"/>
              <w:jc w:val="center"/>
              <w:rPr>
                <w:rFonts w:hint="eastAsia" w:ascii="宋体" w:hAnsi="宋体" w:eastAsia="宋体" w:cs="宋体"/>
                <w:color w:val="auto"/>
                <w:kern w:val="2"/>
                <w:szCs w:val="21"/>
                <w:highlight w:val="none"/>
              </w:rPr>
            </w:pPr>
          </w:p>
        </w:tc>
        <w:tc>
          <w:tcPr>
            <w:tcW w:w="928" w:type="dxa"/>
            <w:vAlign w:val="center"/>
          </w:tcPr>
          <w:p>
            <w:pPr>
              <w:spacing w:line="440" w:lineRule="exact"/>
              <w:jc w:val="center"/>
              <w:rPr>
                <w:rFonts w:hint="eastAsia" w:ascii="宋体" w:hAnsi="宋体" w:eastAsia="宋体" w:cs="宋体"/>
                <w:color w:val="auto"/>
                <w:kern w:val="2"/>
                <w:szCs w:val="21"/>
                <w:highlight w:val="none"/>
              </w:rPr>
            </w:pPr>
          </w:p>
        </w:tc>
        <w:tc>
          <w:tcPr>
            <w:tcW w:w="947" w:type="dxa"/>
            <w:vAlign w:val="center"/>
          </w:tcPr>
          <w:p>
            <w:pPr>
              <w:spacing w:line="440" w:lineRule="exact"/>
              <w:jc w:val="center"/>
              <w:rPr>
                <w:rFonts w:hint="eastAsia" w:ascii="宋体" w:hAnsi="宋体" w:eastAsia="宋体" w:cs="宋体"/>
                <w:color w:val="auto"/>
                <w:kern w:val="2"/>
                <w:szCs w:val="21"/>
                <w:highlight w:val="none"/>
              </w:rPr>
            </w:pPr>
          </w:p>
        </w:tc>
        <w:tc>
          <w:tcPr>
            <w:tcW w:w="928" w:type="dxa"/>
            <w:vAlign w:val="center"/>
          </w:tcPr>
          <w:p>
            <w:pPr>
              <w:spacing w:line="440" w:lineRule="exact"/>
              <w:jc w:val="center"/>
              <w:rPr>
                <w:rFonts w:hint="eastAsia" w:ascii="宋体" w:hAnsi="宋体" w:eastAsia="宋体" w:cs="宋体"/>
                <w:color w:val="auto"/>
                <w:kern w:val="2"/>
                <w:szCs w:val="21"/>
                <w:highlight w:val="none"/>
              </w:rPr>
            </w:pPr>
          </w:p>
        </w:tc>
        <w:tc>
          <w:tcPr>
            <w:tcW w:w="1285" w:type="dxa"/>
            <w:vAlign w:val="center"/>
          </w:tcPr>
          <w:p>
            <w:pPr>
              <w:spacing w:line="440" w:lineRule="exact"/>
              <w:jc w:val="center"/>
              <w:rPr>
                <w:rFonts w:hint="eastAsia" w:ascii="宋体" w:hAnsi="宋体" w:eastAsia="宋体" w:cs="宋体"/>
                <w:color w:val="auto"/>
                <w:kern w:val="2"/>
                <w:szCs w:val="21"/>
                <w:highlight w:val="none"/>
              </w:rPr>
            </w:pPr>
          </w:p>
        </w:tc>
        <w:tc>
          <w:tcPr>
            <w:tcW w:w="928" w:type="dxa"/>
            <w:vAlign w:val="center"/>
          </w:tcPr>
          <w:p>
            <w:pPr>
              <w:spacing w:line="440" w:lineRule="exact"/>
              <w:jc w:val="center"/>
              <w:rPr>
                <w:rFonts w:hint="eastAsia" w:ascii="宋体" w:hAnsi="宋体" w:eastAsia="宋体" w:cs="宋体"/>
                <w:color w:val="auto"/>
                <w:kern w:val="2"/>
                <w:szCs w:val="21"/>
                <w:highlight w:val="none"/>
              </w:rPr>
            </w:pPr>
          </w:p>
        </w:tc>
      </w:tr>
    </w:tbl>
    <w:p>
      <w:pPr>
        <w:tabs>
          <w:tab w:val="left" w:pos="720"/>
        </w:tabs>
        <w:spacing w:line="360" w:lineRule="auto"/>
        <w:rPr>
          <w:rFonts w:hint="eastAsia" w:ascii="宋体" w:hAnsi="宋体" w:eastAsia="宋体" w:cs="宋体"/>
          <w:b/>
          <w:color w:val="auto"/>
          <w:sz w:val="24"/>
          <w:szCs w:val="24"/>
          <w:highlight w:val="none"/>
        </w:rPr>
      </w:pPr>
    </w:p>
    <w:p>
      <w:pPr>
        <w:tabs>
          <w:tab w:val="left" w:pos="720"/>
        </w:tabs>
        <w:spacing w:line="360" w:lineRule="auto"/>
        <w:rPr>
          <w:rFonts w:hint="eastAsia" w:ascii="宋体" w:hAnsi="宋体" w:eastAsia="宋体" w:cs="宋体"/>
          <w:b/>
          <w:color w:val="auto"/>
          <w:sz w:val="24"/>
          <w:szCs w:val="24"/>
          <w:highlight w:val="none"/>
        </w:rPr>
      </w:pPr>
      <w:bookmarkStart w:id="161" w:name="_Toc144974866"/>
      <w:bookmarkStart w:id="162" w:name="_Toc6235"/>
      <w:bookmarkStart w:id="163" w:name="_Toc152045798"/>
      <w:bookmarkStart w:id="164" w:name="_Toc15617_WPSOffice_Level2"/>
      <w:bookmarkStart w:id="165" w:name="_Toc1034_WPSOffice_Level2"/>
      <w:bookmarkStart w:id="166" w:name="_Toc152042587"/>
      <w:bookmarkStart w:id="167" w:name="_Toc179632818"/>
      <w:bookmarkStart w:id="168" w:name="_Toc246392156"/>
      <w:bookmarkStart w:id="169" w:name="_Toc23274_WPSOffice_Level2"/>
      <w:r>
        <w:rPr>
          <w:rFonts w:hint="eastAsia" w:ascii="宋体" w:hAnsi="宋体" w:eastAsia="宋体" w:cs="宋体"/>
          <w:b/>
          <w:color w:val="auto"/>
          <w:sz w:val="24"/>
          <w:szCs w:val="24"/>
          <w:highlight w:val="none"/>
        </w:rPr>
        <w:t>附表二：拟配备的试验和检测仪器设备表</w:t>
      </w:r>
      <w:bookmarkEnd w:id="161"/>
      <w:bookmarkEnd w:id="162"/>
      <w:bookmarkEnd w:id="163"/>
      <w:bookmarkEnd w:id="164"/>
      <w:bookmarkEnd w:id="165"/>
      <w:bookmarkEnd w:id="166"/>
      <w:bookmarkEnd w:id="167"/>
      <w:bookmarkEnd w:id="168"/>
      <w:bookmarkEnd w:id="169"/>
    </w:p>
    <w:tbl>
      <w:tblPr>
        <w:tblStyle w:val="2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06" w:type="dxa"/>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序号</w:t>
            </w:r>
          </w:p>
        </w:tc>
        <w:tc>
          <w:tcPr>
            <w:tcW w:w="1252" w:type="dxa"/>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仪器设备名称</w:t>
            </w:r>
          </w:p>
        </w:tc>
        <w:tc>
          <w:tcPr>
            <w:tcW w:w="1062" w:type="dxa"/>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w:t>
            </w:r>
          </w:p>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规格</w:t>
            </w:r>
          </w:p>
        </w:tc>
        <w:tc>
          <w:tcPr>
            <w:tcW w:w="1144" w:type="dxa"/>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数量</w:t>
            </w:r>
          </w:p>
        </w:tc>
        <w:tc>
          <w:tcPr>
            <w:tcW w:w="1045" w:type="dxa"/>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国别</w:t>
            </w:r>
          </w:p>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产地</w:t>
            </w:r>
          </w:p>
        </w:tc>
        <w:tc>
          <w:tcPr>
            <w:tcW w:w="1039" w:type="dxa"/>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制造</w:t>
            </w:r>
          </w:p>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年份</w:t>
            </w:r>
          </w:p>
        </w:tc>
        <w:tc>
          <w:tcPr>
            <w:tcW w:w="1221" w:type="dxa"/>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已使用</w:t>
            </w:r>
          </w:p>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台时数</w:t>
            </w:r>
          </w:p>
        </w:tc>
        <w:tc>
          <w:tcPr>
            <w:tcW w:w="1223" w:type="dxa"/>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用途</w:t>
            </w:r>
          </w:p>
        </w:tc>
        <w:tc>
          <w:tcPr>
            <w:tcW w:w="784" w:type="dxa"/>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hint="eastAsia" w:ascii="宋体" w:hAnsi="宋体" w:eastAsia="宋体" w:cs="宋体"/>
                <w:color w:val="auto"/>
                <w:kern w:val="2"/>
                <w:szCs w:val="21"/>
                <w:highlight w:val="none"/>
              </w:rPr>
            </w:pPr>
          </w:p>
        </w:tc>
        <w:tc>
          <w:tcPr>
            <w:tcW w:w="1252" w:type="dxa"/>
            <w:vAlign w:val="center"/>
          </w:tcPr>
          <w:p>
            <w:pPr>
              <w:spacing w:line="240" w:lineRule="atLeast"/>
              <w:jc w:val="center"/>
              <w:rPr>
                <w:rFonts w:hint="eastAsia" w:ascii="宋体" w:hAnsi="宋体" w:eastAsia="宋体" w:cs="宋体"/>
                <w:color w:val="auto"/>
                <w:kern w:val="2"/>
                <w:szCs w:val="21"/>
                <w:highlight w:val="none"/>
              </w:rPr>
            </w:pPr>
          </w:p>
        </w:tc>
        <w:tc>
          <w:tcPr>
            <w:tcW w:w="1062" w:type="dxa"/>
            <w:vAlign w:val="center"/>
          </w:tcPr>
          <w:p>
            <w:pPr>
              <w:spacing w:line="240" w:lineRule="atLeast"/>
              <w:jc w:val="center"/>
              <w:rPr>
                <w:rFonts w:hint="eastAsia" w:ascii="宋体" w:hAnsi="宋体" w:eastAsia="宋体" w:cs="宋体"/>
                <w:color w:val="auto"/>
                <w:kern w:val="2"/>
                <w:szCs w:val="21"/>
                <w:highlight w:val="none"/>
              </w:rPr>
            </w:pPr>
          </w:p>
        </w:tc>
        <w:tc>
          <w:tcPr>
            <w:tcW w:w="1144" w:type="dxa"/>
            <w:vAlign w:val="center"/>
          </w:tcPr>
          <w:p>
            <w:pPr>
              <w:spacing w:line="240" w:lineRule="atLeast"/>
              <w:jc w:val="center"/>
              <w:rPr>
                <w:rFonts w:hint="eastAsia" w:ascii="宋体" w:hAnsi="宋体" w:eastAsia="宋体" w:cs="宋体"/>
                <w:color w:val="auto"/>
                <w:kern w:val="2"/>
                <w:szCs w:val="21"/>
                <w:highlight w:val="none"/>
              </w:rPr>
            </w:pPr>
          </w:p>
        </w:tc>
        <w:tc>
          <w:tcPr>
            <w:tcW w:w="1045" w:type="dxa"/>
            <w:vAlign w:val="center"/>
          </w:tcPr>
          <w:p>
            <w:pPr>
              <w:spacing w:line="240" w:lineRule="atLeast"/>
              <w:jc w:val="center"/>
              <w:rPr>
                <w:rFonts w:hint="eastAsia" w:ascii="宋体" w:hAnsi="宋体" w:eastAsia="宋体" w:cs="宋体"/>
                <w:color w:val="auto"/>
                <w:kern w:val="2"/>
                <w:szCs w:val="21"/>
                <w:highlight w:val="none"/>
              </w:rPr>
            </w:pPr>
          </w:p>
        </w:tc>
        <w:tc>
          <w:tcPr>
            <w:tcW w:w="1039" w:type="dxa"/>
            <w:vAlign w:val="center"/>
          </w:tcPr>
          <w:p>
            <w:pPr>
              <w:spacing w:line="240" w:lineRule="atLeast"/>
              <w:jc w:val="center"/>
              <w:rPr>
                <w:rFonts w:hint="eastAsia" w:ascii="宋体" w:hAnsi="宋体" w:eastAsia="宋体" w:cs="宋体"/>
                <w:color w:val="auto"/>
                <w:kern w:val="2"/>
                <w:szCs w:val="21"/>
                <w:highlight w:val="none"/>
              </w:rPr>
            </w:pPr>
          </w:p>
        </w:tc>
        <w:tc>
          <w:tcPr>
            <w:tcW w:w="1221" w:type="dxa"/>
            <w:vAlign w:val="center"/>
          </w:tcPr>
          <w:p>
            <w:pPr>
              <w:spacing w:line="240" w:lineRule="atLeast"/>
              <w:jc w:val="center"/>
              <w:rPr>
                <w:rFonts w:hint="eastAsia" w:ascii="宋体" w:hAnsi="宋体" w:eastAsia="宋体" w:cs="宋体"/>
                <w:color w:val="auto"/>
                <w:kern w:val="2"/>
                <w:szCs w:val="21"/>
                <w:highlight w:val="none"/>
              </w:rPr>
            </w:pPr>
          </w:p>
        </w:tc>
        <w:tc>
          <w:tcPr>
            <w:tcW w:w="1223" w:type="dxa"/>
            <w:vAlign w:val="center"/>
          </w:tcPr>
          <w:p>
            <w:pPr>
              <w:spacing w:line="240" w:lineRule="atLeast"/>
              <w:jc w:val="center"/>
              <w:rPr>
                <w:rFonts w:hint="eastAsia" w:ascii="宋体" w:hAnsi="宋体" w:eastAsia="宋体" w:cs="宋体"/>
                <w:color w:val="auto"/>
                <w:kern w:val="2"/>
                <w:szCs w:val="21"/>
                <w:highlight w:val="none"/>
              </w:rPr>
            </w:pPr>
          </w:p>
        </w:tc>
        <w:tc>
          <w:tcPr>
            <w:tcW w:w="784" w:type="dxa"/>
            <w:vAlign w:val="center"/>
          </w:tcPr>
          <w:p>
            <w:pPr>
              <w:spacing w:line="240" w:lineRule="atLeas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hint="eastAsia" w:ascii="宋体" w:hAnsi="宋体" w:eastAsia="宋体" w:cs="宋体"/>
                <w:color w:val="auto"/>
                <w:kern w:val="2"/>
                <w:szCs w:val="21"/>
                <w:highlight w:val="none"/>
              </w:rPr>
            </w:pPr>
          </w:p>
        </w:tc>
        <w:tc>
          <w:tcPr>
            <w:tcW w:w="1252" w:type="dxa"/>
            <w:vAlign w:val="center"/>
          </w:tcPr>
          <w:p>
            <w:pPr>
              <w:spacing w:line="240" w:lineRule="atLeast"/>
              <w:jc w:val="center"/>
              <w:rPr>
                <w:rFonts w:hint="eastAsia" w:ascii="宋体" w:hAnsi="宋体" w:eastAsia="宋体" w:cs="宋体"/>
                <w:color w:val="auto"/>
                <w:kern w:val="2"/>
                <w:szCs w:val="21"/>
                <w:highlight w:val="none"/>
              </w:rPr>
            </w:pPr>
          </w:p>
        </w:tc>
        <w:tc>
          <w:tcPr>
            <w:tcW w:w="1062" w:type="dxa"/>
            <w:vAlign w:val="center"/>
          </w:tcPr>
          <w:p>
            <w:pPr>
              <w:spacing w:line="240" w:lineRule="atLeast"/>
              <w:jc w:val="center"/>
              <w:rPr>
                <w:rFonts w:hint="eastAsia" w:ascii="宋体" w:hAnsi="宋体" w:eastAsia="宋体" w:cs="宋体"/>
                <w:color w:val="auto"/>
                <w:kern w:val="2"/>
                <w:szCs w:val="21"/>
                <w:highlight w:val="none"/>
              </w:rPr>
            </w:pPr>
          </w:p>
        </w:tc>
        <w:tc>
          <w:tcPr>
            <w:tcW w:w="1144" w:type="dxa"/>
            <w:vAlign w:val="center"/>
          </w:tcPr>
          <w:p>
            <w:pPr>
              <w:spacing w:line="240" w:lineRule="atLeast"/>
              <w:jc w:val="center"/>
              <w:rPr>
                <w:rFonts w:hint="eastAsia" w:ascii="宋体" w:hAnsi="宋体" w:eastAsia="宋体" w:cs="宋体"/>
                <w:color w:val="auto"/>
                <w:kern w:val="2"/>
                <w:szCs w:val="21"/>
                <w:highlight w:val="none"/>
              </w:rPr>
            </w:pPr>
          </w:p>
        </w:tc>
        <w:tc>
          <w:tcPr>
            <w:tcW w:w="1045" w:type="dxa"/>
            <w:vAlign w:val="center"/>
          </w:tcPr>
          <w:p>
            <w:pPr>
              <w:spacing w:line="240" w:lineRule="atLeast"/>
              <w:jc w:val="center"/>
              <w:rPr>
                <w:rFonts w:hint="eastAsia" w:ascii="宋体" w:hAnsi="宋体" w:eastAsia="宋体" w:cs="宋体"/>
                <w:color w:val="auto"/>
                <w:kern w:val="2"/>
                <w:szCs w:val="21"/>
                <w:highlight w:val="none"/>
              </w:rPr>
            </w:pPr>
          </w:p>
        </w:tc>
        <w:tc>
          <w:tcPr>
            <w:tcW w:w="1039" w:type="dxa"/>
            <w:vAlign w:val="center"/>
          </w:tcPr>
          <w:p>
            <w:pPr>
              <w:spacing w:line="240" w:lineRule="atLeast"/>
              <w:jc w:val="center"/>
              <w:rPr>
                <w:rFonts w:hint="eastAsia" w:ascii="宋体" w:hAnsi="宋体" w:eastAsia="宋体" w:cs="宋体"/>
                <w:color w:val="auto"/>
                <w:kern w:val="2"/>
                <w:szCs w:val="21"/>
                <w:highlight w:val="none"/>
              </w:rPr>
            </w:pPr>
          </w:p>
        </w:tc>
        <w:tc>
          <w:tcPr>
            <w:tcW w:w="1221" w:type="dxa"/>
            <w:vAlign w:val="center"/>
          </w:tcPr>
          <w:p>
            <w:pPr>
              <w:spacing w:line="240" w:lineRule="atLeast"/>
              <w:jc w:val="center"/>
              <w:rPr>
                <w:rFonts w:hint="eastAsia" w:ascii="宋体" w:hAnsi="宋体" w:eastAsia="宋体" w:cs="宋体"/>
                <w:color w:val="auto"/>
                <w:kern w:val="2"/>
                <w:szCs w:val="21"/>
                <w:highlight w:val="none"/>
              </w:rPr>
            </w:pPr>
          </w:p>
        </w:tc>
        <w:tc>
          <w:tcPr>
            <w:tcW w:w="1223" w:type="dxa"/>
            <w:vAlign w:val="center"/>
          </w:tcPr>
          <w:p>
            <w:pPr>
              <w:spacing w:line="240" w:lineRule="atLeast"/>
              <w:jc w:val="center"/>
              <w:rPr>
                <w:rFonts w:hint="eastAsia" w:ascii="宋体" w:hAnsi="宋体" w:eastAsia="宋体" w:cs="宋体"/>
                <w:color w:val="auto"/>
                <w:kern w:val="2"/>
                <w:szCs w:val="21"/>
                <w:highlight w:val="none"/>
              </w:rPr>
            </w:pPr>
          </w:p>
        </w:tc>
        <w:tc>
          <w:tcPr>
            <w:tcW w:w="784" w:type="dxa"/>
            <w:vAlign w:val="center"/>
          </w:tcPr>
          <w:p>
            <w:pPr>
              <w:spacing w:line="240" w:lineRule="atLeas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tcPr>
          <w:p>
            <w:pPr>
              <w:spacing w:line="240" w:lineRule="atLeast"/>
              <w:jc w:val="center"/>
              <w:rPr>
                <w:rFonts w:hint="eastAsia" w:ascii="宋体" w:hAnsi="宋体" w:eastAsia="宋体" w:cs="宋体"/>
                <w:color w:val="auto"/>
                <w:kern w:val="2"/>
                <w:szCs w:val="21"/>
                <w:highlight w:val="none"/>
              </w:rPr>
            </w:pPr>
          </w:p>
        </w:tc>
        <w:tc>
          <w:tcPr>
            <w:tcW w:w="1252" w:type="dxa"/>
          </w:tcPr>
          <w:p>
            <w:pPr>
              <w:spacing w:line="240" w:lineRule="atLeast"/>
              <w:jc w:val="center"/>
              <w:rPr>
                <w:rFonts w:hint="eastAsia" w:ascii="宋体" w:hAnsi="宋体" w:eastAsia="宋体" w:cs="宋体"/>
                <w:color w:val="auto"/>
                <w:kern w:val="2"/>
                <w:szCs w:val="21"/>
                <w:highlight w:val="none"/>
              </w:rPr>
            </w:pPr>
          </w:p>
        </w:tc>
        <w:tc>
          <w:tcPr>
            <w:tcW w:w="1062" w:type="dxa"/>
          </w:tcPr>
          <w:p>
            <w:pPr>
              <w:spacing w:line="240" w:lineRule="atLeast"/>
              <w:jc w:val="center"/>
              <w:rPr>
                <w:rFonts w:hint="eastAsia" w:ascii="宋体" w:hAnsi="宋体" w:eastAsia="宋体" w:cs="宋体"/>
                <w:color w:val="auto"/>
                <w:kern w:val="2"/>
                <w:szCs w:val="21"/>
                <w:highlight w:val="none"/>
              </w:rPr>
            </w:pPr>
          </w:p>
        </w:tc>
        <w:tc>
          <w:tcPr>
            <w:tcW w:w="1144" w:type="dxa"/>
          </w:tcPr>
          <w:p>
            <w:pPr>
              <w:spacing w:line="240" w:lineRule="atLeast"/>
              <w:jc w:val="center"/>
              <w:rPr>
                <w:rFonts w:hint="eastAsia" w:ascii="宋体" w:hAnsi="宋体" w:eastAsia="宋体" w:cs="宋体"/>
                <w:color w:val="auto"/>
                <w:kern w:val="2"/>
                <w:szCs w:val="21"/>
                <w:highlight w:val="none"/>
              </w:rPr>
            </w:pPr>
          </w:p>
        </w:tc>
        <w:tc>
          <w:tcPr>
            <w:tcW w:w="1045" w:type="dxa"/>
          </w:tcPr>
          <w:p>
            <w:pPr>
              <w:spacing w:line="240" w:lineRule="atLeast"/>
              <w:jc w:val="center"/>
              <w:rPr>
                <w:rFonts w:hint="eastAsia" w:ascii="宋体" w:hAnsi="宋体" w:eastAsia="宋体" w:cs="宋体"/>
                <w:color w:val="auto"/>
                <w:kern w:val="2"/>
                <w:szCs w:val="21"/>
                <w:highlight w:val="none"/>
              </w:rPr>
            </w:pPr>
          </w:p>
        </w:tc>
        <w:tc>
          <w:tcPr>
            <w:tcW w:w="1039" w:type="dxa"/>
          </w:tcPr>
          <w:p>
            <w:pPr>
              <w:spacing w:line="240" w:lineRule="atLeast"/>
              <w:jc w:val="center"/>
              <w:rPr>
                <w:rFonts w:hint="eastAsia" w:ascii="宋体" w:hAnsi="宋体" w:eastAsia="宋体" w:cs="宋体"/>
                <w:color w:val="auto"/>
                <w:kern w:val="2"/>
                <w:szCs w:val="21"/>
                <w:highlight w:val="none"/>
              </w:rPr>
            </w:pPr>
          </w:p>
        </w:tc>
        <w:tc>
          <w:tcPr>
            <w:tcW w:w="1221" w:type="dxa"/>
          </w:tcPr>
          <w:p>
            <w:pPr>
              <w:spacing w:line="240" w:lineRule="atLeast"/>
              <w:jc w:val="center"/>
              <w:rPr>
                <w:rFonts w:hint="eastAsia" w:ascii="宋体" w:hAnsi="宋体" w:eastAsia="宋体" w:cs="宋体"/>
                <w:color w:val="auto"/>
                <w:kern w:val="2"/>
                <w:szCs w:val="21"/>
                <w:highlight w:val="none"/>
              </w:rPr>
            </w:pPr>
          </w:p>
        </w:tc>
        <w:tc>
          <w:tcPr>
            <w:tcW w:w="1223" w:type="dxa"/>
          </w:tcPr>
          <w:p>
            <w:pPr>
              <w:spacing w:line="240" w:lineRule="atLeast"/>
              <w:jc w:val="center"/>
              <w:rPr>
                <w:rFonts w:hint="eastAsia" w:ascii="宋体" w:hAnsi="宋体" w:eastAsia="宋体" w:cs="宋体"/>
                <w:color w:val="auto"/>
                <w:kern w:val="2"/>
                <w:szCs w:val="21"/>
                <w:highlight w:val="none"/>
              </w:rPr>
            </w:pPr>
          </w:p>
        </w:tc>
        <w:tc>
          <w:tcPr>
            <w:tcW w:w="784" w:type="dxa"/>
          </w:tcPr>
          <w:p>
            <w:pPr>
              <w:spacing w:line="240" w:lineRule="atLeas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tcPr>
          <w:p>
            <w:pPr>
              <w:spacing w:line="240" w:lineRule="atLeast"/>
              <w:jc w:val="center"/>
              <w:rPr>
                <w:rFonts w:hint="eastAsia" w:ascii="宋体" w:hAnsi="宋体" w:eastAsia="宋体" w:cs="宋体"/>
                <w:color w:val="auto"/>
                <w:kern w:val="2"/>
                <w:szCs w:val="21"/>
                <w:highlight w:val="none"/>
              </w:rPr>
            </w:pPr>
          </w:p>
        </w:tc>
        <w:tc>
          <w:tcPr>
            <w:tcW w:w="1252" w:type="dxa"/>
          </w:tcPr>
          <w:p>
            <w:pPr>
              <w:spacing w:line="240" w:lineRule="atLeast"/>
              <w:jc w:val="center"/>
              <w:rPr>
                <w:rFonts w:hint="eastAsia" w:ascii="宋体" w:hAnsi="宋体" w:eastAsia="宋体" w:cs="宋体"/>
                <w:color w:val="auto"/>
                <w:kern w:val="2"/>
                <w:szCs w:val="21"/>
                <w:highlight w:val="none"/>
              </w:rPr>
            </w:pPr>
          </w:p>
        </w:tc>
        <w:tc>
          <w:tcPr>
            <w:tcW w:w="1062" w:type="dxa"/>
          </w:tcPr>
          <w:p>
            <w:pPr>
              <w:spacing w:line="240" w:lineRule="atLeast"/>
              <w:jc w:val="center"/>
              <w:rPr>
                <w:rFonts w:hint="eastAsia" w:ascii="宋体" w:hAnsi="宋体" w:eastAsia="宋体" w:cs="宋体"/>
                <w:color w:val="auto"/>
                <w:kern w:val="2"/>
                <w:szCs w:val="21"/>
                <w:highlight w:val="none"/>
              </w:rPr>
            </w:pPr>
          </w:p>
        </w:tc>
        <w:tc>
          <w:tcPr>
            <w:tcW w:w="1144" w:type="dxa"/>
          </w:tcPr>
          <w:p>
            <w:pPr>
              <w:spacing w:line="240" w:lineRule="atLeast"/>
              <w:jc w:val="center"/>
              <w:rPr>
                <w:rFonts w:hint="eastAsia" w:ascii="宋体" w:hAnsi="宋体" w:eastAsia="宋体" w:cs="宋体"/>
                <w:color w:val="auto"/>
                <w:kern w:val="2"/>
                <w:szCs w:val="21"/>
                <w:highlight w:val="none"/>
              </w:rPr>
            </w:pPr>
          </w:p>
        </w:tc>
        <w:tc>
          <w:tcPr>
            <w:tcW w:w="1045" w:type="dxa"/>
          </w:tcPr>
          <w:p>
            <w:pPr>
              <w:spacing w:line="240" w:lineRule="atLeast"/>
              <w:jc w:val="center"/>
              <w:rPr>
                <w:rFonts w:hint="eastAsia" w:ascii="宋体" w:hAnsi="宋体" w:eastAsia="宋体" w:cs="宋体"/>
                <w:color w:val="auto"/>
                <w:kern w:val="2"/>
                <w:szCs w:val="21"/>
                <w:highlight w:val="none"/>
              </w:rPr>
            </w:pPr>
          </w:p>
        </w:tc>
        <w:tc>
          <w:tcPr>
            <w:tcW w:w="1039" w:type="dxa"/>
          </w:tcPr>
          <w:p>
            <w:pPr>
              <w:spacing w:line="240" w:lineRule="atLeast"/>
              <w:jc w:val="center"/>
              <w:rPr>
                <w:rFonts w:hint="eastAsia" w:ascii="宋体" w:hAnsi="宋体" w:eastAsia="宋体" w:cs="宋体"/>
                <w:color w:val="auto"/>
                <w:kern w:val="2"/>
                <w:szCs w:val="21"/>
                <w:highlight w:val="none"/>
              </w:rPr>
            </w:pPr>
          </w:p>
        </w:tc>
        <w:tc>
          <w:tcPr>
            <w:tcW w:w="1221" w:type="dxa"/>
          </w:tcPr>
          <w:p>
            <w:pPr>
              <w:spacing w:line="240" w:lineRule="atLeast"/>
              <w:jc w:val="center"/>
              <w:rPr>
                <w:rFonts w:hint="eastAsia" w:ascii="宋体" w:hAnsi="宋体" w:eastAsia="宋体" w:cs="宋体"/>
                <w:color w:val="auto"/>
                <w:kern w:val="2"/>
                <w:szCs w:val="21"/>
                <w:highlight w:val="none"/>
              </w:rPr>
            </w:pPr>
          </w:p>
        </w:tc>
        <w:tc>
          <w:tcPr>
            <w:tcW w:w="1223" w:type="dxa"/>
          </w:tcPr>
          <w:p>
            <w:pPr>
              <w:spacing w:line="240" w:lineRule="atLeast"/>
              <w:jc w:val="center"/>
              <w:rPr>
                <w:rFonts w:hint="eastAsia" w:ascii="宋体" w:hAnsi="宋体" w:eastAsia="宋体" w:cs="宋体"/>
                <w:color w:val="auto"/>
                <w:kern w:val="2"/>
                <w:szCs w:val="21"/>
                <w:highlight w:val="none"/>
              </w:rPr>
            </w:pPr>
          </w:p>
        </w:tc>
        <w:tc>
          <w:tcPr>
            <w:tcW w:w="784" w:type="dxa"/>
          </w:tcPr>
          <w:p>
            <w:pPr>
              <w:spacing w:line="240" w:lineRule="atLeast"/>
              <w:jc w:val="center"/>
              <w:rPr>
                <w:rFonts w:hint="eastAsia" w:ascii="宋体" w:hAnsi="宋体" w:eastAsia="宋体" w:cs="宋体"/>
                <w:color w:val="auto"/>
                <w:kern w:val="2"/>
                <w:szCs w:val="21"/>
                <w:highlight w:val="none"/>
              </w:rPr>
            </w:pPr>
          </w:p>
        </w:tc>
      </w:tr>
    </w:tbl>
    <w:p>
      <w:pPr>
        <w:spacing w:line="440" w:lineRule="exact"/>
        <w:rPr>
          <w:rFonts w:hint="eastAsia" w:ascii="宋体" w:hAnsi="宋体" w:eastAsia="宋体" w:cs="宋体"/>
          <w:color w:val="auto"/>
          <w:sz w:val="20"/>
          <w:highlight w:val="none"/>
        </w:rPr>
      </w:pPr>
    </w:p>
    <w:p>
      <w:pPr>
        <w:tabs>
          <w:tab w:val="left" w:pos="720"/>
        </w:tabs>
        <w:spacing w:line="360" w:lineRule="auto"/>
        <w:rPr>
          <w:rFonts w:hint="eastAsia" w:ascii="宋体" w:hAnsi="宋体" w:eastAsia="宋体" w:cs="宋体"/>
          <w:b/>
          <w:color w:val="auto"/>
          <w:sz w:val="24"/>
          <w:szCs w:val="24"/>
          <w:highlight w:val="none"/>
        </w:rPr>
      </w:pPr>
      <w:bookmarkStart w:id="170" w:name="_Toc23409_WPSOffice_Level2"/>
      <w:bookmarkStart w:id="171" w:name="_Toc28889"/>
      <w:bookmarkStart w:id="172" w:name="_Toc26491_WPSOffice_Level2"/>
      <w:bookmarkStart w:id="173" w:name="_Toc13628_WPSOffice_Level2"/>
      <w:r>
        <w:rPr>
          <w:rFonts w:hint="eastAsia" w:ascii="宋体" w:hAnsi="宋体" w:eastAsia="宋体" w:cs="宋体"/>
          <w:b/>
          <w:color w:val="auto"/>
          <w:sz w:val="24"/>
          <w:szCs w:val="24"/>
          <w:highlight w:val="none"/>
        </w:rPr>
        <w:t>附表三、项目管理班子配备情况表</w:t>
      </w:r>
      <w:bookmarkEnd w:id="170"/>
      <w:bookmarkEnd w:id="171"/>
      <w:bookmarkEnd w:id="172"/>
      <w:bookmarkEnd w:id="173"/>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20"/>
        <w:gridCol w:w="721"/>
        <w:gridCol w:w="891"/>
        <w:gridCol w:w="891"/>
        <w:gridCol w:w="891"/>
        <w:gridCol w:w="891"/>
        <w:gridCol w:w="1508"/>
        <w:gridCol w:w="89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1" w:type="pct"/>
            <w:vMerge w:val="restart"/>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职务</w:t>
            </w:r>
          </w:p>
        </w:tc>
        <w:tc>
          <w:tcPr>
            <w:tcW w:w="390" w:type="pct"/>
            <w:vMerge w:val="restart"/>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姓名</w:t>
            </w:r>
          </w:p>
        </w:tc>
        <w:tc>
          <w:tcPr>
            <w:tcW w:w="390" w:type="pct"/>
            <w:vMerge w:val="restart"/>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职称</w:t>
            </w:r>
          </w:p>
        </w:tc>
        <w:tc>
          <w:tcPr>
            <w:tcW w:w="2744" w:type="pct"/>
            <w:gridSpan w:val="5"/>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上岗资格证明</w:t>
            </w:r>
          </w:p>
        </w:tc>
        <w:tc>
          <w:tcPr>
            <w:tcW w:w="1122" w:type="pct"/>
            <w:gridSpan w:val="2"/>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1" w:type="pct"/>
            <w:vMerge w:val="continue"/>
          </w:tcPr>
          <w:p>
            <w:pPr>
              <w:spacing w:line="360" w:lineRule="auto"/>
              <w:rPr>
                <w:rFonts w:hint="eastAsia" w:ascii="宋体" w:hAnsi="宋体" w:eastAsia="宋体" w:cs="宋体"/>
                <w:color w:val="auto"/>
                <w:kern w:val="2"/>
                <w:szCs w:val="21"/>
                <w:highlight w:val="none"/>
              </w:rPr>
            </w:pPr>
          </w:p>
        </w:tc>
        <w:tc>
          <w:tcPr>
            <w:tcW w:w="390" w:type="pct"/>
            <w:vMerge w:val="continue"/>
          </w:tcPr>
          <w:p>
            <w:pPr>
              <w:spacing w:line="360" w:lineRule="auto"/>
              <w:rPr>
                <w:rFonts w:hint="eastAsia" w:ascii="宋体" w:hAnsi="宋体" w:eastAsia="宋体" w:cs="宋体"/>
                <w:color w:val="auto"/>
                <w:kern w:val="2"/>
                <w:szCs w:val="21"/>
                <w:highlight w:val="none"/>
              </w:rPr>
            </w:pPr>
          </w:p>
        </w:tc>
        <w:tc>
          <w:tcPr>
            <w:tcW w:w="390" w:type="pct"/>
            <w:vMerge w:val="continue"/>
          </w:tcPr>
          <w:p>
            <w:pPr>
              <w:spacing w:line="360" w:lineRule="auto"/>
              <w:rPr>
                <w:rFonts w:hint="eastAsia" w:ascii="宋体" w:hAnsi="宋体" w:eastAsia="宋体" w:cs="宋体"/>
                <w:color w:val="auto"/>
                <w:kern w:val="2"/>
                <w:szCs w:val="21"/>
                <w:highlight w:val="none"/>
              </w:rPr>
            </w:pPr>
          </w:p>
        </w:tc>
        <w:tc>
          <w:tcPr>
            <w:tcW w:w="482" w:type="pct"/>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证书</w:t>
            </w:r>
          </w:p>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名称</w:t>
            </w:r>
          </w:p>
        </w:tc>
        <w:tc>
          <w:tcPr>
            <w:tcW w:w="482" w:type="pct"/>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级别</w:t>
            </w:r>
          </w:p>
        </w:tc>
        <w:tc>
          <w:tcPr>
            <w:tcW w:w="482" w:type="pct"/>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证号</w:t>
            </w:r>
          </w:p>
        </w:tc>
        <w:tc>
          <w:tcPr>
            <w:tcW w:w="482" w:type="pct"/>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专业</w:t>
            </w:r>
          </w:p>
        </w:tc>
        <w:tc>
          <w:tcPr>
            <w:tcW w:w="814" w:type="pct"/>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原服务单位</w:t>
            </w:r>
          </w:p>
        </w:tc>
        <w:tc>
          <w:tcPr>
            <w:tcW w:w="484" w:type="pct"/>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项目数</w:t>
            </w:r>
          </w:p>
        </w:tc>
        <w:tc>
          <w:tcPr>
            <w:tcW w:w="637" w:type="pct"/>
            <w:vAlign w:val="center"/>
          </w:tcPr>
          <w:p>
            <w:pPr>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51" w:type="pct"/>
          </w:tcPr>
          <w:p>
            <w:pPr>
              <w:spacing w:line="360" w:lineRule="auto"/>
              <w:rPr>
                <w:rFonts w:hint="eastAsia" w:ascii="宋体" w:hAnsi="宋体" w:eastAsia="宋体" w:cs="宋体"/>
                <w:color w:val="auto"/>
                <w:kern w:val="2"/>
                <w:szCs w:val="21"/>
                <w:highlight w:val="none"/>
              </w:rPr>
            </w:pPr>
          </w:p>
        </w:tc>
        <w:tc>
          <w:tcPr>
            <w:tcW w:w="390" w:type="pct"/>
          </w:tcPr>
          <w:p>
            <w:pPr>
              <w:spacing w:line="360" w:lineRule="auto"/>
              <w:rPr>
                <w:rFonts w:hint="eastAsia" w:ascii="宋体" w:hAnsi="宋体" w:eastAsia="宋体" w:cs="宋体"/>
                <w:color w:val="auto"/>
                <w:kern w:val="2"/>
                <w:szCs w:val="21"/>
                <w:highlight w:val="none"/>
              </w:rPr>
            </w:pPr>
          </w:p>
        </w:tc>
        <w:tc>
          <w:tcPr>
            <w:tcW w:w="390"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814" w:type="pct"/>
          </w:tcPr>
          <w:p>
            <w:pPr>
              <w:spacing w:line="360" w:lineRule="auto"/>
              <w:rPr>
                <w:rFonts w:hint="eastAsia" w:ascii="宋体" w:hAnsi="宋体" w:eastAsia="宋体" w:cs="宋体"/>
                <w:color w:val="auto"/>
                <w:kern w:val="2"/>
                <w:szCs w:val="21"/>
                <w:highlight w:val="none"/>
              </w:rPr>
            </w:pPr>
          </w:p>
        </w:tc>
        <w:tc>
          <w:tcPr>
            <w:tcW w:w="484" w:type="pct"/>
          </w:tcPr>
          <w:p>
            <w:pPr>
              <w:spacing w:line="360" w:lineRule="auto"/>
              <w:rPr>
                <w:rFonts w:hint="eastAsia" w:ascii="宋体" w:hAnsi="宋体" w:eastAsia="宋体" w:cs="宋体"/>
                <w:color w:val="auto"/>
                <w:kern w:val="2"/>
                <w:szCs w:val="21"/>
                <w:highlight w:val="none"/>
              </w:rPr>
            </w:pPr>
          </w:p>
        </w:tc>
        <w:tc>
          <w:tcPr>
            <w:tcW w:w="637" w:type="pct"/>
          </w:tcPr>
          <w:p>
            <w:pPr>
              <w:spacing w:line="360" w:lineRule="auto"/>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51" w:type="pct"/>
          </w:tcPr>
          <w:p>
            <w:pPr>
              <w:spacing w:line="360" w:lineRule="auto"/>
              <w:rPr>
                <w:rFonts w:hint="eastAsia" w:ascii="宋体" w:hAnsi="宋体" w:eastAsia="宋体" w:cs="宋体"/>
                <w:color w:val="auto"/>
                <w:kern w:val="2"/>
                <w:szCs w:val="21"/>
                <w:highlight w:val="none"/>
              </w:rPr>
            </w:pPr>
          </w:p>
        </w:tc>
        <w:tc>
          <w:tcPr>
            <w:tcW w:w="390" w:type="pct"/>
          </w:tcPr>
          <w:p>
            <w:pPr>
              <w:spacing w:line="360" w:lineRule="auto"/>
              <w:rPr>
                <w:rFonts w:hint="eastAsia" w:ascii="宋体" w:hAnsi="宋体" w:eastAsia="宋体" w:cs="宋体"/>
                <w:color w:val="auto"/>
                <w:kern w:val="2"/>
                <w:szCs w:val="21"/>
                <w:highlight w:val="none"/>
              </w:rPr>
            </w:pPr>
          </w:p>
        </w:tc>
        <w:tc>
          <w:tcPr>
            <w:tcW w:w="390"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814" w:type="pct"/>
          </w:tcPr>
          <w:p>
            <w:pPr>
              <w:spacing w:line="360" w:lineRule="auto"/>
              <w:rPr>
                <w:rFonts w:hint="eastAsia" w:ascii="宋体" w:hAnsi="宋体" w:eastAsia="宋体" w:cs="宋体"/>
                <w:color w:val="auto"/>
                <w:kern w:val="2"/>
                <w:szCs w:val="21"/>
                <w:highlight w:val="none"/>
              </w:rPr>
            </w:pPr>
          </w:p>
        </w:tc>
        <w:tc>
          <w:tcPr>
            <w:tcW w:w="484" w:type="pct"/>
          </w:tcPr>
          <w:p>
            <w:pPr>
              <w:spacing w:line="360" w:lineRule="auto"/>
              <w:rPr>
                <w:rFonts w:hint="eastAsia" w:ascii="宋体" w:hAnsi="宋体" w:eastAsia="宋体" w:cs="宋体"/>
                <w:color w:val="auto"/>
                <w:kern w:val="2"/>
                <w:szCs w:val="21"/>
                <w:highlight w:val="none"/>
              </w:rPr>
            </w:pPr>
          </w:p>
        </w:tc>
        <w:tc>
          <w:tcPr>
            <w:tcW w:w="637" w:type="pct"/>
          </w:tcPr>
          <w:p>
            <w:pPr>
              <w:spacing w:line="360" w:lineRule="auto"/>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51" w:type="pct"/>
          </w:tcPr>
          <w:p>
            <w:pPr>
              <w:spacing w:line="360" w:lineRule="auto"/>
              <w:rPr>
                <w:rFonts w:hint="eastAsia" w:ascii="宋体" w:hAnsi="宋体" w:eastAsia="宋体" w:cs="宋体"/>
                <w:color w:val="auto"/>
                <w:kern w:val="2"/>
                <w:szCs w:val="21"/>
                <w:highlight w:val="none"/>
              </w:rPr>
            </w:pPr>
          </w:p>
        </w:tc>
        <w:tc>
          <w:tcPr>
            <w:tcW w:w="390" w:type="pct"/>
          </w:tcPr>
          <w:p>
            <w:pPr>
              <w:spacing w:line="360" w:lineRule="auto"/>
              <w:rPr>
                <w:rFonts w:hint="eastAsia" w:ascii="宋体" w:hAnsi="宋体" w:eastAsia="宋体" w:cs="宋体"/>
                <w:color w:val="auto"/>
                <w:kern w:val="2"/>
                <w:szCs w:val="21"/>
                <w:highlight w:val="none"/>
              </w:rPr>
            </w:pPr>
          </w:p>
        </w:tc>
        <w:tc>
          <w:tcPr>
            <w:tcW w:w="390"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814" w:type="pct"/>
          </w:tcPr>
          <w:p>
            <w:pPr>
              <w:spacing w:line="360" w:lineRule="auto"/>
              <w:rPr>
                <w:rFonts w:hint="eastAsia" w:ascii="宋体" w:hAnsi="宋体" w:eastAsia="宋体" w:cs="宋体"/>
                <w:color w:val="auto"/>
                <w:kern w:val="2"/>
                <w:szCs w:val="21"/>
                <w:highlight w:val="none"/>
              </w:rPr>
            </w:pPr>
          </w:p>
        </w:tc>
        <w:tc>
          <w:tcPr>
            <w:tcW w:w="484" w:type="pct"/>
          </w:tcPr>
          <w:p>
            <w:pPr>
              <w:spacing w:line="360" w:lineRule="auto"/>
              <w:rPr>
                <w:rFonts w:hint="eastAsia" w:ascii="宋体" w:hAnsi="宋体" w:eastAsia="宋体" w:cs="宋体"/>
                <w:color w:val="auto"/>
                <w:kern w:val="2"/>
                <w:szCs w:val="21"/>
                <w:highlight w:val="none"/>
              </w:rPr>
            </w:pPr>
          </w:p>
        </w:tc>
        <w:tc>
          <w:tcPr>
            <w:tcW w:w="637" w:type="pct"/>
          </w:tcPr>
          <w:p>
            <w:pPr>
              <w:spacing w:line="360" w:lineRule="auto"/>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51" w:type="pct"/>
          </w:tcPr>
          <w:p>
            <w:pPr>
              <w:spacing w:line="360" w:lineRule="auto"/>
              <w:rPr>
                <w:rFonts w:hint="eastAsia" w:ascii="宋体" w:hAnsi="宋体" w:eastAsia="宋体" w:cs="宋体"/>
                <w:color w:val="auto"/>
                <w:kern w:val="2"/>
                <w:szCs w:val="21"/>
                <w:highlight w:val="none"/>
              </w:rPr>
            </w:pPr>
          </w:p>
        </w:tc>
        <w:tc>
          <w:tcPr>
            <w:tcW w:w="390" w:type="pct"/>
          </w:tcPr>
          <w:p>
            <w:pPr>
              <w:spacing w:line="360" w:lineRule="auto"/>
              <w:rPr>
                <w:rFonts w:hint="eastAsia" w:ascii="宋体" w:hAnsi="宋体" w:eastAsia="宋体" w:cs="宋体"/>
                <w:color w:val="auto"/>
                <w:kern w:val="2"/>
                <w:szCs w:val="21"/>
                <w:highlight w:val="none"/>
              </w:rPr>
            </w:pPr>
          </w:p>
        </w:tc>
        <w:tc>
          <w:tcPr>
            <w:tcW w:w="390"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482" w:type="pct"/>
          </w:tcPr>
          <w:p>
            <w:pPr>
              <w:spacing w:line="360" w:lineRule="auto"/>
              <w:rPr>
                <w:rFonts w:hint="eastAsia" w:ascii="宋体" w:hAnsi="宋体" w:eastAsia="宋体" w:cs="宋体"/>
                <w:color w:val="auto"/>
                <w:kern w:val="2"/>
                <w:szCs w:val="21"/>
                <w:highlight w:val="none"/>
              </w:rPr>
            </w:pPr>
          </w:p>
        </w:tc>
        <w:tc>
          <w:tcPr>
            <w:tcW w:w="814" w:type="pct"/>
          </w:tcPr>
          <w:p>
            <w:pPr>
              <w:spacing w:line="360" w:lineRule="auto"/>
              <w:rPr>
                <w:rFonts w:hint="eastAsia" w:ascii="宋体" w:hAnsi="宋体" w:eastAsia="宋体" w:cs="宋体"/>
                <w:color w:val="auto"/>
                <w:kern w:val="2"/>
                <w:szCs w:val="21"/>
                <w:highlight w:val="none"/>
              </w:rPr>
            </w:pPr>
          </w:p>
        </w:tc>
        <w:tc>
          <w:tcPr>
            <w:tcW w:w="484" w:type="pct"/>
          </w:tcPr>
          <w:p>
            <w:pPr>
              <w:spacing w:line="360" w:lineRule="auto"/>
              <w:rPr>
                <w:rFonts w:hint="eastAsia" w:ascii="宋体" w:hAnsi="宋体" w:eastAsia="宋体" w:cs="宋体"/>
                <w:color w:val="auto"/>
                <w:kern w:val="2"/>
                <w:szCs w:val="21"/>
                <w:highlight w:val="none"/>
              </w:rPr>
            </w:pPr>
          </w:p>
        </w:tc>
        <w:tc>
          <w:tcPr>
            <w:tcW w:w="637" w:type="pct"/>
          </w:tcPr>
          <w:p>
            <w:pPr>
              <w:spacing w:line="360" w:lineRule="auto"/>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5000" w:type="pct"/>
            <w:gridSpan w:val="10"/>
          </w:tcPr>
          <w:p>
            <w:pPr>
              <w:spacing w:line="360" w:lineRule="auto"/>
              <w:ind w:firstLine="472" w:firstLineChars="225"/>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tabs>
          <w:tab w:val="left" w:pos="720"/>
        </w:tabs>
        <w:spacing w:line="360" w:lineRule="auto"/>
        <w:rPr>
          <w:rFonts w:hint="eastAsia" w:ascii="宋体" w:hAnsi="宋体" w:eastAsia="宋体" w:cs="宋体"/>
          <w:color w:val="auto"/>
          <w:sz w:val="24"/>
          <w:szCs w:val="24"/>
          <w:highlight w:val="none"/>
        </w:rPr>
        <w:sectPr>
          <w:pgSz w:w="11900" w:h="16838"/>
          <w:pgMar w:top="1440" w:right="1080" w:bottom="1440" w:left="1080" w:header="567" w:footer="567" w:gutter="0"/>
          <w:cols w:equalWidth="0" w:num="1">
            <w:col w:w="9026"/>
          </w:cols>
        </w:sectPr>
      </w:pPr>
    </w:p>
    <w:p>
      <w:pPr>
        <w:tabs>
          <w:tab w:val="left" w:pos="720"/>
        </w:tabs>
        <w:spacing w:line="360" w:lineRule="auto"/>
        <w:rPr>
          <w:rFonts w:hint="eastAsia" w:ascii="宋体" w:hAnsi="宋体" w:eastAsia="宋体" w:cs="宋体"/>
          <w:b/>
          <w:color w:val="auto"/>
          <w:sz w:val="24"/>
          <w:szCs w:val="24"/>
          <w:highlight w:val="none"/>
        </w:rPr>
      </w:pPr>
      <w:bookmarkStart w:id="174" w:name="_Toc19415_WPSOffice_Level2"/>
      <w:bookmarkStart w:id="175" w:name="_Toc32746"/>
      <w:bookmarkStart w:id="176" w:name="_Toc22932_WPSOffice_Level2"/>
      <w:bookmarkStart w:id="177" w:name="_Toc9230_WPSOffice_Level2"/>
      <w:r>
        <w:rPr>
          <w:rFonts w:hint="eastAsia" w:ascii="宋体" w:hAnsi="宋体" w:eastAsia="宋体" w:cs="宋体"/>
          <w:b/>
          <w:color w:val="auto"/>
          <w:sz w:val="24"/>
          <w:szCs w:val="24"/>
          <w:highlight w:val="none"/>
        </w:rPr>
        <w:t>附表四、项目经理简历表</w:t>
      </w:r>
      <w:bookmarkEnd w:id="174"/>
      <w:bookmarkEnd w:id="175"/>
      <w:bookmarkEnd w:id="176"/>
      <w:bookmarkEnd w:id="177"/>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517"/>
        <w:gridCol w:w="1517"/>
        <w:gridCol w:w="1648"/>
        <w:gridCol w:w="151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姓名</w:t>
            </w:r>
          </w:p>
        </w:tc>
        <w:tc>
          <w:tcPr>
            <w:tcW w:w="821" w:type="pct"/>
            <w:vAlign w:val="center"/>
          </w:tcPr>
          <w:p>
            <w:pPr>
              <w:spacing w:line="240" w:lineRule="atLeast"/>
              <w:jc w:val="center"/>
              <w:rPr>
                <w:rFonts w:hint="eastAsia" w:ascii="宋体" w:hAnsi="宋体" w:eastAsia="宋体" w:cs="宋体"/>
                <w:color w:val="auto"/>
                <w:kern w:val="2"/>
                <w:szCs w:val="21"/>
                <w:highlight w:val="none"/>
              </w:rPr>
            </w:pPr>
          </w:p>
        </w:tc>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性别</w:t>
            </w:r>
          </w:p>
        </w:tc>
        <w:tc>
          <w:tcPr>
            <w:tcW w:w="892" w:type="pct"/>
            <w:vAlign w:val="center"/>
          </w:tcPr>
          <w:p>
            <w:pPr>
              <w:spacing w:line="240" w:lineRule="atLeast"/>
              <w:jc w:val="center"/>
              <w:rPr>
                <w:rFonts w:hint="eastAsia" w:ascii="宋体" w:hAnsi="宋体" w:eastAsia="宋体" w:cs="宋体"/>
                <w:color w:val="auto"/>
                <w:kern w:val="2"/>
                <w:szCs w:val="21"/>
                <w:highlight w:val="none"/>
              </w:rPr>
            </w:pPr>
          </w:p>
        </w:tc>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年龄</w:t>
            </w:r>
          </w:p>
        </w:tc>
        <w:tc>
          <w:tcPr>
            <w:tcW w:w="821" w:type="pct"/>
            <w:vAlign w:val="center"/>
          </w:tcPr>
          <w:p>
            <w:pPr>
              <w:spacing w:line="240" w:lineRule="atLeas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职务</w:t>
            </w:r>
          </w:p>
        </w:tc>
        <w:tc>
          <w:tcPr>
            <w:tcW w:w="821" w:type="pct"/>
            <w:vAlign w:val="center"/>
          </w:tcPr>
          <w:p>
            <w:pPr>
              <w:spacing w:line="240" w:lineRule="atLeast"/>
              <w:jc w:val="center"/>
              <w:rPr>
                <w:rFonts w:hint="eastAsia" w:ascii="宋体" w:hAnsi="宋体" w:eastAsia="宋体" w:cs="宋体"/>
                <w:color w:val="auto"/>
                <w:kern w:val="2"/>
                <w:szCs w:val="21"/>
                <w:highlight w:val="none"/>
              </w:rPr>
            </w:pPr>
          </w:p>
        </w:tc>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职称</w:t>
            </w:r>
          </w:p>
        </w:tc>
        <w:tc>
          <w:tcPr>
            <w:tcW w:w="892" w:type="pct"/>
            <w:vAlign w:val="center"/>
          </w:tcPr>
          <w:p>
            <w:pPr>
              <w:spacing w:line="240" w:lineRule="atLeast"/>
              <w:jc w:val="center"/>
              <w:rPr>
                <w:rFonts w:hint="eastAsia" w:ascii="宋体" w:hAnsi="宋体" w:eastAsia="宋体" w:cs="宋体"/>
                <w:color w:val="auto"/>
                <w:kern w:val="2"/>
                <w:szCs w:val="21"/>
                <w:highlight w:val="none"/>
              </w:rPr>
            </w:pPr>
          </w:p>
        </w:tc>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学历</w:t>
            </w:r>
          </w:p>
        </w:tc>
        <w:tc>
          <w:tcPr>
            <w:tcW w:w="821" w:type="pct"/>
            <w:vAlign w:val="center"/>
          </w:tcPr>
          <w:p>
            <w:pPr>
              <w:spacing w:line="240" w:lineRule="atLeas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2" w:type="pct"/>
            <w:gridSpan w:val="2"/>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参加工作时间</w:t>
            </w:r>
          </w:p>
        </w:tc>
        <w:tc>
          <w:tcPr>
            <w:tcW w:w="821" w:type="pct"/>
            <w:vAlign w:val="center"/>
          </w:tcPr>
          <w:p>
            <w:pPr>
              <w:spacing w:line="240" w:lineRule="atLeast"/>
              <w:jc w:val="center"/>
              <w:rPr>
                <w:rFonts w:hint="eastAsia" w:ascii="宋体" w:hAnsi="宋体" w:eastAsia="宋体" w:cs="宋体"/>
                <w:color w:val="auto"/>
                <w:kern w:val="2"/>
                <w:szCs w:val="21"/>
                <w:highlight w:val="none"/>
              </w:rPr>
            </w:pPr>
          </w:p>
        </w:tc>
        <w:tc>
          <w:tcPr>
            <w:tcW w:w="1714" w:type="pct"/>
            <w:gridSpan w:val="2"/>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从事项目经理年限</w:t>
            </w:r>
          </w:p>
        </w:tc>
        <w:tc>
          <w:tcPr>
            <w:tcW w:w="821" w:type="pct"/>
            <w:vAlign w:val="center"/>
          </w:tcPr>
          <w:p>
            <w:pPr>
              <w:spacing w:line="240" w:lineRule="atLeas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2" w:type="pct"/>
            <w:gridSpan w:val="2"/>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项目经理资格证书编号</w:t>
            </w:r>
          </w:p>
        </w:tc>
        <w:tc>
          <w:tcPr>
            <w:tcW w:w="3357" w:type="pct"/>
            <w:gridSpan w:val="4"/>
            <w:vAlign w:val="center"/>
          </w:tcPr>
          <w:p>
            <w:pPr>
              <w:spacing w:line="240" w:lineRule="atLeas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建设单位</w:t>
            </w:r>
          </w:p>
        </w:tc>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项目名称</w:t>
            </w:r>
          </w:p>
        </w:tc>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建设规模</w:t>
            </w:r>
          </w:p>
        </w:tc>
        <w:tc>
          <w:tcPr>
            <w:tcW w:w="892"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开、竣工日期</w:t>
            </w:r>
          </w:p>
        </w:tc>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在建或已完</w:t>
            </w:r>
          </w:p>
        </w:tc>
        <w:tc>
          <w:tcPr>
            <w:tcW w:w="821" w:type="pct"/>
            <w:vAlign w:val="center"/>
          </w:tcPr>
          <w:p>
            <w:pPr>
              <w:spacing w:line="240" w:lineRule="atLeas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92"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92"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92"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92"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r>
    </w:tbl>
    <w:p>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备注：后附项目经理注册证书、B证、职称证、业绩等</w:t>
      </w:r>
    </w:p>
    <w:p>
      <w:pPr>
        <w:tabs>
          <w:tab w:val="left" w:pos="720"/>
        </w:tabs>
        <w:spacing w:line="360" w:lineRule="auto"/>
        <w:rPr>
          <w:rFonts w:hint="eastAsia" w:ascii="宋体" w:hAnsi="宋体" w:eastAsia="宋体" w:cs="宋体"/>
          <w:color w:val="auto"/>
          <w:sz w:val="24"/>
          <w:szCs w:val="24"/>
          <w:highlight w:val="none"/>
        </w:rPr>
      </w:pPr>
    </w:p>
    <w:p>
      <w:pPr>
        <w:tabs>
          <w:tab w:val="left" w:pos="720"/>
        </w:tabs>
        <w:spacing w:line="360" w:lineRule="auto"/>
        <w:rPr>
          <w:rFonts w:hint="eastAsia" w:ascii="宋体" w:hAnsi="宋体" w:eastAsia="宋体" w:cs="宋体"/>
          <w:b/>
          <w:color w:val="auto"/>
          <w:sz w:val="24"/>
          <w:szCs w:val="24"/>
          <w:highlight w:val="none"/>
        </w:rPr>
      </w:pPr>
      <w:bookmarkStart w:id="178" w:name="_Toc28183_WPSOffice_Level2"/>
      <w:bookmarkStart w:id="179" w:name="_Toc18370_WPSOffice_Level2"/>
      <w:bookmarkStart w:id="180" w:name="_Toc11913"/>
      <w:bookmarkStart w:id="181" w:name="_Toc2242_WPSOffice_Level2"/>
      <w:r>
        <w:rPr>
          <w:rFonts w:hint="eastAsia" w:ascii="宋体" w:hAnsi="宋体" w:eastAsia="宋体" w:cs="宋体"/>
          <w:b/>
          <w:color w:val="auto"/>
          <w:sz w:val="24"/>
          <w:szCs w:val="24"/>
          <w:highlight w:val="none"/>
        </w:rPr>
        <w:t>附表五、技术负责人简历表</w:t>
      </w:r>
      <w:bookmarkEnd w:id="178"/>
      <w:bookmarkEnd w:id="179"/>
      <w:bookmarkEnd w:id="180"/>
      <w:bookmarkEnd w:id="181"/>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517"/>
        <w:gridCol w:w="1517"/>
        <w:gridCol w:w="1648"/>
        <w:gridCol w:w="151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姓名</w:t>
            </w:r>
          </w:p>
        </w:tc>
        <w:tc>
          <w:tcPr>
            <w:tcW w:w="821" w:type="pct"/>
            <w:vAlign w:val="center"/>
          </w:tcPr>
          <w:p>
            <w:pPr>
              <w:spacing w:line="240" w:lineRule="exact"/>
              <w:jc w:val="center"/>
              <w:rPr>
                <w:rFonts w:hint="eastAsia" w:ascii="宋体" w:hAnsi="宋体" w:eastAsia="宋体" w:cs="宋体"/>
                <w:color w:val="auto"/>
                <w:kern w:val="2"/>
                <w:szCs w:val="21"/>
                <w:highlight w:val="none"/>
              </w:rPr>
            </w:pPr>
          </w:p>
        </w:tc>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性别</w:t>
            </w:r>
          </w:p>
        </w:tc>
        <w:tc>
          <w:tcPr>
            <w:tcW w:w="892" w:type="pct"/>
            <w:vAlign w:val="center"/>
          </w:tcPr>
          <w:p>
            <w:pPr>
              <w:spacing w:line="240" w:lineRule="exact"/>
              <w:jc w:val="center"/>
              <w:rPr>
                <w:rFonts w:hint="eastAsia" w:ascii="宋体" w:hAnsi="宋体" w:eastAsia="宋体" w:cs="宋体"/>
                <w:color w:val="auto"/>
                <w:kern w:val="2"/>
                <w:szCs w:val="21"/>
                <w:highlight w:val="none"/>
              </w:rPr>
            </w:pPr>
          </w:p>
        </w:tc>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年龄</w:t>
            </w:r>
          </w:p>
        </w:tc>
        <w:tc>
          <w:tcPr>
            <w:tcW w:w="821" w:type="pct"/>
            <w:vAlign w:val="center"/>
          </w:tcPr>
          <w:p>
            <w:pPr>
              <w:spacing w:line="240" w:lineRule="exac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职务</w:t>
            </w:r>
          </w:p>
        </w:tc>
        <w:tc>
          <w:tcPr>
            <w:tcW w:w="821" w:type="pct"/>
            <w:vAlign w:val="center"/>
          </w:tcPr>
          <w:p>
            <w:pPr>
              <w:spacing w:line="240" w:lineRule="exact"/>
              <w:jc w:val="center"/>
              <w:rPr>
                <w:rFonts w:hint="eastAsia" w:ascii="宋体" w:hAnsi="宋体" w:eastAsia="宋体" w:cs="宋体"/>
                <w:color w:val="auto"/>
                <w:kern w:val="2"/>
                <w:szCs w:val="21"/>
                <w:highlight w:val="none"/>
              </w:rPr>
            </w:pPr>
          </w:p>
        </w:tc>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职称</w:t>
            </w:r>
          </w:p>
        </w:tc>
        <w:tc>
          <w:tcPr>
            <w:tcW w:w="892" w:type="pct"/>
            <w:vAlign w:val="center"/>
          </w:tcPr>
          <w:p>
            <w:pPr>
              <w:spacing w:line="240" w:lineRule="exact"/>
              <w:jc w:val="center"/>
              <w:rPr>
                <w:rFonts w:hint="eastAsia" w:ascii="宋体" w:hAnsi="宋体" w:eastAsia="宋体" w:cs="宋体"/>
                <w:color w:val="auto"/>
                <w:kern w:val="2"/>
                <w:szCs w:val="21"/>
                <w:highlight w:val="none"/>
              </w:rPr>
            </w:pPr>
          </w:p>
        </w:tc>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学历</w:t>
            </w:r>
          </w:p>
        </w:tc>
        <w:tc>
          <w:tcPr>
            <w:tcW w:w="821" w:type="pct"/>
            <w:vAlign w:val="center"/>
          </w:tcPr>
          <w:p>
            <w:pPr>
              <w:spacing w:line="240" w:lineRule="exac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2" w:type="pct"/>
            <w:gridSpan w:val="2"/>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参加工作时间</w:t>
            </w:r>
          </w:p>
        </w:tc>
        <w:tc>
          <w:tcPr>
            <w:tcW w:w="821" w:type="pct"/>
            <w:vAlign w:val="center"/>
          </w:tcPr>
          <w:p>
            <w:pPr>
              <w:spacing w:line="240" w:lineRule="exact"/>
              <w:jc w:val="center"/>
              <w:rPr>
                <w:rFonts w:hint="eastAsia" w:ascii="宋体" w:hAnsi="宋体" w:eastAsia="宋体" w:cs="宋体"/>
                <w:color w:val="auto"/>
                <w:kern w:val="2"/>
                <w:szCs w:val="21"/>
                <w:highlight w:val="none"/>
              </w:rPr>
            </w:pPr>
          </w:p>
        </w:tc>
        <w:tc>
          <w:tcPr>
            <w:tcW w:w="1714" w:type="pct"/>
            <w:gridSpan w:val="2"/>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从事技术负责人年限</w:t>
            </w:r>
          </w:p>
        </w:tc>
        <w:tc>
          <w:tcPr>
            <w:tcW w:w="821" w:type="pct"/>
            <w:vAlign w:val="center"/>
          </w:tcPr>
          <w:p>
            <w:pPr>
              <w:spacing w:line="240" w:lineRule="exac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2" w:type="pct"/>
            <w:gridSpan w:val="2"/>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资格证书名称及编号</w:t>
            </w:r>
          </w:p>
        </w:tc>
        <w:tc>
          <w:tcPr>
            <w:tcW w:w="3357" w:type="pct"/>
            <w:gridSpan w:val="4"/>
            <w:vAlign w:val="center"/>
          </w:tcPr>
          <w:p>
            <w:pPr>
              <w:spacing w:line="240" w:lineRule="exac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建设单位</w:t>
            </w:r>
          </w:p>
        </w:tc>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项目名称</w:t>
            </w:r>
          </w:p>
        </w:tc>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建设规模</w:t>
            </w:r>
          </w:p>
        </w:tc>
        <w:tc>
          <w:tcPr>
            <w:tcW w:w="892"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开、竣工日期</w:t>
            </w:r>
          </w:p>
        </w:tc>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在建或已完</w:t>
            </w:r>
          </w:p>
        </w:tc>
        <w:tc>
          <w:tcPr>
            <w:tcW w:w="821" w:type="pct"/>
            <w:vAlign w:val="center"/>
          </w:tcPr>
          <w:p>
            <w:pPr>
              <w:spacing w:line="2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92"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92"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92"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c>
          <w:tcPr>
            <w:tcW w:w="821" w:type="pct"/>
          </w:tcPr>
          <w:p>
            <w:pPr>
              <w:spacing w:line="360" w:lineRule="auto"/>
              <w:rPr>
                <w:rFonts w:hint="eastAsia" w:ascii="宋体" w:hAnsi="宋体" w:eastAsia="宋体" w:cs="宋体"/>
                <w:color w:val="auto"/>
                <w:kern w:val="2"/>
                <w:szCs w:val="21"/>
                <w:highlight w:val="none"/>
              </w:rPr>
            </w:pPr>
          </w:p>
        </w:tc>
      </w:tr>
    </w:tbl>
    <w:p>
      <w:pPr>
        <w:spacing w:line="360" w:lineRule="auto"/>
        <w:jc w:val="center"/>
        <w:rPr>
          <w:rFonts w:hint="eastAsia" w:ascii="宋体" w:hAnsi="宋体" w:eastAsia="宋体" w:cs="宋体"/>
          <w:b/>
          <w:bCs/>
          <w:color w:val="auto"/>
          <w:szCs w:val="28"/>
          <w:highlight w:val="none"/>
        </w:rPr>
      </w:pPr>
    </w:p>
    <w:p>
      <w:pPr>
        <w:spacing w:line="360" w:lineRule="auto"/>
        <w:jc w:val="center"/>
        <w:rPr>
          <w:rFonts w:hint="eastAsia" w:ascii="宋体" w:hAnsi="宋体" w:eastAsia="宋体" w:cs="宋体"/>
          <w:b/>
          <w:bCs/>
          <w:color w:val="auto"/>
          <w:szCs w:val="28"/>
          <w:highlight w:val="none"/>
        </w:rPr>
      </w:pPr>
    </w:p>
    <w:p>
      <w:pPr>
        <w:tabs>
          <w:tab w:val="left" w:pos="720"/>
        </w:tabs>
        <w:spacing w:line="360" w:lineRule="auto"/>
        <w:rPr>
          <w:rFonts w:hint="eastAsia" w:ascii="宋体" w:hAnsi="宋体" w:eastAsia="宋体" w:cs="宋体"/>
          <w:b/>
          <w:color w:val="auto"/>
          <w:sz w:val="24"/>
          <w:szCs w:val="24"/>
          <w:highlight w:val="none"/>
        </w:rPr>
        <w:sectPr>
          <w:pgSz w:w="11900" w:h="16838"/>
          <w:pgMar w:top="1440" w:right="1080" w:bottom="1440" w:left="1080" w:header="567" w:footer="567" w:gutter="0"/>
          <w:cols w:equalWidth="0" w:num="1">
            <w:col w:w="9026"/>
          </w:cols>
        </w:sectPr>
      </w:pPr>
      <w:bookmarkStart w:id="182" w:name="_Toc246392157"/>
      <w:bookmarkStart w:id="183" w:name="_Toc152045799"/>
      <w:bookmarkStart w:id="184" w:name="_Toc144974867"/>
      <w:bookmarkStart w:id="185" w:name="_Toc179632819"/>
      <w:bookmarkStart w:id="186" w:name="_Toc152042588"/>
      <w:bookmarkStart w:id="187" w:name="_Toc28662_WPSOffice_Level2"/>
    </w:p>
    <w:p>
      <w:pPr>
        <w:tabs>
          <w:tab w:val="left" w:pos="720"/>
        </w:tabs>
        <w:spacing w:line="360" w:lineRule="auto"/>
        <w:rPr>
          <w:rFonts w:hint="eastAsia" w:ascii="宋体" w:hAnsi="宋体" w:eastAsia="宋体" w:cs="宋体"/>
          <w:b/>
          <w:color w:val="auto"/>
          <w:sz w:val="24"/>
          <w:szCs w:val="24"/>
          <w:highlight w:val="none"/>
        </w:rPr>
      </w:pPr>
      <w:bookmarkStart w:id="188" w:name="_Toc17278_WPSOffice_Level2"/>
      <w:bookmarkStart w:id="189" w:name="_Toc24589_WPSOffice_Level2"/>
      <w:bookmarkStart w:id="190" w:name="_Toc24300"/>
      <w:r>
        <w:rPr>
          <w:rFonts w:hint="eastAsia" w:ascii="宋体" w:hAnsi="宋体" w:eastAsia="宋体" w:cs="宋体"/>
          <w:b/>
          <w:color w:val="auto"/>
          <w:sz w:val="24"/>
          <w:szCs w:val="24"/>
          <w:highlight w:val="none"/>
        </w:rPr>
        <w:t>附表六：劳动力计划表</w:t>
      </w:r>
      <w:bookmarkEnd w:id="182"/>
      <w:bookmarkEnd w:id="183"/>
      <w:bookmarkEnd w:id="184"/>
      <w:bookmarkEnd w:id="185"/>
      <w:bookmarkEnd w:id="186"/>
      <w:bookmarkEnd w:id="187"/>
      <w:bookmarkEnd w:id="188"/>
      <w:bookmarkEnd w:id="189"/>
      <w:bookmarkEnd w:id="190"/>
    </w:p>
    <w:p>
      <w:pPr>
        <w:spacing w:line="440" w:lineRule="exact"/>
        <w:ind w:right="4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91" w:name="_Toc10130_WPSOffice_Level2"/>
      <w:bookmarkStart w:id="192" w:name="_Toc13766_WPSOffice_Level2"/>
      <w:bookmarkStart w:id="193" w:name="_Toc3046_WPSOffice_Level2"/>
      <w:r>
        <w:rPr>
          <w:rFonts w:hint="eastAsia" w:ascii="宋体" w:hAnsi="宋体" w:eastAsia="宋体" w:cs="宋体"/>
          <w:color w:val="auto"/>
          <w:sz w:val="24"/>
          <w:szCs w:val="24"/>
          <w:highlight w:val="none"/>
        </w:rPr>
        <w:t>单位：人</w:t>
      </w:r>
      <w:bookmarkEnd w:id="191"/>
      <w:bookmarkEnd w:id="192"/>
      <w:bookmarkEnd w:id="193"/>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970"/>
        <w:gridCol w:w="1264"/>
        <w:gridCol w:w="1264"/>
        <w:gridCol w:w="974"/>
        <w:gridCol w:w="1264"/>
        <w:gridCol w:w="126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vAlign w:val="center"/>
          </w:tcPr>
          <w:p>
            <w:pPr>
              <w:spacing w:line="4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工种</w:t>
            </w:r>
          </w:p>
        </w:tc>
        <w:tc>
          <w:tcPr>
            <w:tcW w:w="4468" w:type="pct"/>
            <w:gridSpan w:val="7"/>
            <w:vAlign w:val="center"/>
          </w:tcPr>
          <w:p>
            <w:pPr>
              <w:spacing w:line="44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vAlign w:val="center"/>
          </w:tcPr>
          <w:p>
            <w:pPr>
              <w:spacing w:line="440" w:lineRule="exact"/>
              <w:jc w:val="center"/>
              <w:rPr>
                <w:rFonts w:hint="eastAsia" w:ascii="宋体" w:hAnsi="宋体" w:eastAsia="宋体" w:cs="宋体"/>
                <w:color w:val="auto"/>
                <w:kern w:val="2"/>
                <w:szCs w:val="21"/>
                <w:highlight w:val="none"/>
              </w:rPr>
            </w:pPr>
          </w:p>
        </w:tc>
        <w:tc>
          <w:tcPr>
            <w:tcW w:w="525" w:type="pct"/>
            <w:vAlign w:val="center"/>
          </w:tcPr>
          <w:p>
            <w:pPr>
              <w:spacing w:line="440" w:lineRule="exact"/>
              <w:jc w:val="center"/>
              <w:rPr>
                <w:rFonts w:hint="eastAsia" w:ascii="宋体" w:hAnsi="宋体" w:eastAsia="宋体" w:cs="宋体"/>
                <w:color w:val="auto"/>
                <w:kern w:val="2"/>
                <w:szCs w:val="21"/>
                <w:highlight w:val="none"/>
              </w:rPr>
            </w:pPr>
          </w:p>
        </w:tc>
        <w:tc>
          <w:tcPr>
            <w:tcW w:w="684" w:type="pct"/>
            <w:vAlign w:val="center"/>
          </w:tcPr>
          <w:p>
            <w:pPr>
              <w:spacing w:line="440" w:lineRule="exact"/>
              <w:jc w:val="center"/>
              <w:rPr>
                <w:rFonts w:hint="eastAsia" w:ascii="宋体" w:hAnsi="宋体" w:eastAsia="宋体" w:cs="宋体"/>
                <w:color w:val="auto"/>
                <w:kern w:val="2"/>
                <w:szCs w:val="21"/>
                <w:highlight w:val="none"/>
              </w:rPr>
            </w:pPr>
          </w:p>
        </w:tc>
        <w:tc>
          <w:tcPr>
            <w:tcW w:w="684" w:type="pct"/>
            <w:vAlign w:val="center"/>
          </w:tcPr>
          <w:p>
            <w:pPr>
              <w:spacing w:line="440" w:lineRule="exact"/>
              <w:jc w:val="center"/>
              <w:rPr>
                <w:rFonts w:hint="eastAsia" w:ascii="宋体" w:hAnsi="宋体" w:eastAsia="宋体" w:cs="宋体"/>
                <w:color w:val="auto"/>
                <w:kern w:val="2"/>
                <w:szCs w:val="21"/>
                <w:highlight w:val="none"/>
              </w:rPr>
            </w:pPr>
          </w:p>
        </w:tc>
        <w:tc>
          <w:tcPr>
            <w:tcW w:w="527" w:type="pct"/>
            <w:vAlign w:val="center"/>
          </w:tcPr>
          <w:p>
            <w:pPr>
              <w:spacing w:line="440" w:lineRule="exact"/>
              <w:jc w:val="center"/>
              <w:rPr>
                <w:rFonts w:hint="eastAsia" w:ascii="宋体" w:hAnsi="宋体" w:eastAsia="宋体" w:cs="宋体"/>
                <w:color w:val="auto"/>
                <w:kern w:val="2"/>
                <w:szCs w:val="21"/>
                <w:highlight w:val="none"/>
              </w:rPr>
            </w:pPr>
          </w:p>
        </w:tc>
        <w:tc>
          <w:tcPr>
            <w:tcW w:w="684" w:type="pct"/>
            <w:vAlign w:val="center"/>
          </w:tcPr>
          <w:p>
            <w:pPr>
              <w:spacing w:line="440" w:lineRule="exact"/>
              <w:jc w:val="center"/>
              <w:rPr>
                <w:rFonts w:hint="eastAsia" w:ascii="宋体" w:hAnsi="宋体" w:eastAsia="宋体" w:cs="宋体"/>
                <w:color w:val="auto"/>
                <w:kern w:val="2"/>
                <w:szCs w:val="21"/>
                <w:highlight w:val="none"/>
              </w:rPr>
            </w:pPr>
          </w:p>
        </w:tc>
        <w:tc>
          <w:tcPr>
            <w:tcW w:w="684" w:type="pct"/>
            <w:vAlign w:val="center"/>
          </w:tcPr>
          <w:p>
            <w:pPr>
              <w:spacing w:line="440" w:lineRule="exact"/>
              <w:jc w:val="center"/>
              <w:rPr>
                <w:rFonts w:hint="eastAsia" w:ascii="宋体" w:hAnsi="宋体" w:eastAsia="宋体" w:cs="宋体"/>
                <w:color w:val="auto"/>
                <w:kern w:val="2"/>
                <w:szCs w:val="21"/>
                <w:highlight w:val="none"/>
              </w:rPr>
            </w:pPr>
          </w:p>
        </w:tc>
        <w:tc>
          <w:tcPr>
            <w:tcW w:w="678" w:type="pct"/>
            <w:vAlign w:val="center"/>
          </w:tcPr>
          <w:p>
            <w:pPr>
              <w:spacing w:line="440" w:lineRule="exac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vAlign w:val="center"/>
          </w:tcPr>
          <w:p>
            <w:pPr>
              <w:spacing w:line="440" w:lineRule="exact"/>
              <w:jc w:val="center"/>
              <w:rPr>
                <w:rFonts w:hint="eastAsia" w:ascii="宋体" w:hAnsi="宋体" w:eastAsia="宋体" w:cs="宋体"/>
                <w:color w:val="auto"/>
                <w:kern w:val="2"/>
                <w:szCs w:val="21"/>
                <w:highlight w:val="none"/>
              </w:rPr>
            </w:pPr>
          </w:p>
        </w:tc>
        <w:tc>
          <w:tcPr>
            <w:tcW w:w="525" w:type="pct"/>
            <w:vAlign w:val="center"/>
          </w:tcPr>
          <w:p>
            <w:pPr>
              <w:spacing w:line="440" w:lineRule="exact"/>
              <w:jc w:val="center"/>
              <w:rPr>
                <w:rFonts w:hint="eastAsia" w:ascii="宋体" w:hAnsi="宋体" w:eastAsia="宋体" w:cs="宋体"/>
                <w:color w:val="auto"/>
                <w:kern w:val="2"/>
                <w:szCs w:val="21"/>
                <w:highlight w:val="none"/>
              </w:rPr>
            </w:pPr>
          </w:p>
        </w:tc>
        <w:tc>
          <w:tcPr>
            <w:tcW w:w="684" w:type="pct"/>
            <w:vAlign w:val="center"/>
          </w:tcPr>
          <w:p>
            <w:pPr>
              <w:spacing w:line="440" w:lineRule="exact"/>
              <w:jc w:val="center"/>
              <w:rPr>
                <w:rFonts w:hint="eastAsia" w:ascii="宋体" w:hAnsi="宋体" w:eastAsia="宋体" w:cs="宋体"/>
                <w:color w:val="auto"/>
                <w:kern w:val="2"/>
                <w:szCs w:val="21"/>
                <w:highlight w:val="none"/>
              </w:rPr>
            </w:pPr>
          </w:p>
        </w:tc>
        <w:tc>
          <w:tcPr>
            <w:tcW w:w="684" w:type="pct"/>
            <w:vAlign w:val="center"/>
          </w:tcPr>
          <w:p>
            <w:pPr>
              <w:spacing w:line="440" w:lineRule="exact"/>
              <w:jc w:val="center"/>
              <w:rPr>
                <w:rFonts w:hint="eastAsia" w:ascii="宋体" w:hAnsi="宋体" w:eastAsia="宋体" w:cs="宋体"/>
                <w:color w:val="auto"/>
                <w:kern w:val="2"/>
                <w:szCs w:val="21"/>
                <w:highlight w:val="none"/>
              </w:rPr>
            </w:pPr>
          </w:p>
        </w:tc>
        <w:tc>
          <w:tcPr>
            <w:tcW w:w="527" w:type="pct"/>
            <w:vAlign w:val="center"/>
          </w:tcPr>
          <w:p>
            <w:pPr>
              <w:spacing w:line="440" w:lineRule="exact"/>
              <w:jc w:val="center"/>
              <w:rPr>
                <w:rFonts w:hint="eastAsia" w:ascii="宋体" w:hAnsi="宋体" w:eastAsia="宋体" w:cs="宋体"/>
                <w:color w:val="auto"/>
                <w:kern w:val="2"/>
                <w:szCs w:val="21"/>
                <w:highlight w:val="none"/>
              </w:rPr>
            </w:pPr>
          </w:p>
        </w:tc>
        <w:tc>
          <w:tcPr>
            <w:tcW w:w="684" w:type="pct"/>
            <w:vAlign w:val="center"/>
          </w:tcPr>
          <w:p>
            <w:pPr>
              <w:spacing w:line="440" w:lineRule="exact"/>
              <w:jc w:val="center"/>
              <w:rPr>
                <w:rFonts w:hint="eastAsia" w:ascii="宋体" w:hAnsi="宋体" w:eastAsia="宋体" w:cs="宋体"/>
                <w:color w:val="auto"/>
                <w:kern w:val="2"/>
                <w:szCs w:val="21"/>
                <w:highlight w:val="none"/>
              </w:rPr>
            </w:pPr>
          </w:p>
        </w:tc>
        <w:tc>
          <w:tcPr>
            <w:tcW w:w="684" w:type="pct"/>
            <w:vAlign w:val="center"/>
          </w:tcPr>
          <w:p>
            <w:pPr>
              <w:spacing w:line="440" w:lineRule="exact"/>
              <w:jc w:val="center"/>
              <w:rPr>
                <w:rFonts w:hint="eastAsia" w:ascii="宋体" w:hAnsi="宋体" w:eastAsia="宋体" w:cs="宋体"/>
                <w:color w:val="auto"/>
                <w:kern w:val="2"/>
                <w:szCs w:val="21"/>
                <w:highlight w:val="none"/>
              </w:rPr>
            </w:pPr>
          </w:p>
        </w:tc>
        <w:tc>
          <w:tcPr>
            <w:tcW w:w="678" w:type="pct"/>
            <w:vAlign w:val="center"/>
          </w:tcPr>
          <w:p>
            <w:pPr>
              <w:spacing w:line="440" w:lineRule="exac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tcPr>
          <w:p>
            <w:pPr>
              <w:spacing w:line="440" w:lineRule="exact"/>
              <w:jc w:val="center"/>
              <w:rPr>
                <w:rFonts w:hint="eastAsia" w:ascii="宋体" w:hAnsi="宋体" w:eastAsia="宋体" w:cs="宋体"/>
                <w:color w:val="auto"/>
                <w:kern w:val="2"/>
                <w:szCs w:val="21"/>
                <w:highlight w:val="none"/>
              </w:rPr>
            </w:pPr>
          </w:p>
        </w:tc>
        <w:tc>
          <w:tcPr>
            <w:tcW w:w="525"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527"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678" w:type="pct"/>
          </w:tcPr>
          <w:p>
            <w:pPr>
              <w:spacing w:line="440" w:lineRule="exac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tcPr>
          <w:p>
            <w:pPr>
              <w:spacing w:line="440" w:lineRule="exact"/>
              <w:jc w:val="center"/>
              <w:rPr>
                <w:rFonts w:hint="eastAsia" w:ascii="宋体" w:hAnsi="宋体" w:eastAsia="宋体" w:cs="宋体"/>
                <w:color w:val="auto"/>
                <w:kern w:val="2"/>
                <w:szCs w:val="21"/>
                <w:highlight w:val="none"/>
              </w:rPr>
            </w:pPr>
          </w:p>
        </w:tc>
        <w:tc>
          <w:tcPr>
            <w:tcW w:w="525"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527"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678" w:type="pct"/>
          </w:tcPr>
          <w:p>
            <w:pPr>
              <w:spacing w:line="440" w:lineRule="exact"/>
              <w:jc w:val="center"/>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tcPr>
          <w:p>
            <w:pPr>
              <w:spacing w:line="440" w:lineRule="exact"/>
              <w:jc w:val="center"/>
              <w:rPr>
                <w:rFonts w:hint="eastAsia" w:ascii="宋体" w:hAnsi="宋体" w:eastAsia="宋体" w:cs="宋体"/>
                <w:color w:val="auto"/>
                <w:kern w:val="2"/>
                <w:szCs w:val="21"/>
                <w:highlight w:val="none"/>
              </w:rPr>
            </w:pPr>
          </w:p>
        </w:tc>
        <w:tc>
          <w:tcPr>
            <w:tcW w:w="525"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527"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684" w:type="pct"/>
          </w:tcPr>
          <w:p>
            <w:pPr>
              <w:spacing w:line="440" w:lineRule="exact"/>
              <w:jc w:val="center"/>
              <w:rPr>
                <w:rFonts w:hint="eastAsia" w:ascii="宋体" w:hAnsi="宋体" w:eastAsia="宋体" w:cs="宋体"/>
                <w:color w:val="auto"/>
                <w:kern w:val="2"/>
                <w:szCs w:val="21"/>
                <w:highlight w:val="none"/>
              </w:rPr>
            </w:pPr>
          </w:p>
        </w:tc>
        <w:tc>
          <w:tcPr>
            <w:tcW w:w="678" w:type="pct"/>
          </w:tcPr>
          <w:p>
            <w:pPr>
              <w:spacing w:line="440" w:lineRule="exact"/>
              <w:jc w:val="center"/>
              <w:rPr>
                <w:rFonts w:hint="eastAsia" w:ascii="宋体" w:hAnsi="宋体" w:eastAsia="宋体" w:cs="宋体"/>
                <w:color w:val="auto"/>
                <w:kern w:val="2"/>
                <w:szCs w:val="21"/>
                <w:highlight w:val="none"/>
              </w:rPr>
            </w:pPr>
          </w:p>
        </w:tc>
      </w:tr>
    </w:tbl>
    <w:p>
      <w:pPr>
        <w:tabs>
          <w:tab w:val="left" w:pos="720"/>
        </w:tabs>
        <w:spacing w:line="360" w:lineRule="auto"/>
        <w:rPr>
          <w:rFonts w:hint="eastAsia" w:ascii="宋体" w:hAnsi="宋体" w:eastAsia="宋体" w:cs="宋体"/>
          <w:b/>
          <w:color w:val="auto"/>
          <w:sz w:val="24"/>
          <w:szCs w:val="24"/>
          <w:highlight w:val="none"/>
        </w:rPr>
      </w:pPr>
      <w:bookmarkStart w:id="194" w:name="_Toc152042589"/>
      <w:bookmarkStart w:id="195" w:name="_Toc246392158"/>
      <w:bookmarkStart w:id="196" w:name="_Toc179632820"/>
      <w:bookmarkStart w:id="197" w:name="_Toc152045800"/>
      <w:bookmarkStart w:id="198" w:name="_Toc144974868"/>
    </w:p>
    <w:p>
      <w:pPr>
        <w:tabs>
          <w:tab w:val="left" w:pos="720"/>
        </w:tabs>
        <w:spacing w:line="360" w:lineRule="auto"/>
        <w:rPr>
          <w:rFonts w:hint="eastAsia" w:ascii="宋体" w:hAnsi="宋体" w:eastAsia="宋体" w:cs="宋体"/>
          <w:b/>
          <w:color w:val="auto"/>
          <w:sz w:val="24"/>
          <w:szCs w:val="24"/>
          <w:highlight w:val="none"/>
        </w:rPr>
      </w:pPr>
    </w:p>
    <w:p>
      <w:pPr>
        <w:tabs>
          <w:tab w:val="left" w:pos="720"/>
        </w:tabs>
        <w:spacing w:line="360" w:lineRule="auto"/>
        <w:rPr>
          <w:rFonts w:hint="eastAsia" w:ascii="宋体" w:hAnsi="宋体" w:eastAsia="宋体" w:cs="宋体"/>
          <w:b/>
          <w:color w:val="auto"/>
          <w:sz w:val="24"/>
          <w:szCs w:val="24"/>
          <w:highlight w:val="none"/>
        </w:rPr>
      </w:pPr>
      <w:bookmarkStart w:id="199" w:name="_Toc5832_WPSOffice_Level2"/>
      <w:bookmarkStart w:id="200" w:name="_Toc28001_WPSOffice_Level2"/>
      <w:bookmarkStart w:id="201" w:name="_Toc27123"/>
      <w:bookmarkStart w:id="202" w:name="_Toc21163_WPSOffice_Level2"/>
      <w:r>
        <w:rPr>
          <w:rFonts w:hint="eastAsia" w:ascii="宋体" w:hAnsi="宋体" w:eastAsia="宋体" w:cs="宋体"/>
          <w:b/>
          <w:color w:val="auto"/>
          <w:sz w:val="24"/>
          <w:szCs w:val="24"/>
          <w:highlight w:val="none"/>
        </w:rPr>
        <w:t>附表七：计划开、竣工日期和施工进度网络图</w:t>
      </w:r>
      <w:bookmarkEnd w:id="194"/>
      <w:bookmarkEnd w:id="195"/>
      <w:bookmarkEnd w:id="196"/>
      <w:bookmarkEnd w:id="197"/>
      <w:bookmarkEnd w:id="198"/>
      <w:bookmarkEnd w:id="199"/>
      <w:bookmarkEnd w:id="200"/>
      <w:bookmarkEnd w:id="201"/>
      <w:bookmarkEnd w:id="202"/>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磋商响应供应商应递交施工进度网络图或施工进度表，说明按磋商文件要求的计划工期进行施工的各个关键日期。</w:t>
      </w:r>
    </w:p>
    <w:p>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 施工进度表可采用网络图（或横道图）表示。</w:t>
      </w:r>
    </w:p>
    <w:p>
      <w:pPr>
        <w:pStyle w:val="4"/>
        <w:rPr>
          <w:rFonts w:hint="eastAsia" w:ascii="宋体" w:hAnsi="宋体" w:eastAsia="宋体" w:cs="宋体"/>
          <w:color w:val="auto"/>
          <w:sz w:val="24"/>
          <w:szCs w:val="24"/>
          <w:highlight w:val="none"/>
        </w:rPr>
        <w:sectPr>
          <w:pgSz w:w="11900" w:h="16838"/>
          <w:pgMar w:top="1440" w:right="1080" w:bottom="1440" w:left="1080" w:header="567" w:footer="567" w:gutter="0"/>
          <w:cols w:equalWidth="0" w:num="1">
            <w:col w:w="9026"/>
          </w:cols>
        </w:sectPr>
      </w:pPr>
      <w:bookmarkStart w:id="203" w:name="page85"/>
      <w:bookmarkEnd w:id="203"/>
      <w:bookmarkStart w:id="204" w:name="_Toc24058_WPSOffice_Level2"/>
    </w:p>
    <w:p>
      <w:pPr>
        <w:tabs>
          <w:tab w:val="left" w:pos="720"/>
        </w:tabs>
        <w:spacing w:line="360" w:lineRule="auto"/>
        <w:rPr>
          <w:rFonts w:hint="eastAsia" w:ascii="宋体" w:hAnsi="宋体" w:eastAsia="宋体" w:cs="宋体"/>
          <w:b/>
          <w:color w:val="auto"/>
          <w:sz w:val="24"/>
          <w:szCs w:val="24"/>
          <w:highlight w:val="none"/>
        </w:rPr>
      </w:pPr>
      <w:bookmarkStart w:id="205" w:name="_Toc27471_WPSOffice_Level2"/>
      <w:bookmarkStart w:id="206" w:name="_Toc29745_WPSOffice_Level2"/>
      <w:bookmarkStart w:id="207" w:name="_Toc16761"/>
      <w:r>
        <w:rPr>
          <w:rFonts w:hint="eastAsia" w:ascii="宋体" w:hAnsi="宋体" w:eastAsia="宋体" w:cs="宋体"/>
          <w:b/>
          <w:color w:val="auto"/>
          <w:sz w:val="24"/>
          <w:szCs w:val="24"/>
          <w:highlight w:val="none"/>
        </w:rPr>
        <w:t>附件八：</w:t>
      </w:r>
      <w:bookmarkEnd w:id="204"/>
      <w:bookmarkEnd w:id="205"/>
      <w:bookmarkEnd w:id="206"/>
      <w:bookmarkEnd w:id="207"/>
      <w:r>
        <w:rPr>
          <w:rFonts w:hint="eastAsia" w:ascii="宋体" w:hAnsi="宋体" w:eastAsia="宋体" w:cs="宋体"/>
          <w:b/>
          <w:color w:val="auto"/>
          <w:sz w:val="24"/>
          <w:szCs w:val="24"/>
          <w:highlight w:val="none"/>
        </w:rPr>
        <w:t>主要材料（设备）品牌表</w:t>
      </w:r>
    </w:p>
    <w:tbl>
      <w:tblPr>
        <w:tblStyle w:val="20"/>
        <w:tblW w:w="4998" w:type="pct"/>
        <w:tblInd w:w="0" w:type="dxa"/>
        <w:tblLayout w:type="autofit"/>
        <w:tblCellMar>
          <w:top w:w="0" w:type="dxa"/>
          <w:left w:w="108" w:type="dxa"/>
          <w:bottom w:w="0" w:type="dxa"/>
          <w:right w:w="108" w:type="dxa"/>
        </w:tblCellMar>
      </w:tblPr>
      <w:tblGrid>
        <w:gridCol w:w="981"/>
        <w:gridCol w:w="2783"/>
        <w:gridCol w:w="5474"/>
      </w:tblGrid>
      <w:tr>
        <w:tblPrEx>
          <w:tblCellMar>
            <w:top w:w="0" w:type="dxa"/>
            <w:left w:w="108" w:type="dxa"/>
            <w:bottom w:w="0" w:type="dxa"/>
            <w:right w:w="108" w:type="dxa"/>
          </w:tblCellMar>
        </w:tblPrEx>
        <w:trPr>
          <w:trHeight w:val="735" w:hRule="atLeast"/>
        </w:trPr>
        <w:tc>
          <w:tcPr>
            <w:tcW w:w="5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auto"/>
                <w:kern w:val="2"/>
                <w:sz w:val="18"/>
                <w:szCs w:val="18"/>
                <w:highlight w:val="none"/>
              </w:rPr>
            </w:pPr>
            <w:r>
              <w:rPr>
                <w:rFonts w:hint="eastAsia" w:ascii="宋体" w:hAnsi="宋体" w:eastAsia="宋体" w:cs="宋体"/>
                <w:b/>
                <w:bCs/>
                <w:color w:val="auto"/>
                <w:kern w:val="2"/>
                <w:sz w:val="18"/>
                <w:szCs w:val="18"/>
                <w:highlight w:val="none"/>
              </w:rPr>
              <w:t>序号</w:t>
            </w:r>
          </w:p>
        </w:tc>
        <w:tc>
          <w:tcPr>
            <w:tcW w:w="150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auto"/>
                <w:kern w:val="2"/>
                <w:sz w:val="18"/>
                <w:szCs w:val="18"/>
                <w:highlight w:val="none"/>
              </w:rPr>
            </w:pPr>
            <w:r>
              <w:rPr>
                <w:rFonts w:hint="eastAsia" w:ascii="宋体" w:hAnsi="宋体" w:eastAsia="宋体" w:cs="宋体"/>
                <w:b/>
                <w:bCs/>
                <w:color w:val="auto"/>
                <w:kern w:val="2"/>
                <w:sz w:val="18"/>
                <w:szCs w:val="18"/>
                <w:highlight w:val="none"/>
              </w:rPr>
              <w:t>材料名称</w:t>
            </w:r>
          </w:p>
        </w:tc>
        <w:tc>
          <w:tcPr>
            <w:tcW w:w="2962" w:type="pct"/>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auto"/>
                <w:kern w:val="2"/>
                <w:sz w:val="18"/>
                <w:szCs w:val="18"/>
                <w:highlight w:val="none"/>
              </w:rPr>
            </w:pPr>
            <w:r>
              <w:rPr>
                <w:rFonts w:hint="eastAsia" w:ascii="宋体" w:hAnsi="宋体" w:eastAsia="宋体" w:cs="宋体"/>
                <w:b/>
                <w:bCs/>
                <w:color w:val="auto"/>
                <w:kern w:val="2"/>
                <w:sz w:val="18"/>
                <w:szCs w:val="18"/>
                <w:highlight w:val="none"/>
              </w:rPr>
              <w:t>选用品牌</w:t>
            </w: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1</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3</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4</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5</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6</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7</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8</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9</w:t>
            </w:r>
          </w:p>
        </w:tc>
        <w:tc>
          <w:tcPr>
            <w:tcW w:w="1506" w:type="pct"/>
            <w:tcBorders>
              <w:top w:val="nil"/>
              <w:left w:val="nil"/>
              <w:bottom w:val="single" w:color="000000" w:sz="4" w:space="0"/>
              <w:right w:val="single" w:color="000000" w:sz="4" w:space="0"/>
            </w:tcBorders>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10</w:t>
            </w:r>
          </w:p>
        </w:tc>
        <w:tc>
          <w:tcPr>
            <w:tcW w:w="1506" w:type="pct"/>
            <w:tcBorders>
              <w:top w:val="nil"/>
              <w:left w:val="nil"/>
              <w:bottom w:val="single" w:color="000000" w:sz="4" w:space="0"/>
              <w:right w:val="single" w:color="000000" w:sz="4" w:space="0"/>
            </w:tcBorders>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11</w:t>
            </w:r>
          </w:p>
        </w:tc>
        <w:tc>
          <w:tcPr>
            <w:tcW w:w="1506" w:type="pct"/>
            <w:tcBorders>
              <w:top w:val="nil"/>
              <w:left w:val="nil"/>
              <w:bottom w:val="single" w:color="000000" w:sz="4" w:space="0"/>
              <w:right w:val="single" w:color="000000" w:sz="4" w:space="0"/>
            </w:tcBorders>
            <w:vAlign w:val="center"/>
          </w:tcPr>
          <w:p>
            <w:pPr>
              <w:pStyle w:val="52"/>
              <w:jc w:val="center"/>
              <w:rPr>
                <w:rFonts w:hint="eastAsia" w:ascii="宋体" w:hAnsi="宋体" w:eastAsia="宋体" w:cs="宋体"/>
                <w:color w:val="auto"/>
                <w:kern w:val="2"/>
                <w:sz w:val="21"/>
                <w:szCs w:val="21"/>
                <w:highlight w:val="none"/>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int="eastAsia" w:ascii="宋体" w:hAnsi="宋体" w:eastAsia="宋体" w:cs="宋体"/>
                <w:color w:val="auto"/>
                <w:kern w:val="2"/>
                <w:sz w:val="21"/>
                <w:szCs w:val="21"/>
                <w:highlight w:val="none"/>
              </w:rPr>
            </w:pPr>
          </w:p>
        </w:tc>
      </w:tr>
    </w:tbl>
    <w:p>
      <w:pPr>
        <w:tabs>
          <w:tab w:val="center" w:pos="4510"/>
        </w:tabs>
        <w:rPr>
          <w:rFonts w:hint="eastAsia" w:ascii="宋体" w:hAnsi="宋体" w:eastAsia="宋体" w:cs="宋体"/>
          <w:color w:val="auto"/>
          <w:highlight w:val="none"/>
        </w:rPr>
        <w:sectPr>
          <w:pgSz w:w="11900" w:h="16838"/>
          <w:pgMar w:top="1440" w:right="1080" w:bottom="1440" w:left="1080" w:header="567" w:footer="567" w:gutter="0"/>
          <w:cols w:equalWidth="0" w:num="1">
            <w:col w:w="9026"/>
          </w:cols>
        </w:sectPr>
      </w:pPr>
    </w:p>
    <w:p>
      <w:pPr>
        <w:tabs>
          <w:tab w:val="left" w:pos="300"/>
        </w:tabs>
        <w:spacing w:line="366" w:lineRule="exact"/>
        <w:jc w:val="center"/>
        <w:outlineLvl w:val="0"/>
        <w:rPr>
          <w:rFonts w:hint="eastAsia" w:ascii="宋体" w:hAnsi="宋体" w:eastAsia="宋体" w:cs="宋体"/>
          <w:color w:val="auto"/>
          <w:sz w:val="20"/>
          <w:szCs w:val="20"/>
          <w:highlight w:val="none"/>
        </w:rPr>
      </w:pPr>
      <w:bookmarkStart w:id="208" w:name="page89"/>
      <w:bookmarkEnd w:id="208"/>
      <w:bookmarkStart w:id="209" w:name="page88"/>
      <w:bookmarkEnd w:id="209"/>
      <w:bookmarkStart w:id="210" w:name="_Toc14818_WPSOffice_Level1"/>
      <w:bookmarkStart w:id="211" w:name="_Toc10630"/>
      <w:r>
        <w:rPr>
          <w:rFonts w:hint="eastAsia" w:ascii="宋体" w:hAnsi="宋体" w:eastAsia="宋体" w:cs="宋体"/>
          <w:b/>
          <w:bCs/>
          <w:color w:val="auto"/>
          <w:sz w:val="32"/>
          <w:szCs w:val="32"/>
          <w:highlight w:val="none"/>
        </w:rPr>
        <w:t>第七章  评审办法</w:t>
      </w:r>
      <w:bookmarkEnd w:id="210"/>
      <w:bookmarkEnd w:id="211"/>
    </w:p>
    <w:p>
      <w:pPr>
        <w:spacing w:line="256" w:lineRule="exact"/>
        <w:rPr>
          <w:rFonts w:hint="eastAsia" w:ascii="宋体" w:hAnsi="宋体" w:eastAsia="宋体" w:cs="宋体"/>
          <w:color w:val="auto"/>
          <w:sz w:val="20"/>
          <w:szCs w:val="20"/>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本评审办法遵照《中华人民共和国政府采购法》、《政府采购竞争性磋商采购方式管理暂行办法》等有关规定，并结合本项目的具体情况制定。</w:t>
      </w:r>
    </w:p>
    <w:p>
      <w:pPr>
        <w:spacing w:line="360" w:lineRule="auto"/>
        <w:ind w:firstLine="422" w:firstLineChars="200"/>
        <w:outlineLvl w:val="1"/>
        <w:rPr>
          <w:rFonts w:hint="eastAsia" w:ascii="宋体" w:hAnsi="宋体" w:eastAsia="宋体" w:cs="宋体"/>
          <w:color w:val="auto"/>
          <w:szCs w:val="21"/>
          <w:highlight w:val="none"/>
        </w:rPr>
      </w:pPr>
      <w:bookmarkStart w:id="212" w:name="_Toc23603"/>
      <w:bookmarkStart w:id="213" w:name="_Toc23288_WPSOffice_Level2"/>
      <w:bookmarkStart w:id="214" w:name="_Toc22038_WPSOffice_Level2"/>
      <w:r>
        <w:rPr>
          <w:rFonts w:hint="eastAsia" w:ascii="宋体" w:hAnsi="宋体" w:eastAsia="宋体" w:cs="宋体"/>
          <w:b/>
          <w:bCs/>
          <w:color w:val="auto"/>
          <w:szCs w:val="21"/>
          <w:highlight w:val="none"/>
        </w:rPr>
        <w:t>一、总则</w:t>
      </w:r>
      <w:bookmarkEnd w:id="212"/>
      <w:bookmarkEnd w:id="213"/>
      <w:bookmarkEnd w:id="21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outlineLvl w:val="1"/>
        <w:rPr>
          <w:rFonts w:hint="eastAsia" w:ascii="宋体" w:hAnsi="宋体" w:eastAsia="宋体" w:cs="宋体"/>
          <w:color w:val="auto"/>
          <w:szCs w:val="21"/>
          <w:highlight w:val="none"/>
        </w:rPr>
      </w:pPr>
      <w:bookmarkStart w:id="215" w:name="_Toc31748_WPSOffice_Level2"/>
      <w:bookmarkStart w:id="216" w:name="_Toc17659_WPSOffice_Level2"/>
      <w:bookmarkStart w:id="217" w:name="_Toc8091"/>
      <w:r>
        <w:rPr>
          <w:rFonts w:hint="eastAsia" w:ascii="宋体" w:hAnsi="宋体" w:eastAsia="宋体" w:cs="宋体"/>
          <w:b/>
          <w:bCs/>
          <w:color w:val="auto"/>
          <w:szCs w:val="21"/>
          <w:highlight w:val="none"/>
        </w:rPr>
        <w:t>二、评审组织</w:t>
      </w:r>
      <w:bookmarkEnd w:id="215"/>
      <w:bookmarkEnd w:id="216"/>
      <w:bookmarkEnd w:id="217"/>
    </w:p>
    <w:p>
      <w:pPr>
        <w:spacing w:line="360" w:lineRule="auto"/>
        <w:ind w:right="246"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评审工作由采购单位依法组建的磋商小组负责。磋商小组负责审标、询标、评审等工作，并向采购人提出评审意见和评审报告。</w:t>
      </w:r>
    </w:p>
    <w:p>
      <w:pPr>
        <w:spacing w:line="360" w:lineRule="auto"/>
        <w:ind w:firstLine="420" w:firstLineChars="200"/>
        <w:outlineLvl w:val="1"/>
        <w:rPr>
          <w:rFonts w:hint="eastAsia" w:ascii="宋体" w:hAnsi="宋体" w:eastAsia="宋体" w:cs="宋体"/>
          <w:color w:val="auto"/>
          <w:szCs w:val="21"/>
          <w:highlight w:val="none"/>
        </w:rPr>
      </w:pPr>
      <w:bookmarkStart w:id="218" w:name="_Toc5074_WPSOffice_Level2"/>
      <w:bookmarkStart w:id="219" w:name="_Toc15257_WPSOffice_Level2"/>
      <w:bookmarkStart w:id="220" w:name="_Toc12108"/>
      <w:r>
        <w:rPr>
          <w:rFonts w:hint="eastAsia" w:ascii="宋体" w:hAnsi="宋体" w:eastAsia="宋体" w:cs="宋体"/>
          <w:color w:val="auto"/>
          <w:szCs w:val="21"/>
          <w:highlight w:val="none"/>
        </w:rPr>
        <w:t>三、</w:t>
      </w:r>
      <w:r>
        <w:rPr>
          <w:rFonts w:hint="eastAsia" w:ascii="宋体" w:hAnsi="宋体" w:eastAsia="宋体" w:cs="宋体"/>
          <w:b/>
          <w:bCs/>
          <w:color w:val="auto"/>
          <w:szCs w:val="21"/>
          <w:highlight w:val="none"/>
        </w:rPr>
        <w:t>评标程序</w:t>
      </w:r>
      <w:bookmarkEnd w:id="218"/>
      <w:bookmarkEnd w:id="219"/>
      <w:bookmarkEnd w:id="22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程序如下：</w:t>
      </w:r>
    </w:p>
    <w:p>
      <w:pPr>
        <w:spacing w:line="360" w:lineRule="auto"/>
        <w:ind w:right="346"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按供应商提交响应文件的先后顺序当众拆封、清点响应文件（包括正本、副本）数量，将拆封后的响应文件由现场工作人员护送至指定的评审地点。对不符合装订要求的响应文件，由现场工作人员退还供应商代表。</w:t>
      </w:r>
    </w:p>
    <w:p>
      <w:pPr>
        <w:spacing w:line="360" w:lineRule="auto"/>
        <w:ind w:right="346" w:firstLine="42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商务技术评审结束后，主持人宣告评审无效供应商名称及理由并签字确认；进行二次报价填写。统一收取最终报价。评审结束后，主持人公布中标候选供应商名单，及采购人最终确定成交供应商名单的时间和公告方式等。</w:t>
      </w:r>
    </w:p>
    <w:p>
      <w:pPr>
        <w:spacing w:line="360" w:lineRule="auto"/>
        <w:ind w:firstLine="422" w:firstLineChars="200"/>
        <w:outlineLvl w:val="1"/>
        <w:rPr>
          <w:rFonts w:hint="eastAsia" w:ascii="宋体" w:hAnsi="宋体" w:eastAsia="宋体" w:cs="宋体"/>
          <w:color w:val="auto"/>
          <w:szCs w:val="21"/>
          <w:highlight w:val="none"/>
        </w:rPr>
      </w:pPr>
      <w:bookmarkStart w:id="221" w:name="_Toc28145"/>
      <w:bookmarkStart w:id="222" w:name="_Toc6442_WPSOffice_Level2"/>
      <w:bookmarkStart w:id="223" w:name="_Toc8536_WPSOffice_Level2"/>
      <w:bookmarkStart w:id="224" w:name="_Toc9788_WPSOffice_Level2"/>
      <w:bookmarkStart w:id="225" w:name="_Toc7316_WPSOffice_Level2"/>
      <w:bookmarkStart w:id="226" w:name="_Toc13962"/>
      <w:r>
        <w:rPr>
          <w:rFonts w:hint="eastAsia" w:ascii="宋体" w:hAnsi="宋体" w:eastAsia="宋体" w:cs="宋体"/>
          <w:b/>
          <w:bCs/>
          <w:color w:val="auto"/>
          <w:szCs w:val="21"/>
          <w:highlight w:val="none"/>
        </w:rPr>
        <w:t>四、磋商要求</w:t>
      </w:r>
      <w:bookmarkEnd w:id="221"/>
      <w:bookmarkEnd w:id="222"/>
      <w:bookmarkEnd w:id="22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将按竞争性磋商有关规定与供应商进行封闭式磋商，磋商的内容包括（但不限于）磋商响应供应商的报价、合同条款响应情况、技术方案的可行性、承诺的后期服务等。磋商响应供应商有义务对磋商小组就响应文件中不明确的条款进行澄清，磋商响应供应商在磋商时可以对其响应文件进行补充或调整，在磋商结束前，磋商响应供应商应对其澄清、补充、调整的相关内容以书面方式进行最终确认，形成最终承诺书。磋商小组对磋商响应供应商的磋商最多不超过 3 轮。在磋商过程中，采购人及磋商小组有权变更相关要求，不对因此而受影响的磋商响应供应商承担责任。磋商中如有实质性变动，磋商小组将用书面形式通知参加磋商的磋商响应供应商。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2、磋商小组将要求所有参加磋商的磋商响应供应商按磋商小组提出的要求并在规定时间内分别进行最终报价，各磋商响应供应商在规定时间之后的报价将被视为无效。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3、磋商结束后，磋商小组应当要求所有实质性响应的供应商在规定时间内提交最后报价，提交最后报价的供应商一般不得少于 3 家。</w:t>
      </w:r>
    </w:p>
    <w:p>
      <w:pPr>
        <w:spacing w:line="360" w:lineRule="auto"/>
        <w:ind w:firstLine="420" w:firstLineChars="200"/>
        <w:rPr>
          <w:rFonts w:hint="eastAsia" w:ascii="宋体" w:hAnsi="宋体" w:eastAsia="宋体" w:cs="宋体"/>
          <w:color w:val="auto"/>
          <w:szCs w:val="21"/>
          <w:highlight w:val="none"/>
        </w:rPr>
      </w:pPr>
      <w:bookmarkStart w:id="227" w:name="page90"/>
      <w:bookmarkEnd w:id="227"/>
      <w:r>
        <w:rPr>
          <w:rFonts w:hint="eastAsia" w:ascii="宋体" w:hAnsi="宋体" w:eastAsia="宋体" w:cs="宋体"/>
          <w:color w:val="auto"/>
          <w:szCs w:val="21"/>
          <w:highlight w:val="none"/>
        </w:rPr>
        <w:t>4、最后报价是供应商响应文件的有效组成部分。符合《政府采购竞争性磋商采购方式管理暂行办法》第三条第四项情形的，提交最后报价的供应商可以为 2 家。</w:t>
      </w:r>
    </w:p>
    <w:bookmarkEnd w:id="224"/>
    <w:bookmarkEnd w:id="225"/>
    <w:bookmarkEnd w:id="226"/>
    <w:p>
      <w:pPr>
        <w:spacing w:line="360" w:lineRule="auto"/>
        <w:ind w:firstLine="422" w:firstLineChars="200"/>
        <w:outlineLvl w:val="1"/>
        <w:rPr>
          <w:rFonts w:hint="eastAsia" w:ascii="宋体" w:hAnsi="宋体" w:eastAsia="宋体" w:cs="宋体"/>
          <w:b/>
          <w:bCs/>
          <w:color w:val="auto"/>
          <w:szCs w:val="21"/>
          <w:highlight w:val="none"/>
        </w:rPr>
      </w:pPr>
      <w:bookmarkStart w:id="228" w:name="page93"/>
      <w:bookmarkEnd w:id="228"/>
      <w:bookmarkStart w:id="229" w:name="page94"/>
      <w:bookmarkEnd w:id="229"/>
      <w:r>
        <w:rPr>
          <w:rFonts w:hint="eastAsia" w:ascii="宋体" w:hAnsi="宋体" w:eastAsia="宋体" w:cs="宋体"/>
          <w:b/>
          <w:bCs/>
          <w:color w:val="auto"/>
          <w:szCs w:val="21"/>
          <w:highlight w:val="none"/>
        </w:rPr>
        <w:t>五、评审细则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采用综合评分法，磋商小组从最终投标报价、磋商响应供应商的综合实力、业绩、技术方案、服务承诺、等方面进行评审。磋商小组根据评审情况，对各磋商响应供应商的商务报价方面在分值范围内进行统一打分，对各供应商的商务方面在分值范围内进行统一打分，对各磋商响应供应商的技术方面在分值范围内进行独立打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每个供应商最终得分=报价分+商务分+技术分</w:t>
      </w:r>
    </w:p>
    <w:tbl>
      <w:tblPr>
        <w:tblStyle w:val="20"/>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Align w:val="center"/>
          </w:tcPr>
          <w:p>
            <w:pPr>
              <w:widowControl w:val="0"/>
              <w:jc w:val="center"/>
              <w:rPr>
                <w:rFonts w:hint="eastAsia" w:ascii="宋体" w:hAnsi="宋体" w:eastAsia="宋体" w:cs="宋体"/>
                <w:b/>
                <w:color w:val="auto"/>
                <w:spacing w:val="-6"/>
                <w:kern w:val="2"/>
                <w:szCs w:val="21"/>
                <w:highlight w:val="none"/>
              </w:rPr>
            </w:pPr>
            <w:r>
              <w:rPr>
                <w:rFonts w:hint="eastAsia" w:ascii="宋体" w:hAnsi="宋体" w:eastAsia="宋体" w:cs="宋体"/>
                <w:b/>
                <w:color w:val="auto"/>
                <w:spacing w:val="-6"/>
                <w:kern w:val="2"/>
                <w:szCs w:val="21"/>
                <w:highlight w:val="none"/>
              </w:rPr>
              <w:t>评审因素</w:t>
            </w:r>
          </w:p>
        </w:tc>
        <w:tc>
          <w:tcPr>
            <w:tcW w:w="750" w:type="dxa"/>
            <w:vAlign w:val="center"/>
          </w:tcPr>
          <w:p>
            <w:pPr>
              <w:widowControl w:val="0"/>
              <w:jc w:val="both"/>
              <w:rPr>
                <w:rFonts w:hint="eastAsia" w:ascii="宋体" w:hAnsi="宋体" w:eastAsia="宋体" w:cs="宋体"/>
                <w:b/>
                <w:color w:val="auto"/>
                <w:spacing w:val="-6"/>
                <w:kern w:val="2"/>
                <w:szCs w:val="21"/>
                <w:highlight w:val="none"/>
              </w:rPr>
            </w:pPr>
            <w:r>
              <w:rPr>
                <w:rFonts w:hint="eastAsia" w:ascii="宋体" w:hAnsi="宋体" w:eastAsia="宋体" w:cs="宋体"/>
                <w:b/>
                <w:color w:val="auto"/>
                <w:spacing w:val="-6"/>
                <w:kern w:val="2"/>
                <w:szCs w:val="21"/>
                <w:highlight w:val="none"/>
              </w:rPr>
              <w:t>分值</w:t>
            </w:r>
          </w:p>
        </w:tc>
        <w:tc>
          <w:tcPr>
            <w:tcW w:w="7683" w:type="dxa"/>
            <w:vAlign w:val="center"/>
          </w:tcPr>
          <w:p>
            <w:pPr>
              <w:pStyle w:val="45"/>
              <w:widowControl w:val="0"/>
              <w:spacing w:line="240" w:lineRule="auto"/>
              <w:rPr>
                <w:rFonts w:hint="eastAsia" w:ascii="宋体" w:hAnsi="宋体" w:eastAsia="宋体" w:cs="宋体"/>
                <w:b/>
                <w:color w:val="auto"/>
                <w:spacing w:val="-6"/>
                <w:kern w:val="2"/>
                <w:sz w:val="21"/>
                <w:szCs w:val="21"/>
                <w:highlight w:val="none"/>
              </w:rPr>
            </w:pPr>
            <w:r>
              <w:rPr>
                <w:rFonts w:hint="eastAsia" w:ascii="宋体" w:hAnsi="宋体" w:eastAsia="宋体" w:cs="宋体"/>
                <w:b/>
                <w:color w:val="auto"/>
                <w:spacing w:val="-6"/>
                <w:kern w:val="2"/>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5" w:type="dxa"/>
            <w:gridSpan w:val="3"/>
            <w:vAlign w:val="center"/>
          </w:tcPr>
          <w:p>
            <w:pPr>
              <w:pStyle w:val="45"/>
              <w:widowControl w:val="0"/>
              <w:spacing w:line="240" w:lineRule="auto"/>
              <w:rPr>
                <w:rFonts w:hint="eastAsia" w:ascii="宋体" w:hAnsi="宋体" w:eastAsia="宋体" w:cs="宋体"/>
                <w:color w:val="auto"/>
                <w:spacing w:val="-6"/>
                <w:kern w:val="2"/>
                <w:sz w:val="21"/>
                <w:szCs w:val="21"/>
                <w:highlight w:val="none"/>
              </w:rPr>
            </w:pPr>
            <w:r>
              <w:rPr>
                <w:rFonts w:hint="eastAsia" w:ascii="宋体" w:hAnsi="宋体" w:eastAsia="宋体" w:cs="宋体"/>
                <w:b/>
                <w:bCs/>
                <w:color w:val="auto"/>
                <w:spacing w:val="-6"/>
                <w:kern w:val="2"/>
                <w:sz w:val="21"/>
                <w:szCs w:val="21"/>
                <w:highlight w:val="none"/>
              </w:rPr>
              <w:t>价格分</w:t>
            </w:r>
            <w:r>
              <w:rPr>
                <w:rFonts w:hint="eastAsia" w:ascii="宋体" w:hAnsi="宋体" w:eastAsia="宋体" w:cs="宋体"/>
                <w:b/>
                <w:color w:val="auto"/>
                <w:spacing w:val="-6"/>
                <w:kern w:val="2"/>
                <w:sz w:val="21"/>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Align w:val="center"/>
          </w:tcPr>
          <w:p>
            <w:pPr>
              <w:pStyle w:val="9"/>
              <w:widowControl w:val="0"/>
              <w:spacing w:line="240" w:lineRule="auto"/>
              <w:ind w:firstLine="0"/>
              <w:jc w:val="center"/>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投标报价</w:t>
            </w:r>
          </w:p>
        </w:tc>
        <w:tc>
          <w:tcPr>
            <w:tcW w:w="750" w:type="dxa"/>
            <w:vAlign w:val="center"/>
          </w:tcPr>
          <w:p>
            <w:pPr>
              <w:widowControl w:val="0"/>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30</w:t>
            </w:r>
          </w:p>
        </w:tc>
        <w:tc>
          <w:tcPr>
            <w:tcW w:w="7683" w:type="dxa"/>
            <w:vAlign w:val="center"/>
          </w:tcPr>
          <w:p>
            <w:pPr>
              <w:widowControl w:val="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评标基准价=满足磋商文件要求且投标价最低的投标报价为评标基准价。</w:t>
            </w:r>
          </w:p>
          <w:p>
            <w:pPr>
              <w:widowControl w:val="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得分：投标价为基准价的，得满分0分，其他投标报价得分计算公式如下：</w:t>
            </w:r>
          </w:p>
          <w:p>
            <w:pPr>
              <w:widowControl w:val="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投标报价得分=（评标基准价/投标报价）×30%×100</w:t>
            </w:r>
          </w:p>
          <w:p>
            <w:pPr>
              <w:widowControl w:val="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（经评标委员会审核，投标商所投产品若有缺项，所缺部分将加上其他投标商所投产品同类部分中的最高价格作为其投标报价打分的依据）。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5" w:type="dxa"/>
            <w:gridSpan w:val="3"/>
            <w:vAlign w:val="center"/>
          </w:tcPr>
          <w:p>
            <w:pPr>
              <w:pStyle w:val="45"/>
              <w:widowControl w:val="0"/>
              <w:spacing w:line="240" w:lineRule="auto"/>
              <w:rPr>
                <w:rFonts w:hint="eastAsia" w:ascii="宋体" w:hAnsi="宋体" w:eastAsia="宋体" w:cs="宋体"/>
                <w:b/>
                <w:color w:val="auto"/>
                <w:spacing w:val="-6"/>
                <w:kern w:val="2"/>
                <w:sz w:val="21"/>
                <w:szCs w:val="21"/>
                <w:highlight w:val="none"/>
              </w:rPr>
            </w:pPr>
            <w:r>
              <w:rPr>
                <w:rFonts w:hint="eastAsia" w:ascii="宋体" w:hAnsi="宋体" w:eastAsia="宋体" w:cs="宋体"/>
                <w:b/>
                <w:color w:val="auto"/>
                <w:spacing w:val="-6"/>
                <w:kern w:val="2"/>
                <w:sz w:val="21"/>
                <w:szCs w:val="21"/>
                <w:highlight w:val="none"/>
              </w:rPr>
              <w:t>商务分（9分）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72" w:type="dxa"/>
            <w:vMerge w:val="restart"/>
            <w:vAlign w:val="center"/>
          </w:tcPr>
          <w:p>
            <w:pPr>
              <w:widowControl w:val="0"/>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企业的资信、业绩</w:t>
            </w:r>
          </w:p>
        </w:tc>
        <w:tc>
          <w:tcPr>
            <w:tcW w:w="750" w:type="dxa"/>
            <w:vAlign w:val="center"/>
          </w:tcPr>
          <w:p>
            <w:pPr>
              <w:widowControl w:val="0"/>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3</w:t>
            </w:r>
          </w:p>
        </w:tc>
        <w:tc>
          <w:tcPr>
            <w:tcW w:w="7683" w:type="dxa"/>
            <w:vAlign w:val="center"/>
          </w:tcPr>
          <w:p>
            <w:pPr>
              <w:widowControl w:val="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供应商自2018年1月1日</w:t>
            </w:r>
            <w:r>
              <w:rPr>
                <w:rFonts w:hint="eastAsia" w:ascii="宋体" w:hAnsi="宋体" w:eastAsia="宋体" w:cs="宋体"/>
                <w:color w:val="auto"/>
                <w:spacing w:val="-6"/>
                <w:kern w:val="2"/>
                <w:szCs w:val="21"/>
                <w:highlight w:val="none"/>
              </w:rPr>
              <w:t>【以竣（交）工验收资料时间为准】</w:t>
            </w:r>
            <w:r>
              <w:rPr>
                <w:rFonts w:hint="eastAsia" w:ascii="宋体" w:hAnsi="宋体" w:eastAsia="宋体" w:cs="宋体"/>
                <w:color w:val="auto"/>
                <w:kern w:val="2"/>
                <w:szCs w:val="21"/>
                <w:highlight w:val="none"/>
              </w:rPr>
              <w:t>以来承担过同类项目施工业绩，一项工程得1分，最高得3分。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72" w:type="dxa"/>
            <w:vMerge w:val="continue"/>
            <w:vAlign w:val="center"/>
          </w:tcPr>
          <w:p>
            <w:pPr>
              <w:widowControl w:val="0"/>
              <w:jc w:val="center"/>
              <w:rPr>
                <w:rFonts w:hint="eastAsia" w:ascii="宋体" w:hAnsi="宋体" w:eastAsia="宋体" w:cs="宋体"/>
                <w:color w:val="auto"/>
                <w:kern w:val="2"/>
                <w:szCs w:val="21"/>
                <w:highlight w:val="none"/>
              </w:rPr>
            </w:pPr>
          </w:p>
        </w:tc>
        <w:tc>
          <w:tcPr>
            <w:tcW w:w="750" w:type="dxa"/>
            <w:vAlign w:val="center"/>
          </w:tcPr>
          <w:p>
            <w:pPr>
              <w:widowControl w:val="0"/>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3</w:t>
            </w:r>
          </w:p>
        </w:tc>
        <w:tc>
          <w:tcPr>
            <w:tcW w:w="7683" w:type="dxa"/>
            <w:vAlign w:val="center"/>
          </w:tcPr>
          <w:p>
            <w:pPr>
              <w:widowControl w:val="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供应商具有有效ISO质量管理体系认证、环境管理体系认证、职业健康安全管理体系的，每个得1分。各类认证证书以中文版本为准、外文版本或超出有效期的证书不计分。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72" w:type="dxa"/>
            <w:vMerge w:val="continue"/>
            <w:vAlign w:val="center"/>
          </w:tcPr>
          <w:p>
            <w:pPr>
              <w:widowControl w:val="0"/>
              <w:jc w:val="center"/>
              <w:rPr>
                <w:rFonts w:hint="eastAsia" w:ascii="宋体" w:hAnsi="宋体" w:eastAsia="宋体" w:cs="宋体"/>
                <w:color w:val="auto"/>
                <w:kern w:val="2"/>
                <w:szCs w:val="21"/>
                <w:highlight w:val="none"/>
              </w:rPr>
            </w:pPr>
          </w:p>
        </w:tc>
        <w:tc>
          <w:tcPr>
            <w:tcW w:w="750" w:type="dxa"/>
            <w:vAlign w:val="center"/>
          </w:tcPr>
          <w:p>
            <w:pPr>
              <w:widowControl w:val="0"/>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3</w:t>
            </w:r>
          </w:p>
        </w:tc>
        <w:tc>
          <w:tcPr>
            <w:tcW w:w="7683" w:type="dxa"/>
            <w:vAlign w:val="center"/>
          </w:tcPr>
          <w:p>
            <w:pPr>
              <w:widowControl w:val="0"/>
              <w:rPr>
                <w:rFonts w:hint="eastAsia" w:ascii="宋体" w:hAnsi="宋体" w:eastAsia="宋体" w:cs="宋体"/>
                <w:color w:val="auto"/>
                <w:kern w:val="2"/>
                <w:szCs w:val="21"/>
                <w:highlight w:val="none"/>
              </w:rPr>
            </w:pPr>
            <w:r>
              <w:rPr>
                <w:rFonts w:hint="eastAsia" w:ascii="宋体" w:hAnsi="宋体" w:eastAsia="宋体" w:cs="宋体"/>
                <w:color w:val="auto"/>
                <w:spacing w:val="-6"/>
                <w:kern w:val="2"/>
                <w:szCs w:val="21"/>
                <w:highlight w:val="none"/>
              </w:rPr>
              <w:t>供应商的信用等级为AA级以上的得3分，A级的得1分，其余不得分。以响应文件中所附信用等级报告证书复印件或信用等级荣誉奖状为评分依据。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205" w:type="dxa"/>
            <w:gridSpan w:val="3"/>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b/>
                <w:color w:val="auto"/>
                <w:spacing w:val="-6"/>
                <w:kern w:val="2"/>
                <w:szCs w:val="21"/>
                <w:highlight w:val="none"/>
              </w:rPr>
              <w:t>技术分（61分）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restart"/>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技术</w:t>
            </w:r>
          </w:p>
        </w:tc>
        <w:tc>
          <w:tcPr>
            <w:tcW w:w="750" w:type="dxa"/>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4</w:t>
            </w:r>
          </w:p>
        </w:tc>
        <w:tc>
          <w:tcPr>
            <w:tcW w:w="7683" w:type="dxa"/>
            <w:vAlign w:val="center"/>
          </w:tcPr>
          <w:p>
            <w:pPr>
              <w:rPr>
                <w:rFonts w:hint="eastAsia" w:ascii="宋体" w:hAnsi="宋体" w:eastAsia="宋体" w:cs="宋体"/>
                <w:color w:val="auto"/>
                <w:spacing w:val="-6"/>
                <w:kern w:val="2"/>
                <w:szCs w:val="21"/>
                <w:highlight w:val="none"/>
                <w:lang w:val="zh-CN"/>
              </w:rPr>
            </w:pPr>
            <w:r>
              <w:rPr>
                <w:rFonts w:hint="eastAsia" w:ascii="宋体" w:hAnsi="宋体" w:eastAsia="宋体" w:cs="宋体"/>
                <w:color w:val="auto"/>
                <w:spacing w:val="-6"/>
                <w:kern w:val="2"/>
                <w:highlight w:val="none"/>
              </w:rPr>
              <w:t>总体概述：工程概况，施工组织总体设想、方案的针对性及施工阶段的划分等方面情况，按实际情况酌情给分。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hint="eastAsia" w:ascii="宋体" w:hAnsi="宋体" w:eastAsia="宋体" w:cs="宋体"/>
                <w:color w:val="auto"/>
                <w:spacing w:val="-6"/>
                <w:kern w:val="2"/>
                <w:szCs w:val="21"/>
                <w:highlight w:val="none"/>
              </w:rPr>
            </w:pPr>
          </w:p>
        </w:tc>
        <w:tc>
          <w:tcPr>
            <w:tcW w:w="750" w:type="dxa"/>
            <w:vAlign w:val="center"/>
          </w:tcPr>
          <w:p>
            <w:pPr>
              <w:jc w:val="center"/>
              <w:rPr>
                <w:rFonts w:hint="eastAsia" w:ascii="宋体" w:hAnsi="宋体" w:eastAsia="宋体" w:cs="宋体"/>
                <w:color w:val="auto"/>
                <w:spacing w:val="-6"/>
                <w:kern w:val="2"/>
                <w:szCs w:val="21"/>
                <w:highlight w:val="none"/>
                <w:lang w:eastAsia="zh-CN"/>
              </w:rPr>
            </w:pPr>
            <w:r>
              <w:rPr>
                <w:rFonts w:hint="eastAsia" w:ascii="宋体" w:hAnsi="宋体" w:eastAsia="宋体" w:cs="宋体"/>
                <w:color w:val="auto"/>
                <w:spacing w:val="-6"/>
                <w:kern w:val="2"/>
                <w:szCs w:val="21"/>
                <w:highlight w:val="none"/>
                <w:lang w:val="en-US" w:eastAsia="zh-CN"/>
              </w:rPr>
              <w:t>5</w:t>
            </w:r>
          </w:p>
        </w:tc>
        <w:tc>
          <w:tcPr>
            <w:tcW w:w="7683" w:type="dxa"/>
            <w:vAlign w:val="center"/>
          </w:tcPr>
          <w:p>
            <w:pPr>
              <w:rPr>
                <w:rFonts w:hint="eastAsia" w:ascii="宋体" w:hAnsi="宋体" w:eastAsia="宋体" w:cs="宋体"/>
                <w:color w:val="auto"/>
                <w:spacing w:val="-6"/>
                <w:kern w:val="2"/>
                <w:highlight w:val="none"/>
              </w:rPr>
            </w:pPr>
            <w:r>
              <w:rPr>
                <w:rFonts w:hint="eastAsia" w:ascii="宋体" w:hAnsi="宋体" w:eastAsia="宋体" w:cs="宋体"/>
                <w:color w:val="auto"/>
                <w:kern w:val="2"/>
                <w:highlight w:val="none"/>
              </w:rPr>
              <w:t>具体施工方案以及技术方案（含本项目中特殊施工环境所采取的施工方案及技术方案）是否详实、全面、完备，是否科学、合理、针对，并具有可操作性，</w:t>
            </w:r>
            <w:r>
              <w:rPr>
                <w:rFonts w:hint="eastAsia" w:ascii="宋体" w:hAnsi="宋体" w:eastAsia="宋体" w:cs="宋体"/>
                <w:color w:val="auto"/>
                <w:spacing w:val="-6"/>
                <w:kern w:val="2"/>
                <w:highlight w:val="none"/>
              </w:rPr>
              <w:t>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hint="eastAsia" w:ascii="宋体" w:hAnsi="宋体" w:eastAsia="宋体" w:cs="宋体"/>
                <w:color w:val="auto"/>
                <w:kern w:val="2"/>
                <w:szCs w:val="21"/>
                <w:highlight w:val="none"/>
              </w:rPr>
            </w:pPr>
          </w:p>
        </w:tc>
        <w:tc>
          <w:tcPr>
            <w:tcW w:w="750" w:type="dxa"/>
            <w:vAlign w:val="center"/>
          </w:tcPr>
          <w:p>
            <w:pPr>
              <w:jc w:val="center"/>
              <w:rPr>
                <w:rFonts w:hint="eastAsia" w:ascii="宋体" w:hAnsi="宋体" w:eastAsia="宋体" w:cs="宋体"/>
                <w:color w:val="auto"/>
                <w:spacing w:val="-6"/>
                <w:kern w:val="2"/>
                <w:szCs w:val="21"/>
                <w:highlight w:val="none"/>
                <w:lang w:eastAsia="zh-CN"/>
              </w:rPr>
            </w:pPr>
            <w:r>
              <w:rPr>
                <w:rFonts w:hint="eastAsia" w:ascii="宋体" w:hAnsi="宋体" w:eastAsia="宋体" w:cs="宋体"/>
                <w:color w:val="auto"/>
                <w:spacing w:val="-6"/>
                <w:kern w:val="2"/>
                <w:szCs w:val="21"/>
                <w:highlight w:val="none"/>
                <w:lang w:val="en-US" w:eastAsia="zh-CN"/>
              </w:rPr>
              <w:t>5</w:t>
            </w:r>
          </w:p>
        </w:tc>
        <w:tc>
          <w:tcPr>
            <w:tcW w:w="7683" w:type="dxa"/>
            <w:vAlign w:val="center"/>
          </w:tcPr>
          <w:p>
            <w:pP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安全、文明施工等的保证措施是否科学、合理流动、到位。最高得4分，其余酌情扣分。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hint="eastAsia" w:ascii="宋体" w:hAnsi="宋体" w:eastAsia="宋体" w:cs="宋体"/>
                <w:color w:val="auto"/>
                <w:spacing w:val="-6"/>
                <w:kern w:val="2"/>
                <w:szCs w:val="21"/>
                <w:highlight w:val="none"/>
              </w:rPr>
            </w:pPr>
          </w:p>
        </w:tc>
        <w:tc>
          <w:tcPr>
            <w:tcW w:w="750" w:type="dxa"/>
            <w:vAlign w:val="center"/>
          </w:tcPr>
          <w:p>
            <w:pPr>
              <w:jc w:val="center"/>
              <w:rPr>
                <w:rFonts w:hint="eastAsia" w:ascii="宋体" w:hAnsi="宋体" w:eastAsia="宋体" w:cs="宋体"/>
                <w:color w:val="auto"/>
                <w:spacing w:val="-6"/>
                <w:kern w:val="2"/>
                <w:szCs w:val="21"/>
                <w:highlight w:val="none"/>
                <w:lang w:eastAsia="zh-CN"/>
              </w:rPr>
            </w:pPr>
            <w:r>
              <w:rPr>
                <w:rFonts w:hint="eastAsia" w:ascii="宋体" w:hAnsi="宋体" w:eastAsia="宋体" w:cs="宋体"/>
                <w:color w:val="auto"/>
                <w:spacing w:val="-6"/>
                <w:kern w:val="2"/>
                <w:szCs w:val="21"/>
                <w:highlight w:val="none"/>
                <w:lang w:val="en-US" w:eastAsia="zh-CN"/>
              </w:rPr>
              <w:t>5</w:t>
            </w:r>
          </w:p>
        </w:tc>
        <w:tc>
          <w:tcPr>
            <w:tcW w:w="7683" w:type="dxa"/>
            <w:vAlign w:val="center"/>
          </w:tcPr>
          <w:p>
            <w:pPr>
              <w:rPr>
                <w:rFonts w:hint="eastAsia" w:ascii="宋体" w:hAnsi="宋体" w:eastAsia="宋体" w:cs="宋体"/>
                <w:color w:val="auto"/>
                <w:spacing w:val="-6"/>
                <w:kern w:val="2"/>
                <w:szCs w:val="21"/>
                <w:highlight w:val="none"/>
              </w:rPr>
            </w:pPr>
            <w:r>
              <w:rPr>
                <w:rFonts w:hint="eastAsia" w:ascii="宋体" w:hAnsi="宋体" w:eastAsia="宋体" w:cs="宋体"/>
                <w:color w:val="auto"/>
                <w:kern w:val="2"/>
                <w:highlight w:val="none"/>
              </w:rPr>
              <w:t>针对本工程项目实施的重点和难点的解决方案、施工进度中所突发事件的应急措施及故障处理的针对性、完整性、合理性</w:t>
            </w:r>
            <w:r>
              <w:rPr>
                <w:rFonts w:hint="eastAsia" w:ascii="宋体" w:hAnsi="宋体" w:eastAsia="宋体" w:cs="宋体"/>
                <w:color w:val="auto"/>
                <w:spacing w:val="-6"/>
                <w:kern w:val="2"/>
                <w:highlight w:val="none"/>
              </w:rPr>
              <w:t>，按实际情况酌情给分。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772" w:type="dxa"/>
            <w:vMerge w:val="continue"/>
            <w:vAlign w:val="center"/>
          </w:tcPr>
          <w:p>
            <w:pPr>
              <w:jc w:val="center"/>
              <w:rPr>
                <w:rFonts w:hint="eastAsia" w:ascii="宋体" w:hAnsi="宋体" w:eastAsia="宋体" w:cs="宋体"/>
                <w:color w:val="auto"/>
                <w:spacing w:val="-6"/>
                <w:kern w:val="2"/>
                <w:szCs w:val="21"/>
                <w:highlight w:val="none"/>
              </w:rPr>
            </w:pPr>
          </w:p>
        </w:tc>
        <w:tc>
          <w:tcPr>
            <w:tcW w:w="750" w:type="dxa"/>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4</w:t>
            </w:r>
          </w:p>
        </w:tc>
        <w:tc>
          <w:tcPr>
            <w:tcW w:w="7683" w:type="dxa"/>
            <w:vAlign w:val="center"/>
          </w:tcPr>
          <w:p>
            <w:pPr>
              <w:rPr>
                <w:rFonts w:hint="eastAsia" w:ascii="宋体" w:hAnsi="宋体" w:eastAsia="宋体" w:cs="宋体"/>
                <w:color w:val="auto"/>
                <w:spacing w:val="-6"/>
                <w:kern w:val="2"/>
                <w:szCs w:val="21"/>
                <w:highlight w:val="none"/>
              </w:rPr>
            </w:pPr>
            <w:r>
              <w:rPr>
                <w:rFonts w:hint="eastAsia" w:ascii="宋体" w:hAnsi="宋体" w:eastAsia="宋体" w:cs="宋体"/>
                <w:color w:val="auto"/>
                <w:kern w:val="2"/>
                <w:highlight w:val="none"/>
              </w:rPr>
              <w:t>主要材料设备品牌、知名度、产品性能指标、产品配置、选型优劣等比较</w:t>
            </w:r>
            <w:r>
              <w:rPr>
                <w:rFonts w:hint="eastAsia" w:ascii="宋体" w:hAnsi="宋体" w:eastAsia="宋体" w:cs="宋体"/>
                <w:color w:val="auto"/>
                <w:spacing w:val="-6"/>
                <w:kern w:val="2"/>
                <w:highlight w:val="none"/>
              </w:rPr>
              <w:t>，按实际情况酌情给分。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hint="eastAsia" w:ascii="宋体" w:hAnsi="宋体" w:eastAsia="宋体" w:cs="宋体"/>
                <w:color w:val="auto"/>
                <w:spacing w:val="-6"/>
                <w:kern w:val="2"/>
                <w:szCs w:val="21"/>
                <w:highlight w:val="none"/>
              </w:rPr>
            </w:pPr>
          </w:p>
        </w:tc>
        <w:tc>
          <w:tcPr>
            <w:tcW w:w="750" w:type="dxa"/>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4</w:t>
            </w:r>
          </w:p>
        </w:tc>
        <w:tc>
          <w:tcPr>
            <w:tcW w:w="7683" w:type="dxa"/>
            <w:vAlign w:val="center"/>
          </w:tcPr>
          <w:p>
            <w:pPr>
              <w:rPr>
                <w:rFonts w:hint="eastAsia" w:ascii="宋体" w:hAnsi="宋体" w:eastAsia="宋体" w:cs="宋体"/>
                <w:color w:val="auto"/>
                <w:kern w:val="2"/>
                <w:highlight w:val="none"/>
              </w:rPr>
            </w:pPr>
            <w:r>
              <w:rPr>
                <w:rFonts w:hint="eastAsia" w:ascii="宋体" w:hAnsi="宋体" w:eastAsia="宋体" w:cs="宋体"/>
                <w:color w:val="auto"/>
                <w:kern w:val="2"/>
                <w:szCs w:val="21"/>
                <w:highlight w:val="none"/>
              </w:rPr>
              <w:t>具有详细的材料设备进场计划且计划周密，材料数量、质量控制，时间安排合理，满足施工需要。最高得4分，其余酌情扣分。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hint="eastAsia" w:ascii="宋体" w:hAnsi="宋体" w:eastAsia="宋体" w:cs="宋体"/>
                <w:color w:val="auto"/>
                <w:spacing w:val="-6"/>
                <w:kern w:val="2"/>
                <w:szCs w:val="21"/>
                <w:highlight w:val="none"/>
              </w:rPr>
            </w:pPr>
          </w:p>
        </w:tc>
        <w:tc>
          <w:tcPr>
            <w:tcW w:w="750" w:type="dxa"/>
            <w:vAlign w:val="center"/>
          </w:tcPr>
          <w:p>
            <w:pPr>
              <w:jc w:val="center"/>
              <w:rPr>
                <w:rFonts w:hint="eastAsia" w:ascii="宋体" w:hAnsi="宋体" w:eastAsia="宋体" w:cs="宋体"/>
                <w:color w:val="auto"/>
                <w:spacing w:val="-6"/>
                <w:kern w:val="2"/>
                <w:szCs w:val="21"/>
                <w:highlight w:val="none"/>
                <w:lang w:eastAsia="zh-CN"/>
              </w:rPr>
            </w:pPr>
            <w:r>
              <w:rPr>
                <w:rFonts w:hint="eastAsia" w:ascii="宋体" w:hAnsi="宋体" w:eastAsia="宋体" w:cs="宋体"/>
                <w:color w:val="auto"/>
                <w:spacing w:val="-6"/>
                <w:kern w:val="2"/>
                <w:szCs w:val="21"/>
                <w:highlight w:val="none"/>
                <w:lang w:val="en-US" w:eastAsia="zh-CN"/>
              </w:rPr>
              <w:t>5</w:t>
            </w:r>
          </w:p>
        </w:tc>
        <w:tc>
          <w:tcPr>
            <w:tcW w:w="7683" w:type="dxa"/>
            <w:vAlign w:val="center"/>
          </w:tcPr>
          <w:p>
            <w:pPr>
              <w:rPr>
                <w:rFonts w:hint="eastAsia" w:ascii="宋体" w:hAnsi="宋体" w:eastAsia="宋体" w:cs="宋体"/>
                <w:color w:val="auto"/>
                <w:kern w:val="2"/>
                <w:highlight w:val="none"/>
              </w:rPr>
            </w:pPr>
            <w:r>
              <w:rPr>
                <w:rFonts w:hint="eastAsia" w:ascii="宋体" w:hAnsi="宋体" w:eastAsia="宋体" w:cs="宋体"/>
                <w:color w:val="auto"/>
                <w:kern w:val="2"/>
                <w:szCs w:val="21"/>
                <w:highlight w:val="none"/>
              </w:rPr>
              <w:t>施工总平面布置情况：是否符合施工现场实际情况，施工总平面安排科学合理，符合本项目施工实际要求。根据材料堆场、施工通道的安排和施工人员住宿安排计划的科学性、合理性进行打分。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拟投入人员情况</w:t>
            </w:r>
          </w:p>
        </w:tc>
        <w:tc>
          <w:tcPr>
            <w:tcW w:w="750" w:type="dxa"/>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6</w:t>
            </w:r>
          </w:p>
        </w:tc>
        <w:tc>
          <w:tcPr>
            <w:tcW w:w="7683" w:type="dxa"/>
            <w:vAlign w:val="center"/>
          </w:tcPr>
          <w:p>
            <w:pPr>
              <w:widowControl w:val="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1.拟投入本工程管理人员岗位配置、专业配置的满足性及管理人员的专业能力（从管理人员的经验、职称、所学专业进行评估，酌情打分）。（3分）</w:t>
            </w:r>
          </w:p>
          <w:p>
            <w:pP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2.派驻现场的工程施工人员的配置情况：本项由专家根据各供应商提供的人员配置数量、结构、内部管理制度如何满足本工程的施工的要求的描述分档酌情打分。（3分）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Align w:val="center"/>
          </w:tcPr>
          <w:p>
            <w:pPr>
              <w:widowControl w:val="0"/>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施工机械设备投入</w:t>
            </w:r>
          </w:p>
        </w:tc>
        <w:tc>
          <w:tcPr>
            <w:tcW w:w="750" w:type="dxa"/>
            <w:vAlign w:val="center"/>
          </w:tcPr>
          <w:p>
            <w:pPr>
              <w:widowControl w:val="0"/>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4</w:t>
            </w:r>
          </w:p>
        </w:tc>
        <w:tc>
          <w:tcPr>
            <w:tcW w:w="7683" w:type="dxa"/>
            <w:vAlign w:val="center"/>
          </w:tcPr>
          <w:p>
            <w:pPr>
              <w:widowControl w:val="0"/>
              <w:jc w:val="both"/>
              <w:rPr>
                <w:rFonts w:hint="eastAsia" w:ascii="宋体" w:hAnsi="宋体" w:eastAsia="宋体" w:cs="宋体"/>
                <w:color w:val="auto"/>
                <w:kern w:val="2"/>
                <w:highlight w:val="none"/>
              </w:rPr>
            </w:pPr>
            <w:r>
              <w:rPr>
                <w:rFonts w:hint="eastAsia" w:ascii="宋体" w:hAnsi="宋体" w:eastAsia="宋体" w:cs="宋体"/>
                <w:color w:val="auto"/>
                <w:spacing w:val="-6"/>
                <w:kern w:val="2"/>
                <w:szCs w:val="21"/>
                <w:highlight w:val="none"/>
              </w:rPr>
              <w:t>施工机具和检验仪器的投入是否能够满足工程质量和进度的要求，</w:t>
            </w:r>
            <w:r>
              <w:rPr>
                <w:rFonts w:hint="eastAsia" w:ascii="宋体" w:hAnsi="宋体" w:eastAsia="宋体" w:cs="宋体"/>
                <w:color w:val="auto"/>
                <w:kern w:val="2"/>
                <w:szCs w:val="21"/>
                <w:highlight w:val="none"/>
              </w:rPr>
              <w:t>最高得4分，其余酌情扣分。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restart"/>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保障措施</w:t>
            </w:r>
          </w:p>
        </w:tc>
        <w:tc>
          <w:tcPr>
            <w:tcW w:w="750" w:type="dxa"/>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5</w:t>
            </w:r>
          </w:p>
        </w:tc>
        <w:tc>
          <w:tcPr>
            <w:tcW w:w="7683" w:type="dxa"/>
            <w:vAlign w:val="center"/>
          </w:tcPr>
          <w:p>
            <w:pPr>
              <w:rPr>
                <w:rFonts w:hint="eastAsia" w:ascii="宋体" w:hAnsi="宋体" w:eastAsia="宋体" w:cs="宋体"/>
                <w:color w:val="auto"/>
                <w:spacing w:val="-6"/>
                <w:kern w:val="2"/>
                <w:szCs w:val="21"/>
                <w:highlight w:val="none"/>
              </w:rPr>
            </w:pPr>
            <w:r>
              <w:rPr>
                <w:rFonts w:hint="eastAsia" w:ascii="宋体" w:hAnsi="宋体" w:eastAsia="宋体" w:cs="宋体"/>
                <w:color w:val="auto"/>
                <w:kern w:val="2"/>
                <w:highlight w:val="none"/>
              </w:rPr>
              <w:t>供应商提供的施工质量保证措施、安全文明施工、环境保护和消防措施</w:t>
            </w:r>
            <w:r>
              <w:rPr>
                <w:rFonts w:hint="eastAsia" w:ascii="宋体" w:hAnsi="宋体" w:eastAsia="宋体" w:cs="宋体"/>
                <w:color w:val="auto"/>
                <w:spacing w:val="-6"/>
                <w:kern w:val="2"/>
                <w:highlight w:val="none"/>
              </w:rPr>
              <w:t>，按实际情况酌情给分。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hint="eastAsia" w:ascii="宋体" w:hAnsi="宋体" w:eastAsia="宋体" w:cs="宋体"/>
                <w:color w:val="auto"/>
                <w:spacing w:val="-6"/>
                <w:kern w:val="2"/>
                <w:szCs w:val="21"/>
                <w:highlight w:val="none"/>
              </w:rPr>
            </w:pPr>
          </w:p>
        </w:tc>
        <w:tc>
          <w:tcPr>
            <w:tcW w:w="750" w:type="dxa"/>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3</w:t>
            </w:r>
          </w:p>
        </w:tc>
        <w:tc>
          <w:tcPr>
            <w:tcW w:w="7683" w:type="dxa"/>
            <w:vAlign w:val="center"/>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供应商对于工期的承诺情况，是否能满足本项目暑期施工要求，施工各阶段的进度计划以及进度保证措施。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72" w:type="dxa"/>
            <w:vMerge w:val="continue"/>
            <w:vAlign w:val="center"/>
          </w:tcPr>
          <w:p>
            <w:pPr>
              <w:jc w:val="center"/>
              <w:rPr>
                <w:rFonts w:hint="eastAsia" w:ascii="宋体" w:hAnsi="宋体" w:eastAsia="宋体" w:cs="宋体"/>
                <w:color w:val="auto"/>
                <w:spacing w:val="-6"/>
                <w:kern w:val="2"/>
                <w:szCs w:val="21"/>
                <w:highlight w:val="none"/>
              </w:rPr>
            </w:pPr>
          </w:p>
        </w:tc>
        <w:tc>
          <w:tcPr>
            <w:tcW w:w="750" w:type="dxa"/>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5</w:t>
            </w:r>
          </w:p>
        </w:tc>
        <w:tc>
          <w:tcPr>
            <w:tcW w:w="7683" w:type="dxa"/>
            <w:vAlign w:val="center"/>
          </w:tcPr>
          <w:p>
            <w:pPr>
              <w:rPr>
                <w:rFonts w:hint="eastAsia" w:ascii="宋体" w:hAnsi="宋体" w:eastAsia="宋体" w:cs="宋体"/>
                <w:color w:val="auto"/>
                <w:spacing w:val="-6"/>
                <w:kern w:val="2"/>
                <w:szCs w:val="21"/>
                <w:highlight w:val="none"/>
              </w:rPr>
            </w:pPr>
            <w:r>
              <w:rPr>
                <w:rFonts w:hint="eastAsia" w:ascii="宋体" w:hAnsi="宋体" w:eastAsia="宋体" w:cs="宋体"/>
                <w:color w:val="auto"/>
                <w:kern w:val="2"/>
                <w:highlight w:val="none"/>
              </w:rPr>
              <w:t>内部管理制度是否全面、有针对性、措施完善，措施得力，服从招标人协调和统一管理及配合措施，以及特殊承诺措施</w:t>
            </w:r>
            <w:r>
              <w:rPr>
                <w:rFonts w:hint="eastAsia" w:ascii="宋体" w:hAnsi="宋体" w:eastAsia="宋体" w:cs="宋体"/>
                <w:color w:val="auto"/>
                <w:spacing w:val="-6"/>
                <w:kern w:val="2"/>
                <w:highlight w:val="none"/>
              </w:rPr>
              <w:t>，按实际情况酌情给分。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restart"/>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售后服务</w:t>
            </w:r>
          </w:p>
        </w:tc>
        <w:tc>
          <w:tcPr>
            <w:tcW w:w="750" w:type="dxa"/>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3</w:t>
            </w:r>
          </w:p>
        </w:tc>
        <w:tc>
          <w:tcPr>
            <w:tcW w:w="7683" w:type="dxa"/>
            <w:vAlign w:val="center"/>
          </w:tcPr>
          <w:p>
            <w:pPr>
              <w:rPr>
                <w:rFonts w:hint="eastAsia" w:ascii="宋体" w:hAnsi="宋体" w:eastAsia="宋体" w:cs="宋体"/>
                <w:color w:val="auto"/>
                <w:spacing w:val="-6"/>
                <w:kern w:val="2"/>
                <w:szCs w:val="21"/>
                <w:highlight w:val="none"/>
              </w:rPr>
            </w:pPr>
            <w:r>
              <w:rPr>
                <w:rFonts w:hint="eastAsia" w:ascii="宋体" w:hAnsi="宋体" w:eastAsia="宋体" w:cs="宋体"/>
                <w:color w:val="auto"/>
                <w:kern w:val="2"/>
                <w:highlight w:val="none"/>
              </w:rPr>
              <w:t>（1）针对本项目的合理化建议匹配性、针对性、合理性进行酌情给分（3分）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hint="eastAsia" w:ascii="宋体" w:hAnsi="宋体" w:eastAsia="宋体" w:cs="宋体"/>
                <w:color w:val="auto"/>
                <w:spacing w:val="-6"/>
                <w:kern w:val="2"/>
                <w:szCs w:val="21"/>
                <w:highlight w:val="none"/>
              </w:rPr>
            </w:pPr>
          </w:p>
        </w:tc>
        <w:tc>
          <w:tcPr>
            <w:tcW w:w="750" w:type="dxa"/>
            <w:vAlign w:val="center"/>
          </w:tcPr>
          <w:p>
            <w:pPr>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3</w:t>
            </w:r>
          </w:p>
        </w:tc>
        <w:tc>
          <w:tcPr>
            <w:tcW w:w="7683" w:type="dxa"/>
            <w:vAlign w:val="center"/>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（2）根据售后技术支持、服务体系（含服务标准、服务流程、服务内容等）完整性、针对性、合理性进行酌情给人分（3分）</w:t>
            </w: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由评标专家负责对响应文件的商务技术部分采用记名方式各自评分。如发现某个单项的评分超出了规定的分值范围的，则该张评分表无效。此项评分为：所有评标专家的有效评分的算术平均值（保留小数2位）。</w:t>
      </w:r>
    </w:p>
    <w:p>
      <w:pPr>
        <w:spacing w:line="1" w:lineRule="exact"/>
        <w:rPr>
          <w:rFonts w:hint="eastAsia" w:ascii="宋体" w:hAnsi="宋体" w:eastAsia="宋体" w:cs="宋体"/>
          <w:color w:val="auto"/>
          <w:sz w:val="20"/>
          <w:szCs w:val="20"/>
          <w:highlight w:val="none"/>
        </w:rPr>
      </w:pPr>
      <w:bookmarkStart w:id="230" w:name="page92"/>
      <w:bookmarkEnd w:id="230"/>
    </w:p>
    <w:p>
      <w:pPr>
        <w:spacing w:line="360" w:lineRule="auto"/>
        <w:ind w:firstLine="422" w:firstLineChars="200"/>
        <w:rPr>
          <w:rFonts w:hint="eastAsia" w:ascii="宋体" w:hAnsi="宋体" w:eastAsia="宋体" w:cs="宋体"/>
          <w:b/>
          <w:bCs/>
          <w:color w:val="auto"/>
          <w:szCs w:val="21"/>
          <w:highlight w:val="none"/>
        </w:rPr>
      </w:pP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Cs w:val="21"/>
          <w:highlight w:val="none"/>
        </w:rPr>
        <w:t>五、成交办法</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采购人将根据磋商小组提交的评审报告及推荐的成交候选人，按有关规定确定成交供应商。</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Cs w:val="21"/>
          <w:highlight w:val="none"/>
        </w:rPr>
        <w:t>六、定标</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（1）定标由采购人负责。</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（2）决标按照原国家发展计划委员会等七部委30号令的有关规定，确定成交供应商。</w:t>
      </w:r>
    </w:p>
    <w:p>
      <w:pPr>
        <w:spacing w:line="36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（3）</w:t>
      </w:r>
      <w:r>
        <w:rPr>
          <w:rFonts w:hint="eastAsia" w:ascii="宋体" w:hAnsi="宋体" w:eastAsia="宋体" w:cs="宋体"/>
          <w:b/>
          <w:bCs/>
          <w:color w:val="auto"/>
          <w:szCs w:val="21"/>
          <w:highlight w:val="none"/>
          <w:u w:val="single"/>
        </w:rPr>
        <w:t>如发生投诉争议等情况时，经查实中标候选人存在违法、违规行为，不符合中标条件，且该行为在评标时是无法发现和确认的，采购人可以在其他中标侯选人中按照推荐的排序确定成交供应商。</w:t>
      </w:r>
    </w:p>
    <w:p>
      <w:pPr>
        <w:spacing w:line="360" w:lineRule="auto"/>
        <w:ind w:firstLine="420" w:firstLineChars="200"/>
        <w:rPr>
          <w:rFonts w:hint="eastAsia" w:ascii="宋体" w:hAnsi="宋体" w:eastAsia="宋体" w:cs="宋体"/>
          <w:b/>
          <w:bCs/>
          <w:color w:val="auto"/>
          <w:sz w:val="30"/>
          <w:szCs w:val="30"/>
          <w:highlight w:val="none"/>
        </w:rPr>
      </w:pPr>
      <w:r>
        <w:rPr>
          <w:rFonts w:hint="eastAsia" w:ascii="宋体" w:hAnsi="宋体" w:eastAsia="宋体" w:cs="宋体"/>
          <w:color w:val="auto"/>
          <w:szCs w:val="21"/>
          <w:highlight w:val="none"/>
        </w:rPr>
        <w:t>（4）当所有中标候选人经查实都存在违法、违规行为时，将重新依法组织招标。</w:t>
      </w:r>
    </w:p>
    <w:p>
      <w:pPr>
        <w:spacing w:line="360" w:lineRule="auto"/>
        <w:ind w:firstLine="602" w:firstLineChars="200"/>
        <w:rPr>
          <w:rFonts w:hint="eastAsia" w:ascii="宋体" w:hAnsi="宋体" w:eastAsia="宋体" w:cs="宋体"/>
          <w:b/>
          <w:bCs/>
          <w:color w:val="auto"/>
          <w:sz w:val="30"/>
          <w:szCs w:val="30"/>
          <w:highlight w:val="none"/>
        </w:rPr>
      </w:pPr>
    </w:p>
    <w:sectPr>
      <w:pgSz w:w="11906" w:h="16840"/>
      <w:pgMar w:top="1440" w:right="1080" w:bottom="1440" w:left="1080" w:header="567" w:footer="567" w:gutter="0"/>
      <w:cols w:equalWidth="0" w:num="1">
        <w:col w:w="13978"/>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560"/>
    </w:pPr>
    <w:r>
      <w:pict>
        <v:shape id="文本框 1" o:spid="_x0000_s2051"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Z37TSAQAAowMAAA4AAABkcnMvZTJvRG9jLnhtbK1TzY7TMBC+I/EO&#10;lu80aRFL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29psRxixO//Ph++fn78usb&#10;WWZ9+gANpt0HTEzDWz/g1sz3gJeZ9qCizV8kRDCO6p6v6sohEZEfrVfrdY0hgbHZQfzq4XmIkN5J&#10;b0k2GI04vqIqP32ANKbOKbma83famDJC40jP6M3LV3V5cI0guHFYI5MYm81WGvbDxGzv2zMS63EF&#10;GHW48ZSY9w4VztsyG3E29rNxDFEfOuxxWepBeHNM2E1pMlcYYafCOLtCc9qzvBx/+yXr4d/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y1nftNIBAACjAwAADgAAAAAAAAABACAAAAAfAQAA&#10;ZHJzL2Uyb0RvYy54bWxQSwUGAAAAAAYABgBZAQAAY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0" name="图片 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1"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2" name="图片 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3" name="图片 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7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4" name="图片 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5" name="图片 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950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6" name="图片 8"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560"/>
      <w:jc w:val="center"/>
    </w:pPr>
    <w:r>
      <w:pict>
        <v:shape id="文本框 9" o:spid="_x0000_s2050"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MlaxMkBAACa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IVzd9zixC/fv11+/Lr8/Ere&#10;5P70AWpMewiYmIY7P+DWzH5AZ5Y9qGjzFwURjGN3z9fuyiERkR+tV+t1hSGBsfmC+OzxeYiQ3kpv&#10;STYaGnF8pav89B7SmDqn5GrO32tjygiN+8uBmNnDMveRY7bSsB8mQXvfnlFPj5NvqMNFp8S8c9jY&#10;vCSzEWdjPxvHEPWhQ2rLwgvC7TEhicItVxhhp8I4sqJuWq+8E3/eS9bjL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yVrEyQEAAJoDAAAOAAAAAAAAAAEAIAAAAB4BAABkcnMvZTJvRG9j&#10;LnhtbFBLBQYAAAAABgAGAFkBAABZBQAAAAA=&#10;">
          <v:path/>
          <v:fill on="f" focussize="0,0"/>
          <v:stroke on="f" joinstyle="miter"/>
          <v:imagedata o:title=""/>
          <o:lock v:ext="edit"/>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w:t>
                </w:r>
              </w:p>
            </w:txbxContent>
          </v:textbox>
        </v:shape>
      </w:pict>
    </w:r>
    <w:r>
      <w:pict>
        <v:rect id="文本框 21" o:spid="_x0000_s2049" o:spt="1" style="position:absolute;left:0pt;margin-left:422.65pt;margin-top:-0.7pt;height:12.35pt;width:47.95pt;mso-position-horizontal-relative:margin;z-index:251680768;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NUpt2gAAAAkBAAAPAAAAAAAAAAEAIAAAACIAAABkcnMvZG93bnJldi54bWxQSwECFAAU&#10;AAAACACHTuJAegZt9LYBAABpAwAADgAAAAAAAAABACAAAAApAQAAZHJzL2Uyb0RvYy54bWxQSwUG&#10;AAAAAAYABgBZAQAAUQUAAAAA&#10;">
          <v:path/>
          <v:fill on="f" focussize="0,0"/>
          <v:stroke on="f"/>
          <v:imagedata o:title=""/>
          <o:lock v:ext="edit"/>
          <v:textbox inset="0mm,0mm,0mm,0mm">
            <w:txbxContent>
              <w:p>
                <w:pPr>
                  <w:pStyle w:val="13"/>
                </w:pPr>
              </w:p>
            </w:txbxContent>
          </v:textbox>
        </v:rect>
      </w:pict>
    </w:r>
    <w:r>
      <w:drawing>
        <wp:anchor distT="0" distB="0" distL="114300" distR="114300" simplePos="0" relativeHeight="25167052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155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257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257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360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462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564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pPr>
      <w:pStyle w:val="13"/>
      <w:ind w:right="560"/>
      <w:jc w:val="center"/>
    </w:pPr>
    <w:r>
      <w:drawing>
        <wp:anchor distT="0" distB="0" distL="114300" distR="114300" simplePos="0" relativeHeight="251676672"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769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88</w:t>
    </w:r>
    <w:r>
      <w:rPr>
        <w:rStyle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b/>
        <w:bCs/>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C9753911"/>
    <w:multiLevelType w:val="singleLevel"/>
    <w:tmpl w:val="C9753911"/>
    <w:lvl w:ilvl="0" w:tentative="0">
      <w:start w:val="1"/>
      <w:numFmt w:val="decimal"/>
      <w:suff w:val="nothing"/>
      <w:lvlText w:val="（%1）"/>
      <w:lvlJc w:val="left"/>
    </w:lvl>
  </w:abstractNum>
  <w:abstractNum w:abstractNumId="2">
    <w:nsid w:val="F81965CD"/>
    <w:multiLevelType w:val="singleLevel"/>
    <w:tmpl w:val="F81965CD"/>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5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2B09879"/>
    <w:multiLevelType w:val="singleLevel"/>
    <w:tmpl w:val="02B09879"/>
    <w:lvl w:ilvl="0" w:tentative="0">
      <w:start w:val="1"/>
      <w:numFmt w:val="decimal"/>
      <w:suff w:val="nothing"/>
      <w:lvlText w:val="（%1）"/>
      <w:lvlJc w:val="left"/>
    </w:lvl>
  </w:abstractNum>
  <w:abstractNum w:abstractNumId="5">
    <w:nsid w:val="5B4DA1BC"/>
    <w:multiLevelType w:val="singleLevel"/>
    <w:tmpl w:val="5B4DA1BC"/>
    <w:lvl w:ilvl="0" w:tentative="0">
      <w:start w:val="2"/>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繁华终易逝">
    <w15:presenceInfo w15:providerId="WPS Office" w15:userId="3559643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trackRevisions w:val="1"/>
  <w:documentProtection w:enforcement="0"/>
  <w:defaultTabStop w:val="720"/>
  <w:noPunctuationKerning w:val="1"/>
  <w:characterSpacingControl w:val="doNotCompress"/>
  <w:noLineBreaksAfter w:lang="zh-CN" w:val="$([{£¥·‘“〈《「『【〔〖〝﹙﹛﹝＄（．［｛￡￥"/>
  <w:noLineBreaksBefore w:lang="zh-CN" w:val="!%),.:;&gt;?]}¢¨°·ˇˉ―‖’”…‰′″›℃∶、。〃〉》」』】〕〗〞︶︺︾﹀﹄﹚﹜﹞！＂％＇），．：；？］｀｜｝～￠"/>
  <w:hdrShapeDefaults>
    <o:shapelayout v:ext="edit">
      <o:idmap v:ext="edit" data="2"/>
    </o:shapelayout>
  </w:hdrShapeDefaults>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7C396D"/>
    <w:rsid w:val="0002511E"/>
    <w:rsid w:val="0005395C"/>
    <w:rsid w:val="00060EB2"/>
    <w:rsid w:val="0007639A"/>
    <w:rsid w:val="000838A3"/>
    <w:rsid w:val="000844BA"/>
    <w:rsid w:val="000A1C20"/>
    <w:rsid w:val="000F442D"/>
    <w:rsid w:val="00105E81"/>
    <w:rsid w:val="00164445"/>
    <w:rsid w:val="00170469"/>
    <w:rsid w:val="00182F60"/>
    <w:rsid w:val="00195CC2"/>
    <w:rsid w:val="001A1A71"/>
    <w:rsid w:val="002446C4"/>
    <w:rsid w:val="0026381E"/>
    <w:rsid w:val="00271567"/>
    <w:rsid w:val="0027335F"/>
    <w:rsid w:val="00274CF9"/>
    <w:rsid w:val="002A3213"/>
    <w:rsid w:val="002C0277"/>
    <w:rsid w:val="002C3C72"/>
    <w:rsid w:val="00344DBA"/>
    <w:rsid w:val="0035271A"/>
    <w:rsid w:val="003670EF"/>
    <w:rsid w:val="00367730"/>
    <w:rsid w:val="003A0DFB"/>
    <w:rsid w:val="003F7AF2"/>
    <w:rsid w:val="004246C3"/>
    <w:rsid w:val="00473380"/>
    <w:rsid w:val="0050229A"/>
    <w:rsid w:val="00513927"/>
    <w:rsid w:val="005175C8"/>
    <w:rsid w:val="005A3A14"/>
    <w:rsid w:val="005A61EF"/>
    <w:rsid w:val="005B3B9C"/>
    <w:rsid w:val="005B4382"/>
    <w:rsid w:val="006158AD"/>
    <w:rsid w:val="00621082"/>
    <w:rsid w:val="00646489"/>
    <w:rsid w:val="006738E1"/>
    <w:rsid w:val="00694AD7"/>
    <w:rsid w:val="006B6FA4"/>
    <w:rsid w:val="006D2B30"/>
    <w:rsid w:val="006F2BC9"/>
    <w:rsid w:val="006F4074"/>
    <w:rsid w:val="006F4096"/>
    <w:rsid w:val="00714E53"/>
    <w:rsid w:val="00715D15"/>
    <w:rsid w:val="00717221"/>
    <w:rsid w:val="0075564F"/>
    <w:rsid w:val="00776C7B"/>
    <w:rsid w:val="0078262C"/>
    <w:rsid w:val="007B50F9"/>
    <w:rsid w:val="007C396D"/>
    <w:rsid w:val="007E4312"/>
    <w:rsid w:val="008059DA"/>
    <w:rsid w:val="0081076E"/>
    <w:rsid w:val="00840606"/>
    <w:rsid w:val="00842318"/>
    <w:rsid w:val="00875D57"/>
    <w:rsid w:val="008858B9"/>
    <w:rsid w:val="00892624"/>
    <w:rsid w:val="008C1FB2"/>
    <w:rsid w:val="008E03AE"/>
    <w:rsid w:val="008E13B6"/>
    <w:rsid w:val="008E549F"/>
    <w:rsid w:val="00937E58"/>
    <w:rsid w:val="009C3469"/>
    <w:rsid w:val="009C4C54"/>
    <w:rsid w:val="009D33FA"/>
    <w:rsid w:val="009D6FAA"/>
    <w:rsid w:val="009D7E55"/>
    <w:rsid w:val="009E23C3"/>
    <w:rsid w:val="009E2524"/>
    <w:rsid w:val="00A07492"/>
    <w:rsid w:val="00A4750C"/>
    <w:rsid w:val="00A51E57"/>
    <w:rsid w:val="00A53A72"/>
    <w:rsid w:val="00A87873"/>
    <w:rsid w:val="00AA10B8"/>
    <w:rsid w:val="00AF0D6B"/>
    <w:rsid w:val="00B04D28"/>
    <w:rsid w:val="00B10A04"/>
    <w:rsid w:val="00B3716F"/>
    <w:rsid w:val="00B60F75"/>
    <w:rsid w:val="00B86477"/>
    <w:rsid w:val="00BB7781"/>
    <w:rsid w:val="00BF1F37"/>
    <w:rsid w:val="00C0324A"/>
    <w:rsid w:val="00C3434F"/>
    <w:rsid w:val="00C9458E"/>
    <w:rsid w:val="00CA03E2"/>
    <w:rsid w:val="00CF47B7"/>
    <w:rsid w:val="00D27BC0"/>
    <w:rsid w:val="00D62534"/>
    <w:rsid w:val="00DA2233"/>
    <w:rsid w:val="00DC2442"/>
    <w:rsid w:val="00DD48E8"/>
    <w:rsid w:val="00DE2F34"/>
    <w:rsid w:val="00E628F1"/>
    <w:rsid w:val="00E634B8"/>
    <w:rsid w:val="00E64F23"/>
    <w:rsid w:val="00E9619C"/>
    <w:rsid w:val="00EB4736"/>
    <w:rsid w:val="00EB4D15"/>
    <w:rsid w:val="00EE6CA1"/>
    <w:rsid w:val="00F0702F"/>
    <w:rsid w:val="00F363BC"/>
    <w:rsid w:val="00F77243"/>
    <w:rsid w:val="00F824A5"/>
    <w:rsid w:val="00FD6E11"/>
    <w:rsid w:val="00FE5FBB"/>
    <w:rsid w:val="01DF3F89"/>
    <w:rsid w:val="02B64356"/>
    <w:rsid w:val="03000F96"/>
    <w:rsid w:val="03223869"/>
    <w:rsid w:val="04634121"/>
    <w:rsid w:val="04747B5D"/>
    <w:rsid w:val="04F74647"/>
    <w:rsid w:val="0577178A"/>
    <w:rsid w:val="05E81F60"/>
    <w:rsid w:val="05F5029F"/>
    <w:rsid w:val="06AC07B0"/>
    <w:rsid w:val="06C32363"/>
    <w:rsid w:val="08176877"/>
    <w:rsid w:val="092D0ADC"/>
    <w:rsid w:val="098B217B"/>
    <w:rsid w:val="09EA50AF"/>
    <w:rsid w:val="0A2119D5"/>
    <w:rsid w:val="0C28271A"/>
    <w:rsid w:val="0C7F7AEF"/>
    <w:rsid w:val="0D695349"/>
    <w:rsid w:val="0D9214F7"/>
    <w:rsid w:val="0DD6312C"/>
    <w:rsid w:val="0E753BA5"/>
    <w:rsid w:val="0ED90966"/>
    <w:rsid w:val="0EFC6EE1"/>
    <w:rsid w:val="0F6B751D"/>
    <w:rsid w:val="113F0361"/>
    <w:rsid w:val="12064041"/>
    <w:rsid w:val="127B173A"/>
    <w:rsid w:val="12980354"/>
    <w:rsid w:val="12E6405A"/>
    <w:rsid w:val="13D947C3"/>
    <w:rsid w:val="13FA1E85"/>
    <w:rsid w:val="14563D9A"/>
    <w:rsid w:val="157A40BB"/>
    <w:rsid w:val="15A460B7"/>
    <w:rsid w:val="1706343C"/>
    <w:rsid w:val="175C11ED"/>
    <w:rsid w:val="177C53D5"/>
    <w:rsid w:val="17984DC4"/>
    <w:rsid w:val="18887FCB"/>
    <w:rsid w:val="188C2004"/>
    <w:rsid w:val="18AE74DC"/>
    <w:rsid w:val="18F71FC9"/>
    <w:rsid w:val="191F4290"/>
    <w:rsid w:val="198525A6"/>
    <w:rsid w:val="199B3BFC"/>
    <w:rsid w:val="19A73182"/>
    <w:rsid w:val="1A3A3D43"/>
    <w:rsid w:val="1A451BAA"/>
    <w:rsid w:val="1A72109A"/>
    <w:rsid w:val="1AE92DEB"/>
    <w:rsid w:val="1B8D77CA"/>
    <w:rsid w:val="1B8E22F3"/>
    <w:rsid w:val="1B986626"/>
    <w:rsid w:val="1BD30CFE"/>
    <w:rsid w:val="1CB32946"/>
    <w:rsid w:val="1D307ADB"/>
    <w:rsid w:val="1D9D6C8F"/>
    <w:rsid w:val="1E9E37E9"/>
    <w:rsid w:val="1EE4407B"/>
    <w:rsid w:val="20E96158"/>
    <w:rsid w:val="229A21DB"/>
    <w:rsid w:val="25662B53"/>
    <w:rsid w:val="258F4041"/>
    <w:rsid w:val="25E9474B"/>
    <w:rsid w:val="2624006D"/>
    <w:rsid w:val="26AA1972"/>
    <w:rsid w:val="27973992"/>
    <w:rsid w:val="279C3BB6"/>
    <w:rsid w:val="281B4985"/>
    <w:rsid w:val="288E34E1"/>
    <w:rsid w:val="2A5507CB"/>
    <w:rsid w:val="2A655C1B"/>
    <w:rsid w:val="2A69625D"/>
    <w:rsid w:val="2A901B7A"/>
    <w:rsid w:val="2AB77FBD"/>
    <w:rsid w:val="2AE83444"/>
    <w:rsid w:val="2B6355D3"/>
    <w:rsid w:val="2CD76BE8"/>
    <w:rsid w:val="2D601EA8"/>
    <w:rsid w:val="2D9C1424"/>
    <w:rsid w:val="2DEC77F2"/>
    <w:rsid w:val="2E443874"/>
    <w:rsid w:val="2E582CD2"/>
    <w:rsid w:val="2E755B7E"/>
    <w:rsid w:val="2EE37D33"/>
    <w:rsid w:val="2F4C17B1"/>
    <w:rsid w:val="2F9F17AF"/>
    <w:rsid w:val="2FD72A51"/>
    <w:rsid w:val="30070F7C"/>
    <w:rsid w:val="31E14838"/>
    <w:rsid w:val="31ED4076"/>
    <w:rsid w:val="32B45F80"/>
    <w:rsid w:val="33361AFC"/>
    <w:rsid w:val="3349347A"/>
    <w:rsid w:val="33921610"/>
    <w:rsid w:val="3396625A"/>
    <w:rsid w:val="34721153"/>
    <w:rsid w:val="351C51A6"/>
    <w:rsid w:val="35432363"/>
    <w:rsid w:val="35B613BE"/>
    <w:rsid w:val="35D511FF"/>
    <w:rsid w:val="366266F0"/>
    <w:rsid w:val="36BC2F02"/>
    <w:rsid w:val="36BF1A76"/>
    <w:rsid w:val="376974BF"/>
    <w:rsid w:val="37984A0E"/>
    <w:rsid w:val="38083044"/>
    <w:rsid w:val="386715DA"/>
    <w:rsid w:val="39323484"/>
    <w:rsid w:val="39B32605"/>
    <w:rsid w:val="3A4D46F0"/>
    <w:rsid w:val="3B61205D"/>
    <w:rsid w:val="3B8507ED"/>
    <w:rsid w:val="3BAE63B7"/>
    <w:rsid w:val="3E09440C"/>
    <w:rsid w:val="3E6863F2"/>
    <w:rsid w:val="41CB6678"/>
    <w:rsid w:val="42510DFB"/>
    <w:rsid w:val="428C1178"/>
    <w:rsid w:val="42D85C3D"/>
    <w:rsid w:val="430947EB"/>
    <w:rsid w:val="43AA4F04"/>
    <w:rsid w:val="4424097A"/>
    <w:rsid w:val="444E6204"/>
    <w:rsid w:val="45E54783"/>
    <w:rsid w:val="46452504"/>
    <w:rsid w:val="466B2E7C"/>
    <w:rsid w:val="46ED2BFC"/>
    <w:rsid w:val="47064BE6"/>
    <w:rsid w:val="47CB6A7D"/>
    <w:rsid w:val="47CE768E"/>
    <w:rsid w:val="49441023"/>
    <w:rsid w:val="494F22A3"/>
    <w:rsid w:val="4AEC502C"/>
    <w:rsid w:val="4B8360BD"/>
    <w:rsid w:val="4B9B55D7"/>
    <w:rsid w:val="4C1762DA"/>
    <w:rsid w:val="4C323F07"/>
    <w:rsid w:val="4CB71F12"/>
    <w:rsid w:val="4CC912B8"/>
    <w:rsid w:val="4CD522CF"/>
    <w:rsid w:val="4D441D56"/>
    <w:rsid w:val="4D4E7FE4"/>
    <w:rsid w:val="4D76400F"/>
    <w:rsid w:val="4D856959"/>
    <w:rsid w:val="4DA40455"/>
    <w:rsid w:val="4DEE3A9C"/>
    <w:rsid w:val="4E6E5D15"/>
    <w:rsid w:val="4F770F67"/>
    <w:rsid w:val="4FAD3830"/>
    <w:rsid w:val="50CC4992"/>
    <w:rsid w:val="52112841"/>
    <w:rsid w:val="52206C84"/>
    <w:rsid w:val="52500F7E"/>
    <w:rsid w:val="532E7C6F"/>
    <w:rsid w:val="53A1157D"/>
    <w:rsid w:val="53A6176B"/>
    <w:rsid w:val="53AF7938"/>
    <w:rsid w:val="53B952C0"/>
    <w:rsid w:val="543A778D"/>
    <w:rsid w:val="54632850"/>
    <w:rsid w:val="54955207"/>
    <w:rsid w:val="552C72C6"/>
    <w:rsid w:val="5561017E"/>
    <w:rsid w:val="583F07AF"/>
    <w:rsid w:val="58413ABE"/>
    <w:rsid w:val="585C7053"/>
    <w:rsid w:val="58AC43C5"/>
    <w:rsid w:val="58B14BDE"/>
    <w:rsid w:val="5A205324"/>
    <w:rsid w:val="5A9B0D5E"/>
    <w:rsid w:val="5B1B1562"/>
    <w:rsid w:val="5B437B7A"/>
    <w:rsid w:val="5C0D36FF"/>
    <w:rsid w:val="5DBD1DD1"/>
    <w:rsid w:val="5E6B2CA4"/>
    <w:rsid w:val="5EB41072"/>
    <w:rsid w:val="5EB60667"/>
    <w:rsid w:val="5EC95EC0"/>
    <w:rsid w:val="5F20368D"/>
    <w:rsid w:val="5F246482"/>
    <w:rsid w:val="5F4E2B3F"/>
    <w:rsid w:val="60A36904"/>
    <w:rsid w:val="60B166B7"/>
    <w:rsid w:val="61E40E5A"/>
    <w:rsid w:val="61FA1703"/>
    <w:rsid w:val="62C94278"/>
    <w:rsid w:val="63405725"/>
    <w:rsid w:val="63937684"/>
    <w:rsid w:val="63B77350"/>
    <w:rsid w:val="63EE196A"/>
    <w:rsid w:val="64AE6324"/>
    <w:rsid w:val="654620A6"/>
    <w:rsid w:val="660B7EE6"/>
    <w:rsid w:val="66221ACF"/>
    <w:rsid w:val="669A0B9A"/>
    <w:rsid w:val="669B02D9"/>
    <w:rsid w:val="67103379"/>
    <w:rsid w:val="6746686E"/>
    <w:rsid w:val="67681C9B"/>
    <w:rsid w:val="67C12663"/>
    <w:rsid w:val="67FC7A6D"/>
    <w:rsid w:val="691150EA"/>
    <w:rsid w:val="69FE1C24"/>
    <w:rsid w:val="6A1C5564"/>
    <w:rsid w:val="6A403F45"/>
    <w:rsid w:val="6AC30EDA"/>
    <w:rsid w:val="6B440543"/>
    <w:rsid w:val="6C2065C4"/>
    <w:rsid w:val="6D773141"/>
    <w:rsid w:val="6D827FDA"/>
    <w:rsid w:val="6DB53060"/>
    <w:rsid w:val="6E10377E"/>
    <w:rsid w:val="6E1E6E89"/>
    <w:rsid w:val="6E701503"/>
    <w:rsid w:val="707E4E4E"/>
    <w:rsid w:val="70CB7755"/>
    <w:rsid w:val="713D21F7"/>
    <w:rsid w:val="727406DE"/>
    <w:rsid w:val="72DB4148"/>
    <w:rsid w:val="734062D0"/>
    <w:rsid w:val="734D0F87"/>
    <w:rsid w:val="73FE0B3F"/>
    <w:rsid w:val="742D7A09"/>
    <w:rsid w:val="744644B2"/>
    <w:rsid w:val="751B18DF"/>
    <w:rsid w:val="75702756"/>
    <w:rsid w:val="75A647FC"/>
    <w:rsid w:val="762E73B2"/>
    <w:rsid w:val="76A257A0"/>
    <w:rsid w:val="770937D3"/>
    <w:rsid w:val="775A4029"/>
    <w:rsid w:val="78280894"/>
    <w:rsid w:val="78770E8B"/>
    <w:rsid w:val="7928629E"/>
    <w:rsid w:val="79CB166E"/>
    <w:rsid w:val="79D055D3"/>
    <w:rsid w:val="79EE1F34"/>
    <w:rsid w:val="7A73499A"/>
    <w:rsid w:val="7B103CD4"/>
    <w:rsid w:val="7CF02BF0"/>
    <w:rsid w:val="7D363173"/>
    <w:rsid w:val="7D7536D2"/>
    <w:rsid w:val="7DE44769"/>
    <w:rsid w:val="7E7A5C10"/>
    <w:rsid w:val="7E8E5F0D"/>
    <w:rsid w:val="7F2C4D5B"/>
    <w:rsid w:val="7FE55E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nhideWhenUsed="0" w:uiPriority="99" w:name="Balloon Text"/>
    <w:lsdException w:qFormat="1" w:uiPriority="99" w:semiHidden="0" w:name="Table Grid" w:locked="1"/>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paragraph" w:styleId="2">
    <w:name w:val="heading 1"/>
    <w:basedOn w:val="3"/>
    <w:next w:val="1"/>
    <w:link w:val="32"/>
    <w:qFormat/>
    <w:uiPriority w:val="9"/>
    <w:pPr>
      <w:spacing w:before="340" w:after="330" w:line="576" w:lineRule="auto"/>
      <w:outlineLvl w:val="0"/>
    </w:pPr>
    <w:rPr>
      <w:kern w:val="44"/>
      <w:sz w:val="44"/>
      <w:szCs w:val="44"/>
    </w:rPr>
  </w:style>
  <w:style w:type="paragraph" w:styleId="4">
    <w:name w:val="heading 2"/>
    <w:basedOn w:val="1"/>
    <w:next w:val="1"/>
    <w:link w:val="33"/>
    <w:qFormat/>
    <w:uiPriority w:val="9"/>
    <w:pPr>
      <w:keepNext/>
      <w:keepLines/>
      <w:spacing w:before="120" w:after="120" w:line="360" w:lineRule="auto"/>
      <w:outlineLvl w:val="1"/>
    </w:pPr>
    <w:rPr>
      <w:rFonts w:ascii="Arial" w:hAnsi="Arial"/>
      <w:b/>
      <w:bCs/>
      <w:sz w:val="32"/>
      <w:szCs w:val="32"/>
    </w:rPr>
  </w:style>
  <w:style w:type="paragraph" w:styleId="5">
    <w:name w:val="heading 3"/>
    <w:basedOn w:val="1"/>
    <w:next w:val="1"/>
    <w:link w:val="34"/>
    <w:qFormat/>
    <w:uiPriority w:val="9"/>
    <w:pPr>
      <w:keepNext/>
      <w:keepLines/>
      <w:spacing w:before="260" w:after="260" w:line="416" w:lineRule="auto"/>
      <w:outlineLvl w:val="2"/>
    </w:pPr>
    <w:rPr>
      <w:b/>
      <w:bCs/>
      <w:sz w:val="32"/>
      <w:szCs w:val="32"/>
    </w:rPr>
  </w:style>
  <w:style w:type="paragraph" w:styleId="6">
    <w:name w:val="heading 4"/>
    <w:basedOn w:val="1"/>
    <w:next w:val="1"/>
    <w:link w:val="35"/>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3">
    <w:name w:val="标题 10"/>
    <w:basedOn w:val="4"/>
    <w:qFormat/>
    <w:uiPriority w:val="0"/>
    <w:pPr>
      <w:jc w:val="center"/>
    </w:pPr>
  </w:style>
  <w:style w:type="paragraph" w:styleId="7">
    <w:name w:val="annotation text"/>
    <w:basedOn w:val="1"/>
    <w:semiHidden/>
    <w:unhideWhenUsed/>
    <w:qFormat/>
    <w:uiPriority w:val="99"/>
  </w:style>
  <w:style w:type="paragraph" w:styleId="8">
    <w:name w:val="Body Text"/>
    <w:basedOn w:val="1"/>
    <w:next w:val="1"/>
    <w:link w:val="36"/>
    <w:qFormat/>
    <w:uiPriority w:val="99"/>
    <w:rPr>
      <w:sz w:val="22"/>
      <w:szCs w:val="20"/>
    </w:rPr>
  </w:style>
  <w:style w:type="paragraph" w:styleId="9">
    <w:name w:val="Body Text Indent"/>
    <w:basedOn w:val="1"/>
    <w:next w:val="1"/>
    <w:link w:val="37"/>
    <w:qFormat/>
    <w:uiPriority w:val="99"/>
    <w:pPr>
      <w:spacing w:line="480" w:lineRule="atLeast"/>
      <w:ind w:firstLine="570"/>
    </w:pPr>
    <w:rPr>
      <w:sz w:val="22"/>
      <w:szCs w:val="20"/>
    </w:rPr>
  </w:style>
  <w:style w:type="paragraph" w:styleId="10">
    <w:name w:val="Plain Text"/>
    <w:basedOn w:val="1"/>
    <w:link w:val="38"/>
    <w:qFormat/>
    <w:uiPriority w:val="99"/>
    <w:pPr>
      <w:spacing w:beforeLines="50" w:afterLines="50" w:line="400" w:lineRule="atLeast"/>
    </w:pPr>
    <w:rPr>
      <w:rFonts w:ascii="宋体" w:hAnsi="Courier New"/>
      <w:sz w:val="20"/>
      <w:szCs w:val="21"/>
    </w:rPr>
  </w:style>
  <w:style w:type="paragraph" w:styleId="11">
    <w:name w:val="Date"/>
    <w:basedOn w:val="1"/>
    <w:next w:val="1"/>
    <w:link w:val="39"/>
    <w:qFormat/>
    <w:uiPriority w:val="99"/>
    <w:pPr>
      <w:adjustRightInd w:val="0"/>
      <w:jc w:val="right"/>
      <w:textAlignment w:val="baseline"/>
    </w:pPr>
    <w:rPr>
      <w:sz w:val="22"/>
      <w:szCs w:val="20"/>
    </w:rPr>
  </w:style>
  <w:style w:type="paragraph" w:styleId="12">
    <w:name w:val="Balloon Text"/>
    <w:basedOn w:val="1"/>
    <w:link w:val="40"/>
    <w:semiHidden/>
    <w:qFormat/>
    <w:uiPriority w:val="99"/>
    <w:rPr>
      <w:sz w:val="18"/>
      <w:szCs w:val="18"/>
    </w:rPr>
  </w:style>
  <w:style w:type="paragraph" w:styleId="13">
    <w:name w:val="footer"/>
    <w:basedOn w:val="1"/>
    <w:link w:val="41"/>
    <w:qFormat/>
    <w:uiPriority w:val="99"/>
    <w:pPr>
      <w:tabs>
        <w:tab w:val="center" w:pos="4153"/>
        <w:tab w:val="right" w:pos="8306"/>
      </w:tabs>
      <w:snapToGrid w:val="0"/>
    </w:pPr>
    <w:rPr>
      <w:sz w:val="18"/>
      <w:szCs w:val="18"/>
    </w:rPr>
  </w:style>
  <w:style w:type="paragraph" w:styleId="14">
    <w:name w:val="header"/>
    <w:basedOn w:val="1"/>
    <w:link w:val="42"/>
    <w:qFormat/>
    <w:uiPriority w:val="99"/>
    <w:pPr>
      <w:tabs>
        <w:tab w:val="center" w:pos="4153"/>
        <w:tab w:val="right" w:pos="8306"/>
      </w:tabs>
      <w:snapToGrid w:val="0"/>
      <w:jc w:val="center"/>
    </w:pPr>
    <w:rPr>
      <w:sz w:val="18"/>
      <w:szCs w:val="18"/>
    </w:rPr>
  </w:style>
  <w:style w:type="paragraph" w:styleId="15">
    <w:name w:val="toc 1"/>
    <w:basedOn w:val="1"/>
    <w:next w:val="1"/>
    <w:qFormat/>
    <w:uiPriority w:val="99"/>
    <w:pPr>
      <w:tabs>
        <w:tab w:val="right" w:leader="dot" w:pos="9072"/>
      </w:tabs>
      <w:spacing w:before="120" w:after="120" w:line="360" w:lineRule="auto"/>
    </w:pPr>
    <w:rPr>
      <w:rFonts w:ascii="Calibri" w:hAnsi="Calibri"/>
      <w:b/>
      <w:bCs/>
      <w:caps/>
      <w:sz w:val="20"/>
    </w:rPr>
  </w:style>
  <w:style w:type="paragraph" w:styleId="16">
    <w:name w:val="List"/>
    <w:basedOn w:val="1"/>
    <w:qFormat/>
    <w:uiPriority w:val="99"/>
    <w:pPr>
      <w:ind w:left="200" w:hanging="200" w:hangingChars="200"/>
    </w:pPr>
  </w:style>
  <w:style w:type="paragraph" w:styleId="17">
    <w:name w:val="footnote text"/>
    <w:basedOn w:val="1"/>
    <w:link w:val="43"/>
    <w:semiHidden/>
    <w:qFormat/>
    <w:uiPriority w:val="99"/>
    <w:pPr>
      <w:snapToGrid w:val="0"/>
    </w:pPr>
    <w:rPr>
      <w:sz w:val="18"/>
      <w:szCs w:val="18"/>
    </w:rPr>
  </w:style>
  <w:style w:type="paragraph" w:styleId="18">
    <w:name w:val="toc 2"/>
    <w:basedOn w:val="1"/>
    <w:next w:val="1"/>
    <w:qFormat/>
    <w:uiPriority w:val="99"/>
    <w:pPr>
      <w:tabs>
        <w:tab w:val="right" w:leader="dot" w:pos="9060"/>
      </w:tabs>
      <w:spacing w:line="400" w:lineRule="exact"/>
      <w:ind w:left="280" w:right="148" w:rightChars="53"/>
    </w:pPr>
    <w:rPr>
      <w:rFonts w:ascii="仿宋" w:hAnsi="仿宋" w:eastAsia="仿宋"/>
      <w:b/>
      <w:smallCaps/>
      <w:sz w:val="24"/>
      <w:szCs w:val="24"/>
    </w:rPr>
  </w:style>
  <w:style w:type="paragraph" w:styleId="19">
    <w:name w:val="Normal (Web)"/>
    <w:basedOn w:val="1"/>
    <w:qFormat/>
    <w:uiPriority w:val="99"/>
    <w:pPr>
      <w:spacing w:before="100" w:beforeAutospacing="1" w:after="100" w:afterAutospacing="1"/>
    </w:pPr>
    <w:rPr>
      <w:rFonts w:ascii="宋体" w:hAnsi="宋体"/>
      <w:sz w:val="24"/>
      <w:szCs w:val="24"/>
    </w:rPr>
  </w:style>
  <w:style w:type="table" w:styleId="21">
    <w:name w:val="Table Grid"/>
    <w:basedOn w:val="20"/>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locked/>
    <w:uiPriority w:val="0"/>
    <w:rPr>
      <w:b/>
    </w:rPr>
  </w:style>
  <w:style w:type="character" w:styleId="24">
    <w:name w:val="page number"/>
    <w:qFormat/>
    <w:uiPriority w:val="99"/>
    <w:rPr>
      <w:rFonts w:cs="Times New Roman"/>
    </w:rPr>
  </w:style>
  <w:style w:type="character" w:styleId="25">
    <w:name w:val="Hyperlink"/>
    <w:qFormat/>
    <w:uiPriority w:val="99"/>
    <w:rPr>
      <w:rFonts w:cs="Times New Roman"/>
      <w:color w:val="0000FF"/>
      <w:u w:val="single"/>
    </w:rPr>
  </w:style>
  <w:style w:type="character" w:styleId="26">
    <w:name w:val="annotation reference"/>
    <w:basedOn w:val="22"/>
    <w:semiHidden/>
    <w:unhideWhenUsed/>
    <w:qFormat/>
    <w:uiPriority w:val="99"/>
    <w:rPr>
      <w:sz w:val="21"/>
      <w:szCs w:val="21"/>
    </w:rPr>
  </w:style>
  <w:style w:type="character" w:styleId="27">
    <w:name w:val="footnote reference"/>
    <w:semiHidden/>
    <w:qFormat/>
    <w:uiPriority w:val="99"/>
    <w:rPr>
      <w:rFonts w:cs="Times New Roman"/>
      <w:vertAlign w:val="superscript"/>
    </w:rPr>
  </w:style>
  <w:style w:type="paragraph" w:customStyle="1" w:styleId="28">
    <w:name w:val="Default"/>
    <w:next w:val="29"/>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2">
    <w:name w:val="标题 1 Char"/>
    <w:link w:val="2"/>
    <w:qFormat/>
    <w:uiPriority w:val="9"/>
    <w:rPr>
      <w:b/>
      <w:bCs/>
      <w:kern w:val="44"/>
      <w:sz w:val="44"/>
      <w:szCs w:val="44"/>
    </w:rPr>
  </w:style>
  <w:style w:type="character" w:customStyle="1" w:styleId="33">
    <w:name w:val="标题 2 Char"/>
    <w:link w:val="4"/>
    <w:semiHidden/>
    <w:qFormat/>
    <w:uiPriority w:val="9"/>
    <w:rPr>
      <w:rFonts w:ascii="Arial" w:hAnsi="Arial" w:eastAsia="宋体" w:cs="Times New Roman"/>
      <w:b/>
      <w:bCs/>
      <w:kern w:val="0"/>
      <w:sz w:val="32"/>
      <w:szCs w:val="32"/>
    </w:rPr>
  </w:style>
  <w:style w:type="character" w:customStyle="1" w:styleId="34">
    <w:name w:val="标题 3 Char"/>
    <w:link w:val="5"/>
    <w:semiHidden/>
    <w:qFormat/>
    <w:uiPriority w:val="9"/>
    <w:rPr>
      <w:b/>
      <w:bCs/>
      <w:kern w:val="0"/>
      <w:sz w:val="32"/>
      <w:szCs w:val="32"/>
    </w:rPr>
  </w:style>
  <w:style w:type="character" w:customStyle="1" w:styleId="35">
    <w:name w:val="标题 4 Char"/>
    <w:link w:val="6"/>
    <w:semiHidden/>
    <w:qFormat/>
    <w:uiPriority w:val="9"/>
    <w:rPr>
      <w:rFonts w:ascii="Cambria" w:hAnsi="Cambria" w:eastAsia="宋体" w:cs="Times New Roman"/>
      <w:b/>
      <w:bCs/>
      <w:kern w:val="0"/>
      <w:sz w:val="28"/>
      <w:szCs w:val="28"/>
    </w:rPr>
  </w:style>
  <w:style w:type="character" w:customStyle="1" w:styleId="36">
    <w:name w:val="正文文本 Char"/>
    <w:link w:val="8"/>
    <w:semiHidden/>
    <w:qFormat/>
    <w:uiPriority w:val="99"/>
    <w:rPr>
      <w:kern w:val="0"/>
      <w:sz w:val="22"/>
    </w:rPr>
  </w:style>
  <w:style w:type="character" w:customStyle="1" w:styleId="37">
    <w:name w:val="正文文本缩进 Char"/>
    <w:link w:val="9"/>
    <w:semiHidden/>
    <w:qFormat/>
    <w:uiPriority w:val="99"/>
    <w:rPr>
      <w:kern w:val="0"/>
      <w:sz w:val="22"/>
    </w:rPr>
  </w:style>
  <w:style w:type="character" w:customStyle="1" w:styleId="38">
    <w:name w:val="纯文本 Char"/>
    <w:link w:val="10"/>
    <w:semiHidden/>
    <w:qFormat/>
    <w:uiPriority w:val="99"/>
    <w:rPr>
      <w:rFonts w:ascii="宋体" w:hAnsi="Courier New"/>
      <w:kern w:val="0"/>
      <w:szCs w:val="21"/>
    </w:rPr>
  </w:style>
  <w:style w:type="character" w:customStyle="1" w:styleId="39">
    <w:name w:val="日期 Char"/>
    <w:link w:val="11"/>
    <w:semiHidden/>
    <w:qFormat/>
    <w:uiPriority w:val="99"/>
    <w:rPr>
      <w:kern w:val="0"/>
      <w:sz w:val="22"/>
    </w:rPr>
  </w:style>
  <w:style w:type="character" w:customStyle="1" w:styleId="40">
    <w:name w:val="批注框文本 Char"/>
    <w:link w:val="12"/>
    <w:semiHidden/>
    <w:qFormat/>
    <w:locked/>
    <w:uiPriority w:val="99"/>
    <w:rPr>
      <w:rFonts w:eastAsia="宋体" w:cs="Times New Roman"/>
      <w:sz w:val="18"/>
      <w:szCs w:val="18"/>
    </w:rPr>
  </w:style>
  <w:style w:type="character" w:customStyle="1" w:styleId="41">
    <w:name w:val="页脚 Char"/>
    <w:link w:val="13"/>
    <w:semiHidden/>
    <w:qFormat/>
    <w:uiPriority w:val="99"/>
    <w:rPr>
      <w:kern w:val="0"/>
      <w:sz w:val="18"/>
      <w:szCs w:val="18"/>
    </w:rPr>
  </w:style>
  <w:style w:type="character" w:customStyle="1" w:styleId="42">
    <w:name w:val="页眉 Char"/>
    <w:link w:val="14"/>
    <w:qFormat/>
    <w:locked/>
    <w:uiPriority w:val="99"/>
    <w:rPr>
      <w:rFonts w:eastAsia="宋体" w:cs="Times New Roman"/>
      <w:sz w:val="18"/>
      <w:szCs w:val="18"/>
    </w:rPr>
  </w:style>
  <w:style w:type="character" w:customStyle="1" w:styleId="43">
    <w:name w:val="脚注文本 Char"/>
    <w:link w:val="17"/>
    <w:semiHidden/>
    <w:qFormat/>
    <w:uiPriority w:val="99"/>
    <w:rPr>
      <w:kern w:val="0"/>
      <w:sz w:val="18"/>
      <w:szCs w:val="18"/>
    </w:rPr>
  </w:style>
  <w:style w:type="paragraph" w:customStyle="1" w:styleId="44">
    <w:name w:val="默认段落字体 Para Char Char Char Char Char Char Char Char Char1 Char Char Char Char"/>
    <w:basedOn w:val="1"/>
    <w:qFormat/>
    <w:uiPriority w:val="99"/>
    <w:rPr>
      <w:rFonts w:ascii="Tahoma" w:hAnsi="Tahoma"/>
      <w:sz w:val="24"/>
      <w:szCs w:val="20"/>
    </w:rPr>
  </w:style>
  <w:style w:type="paragraph" w:customStyle="1" w:styleId="45">
    <w:name w:val="表内文字"/>
    <w:basedOn w:val="1"/>
    <w:qFormat/>
    <w:uiPriority w:val="99"/>
    <w:pPr>
      <w:tabs>
        <w:tab w:val="left" w:pos="1418"/>
      </w:tabs>
      <w:spacing w:line="360" w:lineRule="auto"/>
      <w:jc w:val="center"/>
    </w:pPr>
    <w:rPr>
      <w:rFonts w:ascii="仿宋_GB2312" w:eastAsia="仿宋_GB2312"/>
      <w:spacing w:val="-20"/>
      <w:sz w:val="24"/>
    </w:rPr>
  </w:style>
  <w:style w:type="paragraph" w:customStyle="1" w:styleId="46">
    <w:name w:val="正文2"/>
    <w:basedOn w:val="1"/>
    <w:qFormat/>
    <w:uiPriority w:val="99"/>
    <w:pPr>
      <w:spacing w:before="156" w:line="360" w:lineRule="auto"/>
      <w:ind w:firstLine="510" w:firstLineChars="200"/>
    </w:pPr>
    <w:rPr>
      <w:sz w:val="24"/>
    </w:rPr>
  </w:style>
  <w:style w:type="paragraph" w:customStyle="1" w:styleId="47">
    <w:name w:val="样式 样式1 + 首行缩进:  2 字符"/>
    <w:basedOn w:val="1"/>
    <w:qFormat/>
    <w:uiPriority w:val="99"/>
    <w:pPr>
      <w:spacing w:line="360" w:lineRule="exact"/>
      <w:ind w:firstLine="420" w:firstLineChars="200"/>
    </w:pPr>
    <w:rPr>
      <w:rFonts w:ascii="Arial" w:hAnsi="Arial"/>
    </w:rPr>
  </w:style>
  <w:style w:type="character" w:customStyle="1" w:styleId="48">
    <w:name w:val="font01"/>
    <w:qFormat/>
    <w:uiPriority w:val="99"/>
    <w:rPr>
      <w:rFonts w:ascii="微软雅黑" w:hAnsi="微软雅黑" w:eastAsia="微软雅黑" w:cs="微软雅黑"/>
      <w:b/>
      <w:color w:val="000000"/>
      <w:sz w:val="22"/>
      <w:szCs w:val="22"/>
      <w:u w:val="none"/>
    </w:rPr>
  </w:style>
  <w:style w:type="paragraph" w:customStyle="1" w:styleId="49">
    <w:name w:val="_Style 5"/>
    <w:basedOn w:val="2"/>
    <w:next w:val="1"/>
    <w:qFormat/>
    <w:uiPriority w:val="99"/>
    <w:pPr>
      <w:spacing w:before="480" w:line="276" w:lineRule="auto"/>
      <w:outlineLvl w:val="9"/>
    </w:pPr>
    <w:rPr>
      <w:rFonts w:ascii="Cambria" w:hAnsi="Cambria"/>
      <w:color w:val="365F91"/>
      <w:kern w:val="0"/>
      <w:sz w:val="28"/>
      <w:szCs w:val="28"/>
    </w:rPr>
  </w:style>
  <w:style w:type="character" w:customStyle="1" w:styleId="50">
    <w:name w:val="font11"/>
    <w:qFormat/>
    <w:uiPriority w:val="99"/>
    <w:rPr>
      <w:rFonts w:ascii="Arial" w:hAnsi="Arial" w:cs="Arial"/>
      <w:color w:val="000000"/>
      <w:sz w:val="22"/>
      <w:szCs w:val="22"/>
      <w:u w:val="none"/>
    </w:rPr>
  </w:style>
  <w:style w:type="paragraph" w:styleId="51">
    <w:name w:val="List Paragraph"/>
    <w:basedOn w:val="1"/>
    <w:qFormat/>
    <w:uiPriority w:val="99"/>
    <w:pPr>
      <w:ind w:firstLine="420" w:firstLineChars="200"/>
    </w:pPr>
    <w:rPr>
      <w:szCs w:val="20"/>
    </w:rPr>
  </w:style>
  <w:style w:type="paragraph" w:customStyle="1" w:styleId="52">
    <w:name w:val="样式 纯文本 + 首行缩进:  2 字符 Char Char Char Char Char Char Char Char Char Char Char Char Char Char Char Char Char Char Char Char Char Char Char Char"/>
    <w:basedOn w:val="10"/>
    <w:qFormat/>
    <w:uiPriority w:val="99"/>
    <w:pPr>
      <w:spacing w:beforeLines="0" w:afterLines="0" w:line="360" w:lineRule="auto"/>
    </w:pPr>
    <w:rPr>
      <w:rFonts w:eastAsia="仿宋_GB2312" w:cs="Arial"/>
      <w:sz w:val="28"/>
      <w:szCs w:val="20"/>
    </w:rPr>
  </w:style>
  <w:style w:type="paragraph" w:customStyle="1" w:styleId="53">
    <w:name w:val="内文正文"/>
    <w:basedOn w:val="10"/>
    <w:qFormat/>
    <w:uiPriority w:val="99"/>
    <w:pPr>
      <w:adjustRightInd w:val="0"/>
      <w:snapToGrid w:val="0"/>
      <w:spacing w:line="400" w:lineRule="exact"/>
      <w:ind w:firstLine="200" w:firstLineChars="200"/>
    </w:pPr>
    <w:rPr>
      <w:rFonts w:ascii="Arial" w:hAnsi="Arial"/>
      <w:color w:val="000000"/>
    </w:rPr>
  </w:style>
  <w:style w:type="paragraph" w:customStyle="1" w:styleId="54">
    <w:name w:val="WPSOffice手动目录 1"/>
    <w:qFormat/>
    <w:uiPriority w:val="99"/>
    <w:rPr>
      <w:rFonts w:ascii="Times New Roman" w:hAnsi="Times New Roman" w:eastAsia="宋体" w:cs="Times New Roman"/>
      <w:lang w:val="en-US" w:eastAsia="zh-CN" w:bidi="ar-SA"/>
    </w:rPr>
  </w:style>
  <w:style w:type="paragraph" w:customStyle="1" w:styleId="55">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56">
    <w:name w:val="样式1"/>
    <w:basedOn w:val="1"/>
    <w:qFormat/>
    <w:uiPriority w:val="99"/>
    <w:pPr>
      <w:spacing w:line="360" w:lineRule="exact"/>
      <w:ind w:firstLine="200" w:firstLineChars="200"/>
    </w:pPr>
    <w:rPr>
      <w:rFonts w:ascii="Arial" w:hAnsi="Arial"/>
    </w:rPr>
  </w:style>
  <w:style w:type="paragraph" w:customStyle="1" w:styleId="57">
    <w:name w:val="Blockquote"/>
    <w:basedOn w:val="1"/>
    <w:qFormat/>
    <w:uiPriority w:val="0"/>
    <w:pPr>
      <w:autoSpaceDE w:val="0"/>
      <w:autoSpaceDN w:val="0"/>
      <w:adjustRightInd w:val="0"/>
      <w:spacing w:before="100" w:after="100"/>
      <w:ind w:left="360" w:right="360"/>
    </w:pPr>
    <w:rPr>
      <w:sz w:val="24"/>
      <w:szCs w:val="20"/>
    </w:rPr>
  </w:style>
  <w:style w:type="paragraph" w:customStyle="1" w:styleId="58">
    <w:name w:val="样式 标题 2 + Times New Roman 四号 非加粗 段前: 5 磅 段后: 0 磅 行距: 固定值 20..."/>
    <w:basedOn w:val="4"/>
    <w:qFormat/>
    <w:uiPriority w:val="0"/>
    <w:pPr>
      <w:spacing w:before="100" w:after="100"/>
    </w:pPr>
    <w:rPr>
      <w:rFonts w:ascii="Times New Roman" w:hAnsi="Times New Roman" w:cs="宋体"/>
      <w:b w:val="0"/>
      <w:sz w:val="28"/>
      <w:szCs w:val="20"/>
    </w:rPr>
  </w:style>
  <w:style w:type="paragraph" w:customStyle="1" w:styleId="59">
    <w:name w:val="样式 标题 3 + (中文) 黑体 小四 非加粗 段前: 7.8 磅 段后: 0 磅 行距: 固定值 20 磅"/>
    <w:basedOn w:val="5"/>
    <w:next w:val="1"/>
    <w:qFormat/>
    <w:uiPriority w:val="0"/>
    <w:pPr>
      <w:keepNext w:val="0"/>
      <w:keepLines w:val="0"/>
      <w:numPr>
        <w:ilvl w:val="0"/>
        <w:numId w:val="1"/>
      </w:numPr>
      <w:spacing w:before="0" w:after="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1026"/>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91</Pages>
  <Words>55886</Words>
  <Characters>10823</Characters>
  <Lines>90</Lines>
  <Paragraphs>133</Paragraphs>
  <TotalTime>69</TotalTime>
  <ScaleCrop>false</ScaleCrop>
  <LinksUpToDate>false</LinksUpToDate>
  <CharactersWithSpaces>66576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繁华终易逝</cp:lastModifiedBy>
  <cp:lastPrinted>2019-06-24T02:28:00Z</cp:lastPrinted>
  <dcterms:modified xsi:type="dcterms:W3CDTF">2021-08-24T13:01:55Z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6DC0F9E2500D4C3D8B6A18CDF54756DC</vt:lpwstr>
  </property>
</Properties>
</file>