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 w:lineRule="exact"/>
        <w:rPr>
          <w:rFonts w:ascii="宋体" w:hAnsi="宋体" w:cs="宋体"/>
          <w:color w:val="auto"/>
          <w:sz w:val="24"/>
          <w:szCs w:val="24"/>
          <w:highlight w:val="none"/>
        </w:rPr>
      </w:pPr>
      <w:bookmarkStart w:id="0" w:name="page1"/>
      <w:bookmarkEnd w:id="0"/>
    </w:p>
    <w:p>
      <w:pPr>
        <w:spacing w:line="200" w:lineRule="exact"/>
        <w:rPr>
          <w:rFonts w:ascii="宋体" w:hAnsi="宋体" w:cs="宋体"/>
          <w:color w:val="auto"/>
          <w:sz w:val="24"/>
          <w:szCs w:val="24"/>
          <w:highlight w:val="none"/>
        </w:rPr>
      </w:pPr>
    </w:p>
    <w:p>
      <w:pPr>
        <w:pStyle w:val="26"/>
        <w:rPr>
          <w:rFonts w:ascii="宋体" w:hAnsi="宋体" w:cs="宋体"/>
          <w:color w:val="auto"/>
          <w:sz w:val="24"/>
          <w:szCs w:val="24"/>
          <w:highlight w:val="none"/>
        </w:rPr>
      </w:pPr>
    </w:p>
    <w:p>
      <w:pPr>
        <w:pStyle w:val="28"/>
        <w:rPr>
          <w:color w:val="auto"/>
          <w:highlight w:val="none"/>
        </w:rPr>
      </w:pPr>
    </w:p>
    <w:p>
      <w:pPr>
        <w:pStyle w:val="28"/>
        <w:rPr>
          <w:color w:val="auto"/>
          <w:highlight w:val="none"/>
        </w:rPr>
      </w:pPr>
    </w:p>
    <w:p>
      <w:pPr>
        <w:spacing w:line="200" w:lineRule="exact"/>
        <w:rPr>
          <w:rFonts w:ascii="宋体" w:hAnsi="宋体" w:cs="宋体"/>
          <w:color w:val="auto"/>
          <w:sz w:val="24"/>
          <w:szCs w:val="24"/>
          <w:highlight w:val="none"/>
        </w:rPr>
      </w:pPr>
    </w:p>
    <w:p>
      <w:pPr>
        <w:spacing w:line="200" w:lineRule="exact"/>
        <w:rPr>
          <w:rFonts w:ascii="宋体" w:hAnsi="宋体" w:cs="宋体"/>
          <w:color w:val="auto"/>
          <w:sz w:val="24"/>
          <w:szCs w:val="24"/>
          <w:highlight w:val="none"/>
        </w:rPr>
      </w:pPr>
    </w:p>
    <w:p>
      <w:pPr>
        <w:spacing w:line="360" w:lineRule="auto"/>
        <w:jc w:val="center"/>
        <w:rPr>
          <w:rFonts w:ascii="宋体" w:hAnsi="宋体" w:cs="宋体"/>
          <w:b/>
          <w:color w:val="auto"/>
          <w:spacing w:val="-6"/>
          <w:sz w:val="52"/>
          <w:szCs w:val="52"/>
          <w:highlight w:val="none"/>
        </w:rPr>
      </w:pPr>
      <w:r>
        <w:rPr>
          <w:rFonts w:hint="eastAsia" w:ascii="宋体" w:hAnsi="宋体" w:cs="宋体"/>
          <w:b/>
          <w:color w:val="auto"/>
          <w:spacing w:val="-6"/>
          <w:sz w:val="52"/>
          <w:szCs w:val="52"/>
          <w:highlight w:val="none"/>
        </w:rPr>
        <w:t>浙江农林大学</w:t>
      </w:r>
    </w:p>
    <w:p>
      <w:pPr>
        <w:spacing w:line="360" w:lineRule="auto"/>
        <w:jc w:val="center"/>
        <w:rPr>
          <w:rFonts w:hint="eastAsia" w:ascii="宋体" w:hAnsi="宋体" w:eastAsia="宋体" w:cs="宋体"/>
          <w:b/>
          <w:color w:val="auto"/>
          <w:spacing w:val="-6"/>
          <w:sz w:val="96"/>
          <w:szCs w:val="96"/>
          <w:highlight w:val="none"/>
          <w:lang w:eastAsia="zh-CN"/>
        </w:rPr>
      </w:pPr>
      <w:r>
        <w:rPr>
          <w:rFonts w:hint="eastAsia" w:ascii="宋体" w:hAnsi="宋体" w:cs="宋体"/>
          <w:b/>
          <w:color w:val="auto"/>
          <w:spacing w:val="-6"/>
          <w:sz w:val="52"/>
          <w:szCs w:val="52"/>
          <w:highlight w:val="none"/>
          <w:lang w:eastAsia="zh-CN"/>
        </w:rPr>
        <w:t>实验楼卫生间改造工程</w:t>
      </w:r>
    </w:p>
    <w:p>
      <w:pPr>
        <w:spacing w:line="360" w:lineRule="auto"/>
        <w:jc w:val="both"/>
        <w:rPr>
          <w:rFonts w:ascii="宋体" w:hAnsi="宋体" w:cs="宋体"/>
          <w:b/>
          <w:color w:val="auto"/>
          <w:spacing w:val="-6"/>
          <w:sz w:val="72"/>
          <w:szCs w:val="72"/>
          <w:highlight w:val="none"/>
        </w:rPr>
      </w:pPr>
    </w:p>
    <w:p>
      <w:pPr>
        <w:pStyle w:val="26"/>
        <w:rPr>
          <w:rFonts w:ascii="宋体" w:hAnsi="宋体" w:eastAsia="宋体" w:cs="宋体"/>
          <w:color w:val="auto"/>
          <w:highlight w:val="none"/>
        </w:rPr>
      </w:pPr>
    </w:p>
    <w:p>
      <w:pPr>
        <w:spacing w:line="360" w:lineRule="auto"/>
        <w:jc w:val="center"/>
        <w:rPr>
          <w:rFonts w:ascii="宋体" w:hAnsi="宋体" w:cs="宋体"/>
          <w:b/>
          <w:color w:val="auto"/>
          <w:spacing w:val="-6"/>
          <w:sz w:val="72"/>
          <w:szCs w:val="72"/>
          <w:highlight w:val="none"/>
        </w:rPr>
      </w:pPr>
      <w:r>
        <w:rPr>
          <w:rFonts w:hint="eastAsia" w:ascii="宋体" w:hAnsi="宋体" w:cs="宋体"/>
          <w:b/>
          <w:color w:val="auto"/>
          <w:spacing w:val="-6"/>
          <w:sz w:val="72"/>
          <w:szCs w:val="72"/>
          <w:highlight w:val="none"/>
        </w:rPr>
        <w:t>竞争性磋商文件</w:t>
      </w:r>
    </w:p>
    <w:p>
      <w:pPr>
        <w:spacing w:line="360" w:lineRule="auto"/>
        <w:jc w:val="center"/>
        <w:rPr>
          <w:rFonts w:ascii="宋体" w:hAnsi="宋体" w:cs="宋体"/>
          <w:color w:val="auto"/>
          <w:sz w:val="44"/>
          <w:szCs w:val="44"/>
          <w:highlight w:val="none"/>
        </w:rPr>
      </w:pPr>
    </w:p>
    <w:p>
      <w:pPr>
        <w:spacing w:line="360" w:lineRule="auto"/>
        <w:jc w:val="center"/>
        <w:rPr>
          <w:rFonts w:ascii="宋体" w:hAnsi="宋体" w:cs="宋体"/>
          <w:color w:val="auto"/>
          <w:sz w:val="44"/>
          <w:szCs w:val="44"/>
          <w:highlight w:val="none"/>
        </w:rPr>
      </w:pPr>
    </w:p>
    <w:p>
      <w:pPr>
        <w:rPr>
          <w:rFonts w:ascii="宋体" w:hAnsi="宋体" w:cs="宋体"/>
          <w:color w:val="auto"/>
          <w:szCs w:val="24"/>
          <w:highlight w:val="none"/>
        </w:rPr>
      </w:pPr>
    </w:p>
    <w:p>
      <w:pPr>
        <w:snapToGrid w:val="0"/>
        <w:spacing w:line="360" w:lineRule="auto"/>
        <w:ind w:left="2215" w:leftChars="290" w:hanging="1606" w:hangingChars="5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招标项目：</w:t>
      </w:r>
      <w:r>
        <w:rPr>
          <w:rFonts w:hint="eastAsia" w:ascii="宋体" w:hAnsi="宋体" w:cs="宋体"/>
          <w:b/>
          <w:bCs/>
          <w:color w:val="auto"/>
          <w:sz w:val="32"/>
          <w:szCs w:val="32"/>
          <w:highlight w:val="none"/>
          <w:lang w:eastAsia="zh-CN"/>
        </w:rPr>
        <w:t>实验楼卫生间改造工程</w:t>
      </w:r>
    </w:p>
    <w:p>
      <w:pPr>
        <w:snapToGrid w:val="0"/>
        <w:spacing w:line="360" w:lineRule="auto"/>
        <w:ind w:left="609" w:leftChars="290"/>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确认书号：[2020]28780号、[2020]28781号</w:t>
      </w:r>
    </w:p>
    <w:p>
      <w:pPr>
        <w:snapToGrid w:val="0"/>
        <w:spacing w:line="360" w:lineRule="auto"/>
        <w:ind w:firstLine="643" w:firstLineChars="2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ZJWSBJ-NL-2020013C</w:t>
      </w:r>
    </w:p>
    <w:p>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人：浙江农林大学</w:t>
      </w:r>
    </w:p>
    <w:p>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spacing w:line="360" w:lineRule="auto"/>
        <w:ind w:firstLine="643" w:firstLineChars="200"/>
        <w:rPr>
          <w:rFonts w:ascii="宋体" w:hAnsi="宋体" w:cs="宋体"/>
          <w:color w:val="auto"/>
          <w:highlight w:val="none"/>
        </w:rPr>
        <w:sectPr>
          <w:headerReference r:id="rId4" w:type="first"/>
          <w:headerReference r:id="rId3" w:type="default"/>
          <w:footerReference r:id="rId5" w:type="default"/>
          <w:pgSz w:w="11900" w:h="16838"/>
          <w:pgMar w:top="1440" w:right="1440" w:bottom="401" w:left="1440" w:header="567" w:footer="567" w:gutter="0"/>
          <w:cols w:equalWidth="0" w:num="1">
            <w:col w:w="9026"/>
          </w:cols>
        </w:sectPr>
      </w:pPr>
      <w:r>
        <w:rPr>
          <w:rFonts w:hint="eastAsia" w:ascii="宋体" w:hAnsi="宋体" w:cs="宋体"/>
          <w:b/>
          <w:bCs/>
          <w:color w:val="auto"/>
          <w:sz w:val="32"/>
          <w:szCs w:val="32"/>
          <w:highlight w:val="none"/>
        </w:rPr>
        <w:t>时    间：二〇二〇年</w:t>
      </w:r>
      <w:r>
        <w:rPr>
          <w:rFonts w:hint="eastAsia" w:ascii="宋体" w:hAnsi="宋体" w:cs="宋体"/>
          <w:b/>
          <w:bCs/>
          <w:color w:val="auto"/>
          <w:sz w:val="32"/>
          <w:szCs w:val="32"/>
          <w:highlight w:val="none"/>
          <w:lang w:eastAsia="zh-CN"/>
        </w:rPr>
        <w:t>八</w:t>
      </w:r>
      <w:r>
        <w:rPr>
          <w:rFonts w:hint="eastAsia" w:ascii="宋体" w:hAnsi="宋体" w:cs="宋体"/>
          <w:b/>
          <w:bCs/>
          <w:color w:val="auto"/>
          <w:sz w:val="32"/>
          <w:szCs w:val="32"/>
          <w:highlight w:val="none"/>
        </w:rPr>
        <w:t>月</w:t>
      </w:r>
    </w:p>
    <w:p>
      <w:pPr>
        <w:tabs>
          <w:tab w:val="left" w:pos="4720"/>
        </w:tabs>
        <w:spacing w:line="502" w:lineRule="exact"/>
        <w:jc w:val="center"/>
        <w:rPr>
          <w:rFonts w:ascii="宋体" w:hAnsi="宋体" w:cs="宋体"/>
          <w:b/>
          <w:bCs/>
          <w:color w:val="auto"/>
          <w:sz w:val="43"/>
          <w:szCs w:val="43"/>
          <w:highlight w:val="none"/>
        </w:rPr>
      </w:pPr>
      <w:bookmarkStart w:id="1" w:name="page2"/>
      <w:bookmarkEnd w:id="1"/>
      <w:r>
        <w:rPr>
          <w:rFonts w:hint="eastAsia" w:ascii="宋体" w:hAnsi="宋体" w:cs="宋体"/>
          <w:b/>
          <w:bCs/>
          <w:color w:val="auto"/>
          <w:sz w:val="44"/>
          <w:szCs w:val="44"/>
          <w:highlight w:val="none"/>
        </w:rPr>
        <w:t xml:space="preserve">目 </w:t>
      </w:r>
      <w:r>
        <w:rPr>
          <w:rFonts w:hint="eastAsia" w:ascii="宋体" w:hAnsi="宋体" w:cs="宋体"/>
          <w:b/>
          <w:bCs/>
          <w:color w:val="auto"/>
          <w:sz w:val="43"/>
          <w:szCs w:val="43"/>
          <w:highlight w:val="none"/>
        </w:rPr>
        <w:t>录</w:t>
      </w:r>
    </w:p>
    <w:p>
      <w:pPr>
        <w:pStyle w:val="26"/>
        <w:rPr>
          <w:rFonts w:eastAsia="宋体"/>
          <w:color w:val="auto"/>
          <w:highlight w:val="none"/>
        </w:rPr>
      </w:pPr>
    </w:p>
    <w:p>
      <w:pPr>
        <w:pStyle w:val="51"/>
        <w:tabs>
          <w:tab w:val="right" w:leader="dot" w:pos="9754"/>
        </w:tabs>
        <w:spacing w:line="360" w:lineRule="auto"/>
        <w:rPr>
          <w:rFonts w:ascii="宋体" w:hAnsi="宋体" w:cs="宋体"/>
          <w:b/>
          <w:color w:val="auto"/>
          <w:sz w:val="21"/>
          <w:szCs w:val="21"/>
          <w:highlight w:val="none"/>
        </w:rPr>
      </w:pP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TOC \o "1-2" \h \u </w:instrText>
      </w:r>
      <w:r>
        <w:rPr>
          <w:rFonts w:hint="eastAsia" w:ascii="宋体" w:hAnsi="宋体" w:cs="宋体"/>
          <w:b/>
          <w:bCs/>
          <w:color w:val="auto"/>
          <w:sz w:val="21"/>
          <w:szCs w:val="21"/>
          <w:highlight w:val="none"/>
        </w:rPr>
        <w:fldChar w:fldCharType="separate"/>
      </w:r>
      <w:r>
        <w:rPr>
          <w:color w:val="auto"/>
          <w:highlight w:val="none"/>
        </w:rPr>
        <w:fldChar w:fldCharType="begin"/>
      </w:r>
      <w:r>
        <w:rPr>
          <w:color w:val="auto"/>
          <w:highlight w:val="none"/>
        </w:rPr>
        <w:instrText xml:space="preserve"> HYPERLINK \l "_Toc13387" </w:instrText>
      </w:r>
      <w:r>
        <w:rPr>
          <w:color w:val="auto"/>
          <w:highlight w:val="none"/>
        </w:rPr>
        <w:fldChar w:fldCharType="separate"/>
      </w:r>
      <w:r>
        <w:rPr>
          <w:rFonts w:hint="eastAsia" w:ascii="宋体" w:hAnsi="宋体" w:cs="宋体"/>
          <w:b/>
          <w:color w:val="auto"/>
          <w:spacing w:val="-6"/>
          <w:sz w:val="21"/>
          <w:szCs w:val="21"/>
          <w:highlight w:val="none"/>
        </w:rPr>
        <w:t>电子交易须知</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_Toc13387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3</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"_Toc20706" </w:instrText>
      </w:r>
      <w:r>
        <w:rPr>
          <w:color w:val="auto"/>
          <w:highlight w:val="none"/>
        </w:rPr>
        <w:fldChar w:fldCharType="separate"/>
      </w:r>
      <w:r>
        <w:rPr>
          <w:rFonts w:hint="eastAsia" w:ascii="宋体" w:hAnsi="宋体" w:cs="宋体"/>
          <w:b/>
          <w:bCs/>
          <w:color w:val="auto"/>
          <w:sz w:val="21"/>
          <w:szCs w:val="21"/>
          <w:highlight w:val="none"/>
        </w:rPr>
        <w:t>第一章  竞争性磋商公告</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_Toc20706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1</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"_Toc27790" </w:instrText>
      </w:r>
      <w:r>
        <w:rPr>
          <w:color w:val="auto"/>
          <w:highlight w:val="none"/>
        </w:rPr>
        <w:fldChar w:fldCharType="separate"/>
      </w:r>
      <w:r>
        <w:rPr>
          <w:rFonts w:hint="eastAsia" w:ascii="宋体" w:hAnsi="宋体" w:cs="宋体"/>
          <w:b/>
          <w:bCs/>
          <w:color w:val="auto"/>
          <w:sz w:val="21"/>
          <w:szCs w:val="21"/>
          <w:highlight w:val="none"/>
        </w:rPr>
        <w:t>第二章  供应商须知前附表</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_Toc27790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5</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"_Toc163" </w:instrText>
      </w:r>
      <w:r>
        <w:rPr>
          <w:color w:val="auto"/>
          <w:highlight w:val="none"/>
        </w:rPr>
        <w:fldChar w:fldCharType="separate"/>
      </w:r>
      <w:r>
        <w:rPr>
          <w:rFonts w:hint="eastAsia" w:ascii="宋体" w:hAnsi="宋体" w:cs="宋体"/>
          <w:b/>
          <w:bCs/>
          <w:color w:val="auto"/>
          <w:sz w:val="21"/>
          <w:szCs w:val="21"/>
          <w:highlight w:val="none"/>
        </w:rPr>
        <w:t>第三章  供应商须知</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_Toc163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10</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"_Toc29219" </w:instrText>
      </w:r>
      <w:r>
        <w:rPr>
          <w:color w:val="auto"/>
          <w:highlight w:val="none"/>
        </w:rPr>
        <w:fldChar w:fldCharType="separate"/>
      </w:r>
      <w:r>
        <w:rPr>
          <w:rFonts w:hint="eastAsia" w:ascii="宋体" w:hAnsi="宋体" w:cs="宋体"/>
          <w:bCs/>
          <w:color w:val="auto"/>
          <w:sz w:val="21"/>
          <w:szCs w:val="21"/>
          <w:highlight w:val="none"/>
        </w:rPr>
        <w:t>一、总则</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_Toc29219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"_Toc7892" </w:instrText>
      </w:r>
      <w:r>
        <w:rPr>
          <w:color w:val="auto"/>
          <w:highlight w:val="none"/>
        </w:rPr>
        <w:fldChar w:fldCharType="separate"/>
      </w:r>
      <w:r>
        <w:rPr>
          <w:rFonts w:hint="eastAsia" w:ascii="宋体" w:hAnsi="宋体" w:cs="宋体"/>
          <w:bCs/>
          <w:color w:val="auto"/>
          <w:sz w:val="21"/>
          <w:szCs w:val="21"/>
          <w:highlight w:val="none"/>
        </w:rPr>
        <w:t>二、竞争性磋商文件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_Toc7892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"_Toc13792" </w:instrText>
      </w:r>
      <w:r>
        <w:rPr>
          <w:color w:val="auto"/>
          <w:highlight w:val="none"/>
        </w:rPr>
        <w:fldChar w:fldCharType="separate"/>
      </w:r>
      <w:r>
        <w:rPr>
          <w:rFonts w:hint="eastAsia" w:ascii="宋体" w:hAnsi="宋体" w:cs="宋体"/>
          <w:bCs/>
          <w:color w:val="auto"/>
          <w:sz w:val="21"/>
          <w:szCs w:val="21"/>
          <w:highlight w:val="none"/>
        </w:rPr>
        <w:t>三、响应文件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keepNext w:val="0"/>
        <w:keepLines w:val="0"/>
        <w:pageBreakBefore w:val="0"/>
        <w:widowControl/>
        <w:tabs>
          <w:tab w:val="right" w:leader="dot" w:pos="9754"/>
        </w:tabs>
        <w:kinsoku/>
        <w:wordWrap/>
        <w:overflowPunct/>
        <w:topLinePunct w:val="0"/>
        <w:autoSpaceDE/>
        <w:autoSpaceDN/>
        <w:bidi w:val="0"/>
        <w:adjustRightInd/>
        <w:snapToGrid/>
        <w:spacing w:line="360" w:lineRule="auto"/>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"_Toc30544" </w:instrText>
      </w:r>
      <w:r>
        <w:rPr>
          <w:color w:val="auto"/>
          <w:highlight w:val="none"/>
        </w:rPr>
        <w:fldChar w:fldCharType="separate"/>
      </w:r>
      <w:r>
        <w:rPr>
          <w:rFonts w:hint="eastAsia" w:ascii="宋体" w:hAnsi="宋体" w:cs="宋体"/>
          <w:bCs/>
          <w:color w:val="auto"/>
          <w:sz w:val="21"/>
          <w:szCs w:val="21"/>
          <w:highlight w:val="none"/>
        </w:rPr>
        <w:t>四、磋商响应</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_Toc30544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"_Toc17782" </w:instrText>
      </w:r>
      <w:r>
        <w:rPr>
          <w:color w:val="auto"/>
          <w:highlight w:val="none"/>
        </w:rPr>
        <w:fldChar w:fldCharType="separate"/>
      </w:r>
      <w:r>
        <w:rPr>
          <w:rFonts w:hint="eastAsia" w:ascii="宋体" w:hAnsi="宋体" w:cs="宋体"/>
          <w:bCs/>
          <w:color w:val="auto"/>
          <w:sz w:val="21"/>
          <w:szCs w:val="21"/>
          <w:highlight w:val="none"/>
        </w:rPr>
        <w:t>五、响应文件的开启、评审及合同签订</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_Toc17782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"_Toc28950" </w:instrText>
      </w:r>
      <w:r>
        <w:rPr>
          <w:color w:val="auto"/>
          <w:highlight w:val="none"/>
        </w:rPr>
        <w:fldChar w:fldCharType="separate"/>
      </w:r>
      <w:r>
        <w:rPr>
          <w:rFonts w:hint="eastAsia" w:ascii="宋体" w:hAnsi="宋体" w:cs="宋体"/>
          <w:bCs/>
          <w:color w:val="auto"/>
          <w:sz w:val="21"/>
          <w:szCs w:val="21"/>
          <w:highlight w:val="none"/>
        </w:rPr>
        <w:t>六、磋商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_Toc28950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"_Toc944" </w:instrText>
      </w:r>
      <w:r>
        <w:rPr>
          <w:color w:val="auto"/>
          <w:highlight w:val="none"/>
        </w:rPr>
        <w:fldChar w:fldCharType="separate"/>
      </w:r>
      <w:r>
        <w:rPr>
          <w:rFonts w:hint="eastAsia" w:ascii="宋体" w:hAnsi="宋体" w:cs="宋体"/>
          <w:b/>
          <w:bCs/>
          <w:color w:val="auto"/>
          <w:sz w:val="21"/>
          <w:szCs w:val="21"/>
          <w:highlight w:val="none"/>
        </w:rPr>
        <w:t>第四章  采购内容及技术要求</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_Toc944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22</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"_Toc17509" </w:instrText>
      </w:r>
      <w:r>
        <w:rPr>
          <w:color w:val="auto"/>
          <w:highlight w:val="none"/>
        </w:rPr>
        <w:fldChar w:fldCharType="separate"/>
      </w:r>
      <w:r>
        <w:rPr>
          <w:rFonts w:hint="eastAsia" w:ascii="宋体" w:hAnsi="宋体" w:cs="宋体"/>
          <w:bCs/>
          <w:color w:val="auto"/>
          <w:sz w:val="21"/>
          <w:szCs w:val="21"/>
          <w:highlight w:val="none"/>
        </w:rPr>
        <w:t>一、</w:t>
      </w:r>
      <w:r>
        <w:rPr>
          <w:rFonts w:hint="eastAsia" w:ascii="宋体" w:hAnsi="宋体" w:cs="宋体"/>
          <w:color w:val="auto"/>
          <w:sz w:val="21"/>
          <w:szCs w:val="21"/>
          <w:highlight w:val="none"/>
        </w:rPr>
        <w:t>项目概况</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_Toc17509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"_Toc11756" </w:instrText>
      </w:r>
      <w:r>
        <w:rPr>
          <w:color w:val="auto"/>
          <w:highlight w:val="none"/>
        </w:rPr>
        <w:fldChar w:fldCharType="separate"/>
      </w:r>
      <w:r>
        <w:rPr>
          <w:rFonts w:hint="eastAsia" w:ascii="宋体" w:hAnsi="宋体" w:cs="宋体"/>
          <w:bCs/>
          <w:color w:val="auto"/>
          <w:sz w:val="21"/>
          <w:szCs w:val="21"/>
          <w:highlight w:val="none"/>
        </w:rPr>
        <w:t>二、</w:t>
      </w:r>
      <w:r>
        <w:rPr>
          <w:rFonts w:hint="eastAsia" w:ascii="宋体" w:hAnsi="宋体" w:cs="宋体"/>
          <w:color w:val="auto"/>
          <w:sz w:val="21"/>
          <w:szCs w:val="21"/>
          <w:highlight w:val="none"/>
        </w:rPr>
        <w:t>规范要求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_Toc11756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"_Toc28373" </w:instrText>
      </w:r>
      <w:r>
        <w:rPr>
          <w:color w:val="auto"/>
          <w:highlight w:val="none"/>
        </w:rPr>
        <w:fldChar w:fldCharType="separate"/>
      </w:r>
      <w:r>
        <w:rPr>
          <w:rFonts w:hint="eastAsia" w:ascii="宋体" w:hAnsi="宋体" w:cs="宋体"/>
          <w:bCs/>
          <w:color w:val="auto"/>
          <w:sz w:val="21"/>
          <w:szCs w:val="21"/>
          <w:highlight w:val="none"/>
        </w:rPr>
        <w:t>三、</w:t>
      </w:r>
      <w:r>
        <w:rPr>
          <w:rFonts w:hint="eastAsia" w:ascii="宋体" w:hAnsi="宋体" w:cs="宋体"/>
          <w:color w:val="auto"/>
          <w:sz w:val="21"/>
          <w:szCs w:val="21"/>
          <w:highlight w:val="none"/>
        </w:rPr>
        <w:t>施工要求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_Toc28373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"_Toc29259" </w:instrText>
      </w:r>
      <w:r>
        <w:rPr>
          <w:color w:val="auto"/>
          <w:highlight w:val="none"/>
        </w:rPr>
        <w:fldChar w:fldCharType="separate"/>
      </w:r>
      <w:r>
        <w:rPr>
          <w:rFonts w:hint="eastAsia" w:ascii="宋体" w:hAnsi="宋体" w:cs="宋体"/>
          <w:bCs/>
          <w:color w:val="auto"/>
          <w:sz w:val="21"/>
          <w:szCs w:val="21"/>
          <w:highlight w:val="none"/>
        </w:rPr>
        <w:t>四、</w:t>
      </w:r>
      <w:r>
        <w:rPr>
          <w:rFonts w:hint="eastAsia" w:ascii="宋体" w:hAnsi="宋体" w:cs="宋体"/>
          <w:color w:val="auto"/>
          <w:sz w:val="21"/>
          <w:szCs w:val="21"/>
          <w:highlight w:val="none"/>
        </w:rPr>
        <w:t>材料质量要求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"_Toc6474" </w:instrText>
      </w:r>
      <w:r>
        <w:rPr>
          <w:color w:val="auto"/>
          <w:highlight w:val="none"/>
        </w:rPr>
        <w:fldChar w:fldCharType="separate"/>
      </w:r>
      <w:r>
        <w:rPr>
          <w:rFonts w:hint="eastAsia" w:ascii="宋体" w:hAnsi="宋体" w:cs="宋体"/>
          <w:bCs/>
          <w:color w:val="auto"/>
          <w:sz w:val="21"/>
          <w:szCs w:val="21"/>
          <w:highlight w:val="none"/>
        </w:rPr>
        <w:t>五、</w:t>
      </w:r>
      <w:r>
        <w:rPr>
          <w:rFonts w:hint="eastAsia" w:ascii="宋体" w:hAnsi="宋体" w:cs="宋体"/>
          <w:color w:val="auto"/>
          <w:sz w:val="21"/>
          <w:szCs w:val="21"/>
          <w:highlight w:val="none"/>
        </w:rPr>
        <w:t>工程管理的要求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_Toc6474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"_Toc17502" </w:instrText>
      </w:r>
      <w:r>
        <w:rPr>
          <w:color w:val="auto"/>
          <w:highlight w:val="none"/>
        </w:rPr>
        <w:fldChar w:fldCharType="separate"/>
      </w:r>
      <w:r>
        <w:rPr>
          <w:rFonts w:hint="eastAsia" w:ascii="宋体" w:hAnsi="宋体" w:cs="宋体"/>
          <w:bCs/>
          <w:color w:val="auto"/>
          <w:sz w:val="21"/>
          <w:szCs w:val="21"/>
          <w:highlight w:val="none"/>
        </w:rPr>
        <w:t>六、</w:t>
      </w:r>
      <w:r>
        <w:rPr>
          <w:rFonts w:hint="eastAsia" w:ascii="宋体" w:hAnsi="宋体" w:cs="宋体"/>
          <w:color w:val="auto"/>
          <w:sz w:val="21"/>
          <w:szCs w:val="21"/>
          <w:highlight w:val="none"/>
        </w:rPr>
        <w:t>其它要求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_Toc17502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"_Toc1627" </w:instrText>
      </w:r>
      <w:r>
        <w:rPr>
          <w:color w:val="auto"/>
          <w:highlight w:val="none"/>
        </w:rPr>
        <w:fldChar w:fldCharType="separate"/>
      </w:r>
      <w:r>
        <w:rPr>
          <w:rFonts w:hint="eastAsia" w:ascii="宋体" w:hAnsi="宋体" w:cs="宋体"/>
          <w:b/>
          <w:bCs/>
          <w:color w:val="auto"/>
          <w:sz w:val="21"/>
          <w:szCs w:val="21"/>
          <w:highlight w:val="none"/>
        </w:rPr>
        <w:t>第五章  合同条款</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_Toc1627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29</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"_Toc954" </w:instrText>
      </w:r>
      <w:r>
        <w:rPr>
          <w:color w:val="auto"/>
          <w:highlight w:val="none"/>
        </w:rPr>
        <w:fldChar w:fldCharType="separate"/>
      </w:r>
      <w:r>
        <w:rPr>
          <w:rFonts w:hint="eastAsia" w:ascii="宋体" w:hAnsi="宋体" w:cs="宋体"/>
          <w:b/>
          <w:bCs/>
          <w:color w:val="auto"/>
          <w:sz w:val="21"/>
          <w:szCs w:val="21"/>
          <w:highlight w:val="none"/>
        </w:rPr>
        <w:t>第六章  响应文件格式</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_Toc954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59</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b/>
          <w:bCs/>
          <w:color w:val="auto"/>
          <w:sz w:val="21"/>
          <w:szCs w:val="21"/>
          <w:highlight w:val="none"/>
        </w:rPr>
      </w:pPr>
      <w:r>
        <w:rPr>
          <w:color w:val="auto"/>
          <w:highlight w:val="none"/>
        </w:rPr>
        <w:fldChar w:fldCharType="begin"/>
      </w:r>
      <w:r>
        <w:rPr>
          <w:color w:val="auto"/>
          <w:highlight w:val="none"/>
        </w:rPr>
        <w:instrText xml:space="preserve"> HYPERLINK \l "_Toc10630" </w:instrText>
      </w:r>
      <w:r>
        <w:rPr>
          <w:color w:val="auto"/>
          <w:highlight w:val="none"/>
        </w:rPr>
        <w:fldChar w:fldCharType="separate"/>
      </w:r>
      <w:r>
        <w:rPr>
          <w:rFonts w:hint="eastAsia" w:ascii="宋体" w:hAnsi="宋体" w:cs="宋体"/>
          <w:b/>
          <w:bCs/>
          <w:color w:val="auto"/>
          <w:sz w:val="21"/>
          <w:szCs w:val="21"/>
          <w:highlight w:val="none"/>
        </w:rPr>
        <w:t>第七章  评审办法</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_Toc10630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83</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r>
        <w:rPr>
          <w:rFonts w:hint="eastAsia" w:ascii="宋体" w:hAnsi="宋体" w:cs="宋体"/>
          <w:b/>
          <w:bCs/>
          <w:color w:val="auto"/>
          <w:sz w:val="21"/>
          <w:szCs w:val="21"/>
          <w:highlight w:val="none"/>
        </w:rPr>
        <w:fldChar w:fldCharType="end"/>
      </w:r>
    </w:p>
    <w:p>
      <w:pPr>
        <w:rPr>
          <w:rFonts w:ascii="宋体" w:hAnsi="宋体" w:cs="宋体"/>
          <w:color w:val="auto"/>
          <w:highlight w:val="none"/>
        </w:rPr>
        <w:sectPr>
          <w:headerReference r:id="rId6" w:type="default"/>
          <w:pgSz w:w="11900" w:h="16838"/>
          <w:pgMar w:top="1440" w:right="706" w:bottom="401" w:left="1440" w:header="567" w:footer="567" w:gutter="0"/>
          <w:cols w:equalWidth="0" w:num="1">
            <w:col w:w="9760"/>
          </w:cols>
        </w:sectPr>
      </w:pPr>
    </w:p>
    <w:p>
      <w:pPr>
        <w:spacing w:line="1" w:lineRule="exact"/>
        <w:rPr>
          <w:rFonts w:ascii="宋体" w:hAnsi="宋体" w:cs="宋体"/>
          <w:color w:val="auto"/>
          <w:sz w:val="20"/>
          <w:szCs w:val="20"/>
          <w:highlight w:val="none"/>
        </w:rPr>
      </w:pPr>
      <w:bookmarkStart w:id="2" w:name="page3"/>
      <w:bookmarkEnd w:id="2"/>
    </w:p>
    <w:p>
      <w:pPr>
        <w:tabs>
          <w:tab w:val="left" w:pos="4100"/>
        </w:tabs>
        <w:spacing w:line="366" w:lineRule="exact"/>
        <w:ind w:left="2820"/>
        <w:rPr>
          <w:rFonts w:ascii="宋体" w:hAnsi="宋体" w:cs="宋体"/>
          <w:b/>
          <w:bCs/>
          <w:color w:val="auto"/>
          <w:sz w:val="32"/>
          <w:szCs w:val="32"/>
          <w:highlight w:val="none"/>
        </w:rPr>
      </w:pPr>
      <w:bookmarkStart w:id="3" w:name="_Toc30173_WPSOffice_Level1"/>
    </w:p>
    <w:p>
      <w:pPr>
        <w:pStyle w:val="3"/>
        <w:spacing w:line="360" w:lineRule="auto"/>
        <w:jc w:val="center"/>
        <w:rPr>
          <w:rFonts w:ascii="宋体" w:hAnsi="宋体" w:cs="宋体"/>
          <w:color w:val="auto"/>
          <w:spacing w:val="-6"/>
          <w:sz w:val="24"/>
          <w:szCs w:val="24"/>
          <w:highlight w:val="none"/>
        </w:rPr>
      </w:pPr>
      <w:bookmarkStart w:id="4" w:name="_Toc13387"/>
      <w:r>
        <w:rPr>
          <w:rFonts w:hint="eastAsia" w:ascii="宋体" w:hAnsi="宋体" w:cs="宋体"/>
          <w:color w:val="auto"/>
          <w:spacing w:val="-6"/>
          <w:sz w:val="24"/>
          <w:szCs w:val="24"/>
          <w:highlight w:val="none"/>
        </w:rPr>
        <w:t>电子交易须知</w:t>
      </w:r>
      <w:bookmarkEnd w:id="4"/>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1、本次采购采用电子交易方式，电子交易平台为“政府采购云平台（www.zcygov.cn）”。供应商参与本项目电子交易活动前，应注册成为政府采购云平台正式供应商。编制电子响应文件前还需申领CA证书并绑定帐号。供应商应充分考虑完成平台注册、申领CA证书等所需的时间。</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3、供应商应当在递交响应文件截止时间前，将“电子交易客户端”生成的“电子加密响应文件”上传电子交易平台。</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6、供应商在参加电子交易过程中,可登录电子交易平台“帮助文档”版面获取《电子交易管理操作指南》，或致电平台400-881-7190获取相关服务支持。</w:t>
      </w:r>
    </w:p>
    <w:p>
      <w:pPr>
        <w:spacing w:line="432" w:lineRule="auto"/>
        <w:rPr>
          <w:rFonts w:ascii="宋体" w:hAnsi="宋体" w:cs="宋体"/>
          <w:color w:val="auto"/>
          <w:spacing w:val="-6"/>
          <w:highlight w:val="none"/>
        </w:rPr>
      </w:pPr>
    </w:p>
    <w:p>
      <w:pPr>
        <w:tabs>
          <w:tab w:val="left" w:pos="738"/>
        </w:tabs>
        <w:rPr>
          <w:rFonts w:ascii="宋体" w:hAnsi="宋体" w:cs="宋体"/>
          <w:color w:val="auto"/>
          <w:highlight w:val="none"/>
        </w:rPr>
        <w:sectPr>
          <w:headerReference r:id="rId7" w:type="default"/>
          <w:pgSz w:w="11900" w:h="16838"/>
          <w:pgMar w:top="1440" w:right="1440" w:bottom="401" w:left="1440" w:header="567" w:footer="567" w:gutter="0"/>
          <w:cols w:equalWidth="0" w:num="1">
            <w:col w:w="9026"/>
          </w:cols>
        </w:sectPr>
      </w:pPr>
    </w:p>
    <w:p>
      <w:pPr>
        <w:tabs>
          <w:tab w:val="left" w:pos="4100"/>
        </w:tabs>
        <w:spacing w:line="366" w:lineRule="exact"/>
        <w:ind w:left="2820"/>
        <w:outlineLvl w:val="0"/>
        <w:rPr>
          <w:rFonts w:ascii="宋体" w:hAnsi="宋体" w:cs="宋体"/>
          <w:color w:val="auto"/>
          <w:sz w:val="20"/>
          <w:szCs w:val="20"/>
          <w:highlight w:val="none"/>
        </w:rPr>
      </w:pPr>
      <w:bookmarkStart w:id="5" w:name="_Toc20706"/>
      <w:r>
        <w:rPr>
          <w:rFonts w:hint="eastAsia" w:ascii="宋体" w:hAnsi="宋体" w:cs="宋体"/>
          <w:b/>
          <w:bCs/>
          <w:color w:val="auto"/>
          <w:sz w:val="32"/>
          <w:szCs w:val="32"/>
          <w:highlight w:val="none"/>
        </w:rPr>
        <w:t>第一章  竞争性磋商公告</w:t>
      </w:r>
      <w:bookmarkEnd w:id="3"/>
      <w:bookmarkEnd w:id="5"/>
    </w:p>
    <w:p>
      <w:pPr>
        <w:spacing w:line="256" w:lineRule="exact"/>
        <w:rPr>
          <w:rFonts w:ascii="宋体" w:hAnsi="宋体" w:cs="宋体"/>
          <w:color w:val="auto"/>
          <w:sz w:val="20"/>
          <w:szCs w:val="20"/>
          <w:highlight w:val="none"/>
        </w:rPr>
      </w:pPr>
    </w:p>
    <w:p>
      <w:pPr>
        <w:pBdr>
          <w:top w:val="single" w:color="auto" w:sz="4" w:space="1"/>
          <w:left w:val="single" w:color="auto" w:sz="4" w:space="4"/>
          <w:bottom w:val="single" w:color="auto" w:sz="4" w:space="1"/>
          <w:right w:val="single" w:color="auto" w:sz="4" w:space="4"/>
        </w:pBdr>
        <w:spacing w:line="288"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hint="eastAsia" w:ascii="宋体" w:hAnsi="宋体" w:eastAsia="宋体" w:cs="宋体"/>
          <w:b/>
          <w:sz w:val="21"/>
          <w:szCs w:val="21"/>
        </w:rPr>
      </w:pPr>
      <w:r>
        <w:rPr>
          <w:rFonts w:hint="eastAsia" w:ascii="宋体" w:hAnsi="宋体" w:eastAsia="宋体" w:cs="宋体"/>
          <w:b/>
          <w:sz w:val="21"/>
          <w:szCs w:val="21"/>
          <w:u w:val="single"/>
        </w:rPr>
        <w:t xml:space="preserve"> </w:t>
      </w:r>
      <w:r>
        <w:rPr>
          <w:rFonts w:hint="eastAsia" w:ascii="宋体" w:hAnsi="宋体" w:cs="宋体"/>
          <w:b/>
          <w:sz w:val="21"/>
          <w:szCs w:val="21"/>
          <w:u w:val="single"/>
          <w:lang w:eastAsia="zh-CN"/>
        </w:rPr>
        <w:t>实验楼卫生间改造工程</w:t>
      </w:r>
      <w:r>
        <w:rPr>
          <w:rFonts w:hint="eastAsia" w:ascii="宋体" w:hAnsi="宋体" w:eastAsia="宋体" w:cs="宋体"/>
          <w:b/>
          <w:sz w:val="21"/>
          <w:szCs w:val="21"/>
          <w:u w:val="single"/>
        </w:rPr>
        <w:t xml:space="preserve"> </w:t>
      </w:r>
      <w:r>
        <w:rPr>
          <w:rFonts w:hint="eastAsia" w:ascii="宋体" w:hAnsi="宋体" w:eastAsia="宋体" w:cs="宋体"/>
          <w:b/>
          <w:sz w:val="21"/>
          <w:szCs w:val="21"/>
          <w:lang w:val="en-US" w:eastAsia="zh-CN"/>
        </w:rPr>
        <w:t>采购</w:t>
      </w:r>
      <w:r>
        <w:rPr>
          <w:rFonts w:hint="eastAsia" w:ascii="宋体" w:hAnsi="宋体" w:eastAsia="宋体" w:cs="宋体"/>
          <w:b/>
          <w:sz w:val="21"/>
          <w:szCs w:val="21"/>
        </w:rPr>
        <w:t>项目的潜在供应商应在</w:t>
      </w:r>
      <w:r>
        <w:rPr>
          <w:rFonts w:hint="eastAsia" w:ascii="宋体" w:hAnsi="宋体" w:eastAsia="宋体" w:cs="宋体"/>
          <w:b/>
          <w:sz w:val="21"/>
          <w:szCs w:val="21"/>
          <w:u w:val="single"/>
        </w:rPr>
        <w:t xml:space="preserve"> 政府采购云平台（https://login.zcygov.cn）</w:t>
      </w:r>
      <w:r>
        <w:rPr>
          <w:rFonts w:hint="eastAsia" w:ascii="宋体" w:hAnsi="宋体" w:eastAsia="宋体" w:cs="宋体"/>
          <w:b/>
          <w:sz w:val="21"/>
          <w:szCs w:val="21"/>
        </w:rPr>
        <w:t>获取</w:t>
      </w:r>
      <w:r>
        <w:rPr>
          <w:rFonts w:hint="eastAsia" w:ascii="宋体" w:hAnsi="宋体" w:cs="宋体"/>
          <w:b/>
          <w:sz w:val="21"/>
          <w:szCs w:val="21"/>
          <w:lang w:eastAsia="zh-CN"/>
        </w:rPr>
        <w:t>磋商</w:t>
      </w:r>
      <w:r>
        <w:rPr>
          <w:rFonts w:hint="eastAsia" w:ascii="宋体" w:hAnsi="宋体" w:eastAsia="宋体" w:cs="宋体"/>
          <w:b/>
          <w:sz w:val="21"/>
          <w:szCs w:val="21"/>
        </w:rPr>
        <w:t>文件，并于</w:t>
      </w:r>
      <w:r>
        <w:rPr>
          <w:rFonts w:hint="eastAsia" w:ascii="宋体" w:hAnsi="宋体" w:cs="宋体"/>
          <w:b/>
          <w:sz w:val="21"/>
          <w:szCs w:val="21"/>
          <w:u w:val="single"/>
          <w:lang w:eastAsia="zh-CN"/>
        </w:rPr>
        <w:t>2020年8月1</w:t>
      </w:r>
      <w:r>
        <w:rPr>
          <w:rFonts w:hint="eastAsia" w:ascii="宋体" w:hAnsi="宋体" w:cs="宋体"/>
          <w:b/>
          <w:sz w:val="21"/>
          <w:szCs w:val="21"/>
          <w:u w:val="single"/>
          <w:lang w:val="en-US" w:eastAsia="zh-CN"/>
        </w:rPr>
        <w:t>8</w:t>
      </w:r>
      <w:r>
        <w:rPr>
          <w:rFonts w:hint="eastAsia" w:ascii="宋体" w:hAnsi="宋体" w:cs="宋体"/>
          <w:b/>
          <w:sz w:val="21"/>
          <w:szCs w:val="21"/>
          <w:u w:val="single"/>
          <w:lang w:eastAsia="zh-CN"/>
        </w:rPr>
        <w:t>日下午</w:t>
      </w:r>
      <w:r>
        <w:rPr>
          <w:rFonts w:hint="eastAsia" w:ascii="宋体" w:hAnsi="宋体" w:cs="宋体"/>
          <w:b/>
          <w:sz w:val="21"/>
          <w:szCs w:val="21"/>
          <w:u w:val="single"/>
          <w:lang w:val="en-US" w:eastAsia="zh-CN"/>
        </w:rPr>
        <w:t>13</w:t>
      </w:r>
      <w:r>
        <w:rPr>
          <w:rFonts w:hint="eastAsia" w:ascii="宋体" w:hAnsi="宋体" w:cs="宋体"/>
          <w:b/>
          <w:sz w:val="21"/>
          <w:szCs w:val="21"/>
          <w:u w:val="single"/>
          <w:lang w:eastAsia="zh-CN"/>
        </w:rPr>
        <w:t>:</w:t>
      </w:r>
      <w:r>
        <w:rPr>
          <w:rFonts w:hint="eastAsia" w:ascii="宋体" w:hAnsi="宋体" w:cs="宋体"/>
          <w:b/>
          <w:sz w:val="21"/>
          <w:szCs w:val="21"/>
          <w:u w:val="single"/>
          <w:lang w:val="en-US" w:eastAsia="zh-CN"/>
        </w:rPr>
        <w:t>3</w:t>
      </w:r>
      <w:r>
        <w:rPr>
          <w:rFonts w:hint="eastAsia" w:ascii="宋体" w:hAnsi="宋体" w:cs="宋体"/>
          <w:b/>
          <w:sz w:val="21"/>
          <w:szCs w:val="21"/>
          <w:u w:val="single"/>
          <w:lang w:eastAsia="zh-CN"/>
        </w:rPr>
        <w:t>0:00</w:t>
      </w:r>
      <w:r>
        <w:rPr>
          <w:rFonts w:hint="eastAsia" w:ascii="宋体" w:hAnsi="宋体" w:eastAsia="宋体" w:cs="宋体"/>
          <w:b/>
          <w:bCs/>
          <w:sz w:val="21"/>
          <w:szCs w:val="21"/>
          <w:u w:val="single"/>
        </w:rPr>
        <w:t>（</w:t>
      </w:r>
      <w:r>
        <w:rPr>
          <w:rFonts w:hint="eastAsia" w:ascii="宋体" w:hAnsi="宋体" w:eastAsia="宋体" w:cs="宋体"/>
          <w:b/>
          <w:bCs/>
          <w:sz w:val="21"/>
          <w:szCs w:val="21"/>
        </w:rPr>
        <w:t>北京时间）前递交（上传）</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文件</w:t>
      </w:r>
      <w:r>
        <w:rPr>
          <w:rFonts w:hint="eastAsia" w:ascii="宋体" w:hAnsi="宋体" w:eastAsia="宋体" w:cs="宋体"/>
          <w:b/>
          <w:sz w:val="21"/>
          <w:szCs w:val="21"/>
        </w:rPr>
        <w:t>。</w:t>
      </w:r>
    </w:p>
    <w:p>
      <w:pPr>
        <w:pStyle w:val="18"/>
        <w:keepNext w:val="0"/>
        <w:keepLines w:val="0"/>
        <w:widowControl/>
        <w:suppressLineNumbers w:val="0"/>
        <w:spacing w:before="165" w:beforeAutospacing="0" w:after="165" w:afterAutospacing="0" w:line="315" w:lineRule="atLeast"/>
        <w:ind w:left="0" w:right="0" w:firstLine="0"/>
        <w:rPr>
          <w:rFonts w:hint="eastAsia" w:ascii="宋体" w:hAnsi="宋体" w:eastAsia="宋体" w:cs="宋体"/>
          <w:i w:val="0"/>
          <w:caps w:val="0"/>
          <w:color w:val="000000"/>
          <w:spacing w:val="0"/>
          <w:sz w:val="21"/>
          <w:szCs w:val="21"/>
        </w:rPr>
      </w:pPr>
      <w:r>
        <w:rPr>
          <w:rStyle w:val="22"/>
          <w:rFonts w:hint="eastAsia" w:ascii="宋体" w:hAnsi="宋体" w:eastAsia="宋体" w:cs="宋体"/>
          <w:i w:val="0"/>
          <w:caps w:val="0"/>
          <w:color w:val="000000"/>
          <w:spacing w:val="0"/>
          <w:sz w:val="21"/>
          <w:szCs w:val="21"/>
        </w:rPr>
        <w:t>一、项目基本情况</w:t>
      </w:r>
    </w:p>
    <w:p>
      <w:pPr>
        <w:pStyle w:val="18"/>
        <w:keepNext w:val="0"/>
        <w:keepLines w:val="0"/>
        <w:widowControl/>
        <w:suppressLineNumbers w:val="0"/>
        <w:ind w:left="0" w:firstLine="420" w:firstLineChars="200"/>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项目编号：</w:t>
      </w:r>
      <w:r>
        <w:rPr>
          <w:rFonts w:hint="eastAsia" w:ascii="宋体" w:hAnsi="宋体" w:eastAsia="宋体" w:cs="宋体"/>
          <w:i w:val="0"/>
          <w:caps w:val="0"/>
          <w:color w:val="000000"/>
          <w:spacing w:val="0"/>
          <w:sz w:val="21"/>
          <w:szCs w:val="21"/>
          <w:lang w:eastAsia="zh-CN"/>
        </w:rPr>
        <w:t xml:space="preserve"> </w:t>
      </w:r>
      <w:r>
        <w:rPr>
          <w:rFonts w:hint="eastAsia" w:cs="宋体"/>
          <w:i w:val="0"/>
          <w:caps w:val="0"/>
          <w:color w:val="000000"/>
          <w:spacing w:val="0"/>
          <w:sz w:val="21"/>
          <w:szCs w:val="21"/>
          <w:lang w:eastAsia="zh-CN"/>
        </w:rPr>
        <w:t>ZJWSBJ-NL-2020013C</w:t>
      </w:r>
      <w:r>
        <w:rPr>
          <w:rFonts w:hint="eastAsia" w:ascii="宋体" w:hAnsi="宋体" w:eastAsia="宋体" w:cs="宋体"/>
          <w:i w:val="0"/>
          <w:caps w:val="0"/>
          <w:color w:val="000000"/>
          <w:spacing w:val="0"/>
          <w:sz w:val="21"/>
          <w:szCs w:val="21"/>
          <w:lang w:eastAsia="zh-CN"/>
        </w:rPr>
        <w:t xml:space="preserve"> </w:t>
      </w:r>
    </w:p>
    <w:p>
      <w:pPr>
        <w:pStyle w:val="18"/>
        <w:keepNext w:val="0"/>
        <w:keepLines w:val="0"/>
        <w:widowControl/>
        <w:suppressLineNumbers w:val="0"/>
        <w:ind w:left="0" w:firstLine="420" w:firstLineChars="200"/>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项目名称：</w:t>
      </w:r>
      <w:r>
        <w:rPr>
          <w:rFonts w:hint="eastAsia" w:ascii="宋体" w:hAnsi="宋体" w:eastAsia="宋体" w:cs="宋体"/>
          <w:i w:val="0"/>
          <w:caps w:val="0"/>
          <w:color w:val="000000"/>
          <w:spacing w:val="0"/>
          <w:sz w:val="21"/>
          <w:szCs w:val="21"/>
          <w:lang w:eastAsia="zh-CN"/>
        </w:rPr>
        <w:t xml:space="preserve"> </w:t>
      </w:r>
      <w:r>
        <w:rPr>
          <w:rFonts w:hint="eastAsia" w:cs="宋体"/>
          <w:i w:val="0"/>
          <w:caps w:val="0"/>
          <w:color w:val="000000"/>
          <w:spacing w:val="0"/>
          <w:sz w:val="21"/>
          <w:szCs w:val="21"/>
          <w:lang w:eastAsia="zh-CN"/>
        </w:rPr>
        <w:t>实验楼卫生间改造工程</w:t>
      </w:r>
      <w:r>
        <w:rPr>
          <w:rFonts w:hint="eastAsia" w:ascii="宋体" w:hAnsi="宋体" w:eastAsia="宋体" w:cs="宋体"/>
          <w:i w:val="0"/>
          <w:caps w:val="0"/>
          <w:color w:val="000000"/>
          <w:spacing w:val="0"/>
          <w:sz w:val="21"/>
          <w:szCs w:val="21"/>
          <w:lang w:eastAsia="zh-CN"/>
        </w:rPr>
        <w:t xml:space="preserve"> </w:t>
      </w:r>
    </w:p>
    <w:p>
      <w:pPr>
        <w:pStyle w:val="18"/>
        <w:keepNext w:val="0"/>
        <w:keepLines w:val="0"/>
        <w:widowControl/>
        <w:suppressLineNumbers w:val="0"/>
        <w:ind w:left="0" w:firstLine="420" w:firstLineChars="20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采购方式：竞争性磋商</w:t>
      </w:r>
    </w:p>
    <w:p>
      <w:pPr>
        <w:pStyle w:val="18"/>
        <w:keepNext w:val="0"/>
        <w:keepLines w:val="0"/>
        <w:widowControl/>
        <w:suppressLineNumbers w:val="0"/>
        <w:ind w:left="0" w:firstLine="420" w:firstLineChars="200"/>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预算金额（元）：</w:t>
      </w:r>
      <w:r>
        <w:rPr>
          <w:rFonts w:hint="eastAsia" w:cs="宋体"/>
          <w:i w:val="0"/>
          <w:caps w:val="0"/>
          <w:color w:val="000000"/>
          <w:spacing w:val="0"/>
          <w:sz w:val="21"/>
          <w:szCs w:val="21"/>
          <w:lang w:val="en-US" w:eastAsia="zh-CN"/>
        </w:rPr>
        <w:t>985000</w:t>
      </w:r>
    </w:p>
    <w:p>
      <w:pPr>
        <w:pStyle w:val="18"/>
        <w:keepNext w:val="0"/>
        <w:keepLines w:val="0"/>
        <w:widowControl/>
        <w:suppressLineNumbers w:val="0"/>
        <w:ind w:left="0" w:firstLine="420" w:firstLineChars="200"/>
        <w:rPr>
          <w:rFonts w:hint="default"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rPr>
        <w:t>最高限价（元）：</w:t>
      </w:r>
      <w:r>
        <w:rPr>
          <w:rFonts w:hint="eastAsia" w:cs="宋体"/>
          <w:i w:val="0"/>
          <w:caps w:val="0"/>
          <w:color w:val="000000"/>
          <w:spacing w:val="0"/>
          <w:sz w:val="21"/>
          <w:szCs w:val="21"/>
          <w:lang w:val="en-US" w:eastAsia="zh-CN"/>
        </w:rPr>
        <w:t>809236</w:t>
      </w:r>
    </w:p>
    <w:p>
      <w:pPr>
        <w:pStyle w:val="18"/>
        <w:keepNext w:val="0"/>
        <w:keepLines w:val="0"/>
        <w:widowControl/>
        <w:suppressLineNumbers w:val="0"/>
        <w:ind w:left="0" w:firstLine="420" w:firstLineChars="200"/>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采购需求：</w:t>
      </w:r>
    </w:p>
    <w:tbl>
      <w:tblPr>
        <w:tblStyle w:val="1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15"/>
        <w:gridCol w:w="2451"/>
        <w:gridCol w:w="859"/>
        <w:gridCol w:w="1340"/>
        <w:gridCol w:w="751"/>
        <w:gridCol w:w="155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tblCellSpacing w:w="15" w:type="dxa"/>
          <w:jc w:val="center"/>
        </w:trPr>
        <w:tc>
          <w:tcPr>
            <w:tcW w:w="0" w:type="auto"/>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421" w:type="dxa"/>
            <w:noWrap w:val="0"/>
            <w:vAlign w:val="center"/>
          </w:tcPr>
          <w:p>
            <w:pPr>
              <w:widowControl/>
              <w:wordWrap w:val="0"/>
              <w:jc w:val="center"/>
              <w:rPr>
                <w:rFonts w:hint="eastAsia" w:ascii="宋体" w:hAnsi="宋体" w:eastAsia="宋体" w:cs="宋体"/>
                <w:kern w:val="0"/>
                <w:sz w:val="21"/>
                <w:szCs w:val="21"/>
              </w:rPr>
            </w:pPr>
            <w:r>
              <w:rPr>
                <w:rFonts w:hint="eastAsia" w:ascii="宋体" w:hAnsi="宋体" w:cs="宋体"/>
                <w:kern w:val="0"/>
                <w:sz w:val="21"/>
                <w:szCs w:val="21"/>
                <w:lang w:eastAsia="zh-CN"/>
              </w:rPr>
              <w:t>项目</w:t>
            </w:r>
            <w:r>
              <w:rPr>
                <w:rFonts w:hint="eastAsia" w:ascii="宋体" w:hAnsi="宋体" w:eastAsia="宋体" w:cs="宋体"/>
                <w:kern w:val="0"/>
                <w:sz w:val="21"/>
                <w:szCs w:val="21"/>
              </w:rPr>
              <w:t>名称</w:t>
            </w:r>
          </w:p>
        </w:tc>
        <w:tc>
          <w:tcPr>
            <w:tcW w:w="829" w:type="dxa"/>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0" w:type="auto"/>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预算金额(元)</w:t>
            </w:r>
          </w:p>
        </w:tc>
        <w:tc>
          <w:tcPr>
            <w:tcW w:w="721" w:type="dxa"/>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1520" w:type="dxa"/>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简要规格描述</w:t>
            </w:r>
          </w:p>
        </w:tc>
        <w:tc>
          <w:tcPr>
            <w:tcW w:w="1188" w:type="dxa"/>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blCellSpacing w:w="15" w:type="dxa"/>
          <w:jc w:val="center"/>
        </w:trPr>
        <w:tc>
          <w:tcPr>
            <w:tcW w:w="0" w:type="auto"/>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421" w:type="dxa"/>
            <w:noWrap w:val="0"/>
            <w:vAlign w:val="center"/>
          </w:tcPr>
          <w:p>
            <w:pPr>
              <w:widowControl/>
              <w:wordWrap w:val="0"/>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实验楼卫生间改造工程</w:t>
            </w:r>
          </w:p>
        </w:tc>
        <w:tc>
          <w:tcPr>
            <w:tcW w:w="829" w:type="dxa"/>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0" w:type="auto"/>
            <w:noWrap w:val="0"/>
            <w:vAlign w:val="center"/>
          </w:tcPr>
          <w:p>
            <w:pPr>
              <w:widowControl/>
              <w:wordWrap w:val="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985000</w:t>
            </w:r>
          </w:p>
        </w:tc>
        <w:tc>
          <w:tcPr>
            <w:tcW w:w="721" w:type="dxa"/>
            <w:noWrap w:val="0"/>
            <w:vAlign w:val="center"/>
          </w:tcPr>
          <w:p>
            <w:pPr>
              <w:widowControl/>
              <w:wordWrap w:val="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项</w:t>
            </w:r>
          </w:p>
        </w:tc>
        <w:tc>
          <w:tcPr>
            <w:tcW w:w="1520" w:type="dxa"/>
            <w:noWrap w:val="0"/>
            <w:vAlign w:val="center"/>
          </w:tcPr>
          <w:p>
            <w:pPr>
              <w:widowControl/>
              <w:wordWrap w:val="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详见招标文件</w:t>
            </w:r>
          </w:p>
        </w:tc>
        <w:tc>
          <w:tcPr>
            <w:tcW w:w="1188" w:type="dxa"/>
            <w:noWrap w:val="0"/>
            <w:vAlign w:val="center"/>
          </w:tcPr>
          <w:p>
            <w:pPr>
              <w:widowControl/>
              <w:wordWrap w:val="0"/>
              <w:jc w:val="center"/>
              <w:rPr>
                <w:rFonts w:hint="eastAsia" w:ascii="宋体" w:hAnsi="宋体" w:eastAsia="宋体" w:cs="宋体"/>
                <w:kern w:val="0"/>
                <w:sz w:val="21"/>
                <w:szCs w:val="21"/>
              </w:rPr>
            </w:pPr>
          </w:p>
        </w:tc>
      </w:tr>
    </w:tbl>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合同履行期限：</w:t>
      </w:r>
      <w:r>
        <w:rPr>
          <w:rFonts w:hint="eastAsia" w:ascii="宋体" w:hAnsi="宋体" w:eastAsia="宋体" w:cs="宋体"/>
          <w:kern w:val="0"/>
          <w:sz w:val="21"/>
          <w:szCs w:val="21"/>
          <w:lang w:eastAsia="zh-CN"/>
        </w:rPr>
        <w:t>30日历天</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本项目（否）接受联合体。</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二、申请人的资格要求：</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2.未被“信用中国”（www.creditchina.gov.cn）、中国政府采购网（www.ccgp.gov.cn）列入失信被执行人、重大税收违法案件当事人名单、政府采购严重违法失信行为记录名单；</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3.落实政府采购政策需满足的资格要求：详见采购文件；</w:t>
      </w:r>
    </w:p>
    <w:p>
      <w:pPr>
        <w:pStyle w:val="18"/>
        <w:spacing w:before="75" w:beforeAutospacing="0" w:after="75" w:afterAutospacing="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4.本项目的特定资格要求：</w:t>
      </w:r>
    </w:p>
    <w:p>
      <w:pPr>
        <w:pStyle w:val="18"/>
        <w:spacing w:before="75" w:beforeAutospacing="0" w:after="75" w:afterAutospacing="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具有建设行政主管部门核定的建筑装修装饰工程专业承包贰级及以上资质，或具有房屋建筑工程施工总承包企业三级及以上资质；</w:t>
      </w:r>
    </w:p>
    <w:p>
      <w:pPr>
        <w:pStyle w:val="18"/>
        <w:spacing w:before="75" w:beforeAutospacing="0" w:after="75" w:afterAutospacing="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企业具有安全生产许可证，且在有效期内；</w:t>
      </w:r>
    </w:p>
    <w:p>
      <w:pPr>
        <w:pStyle w:val="18"/>
        <w:spacing w:before="75" w:beforeAutospacing="0" w:after="75" w:afterAutospacing="0" w:line="36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拟派项目经理具有建筑工程专业二级及以上建造师注册证书。</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三、获取（下载）采购文件</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时间：</w:t>
      </w:r>
      <w:r>
        <w:rPr>
          <w:rFonts w:hint="eastAsia" w:ascii="宋体" w:hAnsi="宋体" w:eastAsia="宋体" w:cs="宋体"/>
          <w:bCs/>
          <w:kern w:val="0"/>
          <w:sz w:val="21"/>
          <w:szCs w:val="21"/>
        </w:rPr>
        <w:t>公告发布时间  至  磋商响应截止时间</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地点（网址）：政采云平台（http://zfcg.czt.zj.gov.cn），供应商获取采购文件前应先完成“政府采购云平台”的账号注册</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方式：潜在供应商登陆政采云平台，在线申请获取采购文件（进入“项目采购”应用，在获取采购文件菜单中选择项目，申请获取采购文件；仅需浏览采购文件的供应商可点击“游客，浏览采购文件”直接下载采购文件浏览）</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售价（元）：</w:t>
      </w:r>
      <w:r>
        <w:rPr>
          <w:rFonts w:hint="eastAsia" w:ascii="宋体" w:hAnsi="宋体" w:eastAsia="宋体" w:cs="宋体"/>
          <w:kern w:val="0"/>
          <w:sz w:val="21"/>
          <w:szCs w:val="21"/>
          <w:lang w:val="en-US" w:eastAsia="zh-CN"/>
        </w:rPr>
        <w:t>0</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四、响应文件提交（上传）</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截止时间：</w:t>
      </w:r>
      <w:r>
        <w:rPr>
          <w:rFonts w:hint="eastAsia" w:ascii="宋体" w:hAnsi="宋体" w:eastAsia="宋体" w:cs="宋体"/>
          <w:kern w:val="0"/>
          <w:sz w:val="21"/>
          <w:szCs w:val="21"/>
          <w:u w:val="single"/>
          <w:lang w:eastAsia="zh-CN"/>
        </w:rPr>
        <w:t xml:space="preserve">  </w:t>
      </w:r>
      <w:r>
        <w:rPr>
          <w:rFonts w:hint="eastAsia" w:ascii="宋体" w:hAnsi="宋体" w:eastAsia="宋体" w:cs="宋体"/>
          <w:kern w:val="0"/>
          <w:sz w:val="21"/>
          <w:szCs w:val="21"/>
          <w:u w:val="single"/>
        </w:rPr>
        <w:t>2020年</w:t>
      </w:r>
      <w:r>
        <w:rPr>
          <w:rFonts w:hint="eastAsia" w:ascii="宋体" w:hAnsi="宋体" w:cs="宋体"/>
          <w:kern w:val="0"/>
          <w:sz w:val="21"/>
          <w:szCs w:val="21"/>
          <w:u w:val="single"/>
          <w:lang w:eastAsia="zh-CN"/>
        </w:rPr>
        <w:t>08月18日</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eastAsia="zh-CN"/>
        </w:rPr>
        <w:t xml:space="preserve">13:30  </w:t>
      </w:r>
      <w:r>
        <w:rPr>
          <w:rFonts w:hint="eastAsia" w:ascii="宋体" w:hAnsi="宋体" w:eastAsia="宋体" w:cs="宋体"/>
          <w:kern w:val="0"/>
          <w:sz w:val="21"/>
          <w:szCs w:val="21"/>
        </w:rPr>
        <w:t>（北京时间）</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地点（网址）：</w:t>
      </w:r>
      <w:r>
        <w:rPr>
          <w:rFonts w:hint="eastAsia" w:ascii="宋体" w:hAnsi="宋体" w:eastAsia="宋体" w:cs="宋体"/>
          <w:kern w:val="0"/>
          <w:sz w:val="21"/>
          <w:szCs w:val="21"/>
          <w:u w:val="single"/>
          <w:lang w:eastAsia="zh-CN"/>
        </w:rPr>
        <w:t xml:space="preserve">  </w:t>
      </w:r>
      <w:r>
        <w:rPr>
          <w:rFonts w:hint="eastAsia" w:ascii="宋体" w:hAnsi="宋体" w:eastAsia="宋体" w:cs="宋体"/>
          <w:kern w:val="0"/>
          <w:sz w:val="21"/>
          <w:szCs w:val="21"/>
          <w:u w:val="single"/>
        </w:rPr>
        <w:t>通过“政府采购云平台（www.zcygov.cn）”实行在线投标响应</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五、响应文件开启</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开启时间：</w:t>
      </w:r>
      <w:r>
        <w:rPr>
          <w:rFonts w:hint="eastAsia" w:ascii="宋体" w:hAnsi="宋体" w:eastAsia="宋体" w:cs="宋体"/>
          <w:kern w:val="0"/>
          <w:sz w:val="21"/>
          <w:szCs w:val="21"/>
          <w:u w:val="single"/>
          <w:lang w:eastAsia="zh-CN"/>
        </w:rPr>
        <w:t xml:space="preserve">  </w:t>
      </w:r>
      <w:r>
        <w:rPr>
          <w:rFonts w:hint="eastAsia" w:ascii="宋体" w:hAnsi="宋体" w:eastAsia="宋体" w:cs="宋体"/>
          <w:kern w:val="0"/>
          <w:sz w:val="21"/>
          <w:szCs w:val="21"/>
          <w:u w:val="single"/>
        </w:rPr>
        <w:t>2020年</w:t>
      </w:r>
      <w:r>
        <w:rPr>
          <w:rFonts w:hint="eastAsia" w:ascii="宋体" w:hAnsi="宋体" w:cs="宋体"/>
          <w:kern w:val="0"/>
          <w:sz w:val="21"/>
          <w:szCs w:val="21"/>
          <w:u w:val="single"/>
          <w:lang w:eastAsia="zh-CN"/>
        </w:rPr>
        <w:t>08月18日</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eastAsia="zh-CN"/>
        </w:rPr>
        <w:t xml:space="preserve">13:30  </w:t>
      </w:r>
      <w:r>
        <w:rPr>
          <w:rFonts w:hint="eastAsia" w:ascii="宋体" w:hAnsi="宋体" w:eastAsia="宋体" w:cs="宋体"/>
          <w:kern w:val="0"/>
          <w:sz w:val="21"/>
          <w:szCs w:val="21"/>
        </w:rPr>
        <w:t>（北京时间）</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地点（网址）：</w:t>
      </w:r>
      <w:r>
        <w:rPr>
          <w:rFonts w:hint="eastAsia" w:ascii="宋体" w:hAnsi="宋体" w:eastAsia="宋体" w:cs="宋体"/>
          <w:kern w:val="0"/>
          <w:sz w:val="21"/>
          <w:szCs w:val="21"/>
          <w:u w:val="single"/>
        </w:rPr>
        <w:t>通过“政府采购云平台（www.zcygov.cn）”实行在线投标响应</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六、公告期限</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自本公告发布之日起3个工作日。</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七、其他补充事宜</w:t>
      </w:r>
    </w:p>
    <w:p>
      <w:pPr>
        <w:widowControl/>
        <w:spacing w:before="60" w:after="60" w:line="360" w:lineRule="auto"/>
        <w:ind w:left="60" w:right="60" w:firstLine="420"/>
        <w:jc w:val="left"/>
        <w:rPr>
          <w:rFonts w:hint="eastAsia" w:ascii="宋体" w:hAnsi="宋体" w:eastAsia="宋体" w:cs="宋体"/>
          <w:sz w:val="21"/>
          <w:szCs w:val="21"/>
        </w:rPr>
      </w:pPr>
      <w:r>
        <w:rPr>
          <w:rFonts w:hint="eastAsia" w:ascii="宋体" w:hAnsi="宋体" w:eastAsia="宋体" w:cs="宋体"/>
          <w:sz w:val="21"/>
          <w:szCs w:val="21"/>
        </w:rPr>
        <w:t>1、供应商认为采购文件使自己的权益受到损害的，可以自收到采购文件之日或者采购文件公告期限届满之日（公告期限届满后获取采购文件的，以公告期限届满之日为准）起7个工作日内，且应当在采购响应截止时间之前以书面形式向采购人和采购代理机构提出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widowControl/>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落实政策：《政府采购促进中小企业发展暂行办法》（财库[2011]181号），对符合财政扶持政策的小微企业（含监狱企业、残疾人福利性单位）给予价格优惠扶持；执行节能产品政府强制采购和优先采购政策，执行环境标志产品政府优先采购政策；</w:t>
      </w:r>
    </w:p>
    <w:p>
      <w:pPr>
        <w:widowControl/>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本项目通过“政府采购云平台（www.zcygov.cn）”实行在线投标响应（电子投标），供应商应先安装“政采云电子交易客户端”，并按照本采购文件和“政府采购云平台”的要求，通过“政采云电子交易客户端”编制并加密响应文件。供应商未按规定加密的响应文件，“政府采购云平台”将予以拒收。</w:t>
      </w:r>
    </w:p>
    <w:p>
      <w:pPr>
        <w:widowControl/>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政采云电子交易客户端”请自行前往“浙江政府采购网-下载专区-电子交易客户端”进行下载；电子投标具体操作流程详见政府采购云平台服务中心（https://service.zcygov.cn/#/help）-最新指南-《政府采购项目电子交易管理操作指南-供应商》；通过“政府采购云平台”参与在线响应时如遇平台技术问题详询400-881-7190。</w:t>
      </w:r>
    </w:p>
    <w:p>
      <w:pPr>
        <w:widowControl/>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为确保网上操作合法、有效和安全，磋商供应商应当在磋商响应文件提交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"http://www.zjzfcg.gov.cn/bidClientTemplate/2019-05-27/12945.html" \o "CA驱动和申领流程"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CA驱动和申领流程</w:t>
      </w:r>
      <w:r>
        <w:rPr>
          <w:rFonts w:hint="eastAsia" w:ascii="宋体" w:hAnsi="宋体" w:eastAsia="宋体" w:cs="宋体"/>
          <w:sz w:val="21"/>
          <w:szCs w:val="21"/>
        </w:rPr>
        <w:fldChar w:fldCharType="end"/>
      </w:r>
      <w:r>
        <w:rPr>
          <w:rFonts w:hint="eastAsia" w:ascii="宋体" w:hAnsi="宋体" w:eastAsia="宋体" w:cs="宋体"/>
          <w:sz w:val="21"/>
          <w:szCs w:val="21"/>
        </w:rPr>
        <w:t>”进行查阅；</w:t>
      </w:r>
    </w:p>
    <w:p>
      <w:pPr>
        <w:widowControl/>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5、磋商供应商应当在磋商响应文件提交截止时间前，将生成的“电子加密响应文件”上传递交至“政府采购云平台”。磋商响应文件提交截止时间以后上传递交的响应文件将被“政府采购云平台”拒收。</w:t>
      </w:r>
    </w:p>
    <w:p>
      <w:pPr>
        <w:widowControl/>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磋商供应商在“政府采购云平台”完成“电子加密响应文件”的上传递交后，还可以（邮寄形式）在磋商响应文件提交截止时间前递交以介质（U盘）存储的数据电文形式的“备份响应文件”，“备份响应文件”应当密封包装并在包装上标注项目名称、供应商名称并加盖公章。</w:t>
      </w:r>
    </w:p>
    <w:p>
      <w:pPr>
        <w:widowControl/>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7、通过“政府采购云平台”上传递交的“电子加密响应文件”无法按时解密，磋商供应商递交了备份响应文件的，以备份响应文件为依据，否则视为响应文件撤回。通过“政府采购云平台”上传递交的“电子加密响应文件”已按时解密的，“备份响应文件”自动失效。磋商供应商仅递交备份响应文件的，响应无效。</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八、对本次采购提出询问、质疑、投诉，请按以下方式联系。</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1.采购人信息</w:t>
      </w:r>
    </w:p>
    <w:p>
      <w:pPr>
        <w:widowControl/>
        <w:spacing w:before="100" w:beforeAutospacing="1" w:after="100" w:afterAutospacing="1"/>
        <w:ind w:firstLine="630" w:firstLineChars="300"/>
        <w:jc w:val="left"/>
        <w:rPr>
          <w:rFonts w:hint="eastAsia" w:ascii="宋体" w:hAnsi="宋体" w:eastAsia="宋体" w:cs="宋体"/>
          <w:kern w:val="0"/>
          <w:sz w:val="21"/>
          <w:szCs w:val="21"/>
          <w:u w:val="single"/>
          <w:lang w:eastAsia="zh-CN"/>
        </w:rPr>
      </w:pPr>
      <w:r>
        <w:rPr>
          <w:rFonts w:hint="eastAsia" w:ascii="宋体" w:hAnsi="宋体" w:eastAsia="宋体" w:cs="宋体"/>
          <w:kern w:val="0"/>
          <w:sz w:val="21"/>
          <w:szCs w:val="21"/>
        </w:rPr>
        <w:t>名称：</w:t>
      </w:r>
      <w:r>
        <w:rPr>
          <w:rFonts w:hint="eastAsia" w:ascii="宋体" w:hAnsi="宋体" w:eastAsia="宋体" w:cs="宋体"/>
          <w:kern w:val="0"/>
          <w:sz w:val="21"/>
          <w:szCs w:val="21"/>
          <w:u w:val="single"/>
          <w:lang w:eastAsia="zh-CN"/>
        </w:rPr>
        <w:t>浙江农林大学</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地址：</w:t>
      </w:r>
      <w:r>
        <w:rPr>
          <w:rFonts w:hint="eastAsia" w:ascii="宋体" w:hAnsi="宋体" w:eastAsia="宋体" w:cs="宋体"/>
          <w:kern w:val="0"/>
          <w:sz w:val="21"/>
          <w:szCs w:val="21"/>
          <w:u w:val="single"/>
        </w:rPr>
        <w:t>临安区武肃街666号</w:t>
      </w:r>
    </w:p>
    <w:p>
      <w:pPr>
        <w:widowControl/>
        <w:spacing w:before="100" w:beforeAutospacing="1" w:after="100" w:afterAutospacing="1"/>
        <w:ind w:firstLine="630" w:firstLineChars="3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传真：</w:t>
      </w:r>
      <w:r>
        <w:rPr>
          <w:rFonts w:hint="eastAsia" w:ascii="宋体" w:hAnsi="宋体" w:eastAsia="宋体" w:cs="宋体"/>
          <w:kern w:val="0"/>
          <w:sz w:val="21"/>
          <w:szCs w:val="21"/>
          <w:u w:val="single"/>
          <w:lang w:eastAsia="zh-CN"/>
        </w:rPr>
        <w:t xml:space="preserve"> </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 xml:space="preserve"> </w:t>
      </w:r>
    </w:p>
    <w:p>
      <w:pPr>
        <w:widowControl/>
        <w:spacing w:before="100" w:beforeAutospacing="1" w:after="100" w:afterAutospacing="1"/>
        <w:ind w:firstLine="630" w:firstLineChars="3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项目联系人（询问）：</w:t>
      </w:r>
      <w:r>
        <w:rPr>
          <w:rFonts w:hint="eastAsia" w:ascii="宋体" w:hAnsi="宋体" w:eastAsia="宋体" w:cs="宋体"/>
          <w:i w:val="0"/>
          <w:iCs w:val="0"/>
          <w:kern w:val="0"/>
          <w:sz w:val="21"/>
          <w:szCs w:val="21"/>
          <w:u w:val="single"/>
          <w:lang w:eastAsia="zh-CN"/>
        </w:rPr>
        <w:t>王</w:t>
      </w:r>
      <w:r>
        <w:rPr>
          <w:rFonts w:hint="eastAsia" w:ascii="宋体" w:hAnsi="宋体" w:eastAsia="宋体" w:cs="宋体"/>
          <w:kern w:val="0"/>
          <w:sz w:val="21"/>
          <w:szCs w:val="21"/>
          <w:u w:val="single"/>
          <w:lang w:eastAsia="zh-CN"/>
        </w:rPr>
        <w:t>老师</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项目联系方式（询问）：</w:t>
      </w:r>
      <w:r>
        <w:rPr>
          <w:rFonts w:hint="eastAsia" w:ascii="宋体" w:hAnsi="宋体" w:eastAsia="宋体" w:cs="宋体"/>
          <w:kern w:val="0"/>
          <w:sz w:val="21"/>
          <w:szCs w:val="21"/>
          <w:u w:val="single"/>
        </w:rPr>
        <w:t>0571-63740897</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质疑联系人：</w:t>
      </w:r>
      <w:r>
        <w:rPr>
          <w:rFonts w:hint="eastAsia" w:ascii="宋体" w:hAnsi="宋体" w:eastAsia="宋体" w:cs="宋体"/>
          <w:kern w:val="0"/>
          <w:sz w:val="21"/>
          <w:szCs w:val="21"/>
          <w:u w:val="single"/>
          <w:lang w:eastAsia="zh-CN"/>
        </w:rPr>
        <w:t>俞老师</w:t>
      </w:r>
    </w:p>
    <w:p>
      <w:pPr>
        <w:widowControl/>
        <w:spacing w:before="100" w:beforeAutospacing="1" w:after="100" w:afterAutospacing="1"/>
        <w:ind w:firstLine="630" w:firstLineChars="300"/>
        <w:jc w:val="left"/>
        <w:rPr>
          <w:rFonts w:hint="eastAsia" w:ascii="宋体" w:hAnsi="宋体" w:eastAsia="宋体" w:cs="宋体"/>
          <w:kern w:val="0"/>
          <w:sz w:val="21"/>
          <w:szCs w:val="21"/>
        </w:rPr>
      </w:pPr>
      <w:r>
        <w:rPr>
          <w:rFonts w:hint="eastAsia" w:ascii="宋体" w:hAnsi="宋体" w:eastAsia="宋体" w:cs="宋体"/>
          <w:kern w:val="0"/>
          <w:sz w:val="21"/>
          <w:szCs w:val="21"/>
        </w:rPr>
        <w:t>质疑联系方式：</w:t>
      </w:r>
      <w:r>
        <w:rPr>
          <w:rFonts w:hint="eastAsia" w:ascii="宋体" w:hAnsi="宋体" w:eastAsia="宋体" w:cs="宋体"/>
          <w:kern w:val="0"/>
          <w:sz w:val="21"/>
          <w:szCs w:val="21"/>
          <w:u w:val="single"/>
        </w:rPr>
        <w:t>0571-63732951</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2.采购代理机构信息</w:t>
      </w:r>
    </w:p>
    <w:p>
      <w:pPr>
        <w:widowControl/>
        <w:spacing w:before="100" w:beforeAutospacing="1" w:after="100" w:afterAutospacing="1"/>
        <w:ind w:firstLine="630" w:firstLineChars="300"/>
        <w:jc w:val="left"/>
        <w:rPr>
          <w:rFonts w:hint="eastAsia" w:ascii="宋体" w:hAnsi="宋体" w:eastAsia="宋体" w:cs="宋体"/>
          <w:kern w:val="0"/>
          <w:sz w:val="21"/>
          <w:szCs w:val="21"/>
        </w:rPr>
      </w:pPr>
      <w:r>
        <w:rPr>
          <w:rFonts w:hint="eastAsia" w:ascii="宋体" w:hAnsi="宋体" w:eastAsia="宋体" w:cs="宋体"/>
          <w:kern w:val="0"/>
          <w:sz w:val="21"/>
          <w:szCs w:val="21"/>
        </w:rPr>
        <w:t>名称：</w:t>
      </w:r>
      <w:r>
        <w:rPr>
          <w:rFonts w:hint="eastAsia" w:ascii="宋体" w:hAnsi="宋体" w:eastAsia="宋体" w:cs="宋体"/>
          <w:kern w:val="0"/>
          <w:sz w:val="21"/>
          <w:szCs w:val="21"/>
          <w:u w:val="single"/>
          <w:lang w:eastAsia="zh-CN"/>
        </w:rPr>
        <w:t xml:space="preserve">浙江五石工程咨询有限公司  </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地址：</w:t>
      </w:r>
      <w:r>
        <w:rPr>
          <w:rFonts w:hint="eastAsia" w:ascii="宋体" w:hAnsi="宋体" w:eastAsia="宋体" w:cs="宋体"/>
          <w:kern w:val="0"/>
          <w:sz w:val="21"/>
          <w:szCs w:val="21"/>
          <w:u w:val="single"/>
          <w:lang w:eastAsia="zh-CN"/>
        </w:rPr>
        <w:t>杭州市滨江区东方通信科技园启迪楼2楼1207室</w:t>
      </w:r>
    </w:p>
    <w:p>
      <w:pPr>
        <w:widowControl/>
        <w:spacing w:before="100" w:beforeAutospacing="1" w:after="100" w:afterAutospacing="1"/>
        <w:ind w:firstLine="630" w:firstLineChars="3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传真：</w:t>
      </w:r>
      <w:r>
        <w:rPr>
          <w:rFonts w:hint="eastAsia" w:ascii="宋体" w:hAnsi="宋体" w:eastAsia="宋体" w:cs="宋体"/>
          <w:kern w:val="0"/>
          <w:sz w:val="21"/>
          <w:szCs w:val="21"/>
          <w:u w:val="single"/>
          <w:lang w:val="en-US" w:eastAsia="zh-CN"/>
        </w:rPr>
        <w:t xml:space="preserve"> / </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项目联系人（询问）：</w:t>
      </w:r>
      <w:r>
        <w:rPr>
          <w:rFonts w:hint="eastAsia" w:ascii="宋体" w:hAnsi="宋体" w:eastAsia="宋体" w:cs="宋体"/>
          <w:kern w:val="0"/>
          <w:sz w:val="21"/>
          <w:szCs w:val="21"/>
          <w:u w:val="single"/>
          <w:lang w:eastAsia="zh-CN"/>
        </w:rPr>
        <w:t>徐工</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项目联系方式（询问）：</w:t>
      </w:r>
      <w:r>
        <w:rPr>
          <w:rFonts w:hint="eastAsia" w:ascii="宋体" w:hAnsi="宋体" w:eastAsia="宋体" w:cs="宋体"/>
          <w:kern w:val="0"/>
          <w:sz w:val="21"/>
          <w:szCs w:val="21"/>
          <w:u w:val="single"/>
          <w:lang w:eastAsia="zh-CN"/>
        </w:rPr>
        <w:t xml:space="preserve"> </w:t>
      </w:r>
      <w:r>
        <w:rPr>
          <w:rFonts w:hint="eastAsia" w:ascii="宋体" w:hAnsi="宋体" w:eastAsia="宋体" w:cs="宋体"/>
          <w:kern w:val="0"/>
          <w:sz w:val="21"/>
          <w:szCs w:val="21"/>
          <w:u w:val="single"/>
          <w:lang w:val="en-US" w:eastAsia="zh-CN"/>
        </w:rPr>
        <w:t xml:space="preserve">0571-87805727-806 </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质疑联系人：</w:t>
      </w:r>
      <w:r>
        <w:rPr>
          <w:rFonts w:hint="eastAsia" w:ascii="宋体" w:hAnsi="宋体" w:eastAsia="宋体" w:cs="宋体"/>
          <w:kern w:val="0"/>
          <w:sz w:val="21"/>
          <w:szCs w:val="21"/>
          <w:u w:val="single"/>
          <w:lang w:eastAsia="zh-CN"/>
        </w:rPr>
        <w:t xml:space="preserve"> 毛</w:t>
      </w:r>
      <w:r>
        <w:rPr>
          <w:rFonts w:hint="eastAsia" w:ascii="宋体" w:hAnsi="宋体" w:eastAsia="宋体" w:cs="宋体"/>
          <w:kern w:val="0"/>
          <w:sz w:val="21"/>
          <w:szCs w:val="21"/>
          <w:u w:val="single"/>
        </w:rPr>
        <w:t>工</w:t>
      </w:r>
      <w:r>
        <w:rPr>
          <w:rFonts w:hint="eastAsia" w:ascii="宋体" w:hAnsi="宋体" w:eastAsia="宋体" w:cs="宋体"/>
          <w:kern w:val="0"/>
          <w:sz w:val="21"/>
          <w:szCs w:val="21"/>
          <w:u w:val="single"/>
          <w:lang w:eastAsia="zh-CN"/>
        </w:rPr>
        <w:t xml:space="preserve">  </w:t>
      </w:r>
    </w:p>
    <w:p>
      <w:pPr>
        <w:widowControl/>
        <w:spacing w:before="100" w:beforeAutospacing="1" w:after="100" w:afterAutospacing="1"/>
        <w:ind w:firstLine="630" w:firstLineChars="3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质疑联系方式：</w:t>
      </w:r>
      <w:r>
        <w:rPr>
          <w:rFonts w:hint="eastAsia" w:ascii="宋体" w:hAnsi="宋体" w:eastAsia="宋体" w:cs="宋体"/>
          <w:sz w:val="21"/>
          <w:szCs w:val="21"/>
          <w:u w:val="single"/>
        </w:rPr>
        <w:t>0571-</w:t>
      </w:r>
      <w:r>
        <w:rPr>
          <w:rFonts w:hint="eastAsia" w:ascii="宋体" w:hAnsi="宋体" w:eastAsia="宋体" w:cs="宋体"/>
          <w:sz w:val="21"/>
          <w:szCs w:val="21"/>
          <w:u w:val="single"/>
          <w:lang w:val="en-US" w:eastAsia="zh-CN"/>
        </w:rPr>
        <w:t>87919156</w:t>
      </w:r>
    </w:p>
    <w:p>
      <w:pPr>
        <w:widowControl/>
        <w:spacing w:before="100" w:beforeAutospacing="1" w:after="100" w:afterAutospacing="1"/>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3.同级政府采购监督管理部门</w:t>
      </w:r>
    </w:p>
    <w:p>
      <w:pPr>
        <w:widowControl/>
        <w:spacing w:before="100" w:beforeAutospacing="1" w:after="100" w:afterAutospacing="1"/>
        <w:ind w:firstLine="630" w:firstLineChars="3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名称：</w:t>
      </w:r>
      <w:r>
        <w:rPr>
          <w:rFonts w:hint="eastAsia" w:ascii="宋体" w:hAnsi="宋体" w:eastAsia="宋体" w:cs="宋体"/>
          <w:kern w:val="0"/>
          <w:sz w:val="21"/>
          <w:szCs w:val="21"/>
          <w:lang w:val="zh-CN" w:eastAsia="zh-CN"/>
        </w:rPr>
        <w:t>浙江省财政厅政府采购监管处</w:t>
      </w:r>
    </w:p>
    <w:p>
      <w:pPr>
        <w:widowControl/>
        <w:spacing w:before="100" w:beforeAutospacing="1" w:after="100" w:afterAutospacing="1"/>
        <w:ind w:firstLine="630" w:firstLineChars="3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地址：</w:t>
      </w:r>
      <w:r>
        <w:rPr>
          <w:rFonts w:hint="eastAsia" w:ascii="宋体" w:hAnsi="宋体" w:eastAsia="宋体" w:cs="宋体"/>
          <w:kern w:val="0"/>
          <w:sz w:val="21"/>
          <w:szCs w:val="21"/>
          <w:lang w:val="zh-CN" w:eastAsia="zh-CN"/>
        </w:rPr>
        <w:t>杭州市西湖区环城西路37号</w:t>
      </w:r>
    </w:p>
    <w:p>
      <w:pPr>
        <w:widowControl/>
        <w:spacing w:before="100" w:beforeAutospacing="1" w:after="100" w:afterAutospacing="1"/>
        <w:ind w:firstLine="630" w:firstLineChars="300"/>
        <w:jc w:val="left"/>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联系人：倪文良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zh-CN" w:eastAsia="zh-CN"/>
        </w:rPr>
        <w:t>监督投诉电话：0571-87057615</w:t>
      </w:r>
    </w:p>
    <w:p>
      <w:pPr>
        <w:widowControl/>
        <w:spacing w:before="100" w:beforeAutospacing="1" w:after="100" w:afterAutospacing="1"/>
        <w:jc w:val="left"/>
        <w:rPr>
          <w:rFonts w:hint="eastAsia" w:ascii="宋体" w:hAnsi="宋体" w:eastAsia="宋体" w:cs="宋体"/>
          <w:kern w:val="0"/>
          <w:sz w:val="21"/>
          <w:szCs w:val="21"/>
          <w:lang w:eastAsia="zh-CN"/>
        </w:rPr>
      </w:pPr>
    </w:p>
    <w:p>
      <w:pPr>
        <w:widowControl/>
        <w:spacing w:before="100" w:beforeAutospacing="1" w:after="100" w:afterAutospacing="1"/>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若对项目采购电子交易系统操作有疑问，可登录政采云（https://www.zcygov.cn/），点击右侧咨询小采，获取采小蜜智能服务管家帮助，或拨打政采云服务热线400-881-7190获取热线服务帮助。</w:t>
      </w:r>
    </w:p>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CA问题联系电话（人工）：汇信CA 400-888-4636；天谷CA 400-087-8198。</w:t>
      </w:r>
    </w:p>
    <w:p>
      <w:pPr>
        <w:spacing w:line="360" w:lineRule="auto"/>
        <w:ind w:firstLine="840" w:firstLineChars="400"/>
        <w:rPr>
          <w:rFonts w:ascii="宋体" w:hAnsi="宋体" w:cs="宋体"/>
          <w:color w:val="auto"/>
          <w:szCs w:val="32"/>
          <w:highlight w:val="none"/>
        </w:rPr>
        <w:sectPr>
          <w:footerReference r:id="rId8" w:type="default"/>
          <w:pgSz w:w="11906" w:h="16838"/>
          <w:pgMar w:top="1247" w:right="1247" w:bottom="1247" w:left="1247" w:header="170" w:footer="567" w:gutter="0"/>
          <w:pgNumType w:start="1"/>
          <w:cols w:space="720" w:num="1"/>
          <w:docGrid w:linePitch="381" w:charSpace="0"/>
        </w:sectPr>
      </w:pPr>
    </w:p>
    <w:p>
      <w:pPr>
        <w:spacing w:line="1" w:lineRule="exact"/>
        <w:rPr>
          <w:rFonts w:ascii="宋体" w:hAnsi="宋体" w:cs="宋体"/>
          <w:color w:val="auto"/>
          <w:sz w:val="20"/>
          <w:szCs w:val="20"/>
          <w:highlight w:val="none"/>
        </w:rPr>
      </w:pPr>
    </w:p>
    <w:p>
      <w:pPr>
        <w:spacing w:line="20" w:lineRule="exact"/>
        <w:rPr>
          <w:rFonts w:ascii="宋体" w:hAnsi="宋体" w:cs="宋体"/>
          <w:color w:val="auto"/>
          <w:highlight w:val="none"/>
        </w:rPr>
      </w:pPr>
      <w:r>
        <w:rPr>
          <w:rFonts w:ascii="宋体" w:hAnsi="宋体" w:cs="宋体"/>
          <w:color w:val="auto"/>
          <w:highlight w:val="none"/>
        </w:rPr>
        <w:pict>
          <v:shape id="Picture 8" o:spid="_x0000_s1034" o:spt="75" type="#_x0000_t75" style="position:absolute;left:0pt;margin-left:176.05pt;margin-top:-398.75pt;height:12.6pt;width:9.95pt;z-index:-1024;mso-width-relative:page;mso-height-relative:page;" filled="f" o:preferrelative="t" stroked="f" coordsize="21600,21600" o:allowincell="f">
            <v:path/>
            <v:fill on="f" focussize="0,0"/>
            <v:stroke on="f" joinstyle="miter"/>
            <v:imagedata r:id="rId11" o:title=""/>
            <o:lock v:ext="edit" aspectratio="t"/>
          </v:shape>
        </w:pict>
      </w:r>
    </w:p>
    <w:p>
      <w:pPr>
        <w:tabs>
          <w:tab w:val="center" w:pos="4737"/>
        </w:tabs>
        <w:jc w:val="center"/>
        <w:outlineLvl w:val="0"/>
        <w:rPr>
          <w:rFonts w:ascii="宋体" w:hAnsi="宋体" w:cs="宋体"/>
          <w:b/>
          <w:bCs/>
          <w:color w:val="auto"/>
          <w:sz w:val="32"/>
          <w:szCs w:val="32"/>
          <w:highlight w:val="none"/>
        </w:rPr>
      </w:pPr>
      <w:bookmarkStart w:id="6" w:name="_Toc14201_WPSOffice_Level1"/>
      <w:bookmarkStart w:id="7" w:name="_Toc27790"/>
      <w:r>
        <w:rPr>
          <w:rFonts w:hint="eastAsia" w:ascii="宋体" w:hAnsi="宋体" w:cs="宋体"/>
          <w:b/>
          <w:bCs/>
          <w:color w:val="auto"/>
          <w:sz w:val="32"/>
          <w:szCs w:val="32"/>
          <w:highlight w:val="none"/>
        </w:rPr>
        <w:t>第二章  供应商须知前附表</w:t>
      </w:r>
      <w:bookmarkEnd w:id="6"/>
      <w:bookmarkEnd w:id="7"/>
    </w:p>
    <w:p>
      <w:pPr>
        <w:tabs>
          <w:tab w:val="center" w:pos="4737"/>
        </w:tabs>
        <w:jc w:val="both"/>
        <w:rPr>
          <w:rFonts w:ascii="宋体" w:hAnsi="宋体" w:cs="宋体"/>
          <w:b/>
          <w:bCs/>
          <w:color w:val="auto"/>
          <w:sz w:val="32"/>
          <w:szCs w:val="32"/>
          <w:highlight w:val="none"/>
        </w:rPr>
      </w:pPr>
    </w:p>
    <w:tbl>
      <w:tblPr>
        <w:tblStyle w:val="19"/>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trPr>
        <w:tc>
          <w:tcPr>
            <w:tcW w:w="959" w:type="dxa"/>
            <w:tcBorders>
              <w:top w:val="single" w:color="auto" w:sz="12" w:space="0"/>
              <w:left w:val="single" w:color="auto" w:sz="12"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146" w:type="dxa"/>
            <w:tcBorders>
              <w:top w:val="single" w:color="auto" w:sz="12"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6314" w:type="dxa"/>
            <w:tcBorders>
              <w:top w:val="single" w:color="auto" w:sz="12" w:space="0"/>
              <w:right w:val="single" w:color="auto" w:sz="12"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采购人</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浙江农林大学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采购代理机构</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浙江五石工程咨询有限公司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3</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4</w:t>
            </w:r>
          </w:p>
        </w:tc>
        <w:tc>
          <w:tcPr>
            <w:tcW w:w="21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b/>
                <w:bCs/>
                <w:color w:val="auto"/>
                <w:szCs w:val="21"/>
                <w:highlight w:val="none"/>
              </w:rPr>
              <w:t>计划工期：签订合同之日起30日历天内完成。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5</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质量要求</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质量要求符合《工程施工质量验收规范》达到国家验收规范</w:t>
            </w:r>
            <w:r>
              <w:rPr>
                <w:rFonts w:hint="eastAsia" w:ascii="宋体" w:hAnsi="宋体" w:cs="宋体"/>
                <w:b/>
                <w:bCs/>
                <w:color w:val="auto"/>
                <w:szCs w:val="21"/>
                <w:highlight w:val="none"/>
              </w:rPr>
              <w:t>合格</w:t>
            </w:r>
            <w:r>
              <w:rPr>
                <w:rFonts w:hint="eastAsia" w:ascii="宋体" w:hAnsi="宋体" w:cs="宋体"/>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6</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现场踏勘</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不组织</w:t>
            </w:r>
            <w:r>
              <w:rPr>
                <w:rFonts w:hint="eastAsia" w:ascii="宋体" w:hAnsi="宋体" w:cs="宋体"/>
                <w:color w:val="auto"/>
                <w:szCs w:val="21"/>
                <w:highlight w:val="none"/>
              </w:rPr>
              <w:t>，磋商响应供应商如有需要，经采购人同意后可自行前往，踏勘期间发生的费用或意外导致伤亡等一切责任和损失均由磋商响应供应商自负。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联系人：俞老师 联系方式： 0571-63732951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7</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答疑会</w:t>
            </w:r>
          </w:p>
        </w:tc>
        <w:tc>
          <w:tcPr>
            <w:tcW w:w="6314" w:type="dxa"/>
            <w:tcBorders>
              <w:right w:val="single" w:color="auto" w:sz="12" w:space="0"/>
            </w:tcBorders>
            <w:vAlign w:val="center"/>
          </w:tcPr>
          <w:p>
            <w:pPr>
              <w:spacing w:line="360" w:lineRule="auto"/>
              <w:ind w:right="87"/>
              <w:rPr>
                <w:rFonts w:ascii="宋体" w:hAnsi="宋体" w:cs="宋体"/>
                <w:color w:val="auto"/>
                <w:szCs w:val="21"/>
                <w:highlight w:val="none"/>
              </w:rPr>
            </w:pPr>
            <w:r>
              <w:rPr>
                <w:rFonts w:hint="eastAsia" w:ascii="宋体" w:hAnsi="宋体" w:cs="宋体"/>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8</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b/>
                <w:bCs/>
                <w:color w:val="auto"/>
                <w:szCs w:val="21"/>
                <w:highlight w:val="none"/>
              </w:rPr>
              <w:t>分包</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9</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询疑截止时间</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磋商响应供应商在收到磋商文件后，对磋商文件若有疑问，均应在2020年</w:t>
            </w:r>
            <w:r>
              <w:rPr>
                <w:rFonts w:hint="eastAsia" w:ascii="宋体" w:hAnsi="宋体" w:cs="宋体"/>
                <w:color w:val="auto"/>
                <w:szCs w:val="21"/>
                <w:highlight w:val="none"/>
                <w:lang w:eastAsia="zh-CN"/>
              </w:rPr>
              <w:t>08月1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日</w:t>
            </w:r>
            <w:r>
              <w:rPr>
                <w:rFonts w:hint="eastAsia" w:ascii="宋体" w:hAnsi="宋体" w:cs="宋体"/>
                <w:color w:val="auto"/>
                <w:szCs w:val="21"/>
                <w:highlight w:val="none"/>
              </w:rPr>
              <w:t>17:00前以书面形式向招标代理机构提交。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10</w:t>
            </w:r>
          </w:p>
        </w:tc>
        <w:tc>
          <w:tcPr>
            <w:tcW w:w="21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314" w:type="dxa"/>
            <w:tcBorders>
              <w:right w:val="single" w:color="auto" w:sz="12" w:space="0"/>
            </w:tcBorders>
            <w:vAlign w:val="center"/>
          </w:tcPr>
          <w:p>
            <w:pPr>
              <w:pStyle w:val="9"/>
              <w:spacing w:before="120" w:after="120" w:line="360" w:lineRule="auto"/>
              <w:rPr>
                <w:rFonts w:hAnsi="宋体" w:cs="宋体"/>
                <w:color w:val="auto"/>
                <w:sz w:val="21"/>
                <w:szCs w:val="21"/>
                <w:highlight w:val="none"/>
                <w:u w:val="single"/>
              </w:rPr>
            </w:pPr>
            <w:r>
              <w:rPr>
                <w:rFonts w:hint="eastAsia" w:hAnsi="宋体" w:cs="宋体"/>
                <w:color w:val="auto"/>
                <w:sz w:val="21"/>
                <w:szCs w:val="21"/>
                <w:highlight w:val="none"/>
                <w:u w:val="single"/>
              </w:rPr>
              <w:t>本项目不提交；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11</w:t>
            </w:r>
          </w:p>
        </w:tc>
        <w:tc>
          <w:tcPr>
            <w:tcW w:w="2146" w:type="dxa"/>
            <w:vAlign w:val="center"/>
          </w:tcPr>
          <w:p>
            <w:pPr>
              <w:adjustRightInd w:val="0"/>
              <w:snapToGrid w:val="0"/>
              <w:spacing w:line="360" w:lineRule="auto"/>
              <w:jc w:val="center"/>
              <w:rPr>
                <w:rFonts w:ascii="宋体" w:hAnsi="宋体" w:cs="宋体"/>
                <w:b/>
                <w:bCs/>
                <w:color w:val="auto"/>
                <w:sz w:val="22"/>
                <w:highlight w:val="none"/>
              </w:rPr>
            </w:pPr>
            <w:r>
              <w:rPr>
                <w:rFonts w:hint="eastAsia" w:ascii="宋体" w:hAnsi="宋体" w:cs="宋体"/>
                <w:b/>
                <w:bCs/>
                <w:color w:val="auto"/>
                <w:highlight w:val="none"/>
              </w:rPr>
              <w:t>响应文件的组成与签章</w:t>
            </w:r>
          </w:p>
        </w:tc>
        <w:tc>
          <w:tcPr>
            <w:tcW w:w="6314" w:type="dxa"/>
            <w:tcBorders>
              <w:right w:val="single" w:color="auto" w:sz="12" w:space="0"/>
            </w:tcBorders>
            <w:vAlign w:val="center"/>
          </w:tcPr>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完整的《响应文件》由“商务技术文件”、“</w:t>
            </w:r>
            <w:r>
              <w:rPr>
                <w:rFonts w:hint="eastAsia" w:ascii="宋体" w:hAnsi="宋体" w:cs="宋体"/>
                <w:bCs/>
                <w:color w:val="auto"/>
                <w:highlight w:val="none"/>
              </w:rPr>
              <w:t>报价文件</w:t>
            </w:r>
            <w:r>
              <w:rPr>
                <w:rFonts w:hint="eastAsia" w:ascii="宋体" w:hAnsi="宋体" w:cs="宋体"/>
                <w:color w:val="auto"/>
                <w:highlight w:val="none"/>
              </w:rPr>
              <w:t>”二个部分组成。</w:t>
            </w:r>
          </w:p>
          <w:p>
            <w:pPr>
              <w:adjustRightInd w:val="0"/>
              <w:snapToGrid w:val="0"/>
              <w:spacing w:line="360" w:lineRule="auto"/>
              <w:rPr>
                <w:rFonts w:ascii="宋体" w:hAnsi="宋体" w:cs="宋体"/>
                <w:color w:val="auto"/>
                <w:sz w:val="22"/>
                <w:highlight w:val="none"/>
              </w:rPr>
            </w:pPr>
            <w:r>
              <w:rPr>
                <w:rFonts w:hint="eastAsia" w:ascii="宋体" w:hAnsi="宋体" w:cs="宋体"/>
                <w:color w:val="auto"/>
                <w:highlight w:val="none"/>
              </w:rPr>
              <w:t>响应文件采用</w:t>
            </w:r>
            <w:r>
              <w:rPr>
                <w:rFonts w:hint="eastAsia" w:ascii="宋体" w:hAnsi="宋体" w:cs="宋体"/>
                <w:b/>
                <w:bCs/>
                <w:color w:val="auto"/>
                <w:highlight w:val="none"/>
              </w:rPr>
              <w:t>电子签章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12</w:t>
            </w:r>
          </w:p>
        </w:tc>
        <w:tc>
          <w:tcPr>
            <w:tcW w:w="2146"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highlight w:val="none"/>
              </w:rPr>
              <w:t>响应文件的形式</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highlight w:val="none"/>
              </w:rPr>
              <w:t>☑电子响应文件（包括“电子加密响应文件”和“电子备份响应文件”，在响应文件编制完成后同时生成）；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（1）“电子加密响应文件”是指通过“政采云电子交易客户端”完成响应文件编制后生成并加密的数据电文形式的响应文件。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（2）供应商应先安装“政采云电子交易客户端”，并按照本采购文件和“政府采购云平台”的要求，通过“政采云电子交易客户端”编制并加密响应文件。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2、“电子备份响应文件”：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（1）“电子备份响应文件”是指与“电子加密响应文件”同时生成的数据电文形式的电子文件。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（2）供应商可自主选择是否编制“电子备份响应文件”。</w:t>
            </w:r>
          </w:p>
          <w:p>
            <w:pPr>
              <w:spacing w:line="360" w:lineRule="auto"/>
              <w:rPr>
                <w:rFonts w:ascii="宋体" w:hAnsi="宋体" w:cs="宋体"/>
                <w:b/>
                <w:bCs/>
                <w:color w:val="auto"/>
                <w:szCs w:val="21"/>
                <w:highlight w:val="none"/>
              </w:rPr>
            </w:pPr>
            <w:r>
              <w:rPr>
                <w:rFonts w:hint="eastAsia" w:ascii="宋体" w:hAnsi="宋体" w:cs="宋体"/>
                <w:color w:val="auto"/>
                <w:szCs w:val="21"/>
                <w:highlight w:val="none"/>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13</w:t>
            </w:r>
          </w:p>
        </w:tc>
        <w:tc>
          <w:tcPr>
            <w:tcW w:w="2146" w:type="dxa"/>
            <w:vAlign w:val="center"/>
          </w:tcPr>
          <w:p>
            <w:pPr>
              <w:widowControl w:val="0"/>
              <w:adjustRightInd w:val="0"/>
              <w:snapToGrid w:val="0"/>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响应文件份数</w:t>
            </w:r>
          </w:p>
        </w:tc>
        <w:tc>
          <w:tcPr>
            <w:tcW w:w="6314" w:type="dxa"/>
            <w:tcBorders>
              <w:right w:val="single" w:color="auto" w:sz="12" w:space="0"/>
            </w:tcBorders>
            <w:vAlign w:val="center"/>
          </w:tcPr>
          <w:p>
            <w:pPr>
              <w:widowControl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（1）“电子加密响应文件”：在线上传提交一份。</w:t>
            </w:r>
          </w:p>
          <w:p>
            <w:pPr>
              <w:widowControl w:val="0"/>
              <w:adjustRightInd w:val="0"/>
              <w:snapToGrid w:val="0"/>
              <w:spacing w:line="360" w:lineRule="auto"/>
              <w:rPr>
                <w:rFonts w:ascii="宋体" w:hAnsi="宋体" w:cs="宋体"/>
                <w:color w:val="auto"/>
                <w:szCs w:val="21"/>
                <w:highlight w:val="none"/>
                <w:u w:val="single"/>
              </w:rPr>
            </w:pPr>
            <w:r>
              <w:rPr>
                <w:rFonts w:hint="eastAsia" w:ascii="宋体" w:hAnsi="宋体" w:cs="宋体"/>
                <w:bCs/>
                <w:color w:val="auto"/>
                <w:szCs w:val="21"/>
                <w:highlight w:val="none"/>
              </w:rPr>
              <w:t>（2）“备份响应文件”：密封包装后确保在投标截止时间前（EMS/顺丰邮寄形式）送达一份（邮寄地址：杭州市西园八路11号数字信息产业园G座603室  徐工/17746804270 收）。（自选邮寄）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14</w:t>
            </w:r>
          </w:p>
        </w:tc>
        <w:tc>
          <w:tcPr>
            <w:tcW w:w="2146" w:type="dxa"/>
            <w:vAlign w:val="center"/>
          </w:tcPr>
          <w:p>
            <w:pPr>
              <w:widowControl w:val="0"/>
              <w:adjustRightInd w:val="0"/>
              <w:snapToGrid w:val="0"/>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响应文件的上传和递交</w:t>
            </w:r>
          </w:p>
        </w:tc>
        <w:tc>
          <w:tcPr>
            <w:tcW w:w="6314" w:type="dxa"/>
            <w:tcBorders>
              <w:right w:val="single" w:color="auto" w:sz="12" w:space="0"/>
            </w:tcBorders>
            <w:vAlign w:val="center"/>
          </w:tcPr>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（1）“电子加密响应文件”的上传、递交：</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a.磋商响应供应商应在投标截止时间前将“电子加密响应文件”成功上传递交至“政府采购云平台”，否则投标无效。</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b.“电子加密响应文件”成功上传递交后，供应商可自行打印响应文件接收回执。</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（2）“备份响应文件”的密封包装、递交：</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a.磋商响应供应商在“政府采购云平台”完成“电子加密响应文件”的上传递交后，还可以（顺丰/EMS邮寄形式）在投标截止时间前递交以介质（U盘）存储的 “备份响应文件”（一份）；</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b.“备份响应文件”应当密封包装，并在包装上标注投标项目名称、投标单位名称并加盖公章。没有密封包装或者逾期邮寄送达至投标地点的“备份响应文件”将不予接收；</w:t>
            </w:r>
          </w:p>
          <w:p>
            <w:pPr>
              <w:widowControl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c.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15</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b/>
                <w:bCs/>
                <w:color w:val="auto"/>
                <w:szCs w:val="21"/>
                <w:highlight w:val="none"/>
              </w:rPr>
              <w:t>“电子加密响应文件”解密和异常情况处理</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开标后，采购组织机构将向各响应供应商发出“电子加密响应文件”的解密通知，各响应供应商代表应当在接到解密通知后30分钟内自行完成“电子加密响应文件”的在线解密。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政府采购云平台”成功上传递交的“电子加密响应文件”无法按时解密，响应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响应截止时间前，磋商响应供应商仅递交了“备份响应文件”而未将电子加密响应文件上传至“政府采购云平台”的，投标无效。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16</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响应文件有效期</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自响应文件提交截止时间起120天内。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17</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响应文件递交截止时间</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响应文件递交截止时间：2020年</w:t>
            </w:r>
            <w:r>
              <w:rPr>
                <w:rFonts w:hint="eastAsia" w:ascii="宋体" w:hAnsi="宋体" w:cs="宋体"/>
                <w:color w:val="auto"/>
                <w:szCs w:val="21"/>
                <w:highlight w:val="none"/>
                <w:lang w:eastAsia="zh-CN"/>
              </w:rPr>
              <w:t xml:space="preserve">08月18日13:30  </w:t>
            </w:r>
            <w:r>
              <w:rPr>
                <w:rFonts w:hint="eastAsia" w:ascii="宋体" w:hAnsi="宋体" w:cs="宋体"/>
                <w:color w:val="auto"/>
                <w:szCs w:val="21"/>
                <w:highlight w:val="none"/>
              </w:rPr>
              <w:t>（北京时间）</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响应文件提交地址：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1.“电子加密响应文件”：政府采购云平台在线递交。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2.“电子备份响应文件”：浙江五石工程咨询有限公司杭州市西湖区西园八路11号杭州数字信息产业园G座603室。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收件人（即联系人）：徐工</w:t>
            </w:r>
          </w:p>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联系电话：17746804270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18</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磋商时间、地点</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磋商时间：2020年</w:t>
            </w:r>
            <w:r>
              <w:rPr>
                <w:rFonts w:hint="eastAsia" w:ascii="宋体" w:hAnsi="宋体" w:cs="宋体"/>
                <w:color w:val="auto"/>
                <w:szCs w:val="21"/>
                <w:highlight w:val="none"/>
                <w:lang w:eastAsia="zh-CN"/>
              </w:rPr>
              <w:t xml:space="preserve">08月18日13:30  </w:t>
            </w:r>
            <w:r>
              <w:rPr>
                <w:rFonts w:hint="eastAsia" w:ascii="宋体" w:hAnsi="宋体" w:cs="宋体"/>
                <w:color w:val="auto"/>
                <w:szCs w:val="21"/>
                <w:highlight w:val="none"/>
              </w:rPr>
              <w:t>（北京时间）。</w:t>
            </w:r>
          </w:p>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磋商地点：杭州市西湖区西园八路11号杭州数字信息产业园G座603室，供应商在线参加磋商。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21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1、成交供应商向采购方提供履约担保，担保方式为：</w:t>
            </w:r>
            <w:r>
              <w:rPr>
                <w:rFonts w:hint="eastAsia" w:ascii="宋体" w:hAnsi="宋体" w:cs="宋体"/>
                <w:color w:val="auto"/>
                <w:szCs w:val="21"/>
                <w:highlight w:val="none"/>
                <w:u w:val="single"/>
              </w:rPr>
              <w:t xml:space="preserve"> 银行汇票或转帐支票或现金支票 </w:t>
            </w:r>
            <w:r>
              <w:rPr>
                <w:rFonts w:hint="eastAsia" w:ascii="宋体" w:hAnsi="宋体" w:cs="宋体"/>
                <w:color w:val="auto"/>
                <w:szCs w:val="21"/>
                <w:highlight w:val="none"/>
              </w:rPr>
              <w:t>担保合同作为本合同附件。担保额度：合同价的2.5%。成交供应商在合同协议签订前3天内，应按合同规定向采购人提交履约保证金。</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2、双方约定的其他担保事项：履约担保金中40%作为质量担保，30%作为工期进度担保，剩余30%作为文明施工担保。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3、如成交供应商原因造成合同中止，履约担保金不返还。</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4、如成交供应商不能按磋商承诺和合同要求履约，采购人将有权扣除相应甚至全部履约保证金。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20</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评标方法及标准</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21</w:t>
            </w:r>
          </w:p>
        </w:tc>
        <w:tc>
          <w:tcPr>
            <w:tcW w:w="2146" w:type="dxa"/>
            <w:vAlign w:val="center"/>
          </w:tcPr>
          <w:p>
            <w:pPr>
              <w:autoSpaceDE w:val="0"/>
              <w:autoSpaceDN w:val="0"/>
              <w:adjustRightInd w:val="0"/>
              <w:snapToGrid w:val="0"/>
              <w:spacing w:line="360" w:lineRule="auto"/>
              <w:jc w:val="center"/>
              <w:textAlignment w:val="bottom"/>
              <w:rPr>
                <w:rFonts w:ascii="宋体" w:hAnsi="宋体" w:cs="宋体"/>
                <w:b/>
                <w:color w:val="auto"/>
                <w:szCs w:val="21"/>
                <w:highlight w:val="none"/>
              </w:rPr>
            </w:pPr>
            <w:r>
              <w:rPr>
                <w:rFonts w:hint="eastAsia" w:ascii="宋体" w:hAnsi="宋体" w:cs="宋体"/>
                <w:b/>
                <w:color w:val="auto"/>
                <w:szCs w:val="21"/>
                <w:highlight w:val="none"/>
              </w:rPr>
              <w:t>最高限价</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b/>
                <w:color w:val="auto"/>
                <w:szCs w:val="21"/>
                <w:highlight w:val="none"/>
              </w:rPr>
            </w:pPr>
            <w:r>
              <w:rPr>
                <w:rFonts w:hint="eastAsia" w:ascii="宋体" w:hAnsi="宋体" w:cs="宋体"/>
                <w:b/>
                <w:color w:val="auto"/>
                <w:szCs w:val="21"/>
                <w:highlight w:val="none"/>
              </w:rPr>
              <w:t>▲最高限价人民币809236元，超过最高限价的按无效标处理。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22</w:t>
            </w:r>
          </w:p>
        </w:tc>
        <w:tc>
          <w:tcPr>
            <w:tcW w:w="2146" w:type="dxa"/>
            <w:vAlign w:val="center"/>
          </w:tcPr>
          <w:p>
            <w:pPr>
              <w:spacing w:line="360" w:lineRule="auto"/>
              <w:rPr>
                <w:rFonts w:ascii="宋体" w:hAnsi="宋体" w:cs="宋体"/>
                <w:color w:val="auto"/>
                <w:szCs w:val="21"/>
                <w:highlight w:val="none"/>
              </w:rPr>
            </w:pPr>
            <w:r>
              <w:rPr>
                <w:rFonts w:hint="eastAsia" w:ascii="宋体" w:hAnsi="宋体" w:cs="宋体"/>
                <w:b/>
                <w:snapToGrid w:val="0"/>
                <w:color w:val="auto"/>
                <w:kern w:val="10"/>
                <w:szCs w:val="21"/>
                <w:highlight w:val="none"/>
              </w:rPr>
              <w:t>中标结果公示媒体</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浙江省政府采购网（http://www.zjzfcg.gov.cn）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23</w:t>
            </w:r>
          </w:p>
        </w:tc>
        <w:tc>
          <w:tcPr>
            <w:tcW w:w="2146"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采购代理服务费与造价编制服务费</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1、参照国家发改委发改办价格[2003]857号通知和原国家计[2002]1980号文件规定的招标费率标准7折收取服务费，不足3000元按3000元收取。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2、成交供应商在领取中标通知书前，应向招标代理机构交纳招标代理服务费。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3、招标代理服务费以电汇方式支付。</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4、成交供应商如未按上述规定办理，本招标代理机构有权从其参加招标活动的投标保证金中收取采招标代理服务费，并对不足部分进行追索。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5、服务费缴纳账号：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单位名称：浙江五石工程咨询有限公司萧山分公司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开户银行：浙江民泰商业银行杭州钱江新城支行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2146" w:type="dxa"/>
            <w:vMerge w:val="restar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特别提醒</w:t>
            </w:r>
          </w:p>
        </w:tc>
        <w:tc>
          <w:tcPr>
            <w:tcW w:w="6314" w:type="dxa"/>
            <w:tcBorders>
              <w:right w:val="single" w:color="auto" w:sz="12" w:space="0"/>
            </w:tcBorders>
            <w:vAlign w:val="center"/>
          </w:tcPr>
          <w:p>
            <w:pPr>
              <w:snapToGrid w:val="0"/>
              <w:spacing w:line="360" w:lineRule="auto"/>
              <w:rPr>
                <w:rFonts w:ascii="宋体" w:hAnsi="宋体" w:cs="宋体"/>
                <w:bCs/>
                <w:snapToGrid w:val="0"/>
                <w:color w:val="auto"/>
                <w:szCs w:val="21"/>
                <w:highlight w:val="none"/>
              </w:rPr>
            </w:pPr>
            <w:r>
              <w:rPr>
                <w:rFonts w:hint="eastAsia" w:ascii="宋体" w:hAnsi="宋体" w:cs="宋体"/>
                <w:bCs/>
                <w:snapToGrid w:val="0"/>
                <w:color w:val="auto"/>
                <w:szCs w:val="21"/>
                <w:highlight w:val="none"/>
              </w:rPr>
              <w:t>企业信用融资:为支持和促进中小企业发展，进一步发挥政府采购政策功能，浙江省财政局与省银监局、市金融办、市经信委共同出台了《浙江省政府采购支持中小企业信用融资暂行办法》，供应商若有融资意向，详见本磋商文件尾页《政府采购支持中小企业信用融资相关事项通知》，或登陆浙江省政府采购网（http://www.zjzfcg.gov.cn/）“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vMerge w:val="continue"/>
            <w:tcBorders>
              <w:left w:val="single" w:color="auto" w:sz="12" w:space="0"/>
            </w:tcBorders>
            <w:vAlign w:val="center"/>
          </w:tcPr>
          <w:p>
            <w:pPr>
              <w:snapToGrid w:val="0"/>
              <w:spacing w:line="360" w:lineRule="auto"/>
              <w:jc w:val="center"/>
              <w:rPr>
                <w:rFonts w:ascii="宋体" w:hAnsi="宋体" w:cs="宋体"/>
                <w:color w:val="auto"/>
                <w:szCs w:val="21"/>
                <w:highlight w:val="none"/>
              </w:rPr>
            </w:pPr>
          </w:p>
        </w:tc>
        <w:tc>
          <w:tcPr>
            <w:tcW w:w="2146" w:type="dxa"/>
            <w:vMerge w:val="continue"/>
            <w:vAlign w:val="center"/>
          </w:tcPr>
          <w:p>
            <w:pPr>
              <w:snapToGrid w:val="0"/>
              <w:spacing w:line="360" w:lineRule="auto"/>
              <w:jc w:val="center"/>
              <w:rPr>
                <w:rFonts w:ascii="宋体" w:hAnsi="宋体" w:cs="宋体"/>
                <w:b/>
                <w:color w:val="auto"/>
                <w:szCs w:val="21"/>
                <w:highlight w:val="none"/>
              </w:rPr>
            </w:pPr>
          </w:p>
        </w:tc>
        <w:tc>
          <w:tcPr>
            <w:tcW w:w="6314" w:type="dxa"/>
            <w:tcBorders>
              <w:right w:val="single" w:color="auto" w:sz="12" w:space="0"/>
            </w:tcBorders>
            <w:vAlign w:val="center"/>
          </w:tcPr>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根据《关于在政府采购活动中查询及使用信用记录有关问题的通知》财库[2016]125号的规定：</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1）采购人或采购代理机构将对本项目供应商的信用信息进行查询。</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2）查询渠道为信用中国网站（www.creditchina.gov.cn）、中国政府采购网（www.ccgp.gov.cn）。</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3）信用信息截止时点为从本项目投标截止日往前追溯三年，期间被列入失信被执行人名单、重大税收违法案件当事人名单、政府采购严重违法失信行为记录名单等供应商信用信息均将用于本项目。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4）信用信息查询记录和证据以网页截图等方式留存。</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5）投标截止日当日网站显示的信用信息将作为评审和确定成交供应商的依据。</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2146" w:type="dxa"/>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
                <w:color w:val="auto"/>
                <w:szCs w:val="21"/>
                <w:highlight w:val="none"/>
              </w:rPr>
              <w:t>造价人员签字及盖章要求</w:t>
            </w:r>
          </w:p>
        </w:tc>
        <w:tc>
          <w:tcPr>
            <w:tcW w:w="6314" w:type="dxa"/>
            <w:tcBorders>
              <w:right w:val="single" w:color="auto" w:sz="12" w:space="0"/>
            </w:tcBorders>
            <w:vAlign w:val="center"/>
          </w:tcPr>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根据国家住建部、省级造价主管部门对造价从业人员执业管理的相关法律法规规定以及国标计价规范的规定，报价的编制必须遵守以下规定：</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（2）如报价由供应商编制，编制人员必须是在编制单位注册的造价工程师，并由其签字并盖执业专用章；</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（4）报价文件不得由供应商的造价人员和受委托的咨询公司的造价人员混合编审，报价文件封面所盖的造价工程师只能是同一单位人员；</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工程造价咨询人不得同时接受采购人和供应商对同一工程的控制价和报价的编制。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2146" w:type="dxa"/>
            <w:vAlign w:val="center"/>
          </w:tcPr>
          <w:p>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其他事项</w:t>
            </w:r>
          </w:p>
        </w:tc>
        <w:tc>
          <w:tcPr>
            <w:tcW w:w="6314" w:type="dxa"/>
            <w:tcBorders>
              <w:right w:val="single" w:color="auto" w:sz="12" w:space="0"/>
            </w:tcBorders>
            <w:vAlign w:val="center"/>
          </w:tcPr>
          <w:p>
            <w:pPr>
              <w:snapToGrid w:val="0"/>
              <w:spacing w:line="360" w:lineRule="auto"/>
              <w:rPr>
                <w:rFonts w:ascii="宋体" w:hAnsi="宋体" w:cs="宋体"/>
                <w:bCs/>
                <w:color w:val="auto"/>
                <w:kern w:val="10"/>
                <w:szCs w:val="21"/>
                <w:highlight w:val="none"/>
              </w:rPr>
            </w:pPr>
            <w:r>
              <w:rPr>
                <w:rFonts w:hint="eastAsia" w:ascii="宋体" w:hAnsi="宋体" w:cs="宋体"/>
                <w:color w:val="auto"/>
                <w:highlight w:val="none"/>
              </w:rPr>
              <w:t>为了节约社会资源，所有获取磋商文件的潜在磋商响应供应商如果放弃投标请务必在投标截止时间 48 小时前将盖章的放弃投标函 发至采购代理机构，格式详见附件，谢谢配合。（将扫描件发送至代理机构联系人邮箱：2971521730@qq.com）。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bottom w:val="single" w:color="auto" w:sz="12"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2146" w:type="dxa"/>
            <w:tcBorders>
              <w:bottom w:val="single" w:color="auto" w:sz="12"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314" w:type="dxa"/>
            <w:tcBorders>
              <w:bottom w:val="single" w:color="auto" w:sz="12" w:space="0"/>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本磋商文件解释权属于采购人和采购代理机构。</w:t>
            </w:r>
          </w:p>
        </w:tc>
      </w:tr>
    </w:tbl>
    <w:p>
      <w:pPr>
        <w:spacing w:line="200" w:lineRule="exact"/>
        <w:rPr>
          <w:rFonts w:ascii="宋体" w:hAnsi="宋体" w:cs="宋体"/>
          <w:color w:val="auto"/>
          <w:sz w:val="20"/>
          <w:szCs w:val="20"/>
          <w:highlight w:val="none"/>
        </w:rPr>
      </w:pPr>
      <w:bookmarkStart w:id="8" w:name="page7"/>
      <w:bookmarkEnd w:id="8"/>
      <w:bookmarkStart w:id="9" w:name="page8"/>
      <w:bookmarkEnd w:id="9"/>
    </w:p>
    <w:p>
      <w:pPr>
        <w:rPr>
          <w:rFonts w:ascii="宋体" w:hAnsi="宋体" w:cs="宋体"/>
          <w:color w:val="auto"/>
          <w:highlight w:val="none"/>
        </w:rPr>
        <w:sectPr>
          <w:pgSz w:w="11900" w:h="16838"/>
          <w:pgMar w:top="1440" w:right="1326" w:bottom="401" w:left="1440" w:header="567" w:footer="567" w:gutter="0"/>
          <w:cols w:equalWidth="0" w:num="1">
            <w:col w:w="9140"/>
          </w:cols>
        </w:sectPr>
      </w:pPr>
    </w:p>
    <w:p>
      <w:pPr>
        <w:spacing w:line="1" w:lineRule="exact"/>
        <w:rPr>
          <w:rFonts w:ascii="宋体" w:hAnsi="宋体" w:cs="宋体"/>
          <w:color w:val="auto"/>
          <w:sz w:val="20"/>
          <w:szCs w:val="20"/>
          <w:highlight w:val="none"/>
        </w:rPr>
      </w:pPr>
      <w:bookmarkStart w:id="10" w:name="page9"/>
      <w:bookmarkEnd w:id="10"/>
    </w:p>
    <w:p>
      <w:pPr>
        <w:tabs>
          <w:tab w:val="left" w:pos="300"/>
        </w:tabs>
        <w:spacing w:line="366" w:lineRule="exact"/>
        <w:ind w:left="2700"/>
        <w:jc w:val="both"/>
        <w:outlineLvl w:val="0"/>
        <w:rPr>
          <w:rFonts w:ascii="宋体" w:hAnsi="宋体" w:cs="宋体"/>
          <w:color w:val="auto"/>
          <w:sz w:val="20"/>
          <w:szCs w:val="20"/>
          <w:highlight w:val="none"/>
        </w:rPr>
      </w:pPr>
      <w:bookmarkStart w:id="11" w:name="_Toc163"/>
      <w:bookmarkStart w:id="12" w:name="_Toc25290_WPSOffice_Level1"/>
      <w:r>
        <w:rPr>
          <w:rFonts w:hint="eastAsia" w:ascii="宋体" w:hAnsi="宋体" w:cs="宋体"/>
          <w:b/>
          <w:bCs/>
          <w:color w:val="auto"/>
          <w:sz w:val="32"/>
          <w:szCs w:val="32"/>
          <w:highlight w:val="none"/>
        </w:rPr>
        <w:t>第三章  供应商须知</w:t>
      </w:r>
      <w:bookmarkEnd w:id="11"/>
      <w:bookmarkEnd w:id="12"/>
    </w:p>
    <w:p>
      <w:pPr>
        <w:spacing w:line="256" w:lineRule="exact"/>
        <w:rPr>
          <w:rFonts w:ascii="宋体" w:hAnsi="宋体" w:cs="宋体"/>
          <w:color w:val="auto"/>
          <w:sz w:val="20"/>
          <w:szCs w:val="20"/>
          <w:highlight w:val="none"/>
        </w:rPr>
      </w:pPr>
    </w:p>
    <w:p>
      <w:pPr>
        <w:spacing w:line="240" w:lineRule="exact"/>
        <w:ind w:firstLine="422" w:firstLineChars="200"/>
        <w:outlineLvl w:val="1"/>
        <w:rPr>
          <w:rFonts w:ascii="宋体" w:hAnsi="宋体" w:cs="宋体"/>
          <w:color w:val="auto"/>
          <w:sz w:val="20"/>
          <w:szCs w:val="20"/>
          <w:highlight w:val="none"/>
        </w:rPr>
      </w:pPr>
      <w:bookmarkStart w:id="13" w:name="_Toc28392_WPSOffice_Level2"/>
      <w:bookmarkStart w:id="14" w:name="_Toc29219"/>
      <w:bookmarkStart w:id="15" w:name="_Toc22915_WPSOffice_Level2"/>
      <w:r>
        <w:rPr>
          <w:rFonts w:hint="eastAsia" w:ascii="宋体" w:hAnsi="宋体" w:cs="宋体"/>
          <w:b/>
          <w:bCs/>
          <w:color w:val="auto"/>
          <w:szCs w:val="21"/>
          <w:highlight w:val="none"/>
        </w:rPr>
        <w:t>一、总则</w:t>
      </w:r>
      <w:bookmarkEnd w:id="13"/>
      <w:bookmarkEnd w:id="14"/>
      <w:bookmarkEnd w:id="15"/>
    </w:p>
    <w:p>
      <w:pPr>
        <w:spacing w:line="172" w:lineRule="exact"/>
        <w:rPr>
          <w:rFonts w:ascii="宋体" w:hAnsi="宋体" w:cs="宋体"/>
          <w:color w:val="auto"/>
          <w:sz w:val="20"/>
          <w:szCs w:val="20"/>
          <w:highlight w:val="none"/>
        </w:rPr>
      </w:pP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1.1、实施依据</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本次采购工作是按照《中华人民共和国政府采购法》、《政府采购竞争性磋商采购方式管理暂行办法》等招标投标有关法律、法规、规章、文件的规定组织和实施。</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1.2、采购方式：竞争性磋商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1.3、定义</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采购人：是指依法进行政府采购的国家机关、事业单位、团体组织，见“供应商须知前附表”；</w:t>
      </w:r>
    </w:p>
    <w:p>
      <w:pPr>
        <w:spacing w:line="360" w:lineRule="auto"/>
        <w:rPr>
          <w:rFonts w:ascii="宋体" w:hAnsi="宋体" w:cs="宋体"/>
          <w:color w:val="auto"/>
          <w:sz w:val="20"/>
          <w:szCs w:val="20"/>
          <w:highlight w:val="none"/>
        </w:rPr>
      </w:pPr>
      <w:r>
        <w:rPr>
          <w:rFonts w:hint="eastAsia" w:ascii="宋体" w:hAnsi="宋体" w:cs="宋体"/>
          <w:color w:val="auto"/>
          <w:szCs w:val="21"/>
          <w:highlight w:val="none"/>
        </w:rPr>
        <w:t>采购代理机构：受采购人委托，在委托的范围内办理政府采购事宜的机构，见“供应商须知前附表”；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供应商：是指参加本政府采购项目磋商的供应商；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供应商代表：是指参加本项目磋商活动的供应商法定代表人或法定代表人授权代表；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磋商联合体：是指两个以上供应商组成联合体，以一个供应商的身份参加磋商；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甲方：是指合同签订的一方，一般与采购人、用户相同；</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乙方：是指合同签订的另一方，与成交供应商相同；</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制造商：是指拥有响应产品自主知识产权的单位；</w:t>
      </w:r>
    </w:p>
    <w:p>
      <w:pPr>
        <w:spacing w:line="360" w:lineRule="auto"/>
        <w:ind w:right="346" w:firstLine="420" w:firstLineChars="200"/>
        <w:jc w:val="both"/>
        <w:rPr>
          <w:rFonts w:ascii="宋体" w:hAnsi="宋体" w:cs="宋体"/>
          <w:color w:val="auto"/>
          <w:sz w:val="20"/>
          <w:szCs w:val="20"/>
          <w:highlight w:val="none"/>
        </w:rPr>
      </w:pPr>
      <w:r>
        <w:rPr>
          <w:rFonts w:hint="eastAsia" w:ascii="宋体" w:hAnsi="宋体" w:cs="宋体"/>
          <w:color w:val="auto"/>
          <w:szCs w:val="21"/>
          <w:highlight w:val="none"/>
        </w:rPr>
        <w:t>中小企业（含中型、小型、微型）：符合中小企业划分标准（工信部联企业[2011]300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 民政部 中国残疾人联合会关于促进残疾人就业政府采购政策的通知》（财库〔2018〕 141 号）的规定的单位；</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政府采购监管部门：浙江省财政厅政府采购监管处。</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1.4、供应商须知前附表规定接受联合体磋商的，应遵守以下规定：（本工程不适用）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1）两个以上供应商可以组成一个联合体，以一个供应商的身份共同参加磋商；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2）组成联合体参加本项目磋商的，供应商须在购买竞争性磋商文件时向采购代理机构</w:t>
      </w:r>
    </w:p>
    <w:p>
      <w:pPr>
        <w:spacing w:line="360" w:lineRule="auto"/>
        <w:rPr>
          <w:rFonts w:ascii="宋体" w:hAnsi="宋体" w:cs="宋体"/>
          <w:color w:val="auto"/>
          <w:sz w:val="20"/>
          <w:szCs w:val="20"/>
          <w:highlight w:val="none"/>
        </w:rPr>
      </w:pPr>
      <w:r>
        <w:rPr>
          <w:rFonts w:hint="eastAsia" w:ascii="宋体" w:hAnsi="宋体" w:cs="宋体"/>
          <w:color w:val="auto"/>
          <w:szCs w:val="21"/>
          <w:highlight w:val="none"/>
        </w:rPr>
        <w:t>作出相关书面说明，否则响应无效；</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3）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360" w:lineRule="auto"/>
        <w:ind w:firstLine="420" w:firstLineChars="200"/>
        <w:rPr>
          <w:rFonts w:ascii="宋体" w:hAnsi="宋体" w:cs="宋体"/>
          <w:color w:val="auto"/>
          <w:highlight w:val="none"/>
        </w:rPr>
        <w:sectPr>
          <w:pgSz w:w="11900" w:h="16838"/>
          <w:pgMar w:top="1440" w:right="1440" w:bottom="401" w:left="1440" w:header="567" w:footer="567" w:gutter="0"/>
          <w:cols w:equalWidth="0" w:num="1">
            <w:col w:w="9026"/>
          </w:cols>
        </w:sectPr>
      </w:pPr>
      <w:r>
        <w:rPr>
          <w:rFonts w:hint="eastAsia" w:ascii="宋体" w:hAnsi="宋体" w:cs="宋体"/>
          <w:color w:val="auto"/>
          <w:szCs w:val="21"/>
          <w:highlight w:val="none"/>
        </w:rPr>
        <w:t>4）联合体各方之间须签订磋商联合协议，明确约定联合体各方承担的工作和相应的责</w:t>
      </w:r>
    </w:p>
    <w:p>
      <w:pPr>
        <w:spacing w:line="360" w:lineRule="auto"/>
        <w:rPr>
          <w:rFonts w:ascii="宋体" w:hAnsi="宋体" w:cs="宋体"/>
          <w:color w:val="auto"/>
          <w:szCs w:val="21"/>
          <w:highlight w:val="none"/>
        </w:rPr>
      </w:pPr>
      <w:bookmarkStart w:id="16" w:name="page10"/>
      <w:bookmarkEnd w:id="16"/>
      <w:r>
        <w:rPr>
          <w:rFonts w:hint="eastAsia" w:ascii="宋体" w:hAnsi="宋体" w:cs="宋体"/>
          <w:color w:val="auto"/>
          <w:szCs w:val="21"/>
          <w:highlight w:val="none"/>
        </w:rPr>
        <w:t>任，在磋商联合协议中指定本项目主办人，并将磋商联合协议作为响应文件组成的一部分；本项目的主体、关键性工作须由主办人完成，并在磋商联合协议中进行说明；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5）联合体各方签订磋商联合协议后，不得再以自己名义单独在本项目中参加磋商，也不得组成新的联合体参加本项目磋商；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6）联合体各方共同与采购人签订采购合同，就采购合同约定的事项对采购人承担连带责任；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7）响应文件须由主办人盖章及其全权代表签署。</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无论磋商过程中的做法和结果如何，供应商自行承担磋商活动中所发生的全部费用。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1.6、保密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参与磋商活动的各方应对竞争性磋商文件和响应文件中的商业和技术等秘密保密，违者应对此造成的后果承担法律责任。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1.7、语言文字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除专用术语外，与磋商有关的语言使用中文。专用术语应附有中文注释。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1.8、计量单位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1.9、踏勘现场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供应商须知前附表规定组织踏勘现场的，采购人按供应商须知前附表规定的时间、地点组织供应商踏勘项目现场。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采购人在踏勘现场中介绍的场地和相关的周边环境情况，供供应商在编制响应文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件时参考，采购人不对供应商据此作出的判断和决策负责。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1.10、答疑会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1.10.1 供应商须知前附表规定召开答疑会的，采购人按供应商须知前附表规定的时间和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地点召开答疑会，澄清供应商提出的问题。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供应商应在答疑会时间的前一天，以书面形式将提出的问题送达采购人，以便采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购人在会议期间澄清。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答疑会后，采购人按本章 2.4 款规定对供应商所提问题进行澄清答复。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1.11、分包</w:t>
      </w:r>
    </w:p>
    <w:p>
      <w:pPr>
        <w:spacing w:line="360" w:lineRule="auto"/>
        <w:ind w:firstLine="440" w:firstLineChars="200"/>
        <w:rPr>
          <w:rFonts w:ascii="宋体" w:hAnsi="宋体" w:cs="宋体"/>
          <w:color w:val="auto"/>
          <w:szCs w:val="21"/>
          <w:highlight w:val="none"/>
        </w:rPr>
      </w:pPr>
      <w:r>
        <w:rPr>
          <w:rFonts w:hint="eastAsia" w:ascii="宋体" w:hAnsi="宋体" w:cs="宋体"/>
          <w:bCs/>
          <w:color w:val="auto"/>
          <w:sz w:val="22"/>
          <w:highlight w:val="none"/>
        </w:rPr>
        <w:t>供应商须知前附表规定允许分包的，供应商应当在响应文件载明分包的具体情况，应符合采购人在供应商</w:t>
      </w:r>
      <w:r>
        <w:rPr>
          <w:rFonts w:hint="eastAsia" w:ascii="宋体" w:hAnsi="宋体" w:cs="宋体"/>
          <w:color w:val="auto"/>
          <w:szCs w:val="21"/>
          <w:highlight w:val="none"/>
        </w:rPr>
        <w:t>须知前附表规定的分包内容、分包金额和接受分包的第三人资质要求等限制条件。</w:t>
      </w:r>
    </w:p>
    <w:p>
      <w:pPr>
        <w:spacing w:line="200" w:lineRule="exact"/>
        <w:rPr>
          <w:rFonts w:ascii="宋体" w:hAnsi="宋体" w:cs="宋体"/>
          <w:color w:val="auto"/>
          <w:sz w:val="20"/>
          <w:szCs w:val="20"/>
          <w:highlight w:val="none"/>
        </w:rPr>
      </w:pPr>
    </w:p>
    <w:p>
      <w:pPr>
        <w:spacing w:line="304"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401" w:left="1440" w:header="567" w:footer="567" w:gutter="0"/>
          <w:cols w:equalWidth="0" w:num="1">
            <w:col w:w="9026"/>
          </w:cols>
        </w:sectPr>
      </w:pPr>
    </w:p>
    <w:p>
      <w:pPr>
        <w:spacing w:line="1" w:lineRule="exact"/>
        <w:rPr>
          <w:rFonts w:ascii="宋体" w:hAnsi="宋体" w:cs="宋体"/>
          <w:color w:val="auto"/>
          <w:sz w:val="20"/>
          <w:szCs w:val="20"/>
          <w:highlight w:val="none"/>
        </w:rPr>
      </w:pPr>
      <w:bookmarkStart w:id="17" w:name="page11"/>
      <w:bookmarkEnd w:id="17"/>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1.12、偏离</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响应文件应完全响应竞争性磋商文件规定的实质性内容和条件。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1.13、其他</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1.13.1▲</w:t>
      </w:r>
      <w:r>
        <w:rPr>
          <w:rFonts w:hint="eastAsia" w:ascii="宋体" w:hAnsi="宋体" w:cs="宋体"/>
          <w:b/>
          <w:bCs/>
          <w:color w:val="auto"/>
          <w:szCs w:val="21"/>
          <w:highlight w:val="none"/>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1.13.2▲</w:t>
      </w:r>
      <w:r>
        <w:rPr>
          <w:rFonts w:hint="eastAsia" w:ascii="宋体" w:hAnsi="宋体" w:cs="宋体"/>
          <w:b/>
          <w:bCs/>
          <w:color w:val="auto"/>
          <w:szCs w:val="21"/>
          <w:highlight w:val="none"/>
          <w:u w:val="single"/>
        </w:rPr>
        <w:t>供应商对所响应标项内的采购内容必须全部进行响应。</w:t>
      </w:r>
    </w:p>
    <w:p>
      <w:pPr>
        <w:pStyle w:val="53"/>
        <w:spacing w:line="360" w:lineRule="auto"/>
        <w:ind w:firstLine="420"/>
        <w:rPr>
          <w:rFonts w:ascii="宋体" w:hAnsi="宋体" w:cs="宋体"/>
          <w:bCs/>
          <w:color w:val="auto"/>
          <w:szCs w:val="21"/>
          <w:highlight w:val="none"/>
        </w:rPr>
      </w:pPr>
      <w:r>
        <w:rPr>
          <w:rFonts w:hint="eastAsia" w:ascii="宋体" w:hAnsi="宋体" w:cs="宋体"/>
          <w:color w:val="auto"/>
          <w:szCs w:val="21"/>
          <w:highlight w:val="none"/>
        </w:rPr>
        <w:t>1.13.3</w:t>
      </w:r>
      <w:r>
        <w:rPr>
          <w:rFonts w:hint="eastAsia" w:ascii="宋体" w:hAnsi="宋体" w:cs="宋体"/>
          <w:bCs/>
          <w:color w:val="auto"/>
          <w:szCs w:val="21"/>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pStyle w:val="53"/>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1.13.4 竞争性磋商文件中如有描述歧义或前后不一致的地方，磋商小组有权按公平、合理的原则进行评判，但对同一条款的评判适用于每个供应商。</w:t>
      </w:r>
    </w:p>
    <w:p>
      <w:pPr>
        <w:pStyle w:val="53"/>
        <w:spacing w:line="360" w:lineRule="auto"/>
        <w:ind w:firstLine="420"/>
        <w:rPr>
          <w:rFonts w:ascii="宋体" w:hAnsi="宋体" w:cs="宋体"/>
          <w:color w:val="auto"/>
          <w:szCs w:val="21"/>
          <w:highlight w:val="none"/>
        </w:rPr>
      </w:pPr>
      <w:r>
        <w:rPr>
          <w:rFonts w:hint="eastAsia" w:ascii="宋体" w:hAnsi="宋体" w:cs="宋体"/>
          <w:bCs/>
          <w:color w:val="auto"/>
          <w:szCs w:val="21"/>
          <w:highlight w:val="none"/>
        </w:rPr>
        <w:t>1.13.5响应文件的响应内容必须真实、明确、准确。否则，磋商小组将对其作出不利的评审。</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13.6乙</w:t>
      </w:r>
      <w:r>
        <w:rPr>
          <w:rFonts w:hint="eastAsia" w:ascii="宋体" w:hAnsi="宋体" w:cs="宋体"/>
          <w:color w:val="auto"/>
          <w:szCs w:val="21"/>
          <w:highlight w:val="none"/>
        </w:rPr>
        <w:t>方为履行合同引起的相关人员的差旅费、食宿费以及其它不可预知的费用由乙方自理。合同实施过程中，须与甲方积极配合。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1.13.7项目资金为财政性投资，资金已落实。</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1.13.8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1.13.9不同供应商之间存在以下利害关系并且存在影响政府采购公平竞争行为的，不得参加同一合同项下的政府采购活动，相关磋商响应供应商的投标均作无效处理： </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A.法定代表人或负责人或实际控制人是同一人；</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B.法定代表人或负责人或实际控制人是夫妻关系；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C.法定代表人或负责人或实际控制人是直系血亲关系；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D.法定代表人或负责人或实际控制人存在三代以内旁系血亲关系；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E.法定代表人或负责人或实际控制人存在近姻亲关系；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F.法定代表人或负责人或实际控制人存在股份控制或实际控制关系；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G.存在共同直接或间接投资设立子公司、联营企业和合营企业情况；</w:t>
      </w:r>
    </w:p>
    <w:p>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rPr>
        <w:t>H.存在分级代理或代销关系、同一生产制造商关系、管理关系、重要业务（占主营业务收入50%以上）或重要财务往来关系（如融资）等其他实质性控制关系。</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1.13.10磋商所使用的资格、资信、业绩、企业认证等证明材料必须为供应商自身所拥有，不同法人、其他组织资料与供应商无关，评审时不作为该供应商的依据。</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1.13.11提供相同品牌产品且通过资格审查、符合性审查的不同供应商参加同一合同项下投标的，按一家供应商计算，评审后得分最高的同品牌供应商获得供应商推荐资格；评审得分相同的，由磋商小组按照商务技术部分得分最高的供应商获得供应商推荐资格，其他同品牌供应商不作为中标候选人。</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color w:val="auto"/>
          <w:szCs w:val="21"/>
          <w:highlight w:val="none"/>
        </w:rPr>
        <w:t>非单一产品采购项目，采购人将根据采购项目技术构成、产品价格比重等合理确定核心产品，并在磋商文件中载明。多家供应商提供的核心产品品牌相同的，按前两款规定处理。</w:t>
      </w:r>
    </w:p>
    <w:p>
      <w:pPr>
        <w:spacing w:line="360" w:lineRule="auto"/>
        <w:ind w:firstLine="211" w:firstLineChars="100"/>
        <w:rPr>
          <w:rFonts w:ascii="宋体" w:hAnsi="宋体" w:cs="宋体"/>
          <w:b/>
          <w:bCs/>
          <w:color w:val="auto"/>
          <w:szCs w:val="21"/>
          <w:highlight w:val="none"/>
          <w:u w:val="single"/>
        </w:rPr>
      </w:pPr>
      <w:r>
        <w:rPr>
          <w:rFonts w:hint="eastAsia" w:ascii="宋体" w:hAnsi="宋体" w:cs="宋体"/>
          <w:b/>
          <w:bCs/>
          <w:color w:val="auto"/>
          <w:szCs w:val="21"/>
          <w:highlight w:val="none"/>
          <w:u w:val="single"/>
        </w:rPr>
        <w:t>“▲”系指实质性要求条款，磋商响应供应商必须做出实质性响应，不满足则按无效标处理。</w:t>
      </w:r>
    </w:p>
    <w:p>
      <w:p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u w:val="single"/>
        </w:rPr>
        <w:t>“★”系指重要条款，磋商响应供应商应满足或者优于指标要求，否则按照负偏离计算。</w:t>
      </w:r>
    </w:p>
    <w:p>
      <w:pPr>
        <w:spacing w:line="360" w:lineRule="auto"/>
        <w:ind w:firstLine="422" w:firstLineChars="200"/>
        <w:outlineLvl w:val="1"/>
        <w:rPr>
          <w:rFonts w:ascii="宋体" w:hAnsi="宋体" w:cs="宋体"/>
          <w:color w:val="auto"/>
          <w:sz w:val="20"/>
          <w:szCs w:val="20"/>
          <w:highlight w:val="none"/>
        </w:rPr>
      </w:pPr>
      <w:bookmarkStart w:id="18" w:name="_Toc7892"/>
      <w:bookmarkStart w:id="19" w:name="_Toc11507_WPSOffice_Level2"/>
      <w:bookmarkStart w:id="20" w:name="_Toc29859_WPSOffice_Level2"/>
      <w:r>
        <w:rPr>
          <w:rFonts w:hint="eastAsia" w:ascii="宋体" w:hAnsi="宋体" w:cs="宋体"/>
          <w:b/>
          <w:bCs/>
          <w:color w:val="auto"/>
          <w:szCs w:val="21"/>
          <w:highlight w:val="none"/>
        </w:rPr>
        <w:t>二、竞争性磋商文件</w:t>
      </w:r>
      <w:bookmarkEnd w:id="18"/>
      <w:bookmarkEnd w:id="19"/>
      <w:bookmarkEnd w:id="20"/>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2.1、竞争性磋商文件组成</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2.1.1 第一章 竞争性磋商公告</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2.1.2 第二章 供应商须知前附表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2.1.3 第三章 供应商须知</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2.1.4 第四章 采购内容及技术要求</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2.1.5 第五章 合同</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2.1.6 第六章 响应文件格式</w:t>
      </w:r>
    </w:p>
    <w:p>
      <w:pPr>
        <w:spacing w:line="1" w:lineRule="exact"/>
        <w:rPr>
          <w:rFonts w:ascii="宋体" w:hAnsi="宋体" w:cs="宋体"/>
          <w:color w:val="auto"/>
          <w:sz w:val="20"/>
          <w:szCs w:val="20"/>
          <w:highlight w:val="none"/>
        </w:rPr>
      </w:pPr>
      <w:bookmarkStart w:id="21" w:name="page12"/>
      <w:bookmarkEnd w:id="21"/>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2.1.7 第七章 评审办法</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2.1.8 补充文件（如有）</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2.2、竞争性磋商文件的解释权</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竞争性磋商文件的解释权归采购人和采购代理机构所有。</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2.3、竞争性磋商文件的质疑</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2.3.1 供应商认为竞争性磋商文件规定内容使自己的合法权益受到损害的，供应商可以提出书面质疑。</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2.3.2 质疑书须包括以下内容：</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（一）质疑人的名称、地址、邮政编码、联系人、联系电话；</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（二）被质疑采购项目名称、编号及采购内容；</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（三）具体的质疑事项及事实依据；</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（四）认为自己合法权益受到损害或可能受到损害的相关证据材料；</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（五）提出质疑的日期。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2.3.3 质疑期限自供应商获得竞争性磋商文件之日起 3 个工作日内且在响应文件递交截止时间前向采购代理机构提出。</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2.3.4 质疑书中涉及的相关材料中有外文资料的，应当将与质疑相关的外文资料完整、客观、真实地翻译为中文，并注明翻译人员姓名、工作单位、联系方式等信息。</w:t>
      </w:r>
    </w:p>
    <w:p>
      <w:pPr>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 xml:space="preserve">2.3.5 </w:t>
      </w:r>
      <w:r>
        <w:rPr>
          <w:rFonts w:hint="eastAsia" w:ascii="宋体" w:hAnsi="宋体" w:cs="宋体"/>
          <w:color w:val="auto"/>
          <w:szCs w:val="21"/>
          <w:highlight w:val="none"/>
        </w:rPr>
        <w:t>质疑书必须署名，由法定代表人签字（或盖章）并加盖单位公章，否则不予受理。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2.3.6 质疑书以直接提交、传真或邮寄方式提交（一式三份）。</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2.3.7 质疑书以传真形式提交后，同时须向采购代理机构提交质疑书原件，实际收到原件之日作为收到质疑的日期。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2.4、竞争性磋商文件的澄清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供应商对竞争性磋商文件如有疑问要求澄清，或认为有必要与采购代理机构进行技术交流，供应商需将书面资料在“供应商须知前附表”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2.4.2 供应商要求澄清的资料应加盖单位公章、写明日期。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2.4.3 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 补充文件发出后，采购人原则上不改变竞争性磋商文件规定的响应文件递交截止时间及开标时间。供应商如认为补充文件内容影响响应文件编制，须延长响应文件递交截止时间的，必须在收到补充文件后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ascii="宋体" w:hAnsi="宋体" w:cs="宋体"/>
          <w:color w:val="auto"/>
          <w:sz w:val="20"/>
          <w:szCs w:val="20"/>
          <w:highlight w:val="none"/>
        </w:rPr>
      </w:pPr>
      <w:bookmarkStart w:id="22" w:name="page13"/>
      <w:bookmarkEnd w:id="22"/>
      <w:r>
        <w:rPr>
          <w:rFonts w:hint="eastAsia" w:ascii="宋体" w:hAnsi="宋体" w:cs="宋体"/>
          <w:color w:val="auto"/>
          <w:szCs w:val="21"/>
          <w:highlight w:val="none"/>
        </w:rPr>
        <w:t>2.4.5 供应商在收到补充文件后，应在 24 小时内以书面形式向采购代理机构确认已收到该补充文件。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2.4.6 供应商在竞争性磋商文件规定的询疑截止时间前内未对竞争性磋商文件提出疑问的，采购代理机构将视其为无异议。</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2.4.7 当竞争性磋商文件与补充文件就同一内容的表述不一致时，以最后发出的书面文件为准。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2.5、竞争性磋商文件的修改</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2.5.1 在响应文件提交的截止时间前，由于各种原因采购人可能以补充文件的形式修改完善竞争性磋商文件。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2.5.2 补充文件作为竞争性磋商文件组成部分，补充文件将以传真、网上公告等形式告知所有购买竞争性磋商文件的供应商，补充文件对供应商均有约束力。</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2.5.3 补充文件发出后，采购人原则上不改变本文件规定的响应文件递交截止时间及开启时间。供应商如认为补充文件内容影响响应文件编制，须延长响应文件递交截止时间的，必须在收到补充文件后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2.5.4 供应商在收到补充文件后，应在 24 小时内以书面形式向采购代理机构确认已收到该补充文件。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2.5.5 供应商收到补充文件后，对补充文件如有疑问要求澄清，应在 24 小时内将书面</w:t>
      </w:r>
      <w:r>
        <w:rPr>
          <w:rFonts w:hint="eastAsia" w:ascii="宋体" w:hAnsi="宋体" w:cs="宋体"/>
          <w:color w:val="auto"/>
          <w:sz w:val="20"/>
          <w:szCs w:val="20"/>
          <w:highlight w:val="none"/>
        </w:rPr>
        <w:t>资料传</w:t>
      </w:r>
      <w:r>
        <w:rPr>
          <w:rFonts w:hint="eastAsia" w:ascii="宋体" w:hAnsi="宋体" w:cs="宋体"/>
          <w:color w:val="auto"/>
          <w:szCs w:val="21"/>
          <w:highlight w:val="none"/>
        </w:rPr>
        <w:t>真或送达至采购代理机构，同时将电子文件发至供应商须知前附表注明的邮箱（</w:t>
      </w:r>
      <w:r>
        <w:rPr>
          <w:rFonts w:hint="eastAsia" w:ascii="宋体" w:hAnsi="宋体" w:cs="宋体"/>
          <w:color w:val="auto"/>
          <w:sz w:val="20"/>
          <w:szCs w:val="20"/>
          <w:highlight w:val="none"/>
        </w:rPr>
        <w:t>电子</w:t>
      </w:r>
      <w:r>
        <w:rPr>
          <w:rFonts w:hint="eastAsia" w:ascii="宋体" w:hAnsi="宋体" w:cs="宋体"/>
          <w:color w:val="auto"/>
          <w:szCs w:val="21"/>
          <w:highlight w:val="none"/>
        </w:rPr>
        <w:t>邮件与书面文件有不一致的，以书面文件为准），并与采购代理机构进行确认。</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2.5.6 供应商要求澄清的资料应加盖单位公章、写明日期。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2.5.7 对补充文件的澄清答复按 2.4 款规定。</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2.5.8 当竞争性磋商文件与补充文件就同一内容的表述不一致时，以最后发出的书面文件为准。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2.5.9 任何口头答复均不属于竞争性磋商文件的组成部分。</w:t>
      </w:r>
    </w:p>
    <w:p>
      <w:pPr>
        <w:spacing w:line="360" w:lineRule="auto"/>
        <w:ind w:firstLine="422" w:firstLineChars="200"/>
        <w:outlineLvl w:val="1"/>
        <w:rPr>
          <w:rFonts w:ascii="宋体" w:hAnsi="宋体" w:cs="宋体"/>
          <w:color w:val="auto"/>
          <w:sz w:val="20"/>
          <w:szCs w:val="20"/>
          <w:highlight w:val="none"/>
        </w:rPr>
      </w:pPr>
      <w:bookmarkStart w:id="23" w:name="_Toc13792"/>
      <w:bookmarkStart w:id="24" w:name="_Toc3166_WPSOffice_Level2"/>
      <w:bookmarkStart w:id="25" w:name="_Toc27277_WPSOffice_Level2"/>
      <w:r>
        <w:rPr>
          <w:rFonts w:hint="eastAsia" w:ascii="宋体" w:hAnsi="宋体" w:cs="宋体"/>
          <w:b/>
          <w:bCs/>
          <w:color w:val="auto"/>
          <w:szCs w:val="21"/>
          <w:highlight w:val="none"/>
        </w:rPr>
        <w:t>三、响应文件</w:t>
      </w:r>
      <w:bookmarkEnd w:id="23"/>
      <w:bookmarkEnd w:id="24"/>
      <w:bookmarkEnd w:id="2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3.1.1响应文件的形式：详见供应商须知前附表要求。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3.1.2供应商应仔细阅读竞争性磋商文件规定的所有内容，以保证能全面准确理解竞争性磋商文件，并按照竞争性磋商文件要求，详细编制响应文件，响应文件内容必须针对本次磋商响应。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3.1.3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spacing w:line="360" w:lineRule="auto"/>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3.2、响应文件组成</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3.2.1 响应文件报价文件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报价函；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初次报价一览表；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工程量清单报价</w:t>
      </w:r>
      <w:bookmarkStart w:id="26" w:name="page14"/>
      <w:bookmarkEnd w:id="2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中小企业（监狱）声明函及其相关的充分的证明材料、残疾人福利性单位声明函。</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3.2.2 响应文件商务、技术文件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商务文件：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（1）法定代表人资格证明书或附有法定代表人资格证明书的法定代表人授权书；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（2）资格审查资料；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（3）供应商声明函；</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（4）公司基本情况介绍；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（5）供应商类似工程业绩；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（2）质量保证措施；（根据评分表要求制作、格式自拟）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（3）拟投入的主要施工机械设备情况、主要施工机械计划；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（4）工期承诺、进度控制措施及施工质量控制措施；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（5）投入本项目的工程技术管理人员的专业配置情况；附表三、附表四、附表五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（6）关键工序、复杂环节的相应技术措施；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（7）安全文明施工保证措施；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（8）材料设备进场计划及施工计划情况；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（9）应急处置方案及售后服务；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（10）主要材料品牌表；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（11）供应商认为需要提供的资料。</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采用文字表述外可附下列图表，图表及格式要求附后，没有图表的可格式自拟。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附表一  拟投入的主要施工设备表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附表二  拟配备的试验和检测仪器设备表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附表三  项目管理班子配备情况表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附表四、项目经理简历表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附表五、技术负责人简历表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附表六、劳动力计划表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附表七、计划开、竣工日期和施工进度网络图或横道图</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3.3、响应文件的编制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3.3.1供应商应先安装“政采云电子交易客户端”，并按照磋商文件中规定的 “响应文件格式”中提供的格式和“政府采购云平台”的要求，通过“政采云电子交易客户端”编制并加密响应文件。其中《商务技术文件》中不得出现本项目投标报价，如因供应商原因提前泄露投标报价，是供应商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3.3.2响应文件应当对磋商文件规定的内容进行明确，对磋商文件规定的实质性内容应当作出响应。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3.3.4响应文件份数要求详见“供应商须知前附表”。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响应文件应编制目录，供应商没有按照本章3.2款的要求提供全部资料，或者没有仔细阅读磋商文件，或者没有对磋商文件在各方面的要求作出实质性响应是供应商的风险，由此造成的一切后果由供应商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3.3.6由于字迹模糊或表达不清引起的后果由供应商负责。</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3.4、磋商报价</w:t>
      </w:r>
    </w:p>
    <w:p>
      <w:pPr>
        <w:pStyle w:val="53"/>
        <w:spacing w:line="360" w:lineRule="auto"/>
        <w:ind w:firstLine="420"/>
        <w:rPr>
          <w:rFonts w:ascii="宋体" w:hAnsi="宋体" w:cs="宋体"/>
          <w:color w:val="auto"/>
          <w:szCs w:val="21"/>
          <w:highlight w:val="none"/>
          <w:u w:val="thick"/>
        </w:rPr>
      </w:pPr>
      <w:r>
        <w:rPr>
          <w:rFonts w:hint="eastAsia" w:ascii="宋体" w:hAnsi="宋体" w:cs="宋体"/>
          <w:color w:val="auto"/>
          <w:szCs w:val="21"/>
          <w:highlight w:val="none"/>
        </w:rPr>
        <w:t>3.4.1 ▲</w:t>
      </w:r>
      <w:r>
        <w:rPr>
          <w:rFonts w:hint="eastAsia" w:ascii="宋体" w:hAnsi="宋体" w:cs="宋体"/>
          <w:b/>
          <w:color w:val="auto"/>
          <w:szCs w:val="21"/>
          <w:highlight w:val="none"/>
          <w:u w:val="thick"/>
        </w:rPr>
        <w:t>本次磋商报价为含税人民币价</w:t>
      </w:r>
      <w:r>
        <w:rPr>
          <w:rFonts w:hint="eastAsia" w:ascii="宋体" w:hAnsi="宋体" w:cs="宋体"/>
          <w:color w:val="auto"/>
          <w:szCs w:val="21"/>
          <w:highlight w:val="none"/>
          <w:u w:val="thick"/>
        </w:rPr>
        <w:t>。</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3.4.2 磋商报价</w:t>
      </w:r>
      <w:r>
        <w:rPr>
          <w:rFonts w:hint="eastAsia" w:ascii="宋体" w:hAnsi="宋体" w:cs="宋体"/>
          <w:snapToGrid w:val="0"/>
          <w:color w:val="auto"/>
          <w:szCs w:val="21"/>
          <w:highlight w:val="none"/>
        </w:rPr>
        <w:t>投标报价以人民币为结算币种，</w:t>
      </w:r>
      <w:r>
        <w:rPr>
          <w:rFonts w:hint="eastAsia" w:ascii="宋体" w:hAnsi="宋体" w:cs="宋体"/>
          <w:color w:val="auto"/>
          <w:szCs w:val="21"/>
          <w:highlight w:val="none"/>
        </w:rPr>
        <w:t>投标报价包括完成所有产品供货及履行所有规定服务所产生的全部费用及采购代理服务费。产品及服务须达到竞争性磋商文件规定的质量标准及使用要求。</w:t>
      </w:r>
    </w:p>
    <w:p>
      <w:pPr>
        <w:pStyle w:val="53"/>
        <w:spacing w:line="360" w:lineRule="auto"/>
        <w:ind w:firstLine="420"/>
        <w:rPr>
          <w:rFonts w:ascii="宋体" w:hAnsi="宋体" w:cs="宋体"/>
          <w:b/>
          <w:bCs/>
          <w:color w:val="auto"/>
          <w:szCs w:val="21"/>
          <w:highlight w:val="none"/>
          <w:u w:val="thick"/>
        </w:rPr>
      </w:pPr>
      <w:r>
        <w:rPr>
          <w:rFonts w:hint="eastAsia" w:ascii="宋体" w:hAnsi="宋体" w:cs="宋体"/>
          <w:color w:val="auto"/>
          <w:szCs w:val="21"/>
          <w:highlight w:val="none"/>
        </w:rPr>
        <w:t>3.4.3 ▲</w:t>
      </w:r>
      <w:r>
        <w:rPr>
          <w:rFonts w:hint="eastAsia" w:ascii="宋体" w:hAnsi="宋体" w:cs="宋体"/>
          <w:b/>
          <w:color w:val="auto"/>
          <w:szCs w:val="21"/>
          <w:highlight w:val="none"/>
          <w:u w:val="thick"/>
        </w:rPr>
        <w:t>所投标项最后一轮报价只允许有一个报价，不接受有选择报价的响应文件。</w:t>
      </w:r>
    </w:p>
    <w:p>
      <w:pPr>
        <w:pStyle w:val="53"/>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3.5、</w:t>
      </w:r>
      <w:r>
        <w:rPr>
          <w:rFonts w:hint="eastAsia" w:ascii="宋体" w:hAnsi="宋体" w:cs="宋体"/>
          <w:b/>
          <w:color w:val="auto"/>
          <w:szCs w:val="21"/>
          <w:highlight w:val="none"/>
        </w:rPr>
        <w:t>供应商部分不良行为的处理</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3.5.1投标截止时间后，在投标有效期内，供应商不能撤销响应文件。供应商强行撤销响应文件的，应按采购预算金额的2%赔偿对采购组织机构造成损失。</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3.5.2中标或者成交后，供应商拒绝签订合同的，采购人可以按照评审报告推荐的中标或者成交候选人名单排序，确定下一候选人为中标或者成交供应商，也可以重新开展政府采购活动。供应商中标或者成交后拒绝签订合同的，应按采购预算金额的2%对采购人进行赔偿；赔偿金额不足以弥补采购人损失的，供应商应继续承担超过部分的损失。</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3.5.3存在下列行为的，采购代理机构将其失信行为上报政府采购主管部门，由主管部门按有关规定对其违法失信行为记录进行公开：</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1）中标或者成交后，拒绝签订政府采购合同的；</w:t>
      </w:r>
    </w:p>
    <w:p>
      <w:pPr>
        <w:pStyle w:val="53"/>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2）投标有效期内撤销响应文件的。</w:t>
      </w:r>
    </w:p>
    <w:p>
      <w:pPr>
        <w:pStyle w:val="53"/>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3.6、响应文件有效期</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3.6.1 响应文件有效期按“供应商须知前附表”规定，响应文件应在该有效期内保持有效。合同签订后，响应文件作为合同附件，响应文件有效期同合同有效期。</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3.6.2 在特殊情况下，采购人可与供应商协商延长响应文件有效期，这种要求和答复均应以网上公告或书面形式进行。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 供应商可拒绝接受延期要求。同意延长有效期的供应商不能修改响应文件。</w:t>
      </w:r>
    </w:p>
    <w:p>
      <w:pPr>
        <w:spacing w:line="360" w:lineRule="auto"/>
        <w:ind w:firstLine="422" w:firstLineChars="200"/>
        <w:outlineLvl w:val="1"/>
        <w:rPr>
          <w:rFonts w:ascii="宋体" w:hAnsi="宋体" w:cs="宋体"/>
          <w:color w:val="auto"/>
          <w:szCs w:val="21"/>
          <w:highlight w:val="none"/>
        </w:rPr>
      </w:pPr>
      <w:bookmarkStart w:id="27" w:name="_Toc10590_WPSOffice_Level2"/>
      <w:bookmarkStart w:id="28" w:name="_Toc30544"/>
      <w:bookmarkStart w:id="29" w:name="_Toc18155_WPSOffice_Level2"/>
      <w:r>
        <w:rPr>
          <w:rFonts w:hint="eastAsia" w:ascii="宋体" w:hAnsi="宋体" w:cs="宋体"/>
          <w:b/>
          <w:bCs/>
          <w:color w:val="auto"/>
          <w:szCs w:val="21"/>
          <w:highlight w:val="none"/>
        </w:rPr>
        <w:t>四、磋商响应</w:t>
      </w:r>
      <w:bookmarkEnd w:id="27"/>
      <w:bookmarkEnd w:id="28"/>
      <w:bookmarkEnd w:id="29"/>
    </w:p>
    <w:p>
      <w:pPr>
        <w:pStyle w:val="53"/>
        <w:spacing w:line="360" w:lineRule="auto"/>
        <w:ind w:firstLine="422"/>
        <w:rPr>
          <w:rFonts w:ascii="宋体" w:hAnsi="宋体" w:cs="宋体"/>
          <w:color w:val="auto"/>
          <w:szCs w:val="21"/>
          <w:highlight w:val="none"/>
          <w:lang w:bidi="ar"/>
        </w:rPr>
      </w:pPr>
      <w:r>
        <w:rPr>
          <w:rFonts w:hint="eastAsia" w:ascii="宋体" w:hAnsi="宋体" w:cs="宋体"/>
          <w:b/>
          <w:color w:val="auto"/>
          <w:szCs w:val="21"/>
          <w:highlight w:val="none"/>
        </w:rPr>
        <w:t>4.1、“电子加密响应文件”的上传、递交时间及地点：</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bCs/>
          <w:color w:val="auto"/>
          <w:szCs w:val="21"/>
          <w:highlight w:val="none"/>
        </w:rPr>
        <w:t>1</w:t>
      </w:r>
      <w:r>
        <w:rPr>
          <w:rFonts w:hint="eastAsia" w:ascii="宋体" w:hAnsi="宋体" w:cs="宋体"/>
          <w:color w:val="auto"/>
          <w:szCs w:val="21"/>
          <w:highlight w:val="none"/>
        </w:rPr>
        <w:t>.1</w:t>
      </w:r>
      <w:r>
        <w:rPr>
          <w:rFonts w:hint="eastAsia" w:ascii="宋体" w:hAnsi="宋体" w:cs="宋体"/>
          <w:b/>
          <w:color w:val="auto"/>
          <w:szCs w:val="21"/>
          <w:highlight w:val="none"/>
        </w:rPr>
        <w:t>磋商响应供应商应在投标截止时间前将“电子加密响应文件”成功上传递交至“政府采购云平台”，否则投标无效。</w:t>
      </w:r>
    </w:p>
    <w:p>
      <w:pPr>
        <w:pStyle w:val="53"/>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4.</w:t>
      </w:r>
      <w:r>
        <w:rPr>
          <w:rFonts w:hint="eastAsia" w:ascii="宋体" w:hAnsi="宋体" w:cs="宋体"/>
          <w:b/>
          <w:bCs/>
          <w:color w:val="auto"/>
          <w:szCs w:val="21"/>
          <w:highlight w:val="none"/>
        </w:rPr>
        <w:t>1</w:t>
      </w:r>
      <w:r>
        <w:rPr>
          <w:rFonts w:hint="eastAsia" w:ascii="宋体" w:hAnsi="宋体" w:cs="宋体"/>
          <w:b/>
          <w:color w:val="auto"/>
          <w:szCs w:val="21"/>
          <w:highlight w:val="none"/>
        </w:rPr>
        <w:t>.2“电子加密响应文件”成功上传递交后，供应商可自行打印响应文件接收回执。</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4.2、“备份响应文件”的密封包装、递交：</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4.2.1磋商响应供应商在“政府采购云平台”完成“电子加密响应文件”的上传递交后，还可以（EMS邮寄形式）在投标截止时间前递交以介质（U盘）存储的 “备份响应文件”（一份）；</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4.2.2“备份响应文件”应当密封包装，并在包装上标注投标项目名称、投标单位名称并加盖公章。没有密封包装或者逾期邮寄送达至投标地点的“备份响应文件”将不予接收；</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4.2.3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4.2.4采购人如因故推迟响应文件递交截止时间，应以更正公告形式通知所有供应商。在这种情况下，采购人和供应商的权利和义务将受到新的响应文件提交的截止时间的约束。</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4.3、响应文件的修改和撤回</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4.3.1供应商在网上递交递交响应文件以后如必须修改或撤回响应文件，必须在响应文件提交的截止时间以前在网上撤回响应文件，修改并重新递交电子响应文件，如已递交备份响应文件的，应同时将撤标通知邮寄到达或送达采购代理机构，并同时重新邮寄备份响应文件。</w:t>
      </w:r>
      <w:r>
        <w:rPr>
          <w:rFonts w:hint="eastAsia" w:ascii="宋体" w:hAnsi="宋体" w:cs="宋体"/>
          <w:b/>
          <w:color w:val="auto"/>
          <w:szCs w:val="21"/>
          <w:highlight w:val="none"/>
        </w:rPr>
        <w:t>投标截止时间后，供应商不得撤回、修改《响应文件》。</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4.4备选磋商方案</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供应商不得提交备选响应方案，否则，响应文件将被判定为无效标。与“电子加密响应文件”同时生成的“备份响应文件”不是投标备选（替代）方案。</w:t>
      </w:r>
    </w:p>
    <w:p>
      <w:pPr>
        <w:spacing w:line="168" w:lineRule="exact"/>
        <w:rPr>
          <w:rFonts w:ascii="宋体" w:hAnsi="宋体" w:cs="宋体"/>
          <w:color w:val="auto"/>
          <w:szCs w:val="21"/>
          <w:highlight w:val="none"/>
        </w:rPr>
      </w:pPr>
    </w:p>
    <w:p>
      <w:pPr>
        <w:spacing w:line="360" w:lineRule="auto"/>
        <w:ind w:firstLine="422" w:firstLineChars="200"/>
        <w:outlineLvl w:val="1"/>
        <w:rPr>
          <w:rFonts w:ascii="宋体" w:hAnsi="宋体" w:cs="宋体"/>
          <w:color w:val="auto"/>
          <w:szCs w:val="21"/>
          <w:highlight w:val="none"/>
        </w:rPr>
      </w:pPr>
      <w:bookmarkStart w:id="30" w:name="_Toc26605_WPSOffice_Level2"/>
      <w:bookmarkStart w:id="31" w:name="_Toc23684_WPSOffice_Level2"/>
      <w:bookmarkStart w:id="32" w:name="_Toc17782"/>
      <w:r>
        <w:rPr>
          <w:rFonts w:hint="eastAsia" w:ascii="宋体" w:hAnsi="宋体" w:cs="宋体"/>
          <w:b/>
          <w:bCs/>
          <w:color w:val="auto"/>
          <w:szCs w:val="21"/>
          <w:highlight w:val="none"/>
        </w:rPr>
        <w:t>五、响应文件的开启、评审及合同签订</w:t>
      </w:r>
      <w:bookmarkEnd w:id="30"/>
      <w:bookmarkEnd w:id="31"/>
      <w:bookmarkEnd w:id="32"/>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5.1、开标</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5.1.1开标形式</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采购组织机构将按照采购文件规定的时间通过“政府采购云平台”组织开标、开启响应文件，所有供应商均应当准时在线参加。</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 xml:space="preserve">5.1.2开标准备 </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开标的准备工作由采购组织机构负责落实；</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采购组织机构将按照磋商文件规定的时间通过“政府采购云平台”组织开标、开启响应文件，所有供应商均应当准时在线参加（因供应商需要及时进行标书在线解密）。供应商如不在线参加的，视同认可开标结果，事后不得对开标结果提出异议，同时供应商因未在线参加开标而导致响应文件无法按时解密等一切后果由供应商自己承担。</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5.1.3</w:t>
      </w:r>
      <w:r>
        <w:rPr>
          <w:rFonts w:hint="eastAsia" w:ascii="宋体" w:hAnsi="宋体" w:cs="宋体"/>
          <w:b/>
          <w:color w:val="auto"/>
          <w:szCs w:val="21"/>
          <w:highlight w:val="none"/>
        </w:rPr>
        <w:t>开标流程(两阶段)</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5.1.3.1开标第一阶段</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（2）响应文件解密结束，通过邮件形式发送各供应商组织签署《政府采购活动现场确认声明书》；</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（3）开启商务技术响应文件，进入符合性审查（包括资格审查）；</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（4）符合性审查通过的供应商的商务技术文件进入商务技术评审；</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（5）第一阶段开标结束。</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5.1.3.2开标大会第二阶段</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（1）符合性审查、商务技术评审结束后，举行开标大会第二阶段会议。首先公布符合性审查、商务技术评审无效供应商名称及理由；公布经商务技术评审后有效供应商的名单。</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（2）开启符合性审查、商务技术评审有效供应商的《报价文件》，并汇总录入评标系统。结束后，由磋商小组对报价的合理性、准确性等进行审查核实，并在线进行磋商报价及评审。</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（3）评审结束后</w:t>
      </w:r>
      <w:r>
        <w:rPr>
          <w:rFonts w:hint="eastAsia" w:ascii="宋体" w:hAnsi="宋体" w:cs="宋体"/>
          <w:color w:val="auto"/>
          <w:szCs w:val="21"/>
          <w:highlight w:val="none"/>
          <w:lang w:eastAsia="zh-CN"/>
        </w:rPr>
        <w:t>，</w:t>
      </w:r>
      <w:r>
        <w:rPr>
          <w:rFonts w:hint="eastAsia" w:ascii="宋体" w:hAnsi="宋体" w:cs="宋体"/>
          <w:color w:val="auto"/>
          <w:szCs w:val="21"/>
          <w:highlight w:val="none"/>
        </w:rPr>
        <w:t>公布中标候选人名单，及采购人最终确定成交供应商名单的时间和公告方式等。</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特别说明：如遇“政府采购云平台”电子化开标或评审程序调整的，按调整后程序执行。</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5.1.4开标时，响应文件中的开标一览表内容与响应文件中明细表内容不一致的，以开标一览表为准；响应文件的大写金额和小写金额不一致的，以大写金额为准；对不同文字文本响应文件的解释发生异议的，以中文文本为准。</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5.2响应文件符合性评审</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5.2.1磋商小组将首先审查每份响应文件是否实质上响应了竞争性磋商文件的要求，实质性响应的响应文件是指响应文件符合竞争性磋商文件规定的实质性内容、条件和规定。</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5.2.3细微偏离是指响应文件对竞争性磋商文件的非实质性内容存在不完全响应或不响应。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spacing w:line="360" w:lineRule="auto"/>
        <w:ind w:firstLine="422" w:firstLineChars="200"/>
        <w:outlineLvl w:val="1"/>
        <w:rPr>
          <w:rFonts w:ascii="宋体" w:hAnsi="宋体" w:cs="宋体"/>
          <w:color w:val="auto"/>
          <w:szCs w:val="21"/>
          <w:highlight w:val="none"/>
        </w:rPr>
      </w:pPr>
      <w:bookmarkStart w:id="33" w:name="_Toc25899_WPSOffice_Level2"/>
      <w:bookmarkStart w:id="34" w:name="_Toc28950"/>
      <w:bookmarkStart w:id="35" w:name="_Toc7403_WPSOffice_Level2"/>
      <w:r>
        <w:rPr>
          <w:rFonts w:hint="eastAsia" w:ascii="宋体" w:hAnsi="宋体" w:cs="宋体"/>
          <w:b/>
          <w:bCs/>
          <w:color w:val="auto"/>
          <w:szCs w:val="21"/>
          <w:highlight w:val="none"/>
        </w:rPr>
        <w:t>六、磋商</w:t>
      </w:r>
      <w:bookmarkEnd w:id="33"/>
      <w:bookmarkEnd w:id="34"/>
      <w:bookmarkEnd w:id="3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6.1、符合性评审工作内容：具体详见评审办法。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依据法律法规及竞争性磋商文件的规定，对响应文件中的提供的资格证明材料进行审查，以确定供应商是否具备磋商资格。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依据竞争性磋商文件的规定，从响应文件的有效性、完整性和对竞争性磋商文件的响应程度进行审查，以确定是否对竞争性磋商文件的实质性要求作出响应。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6.2、响应文件的澄清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6.2.1磋商小组可要求供应商对响应文件中含义不明确、同类问题表述不一致、有明显的文字和计算错误的内容等进行澄清并做出答复。澄清以通过“政府采购云平台”在线询标的形式进行。要求供应商在规定的时间内作出必要的澄清、说明或者补正，供应商人澄清、说明或补正时间为30分钟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6.2.2 供应商对响应文件的澄清不得超出响应文件的范围或者改变响应文件的实质性内容。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6.3、错误修正：详见评审办法。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6.4.1 采购人将按相关规定组织磋商小组，对响应文件进行审查、比较和评价。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6.4.2 评审原则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6.4.3评审办法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评审办法详见第三章。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6.5、废标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在采购中，出现下列情形之一的，应予废标：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（1）出现影响采购公正的违法、违规行为的；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（2）符合专业条件的供应商或者对磋商文件作实质响应的供应商不足三家的；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（3）供应商的报价均超过了采购预算，采购人不能支付的；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pPr>
        <w:pStyle w:val="53"/>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电子交易平台无法正常运行，无法保证电子交易的公平、公正和安全的情况。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6.6、确认采购结果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评审结束后，根据磋商小组推荐，采购人按政府采购有关规定确定成交供应商。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6.7、结果公告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在采购人确认采购结果后，采购代理机构按相关政府采购规定将成交结果发布在政府采购网上进行公告，公告期为1个工作日。采购人、采购代理机构及磋商小组对未成交的供应商不作落标原因解释。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6.8、采购过程、采购结果质疑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6.8.1供应商认为采购过程、采购结果使自己的合法权益受到损害的，供应商可以提出书面质疑。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6.8.2质疑书须包括以下内容：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（1）质疑人的名称、地址、邮政编码、联系人、联系电话，以及被质疑人名称及联系方式；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（2）被质疑采购项目名称、编号及采购内容；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（3）具体的质疑事项及事实依据；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（4）认为自己合法权益受到损害或可能受到损害的相关证据材料；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（5）提出质疑的日期。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6.8.3采购过程的质疑期限自各采购程序环节结束之日起计算，7个工作日内向采购代理机构提出，逾期提出不予受理。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采购结果的质疑期限自采购结果公告（包括结果公示、结果变更公告等）之日起计算，7个工作日内向采购代理机构提出，逾期提出不予受理。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6.8.4质疑书中涉及的相关材料中有外文资料的，应当将与质疑相关的外文资料完整、客观、真实地翻译为中文，并注明翻译人员姓名、工作单位、联系方式等信息。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6.8.5质疑书必须署名，由法定代表人签字（或盖章）并加盖单位公章，否则不予受理。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6.8.6质疑书以直接提交、传真或邮寄方式提交（一式三份）。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6.8.7质疑书以传真形式提交后，同时须向采购代理机构提交质疑书原件，采购代理机构以收到原件之日作为收到质疑日。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6.9、发出成交通知书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6.9.1采购人及采购代理机构将以书面形式向成交供应商发出成交通知书。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6.10.1 成交供应商应在接到成交通知书后按成交通知书规定的时间、地点与采购人签订合同。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6.10.2竞争性磋商文件及补充文件、成交供应商的响应文件及磋商修改文件、评审过程中有关澄清文件和成交通知书均作为合同附件。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6.10.3拒签合同的责任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成交供应商接到成交通知书后，在规定时间内借故否认已经承诺的条件而拒签合同者，以磋商违约处理，并赔偿采购人由此造成的直接经济损失。采购人将向政府采购监管部门进行汇报。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6.11、履约保证金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成交供应商在签订合同后按“供应商须知前附表”规定的缴纳履约保证金,合同执行完毕后退还。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6.12、采购代理服务费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本次采购代理服务费按“供应商须知前附表”规定收取。</w:t>
      </w:r>
    </w:p>
    <w:p>
      <w:pPr>
        <w:rPr>
          <w:rFonts w:ascii="宋体" w:hAnsi="宋体" w:cs="宋体"/>
          <w:color w:val="auto"/>
          <w:highlight w:val="none"/>
        </w:rPr>
        <w:sectPr>
          <w:pgSz w:w="11900" w:h="16838"/>
          <w:pgMar w:top="1440" w:right="1440" w:bottom="401" w:left="1440" w:header="567" w:footer="567" w:gutter="0"/>
          <w:cols w:equalWidth="0" w:num="1">
            <w:col w:w="9026"/>
          </w:cols>
        </w:sectPr>
      </w:pPr>
    </w:p>
    <w:p>
      <w:pPr>
        <w:spacing w:line="1" w:lineRule="exact"/>
        <w:rPr>
          <w:rFonts w:ascii="宋体" w:hAnsi="宋体" w:cs="宋体"/>
          <w:color w:val="auto"/>
          <w:sz w:val="20"/>
          <w:szCs w:val="20"/>
          <w:highlight w:val="none"/>
        </w:rPr>
      </w:pPr>
      <w:bookmarkStart w:id="36" w:name="page22"/>
      <w:bookmarkEnd w:id="36"/>
    </w:p>
    <w:p>
      <w:pPr>
        <w:tabs>
          <w:tab w:val="left" w:pos="320"/>
        </w:tabs>
        <w:spacing w:line="366" w:lineRule="exact"/>
        <w:jc w:val="center"/>
        <w:outlineLvl w:val="0"/>
        <w:rPr>
          <w:rFonts w:ascii="宋体" w:hAnsi="宋体" w:cs="宋体"/>
          <w:color w:val="auto"/>
          <w:sz w:val="20"/>
          <w:szCs w:val="20"/>
          <w:highlight w:val="none"/>
        </w:rPr>
      </w:pPr>
      <w:bookmarkStart w:id="37" w:name="_Toc944"/>
      <w:bookmarkStart w:id="38" w:name="_Toc5609_WPSOffice_Level1"/>
      <w:r>
        <w:rPr>
          <w:rFonts w:hint="eastAsia" w:ascii="宋体" w:hAnsi="宋体" w:cs="宋体"/>
          <w:b/>
          <w:bCs/>
          <w:color w:val="auto"/>
          <w:sz w:val="32"/>
          <w:szCs w:val="32"/>
          <w:highlight w:val="none"/>
        </w:rPr>
        <w:t>第四章  采购内容及技术要求</w:t>
      </w:r>
      <w:bookmarkEnd w:id="37"/>
      <w:bookmarkEnd w:id="38"/>
    </w:p>
    <w:p>
      <w:pPr>
        <w:spacing w:line="298" w:lineRule="exact"/>
        <w:rPr>
          <w:rFonts w:ascii="宋体" w:hAnsi="宋体" w:cs="宋体"/>
          <w:color w:val="auto"/>
          <w:sz w:val="20"/>
          <w:szCs w:val="20"/>
          <w:highlight w:val="none"/>
        </w:rPr>
      </w:pPr>
    </w:p>
    <w:p>
      <w:pPr>
        <w:pStyle w:val="4"/>
        <w:rPr>
          <w:rFonts w:ascii="宋体" w:hAnsi="宋体" w:cs="宋体"/>
          <w:color w:val="auto"/>
          <w:sz w:val="21"/>
          <w:szCs w:val="21"/>
          <w:highlight w:val="none"/>
        </w:rPr>
      </w:pPr>
      <w:bookmarkStart w:id="39" w:name="_Toc1247_WPSOffice_Level2"/>
      <w:bookmarkStart w:id="40" w:name="_Toc1984_WPSOffice_Level2"/>
      <w:bookmarkStart w:id="41" w:name="_Toc17509"/>
      <w:bookmarkStart w:id="42" w:name="_Toc519000561"/>
      <w:bookmarkStart w:id="43" w:name="_Toc420505109"/>
      <w:bookmarkStart w:id="44" w:name="_Toc442102512"/>
      <w:bookmarkStart w:id="45" w:name="_Toc14746_WPSOffice_Level2"/>
      <w:r>
        <w:rPr>
          <w:rFonts w:hint="eastAsia" w:ascii="宋体" w:hAnsi="宋体" w:cs="宋体"/>
          <w:color w:val="auto"/>
          <w:sz w:val="21"/>
          <w:szCs w:val="21"/>
          <w:highlight w:val="none"/>
        </w:rPr>
        <w:t>一、项目概况</w:t>
      </w:r>
      <w:bookmarkEnd w:id="39"/>
      <w:bookmarkEnd w:id="40"/>
      <w:bookmarkEnd w:id="41"/>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1、项目简介</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本项目为</w:t>
      </w:r>
      <w:r>
        <w:rPr>
          <w:rFonts w:hint="eastAsia" w:ascii="宋体" w:hAnsi="宋体" w:cs="宋体"/>
          <w:color w:val="auto"/>
          <w:szCs w:val="21"/>
          <w:highlight w:val="none"/>
          <w:lang w:eastAsia="zh-CN"/>
        </w:rPr>
        <w:t>实验楼卫生间改造工程</w:t>
      </w:r>
      <w:r>
        <w:rPr>
          <w:rFonts w:hint="eastAsia" w:ascii="宋体" w:hAnsi="宋体" w:cs="宋体"/>
          <w:color w:val="auto"/>
          <w:szCs w:val="21"/>
          <w:highlight w:val="none"/>
        </w:rPr>
        <w:t>，位于浙江农林大学</w:t>
      </w:r>
      <w:r>
        <w:rPr>
          <w:rFonts w:hint="eastAsia" w:ascii="宋体" w:hAnsi="宋体" w:cs="宋体"/>
          <w:color w:val="auto"/>
          <w:szCs w:val="21"/>
          <w:highlight w:val="none"/>
          <w:lang w:eastAsia="zh-CN"/>
        </w:rPr>
        <w:t>衣锦校区，主要内容为实验楼一至七层卫生间（共计14间）二次装修改造工程</w:t>
      </w:r>
      <w:r>
        <w:rPr>
          <w:rFonts w:hint="eastAsia" w:ascii="宋体" w:hAnsi="宋体" w:cs="宋体"/>
          <w:color w:val="auto"/>
          <w:szCs w:val="21"/>
          <w:highlight w:val="none"/>
        </w:rPr>
        <w:t>。</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2、施工工期</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工期为30日历天。</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3、工程内容</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详见图纸及工程量清单。</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4、质保期</w:t>
      </w:r>
    </w:p>
    <w:p>
      <w:pPr>
        <w:spacing w:line="360" w:lineRule="auto"/>
        <w:ind w:firstLine="819" w:firstLineChars="390"/>
        <w:rPr>
          <w:rFonts w:ascii="宋体" w:hAnsi="宋体" w:cs="宋体"/>
          <w:color w:val="auto"/>
          <w:szCs w:val="21"/>
          <w:highlight w:val="none"/>
        </w:rPr>
      </w:pPr>
      <w:r>
        <w:rPr>
          <w:rFonts w:hint="eastAsia" w:ascii="宋体" w:hAnsi="宋体" w:cs="宋体"/>
          <w:color w:val="auto"/>
          <w:szCs w:val="21"/>
          <w:highlight w:val="none"/>
        </w:rPr>
        <w:t>2年（防水防漏5年，</w:t>
      </w:r>
      <w:r>
        <w:rPr>
          <w:rFonts w:hint="eastAsia" w:ascii="宋体" w:hAnsi="宋体" w:cs="宋体"/>
          <w:color w:val="auto"/>
          <w:spacing w:val="-6"/>
          <w:szCs w:val="21"/>
          <w:highlight w:val="none"/>
        </w:rPr>
        <w:t>技术要求里另有注明的以技术要求为准</w:t>
      </w:r>
      <w:r>
        <w:rPr>
          <w:rFonts w:hint="eastAsia" w:ascii="宋体" w:hAnsi="宋体" w:cs="宋体"/>
          <w:color w:val="auto"/>
          <w:szCs w:val="21"/>
          <w:highlight w:val="none"/>
        </w:rPr>
        <w:t>）</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5、履约保证金</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（1）成交供应商向采购方提供履约担保，担保方式为：</w:t>
      </w:r>
      <w:r>
        <w:rPr>
          <w:rFonts w:hint="eastAsia" w:ascii="宋体" w:hAnsi="宋体" w:cs="宋体"/>
          <w:color w:val="auto"/>
          <w:szCs w:val="21"/>
          <w:highlight w:val="none"/>
          <w:u w:val="single"/>
        </w:rPr>
        <w:t xml:space="preserve">  银行汇票或转帐支票或现金支票  </w:t>
      </w:r>
      <w:r>
        <w:rPr>
          <w:rFonts w:hint="eastAsia" w:ascii="宋体" w:hAnsi="宋体" w:cs="宋体"/>
          <w:color w:val="auto"/>
          <w:szCs w:val="21"/>
          <w:highlight w:val="none"/>
        </w:rPr>
        <w:t>担保合同作为本合同附件。担保额度：合同价的2.5%。成交供应商在合同协议签订前3天内，应按合同规定向采购人提交履约保证金。</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（2）双方约定的其他担保事项：履约担保金中40%作为质量担保，30%作为工期进度担保，剩余30%作为文明施工担保。</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（3）如成交供应商原因造成合同中止，履约担保金不返还。</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（4）如成交供应商不能按磋商承诺和合同要求履约，采购人将有权扣除相应甚至全部履约保证金。</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6、付款方式</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）预付款</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合同生效并具备实施条件后，</w:t>
      </w:r>
      <w:r>
        <w:rPr>
          <w:rFonts w:hint="eastAsia" w:ascii="宋体" w:hAnsi="宋体" w:cs="宋体"/>
          <w:color w:val="auto"/>
          <w:szCs w:val="21"/>
          <w:highlight w:val="none"/>
          <w:lang w:eastAsia="zh-CN"/>
        </w:rPr>
        <w:t>在收到</w:t>
      </w:r>
      <w:r>
        <w:rPr>
          <w:rFonts w:hint="eastAsia" w:ascii="宋体" w:hAnsi="宋体" w:cs="宋体"/>
          <w:color w:val="auto"/>
          <w:szCs w:val="21"/>
          <w:highlight w:val="none"/>
        </w:rPr>
        <w:t>供应商提交银行、保险公司等金融机构出具的预付款保函</w:t>
      </w:r>
      <w:r>
        <w:rPr>
          <w:rFonts w:hint="eastAsia" w:ascii="宋体" w:hAnsi="宋体" w:cs="宋体"/>
          <w:color w:val="auto"/>
          <w:szCs w:val="21"/>
          <w:highlight w:val="none"/>
          <w:lang w:eastAsia="zh-CN"/>
        </w:rPr>
        <w:t>后，</w:t>
      </w:r>
      <w:r>
        <w:rPr>
          <w:rFonts w:hint="eastAsia" w:ascii="宋体" w:hAnsi="宋体" w:cs="宋体"/>
          <w:color w:val="auto"/>
          <w:szCs w:val="21"/>
          <w:highlight w:val="none"/>
        </w:rPr>
        <w:t>采购人向成交供应商支付合同金额30%的预付款。</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注：签订合同时，供应商明确表示无需预付款或者主动要求降低预付款比例的，采购单位可不适用前述规定。</w:t>
      </w:r>
    </w:p>
    <w:p>
      <w:pPr>
        <w:spacing w:line="360" w:lineRule="auto"/>
        <w:ind w:firstLine="42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）工程竣工验收后,采购方支付至合同价的80%；经工程结算审核完成后支付至审定价的97.5%；质保期满付清尾款。</w:t>
      </w:r>
    </w:p>
    <w:p>
      <w:pPr>
        <w:pStyle w:val="4"/>
        <w:rPr>
          <w:rFonts w:ascii="宋体" w:hAnsi="宋体" w:cs="宋体"/>
          <w:color w:val="auto"/>
          <w:sz w:val="21"/>
          <w:szCs w:val="21"/>
          <w:highlight w:val="none"/>
        </w:rPr>
      </w:pPr>
      <w:bookmarkStart w:id="46" w:name="_Toc22756_WPSOffice_Level2"/>
      <w:bookmarkStart w:id="47" w:name="_Toc9286_WPSOffice_Level2"/>
      <w:bookmarkStart w:id="48" w:name="_Toc11756"/>
      <w:r>
        <w:rPr>
          <w:rFonts w:hint="eastAsia" w:ascii="宋体" w:hAnsi="宋体" w:cs="宋体"/>
          <w:color w:val="auto"/>
          <w:sz w:val="21"/>
          <w:szCs w:val="21"/>
          <w:highlight w:val="none"/>
        </w:rPr>
        <w:t>二、规范要求</w:t>
      </w:r>
      <w:bookmarkEnd w:id="42"/>
      <w:bookmarkEnd w:id="43"/>
      <w:bookmarkEnd w:id="44"/>
      <w:bookmarkEnd w:id="46"/>
      <w:bookmarkEnd w:id="47"/>
      <w:bookmarkEnd w:id="48"/>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《建筑结构荷载规范》（GBJ50009-2012） </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《钢结构设计规范》GB50017--2017《钢结构焊接规范》（GB50661-2011）</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《钢结构工程施工及验收规范》（GB50205-2001）</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《建筑钢结构防腐蚀技术规程》（JGJ/T251-2011）</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《民用建筑工程室内环境污染控制规范》GB50325—2010</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《建筑设计防火规范》GB50016-2014</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《民用建筑设计通则》GB50352-2005</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《建筑内部装修设计防火规范》GB50222—2001</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以及不限于上述罗列的其它的相关规范。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1.2、以上技术规范由供应商自备，如有不足之处或未能达到国家最新标准时，供应商应使施工及选用的设备和材料符合最新版本的国家标准、规范。</w:t>
      </w:r>
    </w:p>
    <w:p>
      <w:pPr>
        <w:pStyle w:val="4"/>
        <w:rPr>
          <w:rFonts w:ascii="宋体" w:hAnsi="宋体" w:cs="宋体"/>
          <w:color w:val="auto"/>
          <w:sz w:val="21"/>
          <w:szCs w:val="21"/>
          <w:highlight w:val="none"/>
        </w:rPr>
      </w:pPr>
      <w:bookmarkStart w:id="49" w:name="_Toc7970_WPSOffice_Level2"/>
      <w:bookmarkStart w:id="50" w:name="_Toc229386804"/>
      <w:bookmarkStart w:id="51" w:name="_Toc66769195"/>
      <w:bookmarkStart w:id="52" w:name="_Toc420505110"/>
      <w:bookmarkStart w:id="53" w:name="_Toc442102513"/>
      <w:bookmarkStart w:id="54" w:name="_Toc5922_WPSOffice_Level2"/>
      <w:bookmarkStart w:id="55" w:name="_Toc28373"/>
      <w:bookmarkStart w:id="56" w:name="_Toc519000562"/>
      <w:r>
        <w:rPr>
          <w:rFonts w:hint="eastAsia" w:ascii="宋体" w:hAnsi="宋体" w:cs="宋体"/>
          <w:color w:val="auto"/>
          <w:sz w:val="21"/>
          <w:szCs w:val="21"/>
          <w:highlight w:val="none"/>
        </w:rPr>
        <w:t>三、施工要求</w:t>
      </w:r>
      <w:bookmarkEnd w:id="49"/>
      <w:bookmarkEnd w:id="50"/>
      <w:bookmarkEnd w:id="51"/>
      <w:bookmarkEnd w:id="52"/>
      <w:bookmarkEnd w:id="53"/>
      <w:bookmarkEnd w:id="54"/>
      <w:bookmarkEnd w:id="55"/>
      <w:bookmarkEnd w:id="56"/>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1、本工程施工严格按照规范要求进行施工，达到各项拟定的设计指标。</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2、本工程施工必须严格按照招标说明、工程技术要求及行业规范进行施工，并无条件地接受采购人全方位、全过程的监督管理。</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3、所有材料设备必须在检验合格经采购人同意后，方可用于本工程。</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4、隐蔽工程必须经采购人检查、验收后，方可进行下一道工序。</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5、在免费保修期内，成交供应商对有缺陷的部位必须无偿地给予修理与更换，并承担一切由此引起的对采购人或第三者的直接损失，除非该缺陷是由于人为破坏或合同规定的不可抗因素造成的损坏。</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6、成交供应商必须对所承包的工程的质量负全部责任，其责任不因其他材料生产商提供的保证书而减轻或更改。</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7、施工时注意做好必要的劳动保护工作。</w:t>
      </w:r>
    </w:p>
    <w:p>
      <w:pPr>
        <w:pStyle w:val="4"/>
        <w:rPr>
          <w:rFonts w:ascii="宋体" w:hAnsi="宋体" w:cs="宋体"/>
          <w:color w:val="auto"/>
          <w:sz w:val="21"/>
          <w:szCs w:val="21"/>
          <w:highlight w:val="none"/>
        </w:rPr>
      </w:pPr>
      <w:bookmarkStart w:id="57" w:name="_Toc29259"/>
      <w:bookmarkStart w:id="58" w:name="_Toc442102514"/>
      <w:bookmarkStart w:id="59" w:name="_Toc29299_WPSOffice_Level2"/>
      <w:bookmarkStart w:id="60" w:name="_Toc420505111"/>
      <w:bookmarkStart w:id="61" w:name="_Toc229386805"/>
      <w:bookmarkStart w:id="62" w:name="_Toc10614_WPSOffice_Level2"/>
      <w:bookmarkStart w:id="63" w:name="_Toc66769196"/>
      <w:bookmarkStart w:id="64" w:name="_Toc519000563"/>
      <w:r>
        <w:rPr>
          <w:rFonts w:hint="eastAsia" w:ascii="宋体" w:hAnsi="宋体" w:cs="宋体"/>
          <w:color w:val="auto"/>
          <w:sz w:val="21"/>
          <w:szCs w:val="21"/>
          <w:highlight w:val="none"/>
        </w:rPr>
        <w:t>四、材料质量要求</w:t>
      </w:r>
      <w:bookmarkEnd w:id="57"/>
      <w:bookmarkEnd w:id="58"/>
      <w:bookmarkEnd w:id="59"/>
      <w:bookmarkEnd w:id="60"/>
      <w:bookmarkEnd w:id="61"/>
      <w:bookmarkEnd w:id="62"/>
      <w:bookmarkEnd w:id="63"/>
      <w:bookmarkEnd w:id="64"/>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1、本工程使用的原材料必须符合设计要求和施工规范的规定。</w:t>
      </w:r>
    </w:p>
    <w:p>
      <w:pPr>
        <w:pStyle w:val="50"/>
        <w:numPr>
          <w:ilvl w:val="1"/>
          <w:numId w:val="0"/>
        </w:numPr>
        <w:tabs>
          <w:tab w:val="left" w:pos="780"/>
        </w:tabs>
        <w:spacing w:before="120" w:after="120" w:line="360" w:lineRule="auto"/>
        <w:ind w:firstLine="420" w:firstLineChars="200"/>
        <w:rPr>
          <w:rFonts w:ascii="宋体" w:hAnsi="宋体" w:cs="宋体"/>
          <w:color w:val="auto"/>
          <w:sz w:val="21"/>
          <w:highlight w:val="none"/>
        </w:rPr>
      </w:pPr>
      <w:r>
        <w:rPr>
          <w:rFonts w:hint="eastAsia" w:ascii="宋体" w:hAnsi="宋体" w:cs="宋体"/>
          <w:color w:val="auto"/>
          <w:sz w:val="21"/>
          <w:highlight w:val="none"/>
        </w:rPr>
        <w:t>2、实际施工过程中，采购方将严格检查验收进场原材料的合格证及质保书，如发现实样与质保书不符，应立即取样进行复查，对不合格的材料严禁用于本工程。</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3、本工程涉及的主要材料及零星材料，各磋商供应商须根据采购人要求及规范进行选材并报价，所有材料要求采用在行业内有一定知名度的品牌(磋商文件已定品牌的按磋商文件)，材料生产厂家必须通过ISO质量认证，并符合环保要求，严禁选择不合设计要求的低档材料进行投标报价及组织施工实施。</w:t>
      </w:r>
    </w:p>
    <w:p>
      <w:pPr>
        <w:pStyle w:val="50"/>
        <w:spacing w:before="120" w:after="120" w:line="360" w:lineRule="auto"/>
        <w:ind w:firstLine="422"/>
        <w:rPr>
          <w:rFonts w:ascii="宋体" w:hAnsi="宋体" w:cs="宋体"/>
          <w:b/>
          <w:color w:val="auto"/>
          <w:sz w:val="21"/>
          <w:highlight w:val="none"/>
        </w:rPr>
      </w:pPr>
      <w:r>
        <w:rPr>
          <w:rFonts w:hint="eastAsia" w:ascii="宋体" w:hAnsi="宋体" w:cs="宋体"/>
          <w:b/>
          <w:color w:val="auto"/>
          <w:sz w:val="21"/>
          <w:highlight w:val="none"/>
        </w:rPr>
        <w:t>4、磋商供应商应按“主要材料（设备）推荐品牌”要求投标报价，并在响应文件主要材料品牌表里明确品牌、规格、型号、单位等。如磋商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投标价格不予调整。</w:t>
      </w:r>
    </w:p>
    <w:p>
      <w:pPr>
        <w:pStyle w:val="50"/>
        <w:spacing w:before="120" w:after="120" w:line="360" w:lineRule="auto"/>
        <w:ind w:firstLine="422"/>
        <w:jc w:val="center"/>
        <w:rPr>
          <w:rFonts w:ascii="宋体" w:hAnsi="宋体" w:cs="宋体"/>
          <w:b/>
          <w:color w:val="auto"/>
          <w:sz w:val="21"/>
          <w:highlight w:val="none"/>
        </w:rPr>
      </w:pPr>
    </w:p>
    <w:p>
      <w:pPr>
        <w:pStyle w:val="50"/>
        <w:spacing w:before="120" w:after="120" w:line="360" w:lineRule="auto"/>
        <w:ind w:firstLine="422"/>
        <w:jc w:val="center"/>
        <w:rPr>
          <w:rFonts w:ascii="宋体" w:hAnsi="宋体" w:cs="宋体"/>
          <w:color w:val="auto"/>
          <w:sz w:val="21"/>
          <w:highlight w:val="none"/>
        </w:rPr>
      </w:pPr>
      <w:r>
        <w:rPr>
          <w:rFonts w:hint="eastAsia" w:ascii="宋体" w:hAnsi="宋体" w:cs="宋体"/>
          <w:b/>
          <w:color w:val="auto"/>
          <w:sz w:val="21"/>
          <w:highlight w:val="none"/>
        </w:rPr>
        <w:t>主要材料推荐品牌表</w:t>
      </w:r>
    </w:p>
    <w:tbl>
      <w:tblPr>
        <w:tblStyle w:val="19"/>
        <w:tblW w:w="5002" w:type="pct"/>
        <w:tblInd w:w="0" w:type="dxa"/>
        <w:tblLayout w:type="autofit"/>
        <w:tblCellMar>
          <w:top w:w="0" w:type="dxa"/>
          <w:left w:w="0" w:type="dxa"/>
          <w:bottom w:w="0" w:type="dxa"/>
          <w:right w:w="0" w:type="dxa"/>
        </w:tblCellMar>
      </w:tblPr>
      <w:tblGrid>
        <w:gridCol w:w="4737"/>
        <w:gridCol w:w="4323"/>
      </w:tblGrid>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b/>
                <w:color w:val="auto"/>
                <w:szCs w:val="21"/>
                <w:highlight w:val="none"/>
              </w:rPr>
            </w:pPr>
            <w:bookmarkStart w:id="65" w:name="_Toc442102515"/>
            <w:bookmarkStart w:id="66" w:name="_Toc229386806"/>
            <w:bookmarkStart w:id="67" w:name="_Toc519000564"/>
            <w:bookmarkStart w:id="68" w:name="_Toc91422889"/>
            <w:bookmarkStart w:id="69" w:name="_Toc420505112"/>
            <w:r>
              <w:rPr>
                <w:rFonts w:hint="eastAsia" w:ascii="宋体" w:hAnsi="宋体" w:cs="宋体"/>
                <w:b/>
                <w:color w:val="auto"/>
                <w:szCs w:val="21"/>
                <w:highlight w:val="none"/>
                <w:lang w:bidi="ar"/>
              </w:rPr>
              <w:t>材料或设备名称</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b/>
                <w:color w:val="auto"/>
                <w:szCs w:val="21"/>
                <w:highlight w:val="none"/>
              </w:rPr>
            </w:pPr>
            <w:r>
              <w:rPr>
                <w:rFonts w:hint="eastAsia" w:ascii="宋体" w:hAnsi="宋体" w:cs="宋体"/>
                <w:b/>
                <w:color w:val="auto"/>
                <w:szCs w:val="21"/>
                <w:highlight w:val="none"/>
                <w:lang w:bidi="ar"/>
              </w:rPr>
              <w:t>品牌</w:t>
            </w:r>
          </w:p>
        </w:tc>
      </w:tr>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瓷砖</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鹰牌</w:t>
            </w:r>
            <w:r>
              <w:rPr>
                <w:rFonts w:hint="eastAsia" w:ascii="宋体" w:hAnsi="宋体" w:cs="宋体"/>
                <w:color w:val="auto"/>
                <w:szCs w:val="21"/>
                <w:highlight w:val="none"/>
                <w:lang w:eastAsia="zh-CN"/>
              </w:rPr>
              <w:t>、星杰、宏宇陶瓷</w:t>
            </w:r>
          </w:p>
        </w:tc>
      </w:tr>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防滑地砖</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樊亨</w:t>
            </w:r>
            <w:r>
              <w:rPr>
                <w:rFonts w:hint="eastAsia" w:ascii="宋体" w:hAnsi="宋体" w:cs="宋体"/>
                <w:color w:val="auto"/>
                <w:szCs w:val="21"/>
                <w:highlight w:val="none"/>
                <w:lang w:eastAsia="zh-CN"/>
              </w:rPr>
              <w:t>、宏宇陶瓷、鹰牌</w:t>
            </w:r>
          </w:p>
        </w:tc>
      </w:tr>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铝扣板吊顶</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美克莱</w:t>
            </w:r>
            <w:r>
              <w:rPr>
                <w:rFonts w:hint="eastAsia" w:ascii="宋体" w:hAnsi="宋体" w:cs="宋体"/>
                <w:color w:val="auto"/>
                <w:szCs w:val="21"/>
                <w:highlight w:val="none"/>
                <w:lang w:eastAsia="zh-CN"/>
              </w:rPr>
              <w:t>、金顶、科莱思诚</w:t>
            </w:r>
          </w:p>
        </w:tc>
      </w:tr>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洗漱盆</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箭牌</w:t>
            </w:r>
            <w:r>
              <w:rPr>
                <w:rFonts w:hint="eastAsia" w:ascii="宋体" w:hAnsi="宋体" w:cs="宋体"/>
                <w:color w:val="auto"/>
                <w:szCs w:val="21"/>
                <w:highlight w:val="none"/>
                <w:lang w:eastAsia="zh-CN"/>
              </w:rPr>
              <w:t>、惠达、科勒</w:t>
            </w:r>
          </w:p>
        </w:tc>
      </w:tr>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瓷蹲式大便器</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箭牌</w:t>
            </w:r>
            <w:r>
              <w:rPr>
                <w:rFonts w:hint="eastAsia" w:ascii="宋体" w:hAnsi="宋体" w:cs="宋体"/>
                <w:color w:val="auto"/>
                <w:szCs w:val="21"/>
                <w:highlight w:val="none"/>
                <w:lang w:eastAsia="zh-CN"/>
              </w:rPr>
              <w:t>、惠达、申鹭达</w:t>
            </w:r>
          </w:p>
        </w:tc>
      </w:tr>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挂式小便器</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申鹭达</w:t>
            </w:r>
            <w:r>
              <w:rPr>
                <w:rFonts w:hint="eastAsia" w:ascii="宋体" w:hAnsi="宋体" w:cs="宋体"/>
                <w:color w:val="auto"/>
                <w:szCs w:val="21"/>
                <w:highlight w:val="none"/>
                <w:lang w:eastAsia="zh-CN"/>
              </w:rPr>
              <w:t>、箭牌、九牧王</w:t>
            </w:r>
          </w:p>
        </w:tc>
      </w:tr>
    </w:tbl>
    <w:p>
      <w:pPr>
        <w:spacing w:line="320" w:lineRule="exact"/>
        <w:rPr>
          <w:rFonts w:ascii="宋体" w:hAnsi="宋体" w:cs="宋体"/>
          <w:b/>
          <w:bCs/>
          <w:color w:val="auto"/>
          <w:sz w:val="20"/>
          <w:szCs w:val="20"/>
          <w:highlight w:val="none"/>
          <w:u w:val="single"/>
        </w:rPr>
      </w:pPr>
    </w:p>
    <w:p>
      <w:pPr>
        <w:spacing w:line="320" w:lineRule="exact"/>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关于推荐品牌：</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①磋商文件中对主要材料设备品牌、厂家、规格、型号有推荐的，磋商响应供应商应采用并选用其中高档产品，或选用与招标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招标人有权在磋商文件推荐的材料品牌中自行确定，且投标价格不予调整。</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②磋商文件中对材料的品牌、规格、型号没有具体规定的，由磋商响应供应商按磋商文件及施工图的要求按中高档进行投标报价，并在“ 主要材料品牌一览表“的投标品牌一栏里注明所选材料设备的品牌、规格、型号，若磋商响应供应商没有进行注明的，则招标人有权指定品牌，投标价格不调整。</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③发包人有权根据实际情况在发包人推荐的供应商（厂家）或品牌范围内进行调整，承包人须接受调整，并不得因此而要求调价。</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④若磋商响应供应商未明确品牌，招标人将在此表 “推荐品牌或厂家”中指定品牌及型号，投标报价不予调整。</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⑤如本表选型与设计说明及招标图有矛盾的，一律以本表为准；</w:t>
      </w:r>
    </w:p>
    <w:p>
      <w:pPr>
        <w:spacing w:line="320" w:lineRule="exact"/>
        <w:ind w:firstLine="402" w:firstLineChars="200"/>
        <w:rPr>
          <w:rFonts w:ascii="宋体" w:hAnsi="宋体" w:cs="宋体"/>
          <w:b/>
          <w:bCs/>
          <w:color w:val="auto"/>
          <w:sz w:val="32"/>
          <w:szCs w:val="32"/>
          <w:highlight w:val="none"/>
        </w:rPr>
      </w:pPr>
      <w:r>
        <w:rPr>
          <w:rFonts w:hint="eastAsia" w:ascii="宋体" w:hAnsi="宋体" w:cs="宋体"/>
          <w:b/>
          <w:bCs/>
          <w:color w:val="auto"/>
          <w:sz w:val="20"/>
          <w:szCs w:val="20"/>
          <w:highlight w:val="none"/>
          <w:u w:val="single"/>
        </w:rPr>
        <w:t>⑦磋商响应供应商在响应文件中若提供了招标人推荐品牌外的产品，应同时提供相当于招标人推荐品牌产品的证明材料。评标时，评标专家应根据磋商响应供应商的证明材料及专业水平进行谨慎评标，对推荐品牌外产品能否满足招标人要求作出明确说明，对于未提供相关证明材料或提供的证明材料依据不足时，评标专家在详细说明的情况下可认定技术参数不满足。</w:t>
      </w:r>
    </w:p>
    <w:p>
      <w:pPr>
        <w:tabs>
          <w:tab w:val="left" w:pos="300"/>
        </w:tabs>
        <w:spacing w:line="366" w:lineRule="exact"/>
        <w:rPr>
          <w:rFonts w:ascii="宋体" w:hAnsi="宋体" w:cs="宋体"/>
          <w:b/>
          <w:bCs/>
          <w:color w:val="auto"/>
          <w:sz w:val="32"/>
          <w:szCs w:val="32"/>
          <w:highlight w:val="none"/>
        </w:rPr>
      </w:pPr>
    </w:p>
    <w:p>
      <w:pPr>
        <w:pStyle w:val="4"/>
        <w:rPr>
          <w:rFonts w:ascii="宋体" w:hAnsi="宋体" w:cs="宋体"/>
          <w:color w:val="auto"/>
          <w:sz w:val="21"/>
          <w:szCs w:val="21"/>
          <w:highlight w:val="none"/>
        </w:rPr>
      </w:pPr>
      <w:bookmarkStart w:id="70" w:name="_Toc5425_WPSOffice_Level2"/>
      <w:bookmarkStart w:id="71" w:name="_Toc6474"/>
      <w:bookmarkStart w:id="72" w:name="_Toc3986_WPSOffice_Level2"/>
      <w:r>
        <w:rPr>
          <w:rFonts w:hint="eastAsia" w:ascii="宋体" w:hAnsi="宋体" w:cs="宋体"/>
          <w:color w:val="auto"/>
          <w:sz w:val="21"/>
          <w:szCs w:val="21"/>
          <w:highlight w:val="none"/>
        </w:rPr>
        <w:t>五、工程管理的要求</w:t>
      </w:r>
      <w:bookmarkEnd w:id="65"/>
      <w:bookmarkEnd w:id="66"/>
      <w:bookmarkEnd w:id="67"/>
      <w:bookmarkEnd w:id="68"/>
      <w:bookmarkEnd w:id="69"/>
      <w:bookmarkEnd w:id="70"/>
      <w:bookmarkEnd w:id="71"/>
      <w:bookmarkEnd w:id="72"/>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1、本工程发包范围内的工程项目，未经采购人同意一律不得分包。一经发现立即取消承包资格，作违约处理，并承担由此引起的一切经济损失。</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2、成交供应商应严格按已确认施工技术方案组织施工，并无条件地接受采购人代表对施工质量的监督和管理。</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3、成交供应商在工程施工全过程中要认真做好产品保护。因失窃或失火造成的损失均由承包方负责，凡由此而损及采购人利益时，采购人将向中标施工单位索赔。</w:t>
      </w:r>
    </w:p>
    <w:p>
      <w:pPr>
        <w:pStyle w:val="4"/>
        <w:rPr>
          <w:rFonts w:ascii="宋体" w:hAnsi="宋体" w:cs="宋体"/>
          <w:color w:val="auto"/>
          <w:sz w:val="21"/>
          <w:szCs w:val="21"/>
          <w:highlight w:val="none"/>
        </w:rPr>
      </w:pPr>
      <w:bookmarkStart w:id="73" w:name="_Toc32648_WPSOffice_Level2"/>
      <w:bookmarkStart w:id="74" w:name="_Toc6004_WPSOffice_Level2"/>
      <w:bookmarkStart w:id="75" w:name="_Toc17502"/>
      <w:r>
        <w:rPr>
          <w:rFonts w:hint="eastAsia" w:ascii="宋体" w:hAnsi="宋体" w:cs="宋体"/>
          <w:color w:val="auto"/>
          <w:sz w:val="21"/>
          <w:szCs w:val="21"/>
          <w:highlight w:val="none"/>
        </w:rPr>
        <w:t>六、其它要求</w:t>
      </w:r>
      <w:bookmarkEnd w:id="73"/>
      <w:bookmarkEnd w:id="74"/>
      <w:bookmarkEnd w:id="75"/>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清单中计量单位为“项”的子目请投标单位自行踏勘现场综合报价，作为专业承包商</w:t>
      </w:r>
      <w:bookmarkStart w:id="76" w:name="page23"/>
      <w:bookmarkEnd w:id="76"/>
      <w:r>
        <w:rPr>
          <w:rFonts w:hint="eastAsia" w:ascii="宋体" w:hAnsi="宋体" w:cs="宋体"/>
          <w:b/>
          <w:bCs/>
          <w:color w:val="auto"/>
          <w:szCs w:val="21"/>
          <w:highlight w:val="none"/>
          <w:u w:val="single"/>
        </w:rPr>
        <w:t>投标时有义务和责任认真踏勘施工现场，认真核对工程量清单中施工内容和工程量，对项目需求进行深化、细化、完善和调整，中标后任何因现场勘查不足、图纸、工程量清单等不足或深化后的方案而造成的额外工程量变更均不得调整中标金额。</w:t>
      </w:r>
    </w:p>
    <w:p>
      <w:pPr>
        <w:spacing w:line="360" w:lineRule="auto"/>
        <w:ind w:right="366" w:firstLine="420" w:firstLineChars="200"/>
        <w:rPr>
          <w:rFonts w:ascii="宋体" w:hAnsi="宋体" w:cs="宋体"/>
          <w:color w:val="auto"/>
          <w:szCs w:val="21"/>
          <w:highlight w:val="none"/>
        </w:rPr>
      </w:pPr>
      <w:r>
        <w:rPr>
          <w:rFonts w:hint="eastAsia" w:ascii="宋体" w:hAnsi="宋体" w:cs="宋体"/>
          <w:color w:val="auto"/>
          <w:szCs w:val="21"/>
          <w:highlight w:val="none"/>
        </w:rPr>
        <w:t>1、成交供应商施工前，要制定详细的施工方案和进度计划，经建设单位批准后方可开工。否则不允许开工，造成工期延误由施工方负责。</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2、施工过程做好隐蔽工程的验收，每个分项工程、检验批经建设单位验收合格后方可隐蔽。未经隐蔽工程验收就擅自隐蔽，建设单位有权进行剥露检查，发生费用由施工方负责。</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3、工程中使用材料必须是环保无污染材料，并进行防火处理。进场必须提供合格证和检测报告，按照验收规范要求进行材料复试的，由建设单位抽样进行复试，确保材料符合设计要求，达到防火、环保要求。</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4、工程中使用材料在施工前，必须向建设单位提供样品、做样板，经建设单位确认后方可施工。否则返工发生费用施工方自付。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5、工程使用材料、设备要建立档案，分部分项工程建立工程验收档案。工程完工后，向建设单位移交工程档案，档案资料不齐全、不符合要求，工程不予结算。</w:t>
      </w:r>
      <w:bookmarkStart w:id="77" w:name="page25"/>
      <w:bookmarkEnd w:id="7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6、工程结束后施工方在自检合格基础上，报建设单位验收。建设单位组织设计、施工相关参与方进行验收，相关设备、仪器等功能检测要求进行现场试验和检测，验收合格方可投入使用。</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万元/人/次（发包人要求除外），同时拟更换的人员须经发包人书面同意。</w:t>
      </w:r>
    </w:p>
    <w:p>
      <w:pPr>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8、增加的联系单按照合同规定的下浮率计算后结算。</w:t>
      </w:r>
    </w:p>
    <w:p>
      <w:pPr>
        <w:pStyle w:val="26"/>
        <w:rPr>
          <w:rFonts w:hint="eastAsia" w:ascii="宋体" w:hAnsi="宋体" w:cs="宋体"/>
          <w:b/>
          <w:bCs/>
          <w:color w:val="auto"/>
          <w:szCs w:val="21"/>
          <w:highlight w:val="none"/>
          <w:lang w:val="en-US" w:eastAsia="zh-CN"/>
        </w:rPr>
      </w:pPr>
    </w:p>
    <w:p>
      <w:pPr>
        <w:pStyle w:val="28"/>
        <w:rPr>
          <w:rFonts w:hint="eastAsia" w:ascii="宋体" w:hAnsi="宋体" w:cs="宋体"/>
          <w:b/>
          <w:bCs/>
          <w:color w:val="auto"/>
          <w:szCs w:val="21"/>
          <w:highlight w:val="none"/>
          <w:lang w:val="en-US" w:eastAsia="zh-CN"/>
        </w:rPr>
      </w:pPr>
    </w:p>
    <w:p>
      <w:pPr>
        <w:rPr>
          <w:rFonts w:hint="eastAsia" w:ascii="宋体" w:hAnsi="宋体" w:cs="宋体"/>
          <w:b/>
          <w:bCs/>
          <w:color w:val="auto"/>
          <w:szCs w:val="21"/>
          <w:highlight w:val="none"/>
          <w:lang w:val="en-US" w:eastAsia="zh-CN"/>
        </w:rPr>
      </w:pPr>
    </w:p>
    <w:p>
      <w:pPr>
        <w:pStyle w:val="4"/>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七、样品要求</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1、本项目要求在投标时提供以下样品：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935"/>
        <w:gridCol w:w="2084"/>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序号</w:t>
            </w:r>
          </w:p>
        </w:tc>
        <w:tc>
          <w:tcPr>
            <w:tcW w:w="293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名称</w:t>
            </w:r>
          </w:p>
        </w:tc>
        <w:tc>
          <w:tcPr>
            <w:tcW w:w="208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数量</w:t>
            </w:r>
          </w:p>
        </w:tc>
        <w:tc>
          <w:tcPr>
            <w:tcW w:w="3290"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93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瓷砖</w:t>
            </w:r>
          </w:p>
        </w:tc>
        <w:tc>
          <w:tcPr>
            <w:tcW w:w="208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3290"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293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防滑地砖</w:t>
            </w:r>
          </w:p>
        </w:tc>
        <w:tc>
          <w:tcPr>
            <w:tcW w:w="208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3290"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293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瓷蹲式大便器</w:t>
            </w:r>
          </w:p>
        </w:tc>
        <w:tc>
          <w:tcPr>
            <w:tcW w:w="208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3290"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p>
        </w:tc>
      </w:tr>
    </w:tbl>
    <w:p>
      <w:pPr>
        <w:widowControl/>
        <w:spacing w:line="360" w:lineRule="auto"/>
        <w:ind w:right="346" w:firstLine="420" w:firstLineChars="200"/>
        <w:rPr>
          <w:rFonts w:hint="eastAsia" w:ascii="宋体" w:hAnsi="宋体" w:cs="宋体"/>
          <w:color w:val="auto"/>
          <w:szCs w:val="21"/>
          <w:highlight w:val="none"/>
          <w:lang w:val="en-US" w:eastAsia="zh-CN"/>
        </w:rPr>
      </w:pP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cs="宋体"/>
          <w:snapToGrid w:val="0"/>
          <w:color w:val="auto"/>
          <w:kern w:val="0"/>
          <w:highlight w:val="none"/>
        </w:rPr>
        <w:t>样品上不得出现任何投标单位名称、标志，否则投标无效</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3、样品递交时间及地点：投标截止时间前送交到开标现场（招标人于开标前半个小时开始接收），逾期送达将予以拒收。</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4、中标供应商的样品将被封存作为履约验收的参考，未中标供应商的样品在采购活动结束后3个工作日内自行撤回，逾期将作废弃处理。</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所有样品费用由供应商承担，样品评审时可能对相关样品进行破坏性试验，如样品遭到破坏导致的损失由供应商自行承担，投标时请充分考虑当中风险。</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6、未提供样品的，样品分为0分。</w:t>
      </w:r>
    </w:p>
    <w:p>
      <w:pPr>
        <w:pStyle w:val="28"/>
        <w:rPr>
          <w:rFonts w:hint="eastAsia" w:ascii="宋体" w:hAnsi="宋体" w:cs="宋体"/>
          <w:b/>
          <w:bCs/>
          <w:color w:val="auto"/>
          <w:szCs w:val="21"/>
          <w:highlight w:val="none"/>
          <w:lang w:val="en-US" w:eastAsia="zh-CN"/>
        </w:rPr>
      </w:pPr>
    </w:p>
    <w:p>
      <w:pPr>
        <w:rPr>
          <w:rFonts w:hint="eastAsia"/>
          <w:color w:val="auto"/>
          <w:highlight w:val="none"/>
          <w:lang w:val="en-US" w:eastAsia="zh-CN"/>
        </w:rPr>
        <w:sectPr>
          <w:pgSz w:w="11900" w:h="16838"/>
          <w:pgMar w:top="1440" w:right="1440" w:bottom="158" w:left="1440" w:header="567" w:footer="567" w:gutter="0"/>
          <w:cols w:equalWidth="0" w:num="1">
            <w:col w:w="9026"/>
          </w:cols>
        </w:sectPr>
      </w:pPr>
    </w:p>
    <w:p>
      <w:pPr>
        <w:spacing w:line="360" w:lineRule="auto"/>
        <w:ind w:right="6"/>
        <w:jc w:val="center"/>
        <w:rPr>
          <w:rFonts w:ascii="宋体" w:hAnsi="宋体" w:cs="宋体"/>
          <w:color w:val="auto"/>
          <w:szCs w:val="21"/>
          <w:highlight w:val="none"/>
        </w:rPr>
      </w:pPr>
      <w:bookmarkStart w:id="78" w:name="_Toc3801_WPSOffice_Level2"/>
      <w:bookmarkStart w:id="79" w:name="_Toc23745_WPSOffice_Level2"/>
      <w:r>
        <w:rPr>
          <w:rFonts w:hint="eastAsia" w:ascii="宋体" w:hAnsi="宋体" w:cs="宋体"/>
          <w:b/>
          <w:bCs/>
          <w:color w:val="auto"/>
          <w:sz w:val="32"/>
          <w:szCs w:val="32"/>
          <w:highlight w:val="none"/>
        </w:rPr>
        <w:t>工程量清单编制说明</w:t>
      </w:r>
      <w:bookmarkEnd w:id="45"/>
      <w:bookmarkEnd w:id="78"/>
      <w:bookmarkEnd w:id="79"/>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一、工程概况</w:t>
      </w:r>
    </w:p>
    <w:p>
      <w:pPr>
        <w:spacing w:line="360" w:lineRule="auto"/>
        <w:ind w:firstLine="480" w:firstLineChars="200"/>
        <w:jc w:val="left"/>
        <w:rPr>
          <w:rFonts w:ascii="宋体" w:hAnsi="宋体"/>
          <w:color w:val="000000"/>
          <w:sz w:val="24"/>
        </w:rPr>
      </w:pPr>
      <w:r>
        <w:rPr>
          <w:rFonts w:hint="eastAsia" w:ascii="宋体" w:hAnsi="宋体"/>
          <w:color w:val="000000"/>
          <w:sz w:val="24"/>
        </w:rPr>
        <w:t>浙江农林大学实验楼卫生间改造工程位于浙江农林大学</w:t>
      </w:r>
      <w:r>
        <w:rPr>
          <w:rFonts w:hint="eastAsia" w:ascii="宋体" w:hAnsi="宋体"/>
          <w:color w:val="000000"/>
          <w:sz w:val="24"/>
          <w:lang w:eastAsia="zh-CN"/>
        </w:rPr>
        <w:t>衣锦</w:t>
      </w:r>
      <w:r>
        <w:rPr>
          <w:rFonts w:hint="eastAsia" w:ascii="宋体" w:hAnsi="宋体"/>
          <w:color w:val="000000"/>
          <w:sz w:val="24"/>
        </w:rPr>
        <w:t>校区，主要内容为实验楼一至七层卫生间（共计1</w:t>
      </w:r>
      <w:r>
        <w:rPr>
          <w:rFonts w:ascii="宋体" w:hAnsi="宋体"/>
          <w:color w:val="000000"/>
          <w:sz w:val="24"/>
        </w:rPr>
        <w:t>4</w:t>
      </w:r>
      <w:r>
        <w:rPr>
          <w:rFonts w:hint="eastAsia" w:ascii="宋体" w:hAnsi="宋体"/>
          <w:color w:val="000000"/>
          <w:sz w:val="24"/>
        </w:rPr>
        <w:t>间）二次装修改造工程。</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二、编制范围</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按施工图纸及委托单位明确的范围进行编制。</w:t>
      </w:r>
    </w:p>
    <w:p>
      <w:pPr>
        <w:spacing w:line="360" w:lineRule="auto"/>
        <w:ind w:firstLine="482" w:firstLineChars="200"/>
        <w:jc w:val="left"/>
        <w:rPr>
          <w:rFonts w:hint="eastAsia" w:ascii="宋体" w:hAnsi="宋体" w:cs="宋体"/>
          <w:sz w:val="24"/>
          <w:szCs w:val="24"/>
        </w:rPr>
      </w:pPr>
      <w:r>
        <w:rPr>
          <w:rFonts w:hint="eastAsia" w:ascii="宋体" w:hAnsi="宋体" w:cs="宋体"/>
          <w:b/>
          <w:bCs/>
          <w:sz w:val="24"/>
          <w:szCs w:val="24"/>
        </w:rPr>
        <w:t>三、编制依据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1、建设单位提供的由帝豪建设有限公司设计的施工图及相关技术规范文件。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2、招标文件及补充文件、设计补充文件、查询单及回复、协调会议纪要。</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3、《建设工程工程量清单计价规范》（GB50</w:t>
      </w:r>
      <w:r>
        <w:rPr>
          <w:rFonts w:ascii="宋体" w:hAnsi="宋体" w:cs="宋体"/>
          <w:sz w:val="24"/>
          <w:szCs w:val="24"/>
        </w:rPr>
        <w:t>500</w:t>
      </w:r>
      <w:r>
        <w:rPr>
          <w:rFonts w:hint="eastAsia" w:ascii="宋体" w:hAnsi="宋体" w:cs="宋体"/>
          <w:sz w:val="24"/>
          <w:szCs w:val="24"/>
        </w:rPr>
        <w:t>-2013）及浙江省补充条款、《浙江省建设工程计价规则》2018版、《浙江省建设工程工程量清单计价指引》。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4、《浙江省建筑工程预算定额》、《浙江省建设工程施工机械台班费用定额》等2018版计价依据及省、市相关计价管理规定。</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5、省、市造价信息及市场询价信息。</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四、编制说明</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1、分部分项工程量清单数量根据《市政工程工程量清单计价规范（GB50</w:t>
      </w:r>
      <w:r>
        <w:rPr>
          <w:rFonts w:ascii="宋体" w:hAnsi="宋体" w:cs="宋体"/>
          <w:sz w:val="24"/>
          <w:szCs w:val="24"/>
        </w:rPr>
        <w:t>587</w:t>
      </w:r>
      <w:r>
        <w:rPr>
          <w:rFonts w:hint="eastAsia" w:ascii="宋体" w:hAnsi="宋体" w:cs="宋体"/>
          <w:sz w:val="24"/>
          <w:szCs w:val="24"/>
        </w:rPr>
        <w:t>-2013）计算规则计算确定。</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2、预算书采用综合单价法计价，人工、材料、机械等消耗量按照2018版计价依据确定，人工、材料价格及相关费率计取情况如下：</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（1）人工单价按照杭建造价投资办规定20</w:t>
      </w:r>
      <w:r>
        <w:rPr>
          <w:rFonts w:ascii="宋体" w:hAnsi="宋体" w:cs="宋体"/>
          <w:sz w:val="24"/>
          <w:szCs w:val="24"/>
        </w:rPr>
        <w:t>20</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期信息价计取，人工信息价与定额差价部分只计取税金，人工价格信息详见主要工日表。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（2）材料单价按照浙江省第20</w:t>
      </w:r>
      <w:r>
        <w:rPr>
          <w:rFonts w:ascii="宋体" w:hAnsi="宋体" w:cs="宋体"/>
          <w:sz w:val="24"/>
          <w:szCs w:val="24"/>
        </w:rPr>
        <w:t>20</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期造价信息，临安区或杭州市第20</w:t>
      </w:r>
      <w:r>
        <w:rPr>
          <w:rFonts w:ascii="宋体" w:hAnsi="宋体" w:cs="宋体"/>
          <w:sz w:val="24"/>
          <w:szCs w:val="24"/>
        </w:rPr>
        <w:t>20</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期造价信息，无价材料参照省市信息副刊及市场询价信息计入，主要材料价格信息及材料暂定价情况详见主要材料表。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（3)各项取费按《浙江省建设工程施工费用定额》（201</w:t>
      </w:r>
      <w:r>
        <w:rPr>
          <w:rFonts w:ascii="宋体" w:hAnsi="宋体" w:cs="宋体"/>
          <w:sz w:val="24"/>
          <w:szCs w:val="24"/>
        </w:rPr>
        <w:t>8</w:t>
      </w:r>
      <w:r>
        <w:rPr>
          <w:rFonts w:hint="eastAsia" w:ascii="宋体" w:hAnsi="宋体" w:cs="宋体"/>
          <w:sz w:val="24"/>
          <w:szCs w:val="24"/>
        </w:rPr>
        <w:t>版）</w:t>
      </w:r>
      <w:r>
        <w:rPr>
          <w:rFonts w:hint="eastAsia" w:ascii="宋体" w:hAnsi="宋体" w:cs="宋体"/>
          <w:sz w:val="24"/>
          <w:szCs w:val="24"/>
          <w:lang w:eastAsia="zh-CN"/>
        </w:rPr>
        <w:t>单独装饰</w:t>
      </w:r>
      <w:r>
        <w:rPr>
          <w:rFonts w:hint="eastAsia" w:ascii="宋体" w:hAnsi="宋体" w:cs="宋体"/>
          <w:sz w:val="24"/>
          <w:szCs w:val="24"/>
        </w:rPr>
        <w:t>工程中值计取，具体计取如下表：</w:t>
      </w:r>
    </w:p>
    <w:tbl>
      <w:tblPr>
        <w:tblStyle w:val="19"/>
        <w:tblW w:w="89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2"/>
        <w:gridCol w:w="1709"/>
        <w:gridCol w:w="3728"/>
        <w:gridCol w:w="1415"/>
        <w:gridCol w:w="13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02" w:type="dxa"/>
            <w:noWrap w:val="0"/>
            <w:vAlign w:val="center"/>
          </w:tcPr>
          <w:p>
            <w:pPr>
              <w:snapToGrid w:val="0"/>
              <w:jc w:val="center"/>
              <w:rPr>
                <w:rFonts w:hint="eastAsia" w:ascii="宋体" w:hAnsi="宋体"/>
                <w:sz w:val="24"/>
              </w:rPr>
            </w:pPr>
            <w:r>
              <w:rPr>
                <w:rFonts w:hint="eastAsia" w:ascii="宋体" w:hAnsi="宋体"/>
                <w:sz w:val="24"/>
              </w:rPr>
              <w:t>序号</w:t>
            </w:r>
          </w:p>
        </w:tc>
        <w:tc>
          <w:tcPr>
            <w:tcW w:w="1709" w:type="dxa"/>
            <w:noWrap w:val="0"/>
            <w:vAlign w:val="center"/>
          </w:tcPr>
          <w:p>
            <w:pPr>
              <w:snapToGrid w:val="0"/>
              <w:jc w:val="center"/>
              <w:rPr>
                <w:rFonts w:hint="eastAsia" w:ascii="宋体" w:hAnsi="宋体"/>
                <w:sz w:val="24"/>
              </w:rPr>
            </w:pPr>
            <w:r>
              <w:rPr>
                <w:rFonts w:hint="eastAsia" w:ascii="宋体" w:hAnsi="宋体"/>
                <w:sz w:val="24"/>
              </w:rPr>
              <w:t>费用名称</w:t>
            </w:r>
          </w:p>
        </w:tc>
        <w:tc>
          <w:tcPr>
            <w:tcW w:w="3728" w:type="dxa"/>
            <w:noWrap w:val="0"/>
            <w:vAlign w:val="center"/>
          </w:tcPr>
          <w:p>
            <w:pPr>
              <w:snapToGrid w:val="0"/>
              <w:jc w:val="center"/>
              <w:rPr>
                <w:rFonts w:hint="eastAsia" w:ascii="宋体" w:hAnsi="宋体"/>
                <w:sz w:val="24"/>
              </w:rPr>
            </w:pPr>
            <w:r>
              <w:rPr>
                <w:rFonts w:hint="eastAsia" w:ascii="宋体" w:hAnsi="宋体"/>
                <w:sz w:val="24"/>
              </w:rPr>
              <w:t>计算基数</w:t>
            </w:r>
          </w:p>
        </w:tc>
        <w:tc>
          <w:tcPr>
            <w:tcW w:w="1415" w:type="dxa"/>
            <w:noWrap w:val="0"/>
            <w:vAlign w:val="center"/>
          </w:tcPr>
          <w:p>
            <w:pPr>
              <w:snapToGrid w:val="0"/>
              <w:jc w:val="center"/>
              <w:rPr>
                <w:rFonts w:hint="default" w:ascii="宋体" w:hAnsi="宋体" w:eastAsia="宋体"/>
                <w:sz w:val="24"/>
                <w:lang w:val="en-US" w:eastAsia="zh-CN"/>
              </w:rPr>
            </w:pPr>
            <w:r>
              <w:rPr>
                <w:rFonts w:hint="eastAsia" w:ascii="宋体" w:hAnsi="宋体"/>
                <w:sz w:val="24"/>
                <w:lang w:eastAsia="zh-CN"/>
              </w:rPr>
              <w:t>土建费率</w:t>
            </w:r>
            <w:r>
              <w:rPr>
                <w:rFonts w:hint="eastAsia" w:ascii="宋体" w:hAnsi="宋体"/>
                <w:sz w:val="24"/>
                <w:lang w:val="en-US" w:eastAsia="zh-CN"/>
              </w:rPr>
              <w:t>%</w:t>
            </w:r>
          </w:p>
        </w:tc>
        <w:tc>
          <w:tcPr>
            <w:tcW w:w="1370" w:type="dxa"/>
            <w:noWrap w:val="0"/>
            <w:vAlign w:val="center"/>
          </w:tcPr>
          <w:p>
            <w:pPr>
              <w:snapToGrid w:val="0"/>
              <w:jc w:val="center"/>
              <w:rPr>
                <w:rFonts w:hint="eastAsia" w:ascii="宋体" w:hAnsi="宋体"/>
                <w:sz w:val="24"/>
              </w:rPr>
            </w:pPr>
            <w:r>
              <w:rPr>
                <w:rFonts w:hint="eastAsia" w:ascii="宋体" w:hAnsi="宋体"/>
                <w:sz w:val="24"/>
                <w:lang w:eastAsia="zh-CN"/>
              </w:rPr>
              <w:t>安装</w:t>
            </w:r>
            <w:r>
              <w:rPr>
                <w:rFonts w:hint="eastAsia" w:ascii="宋体" w:hAnsi="宋体"/>
                <w:sz w:val="24"/>
              </w:rPr>
              <w:t>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02" w:type="dxa"/>
            <w:noWrap w:val="0"/>
            <w:vAlign w:val="center"/>
          </w:tcPr>
          <w:p>
            <w:pPr>
              <w:snapToGrid w:val="0"/>
              <w:jc w:val="center"/>
              <w:rPr>
                <w:rFonts w:hint="eastAsia" w:ascii="宋体" w:hAnsi="宋体"/>
                <w:sz w:val="24"/>
              </w:rPr>
            </w:pPr>
            <w:r>
              <w:rPr>
                <w:rFonts w:hint="eastAsia" w:ascii="宋体" w:hAnsi="宋体"/>
                <w:sz w:val="24"/>
              </w:rPr>
              <w:t>1</w:t>
            </w:r>
          </w:p>
        </w:tc>
        <w:tc>
          <w:tcPr>
            <w:tcW w:w="1709" w:type="dxa"/>
            <w:noWrap w:val="0"/>
            <w:vAlign w:val="center"/>
          </w:tcPr>
          <w:p>
            <w:pPr>
              <w:jc w:val="left"/>
              <w:rPr>
                <w:rFonts w:ascii="宋体" w:hAnsi="宋体"/>
                <w:szCs w:val="21"/>
              </w:rPr>
            </w:pPr>
            <w:r>
              <w:rPr>
                <w:rFonts w:ascii="宋体" w:hAnsi="宋体"/>
                <w:szCs w:val="21"/>
              </w:rPr>
              <w:t>安全文明施工费</w:t>
            </w:r>
          </w:p>
        </w:tc>
        <w:tc>
          <w:tcPr>
            <w:tcW w:w="3728" w:type="dxa"/>
            <w:noWrap w:val="0"/>
            <w:vAlign w:val="center"/>
          </w:tcPr>
          <w:p>
            <w:pPr>
              <w:jc w:val="left"/>
              <w:rPr>
                <w:rFonts w:hint="eastAsia" w:ascii="宋体" w:hAnsi="宋体"/>
                <w:szCs w:val="21"/>
              </w:rPr>
            </w:pPr>
            <w:r>
              <w:rPr>
                <w:rFonts w:hint="eastAsia" w:ascii="宋体" w:hAnsi="宋体"/>
                <w:szCs w:val="21"/>
              </w:rPr>
              <w:t>人工费+机械费</w:t>
            </w:r>
          </w:p>
        </w:tc>
        <w:tc>
          <w:tcPr>
            <w:tcW w:w="1415" w:type="dxa"/>
            <w:noWrap w:val="0"/>
            <w:vAlign w:val="center"/>
          </w:tcPr>
          <w:p>
            <w:pPr>
              <w:snapToGrid w:val="0"/>
              <w:jc w:val="center"/>
              <w:rPr>
                <w:rFonts w:hint="default" w:ascii="宋体" w:hAnsi="宋体"/>
                <w:sz w:val="24"/>
                <w:lang w:val="en-US" w:eastAsia="zh-CN"/>
              </w:rPr>
            </w:pPr>
            <w:r>
              <w:rPr>
                <w:rFonts w:hint="eastAsia" w:ascii="宋体" w:hAnsi="宋体"/>
                <w:sz w:val="24"/>
                <w:lang w:val="en-US" w:eastAsia="zh-CN"/>
              </w:rPr>
              <w:t>5.71</w:t>
            </w:r>
          </w:p>
        </w:tc>
        <w:tc>
          <w:tcPr>
            <w:tcW w:w="1370" w:type="dxa"/>
            <w:noWrap w:val="0"/>
            <w:vAlign w:val="center"/>
          </w:tcPr>
          <w:p>
            <w:pPr>
              <w:snapToGrid w:val="0"/>
              <w:jc w:val="center"/>
              <w:rPr>
                <w:rFonts w:hint="default" w:ascii="宋体" w:hAnsi="宋体" w:eastAsia="宋体"/>
                <w:sz w:val="24"/>
                <w:lang w:val="en-US" w:eastAsia="zh-CN"/>
              </w:rPr>
            </w:pPr>
            <w:r>
              <w:rPr>
                <w:rFonts w:hint="eastAsia" w:ascii="宋体" w:hAnsi="宋体"/>
                <w:sz w:val="24"/>
                <w:lang w:val="en-US" w:eastAsia="zh-CN"/>
              </w:rPr>
              <w:t>7.10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02" w:type="dxa"/>
            <w:noWrap w:val="0"/>
            <w:vAlign w:val="center"/>
          </w:tcPr>
          <w:p>
            <w:pPr>
              <w:snapToGrid w:val="0"/>
              <w:jc w:val="center"/>
              <w:rPr>
                <w:rFonts w:hint="eastAsia" w:ascii="宋体" w:hAnsi="宋体"/>
                <w:sz w:val="24"/>
              </w:rPr>
            </w:pPr>
            <w:r>
              <w:rPr>
                <w:rFonts w:ascii="宋体" w:hAnsi="宋体"/>
                <w:sz w:val="24"/>
              </w:rPr>
              <w:t>2</w:t>
            </w:r>
          </w:p>
        </w:tc>
        <w:tc>
          <w:tcPr>
            <w:tcW w:w="1709" w:type="dxa"/>
            <w:noWrap w:val="0"/>
            <w:vAlign w:val="center"/>
          </w:tcPr>
          <w:p>
            <w:pPr>
              <w:jc w:val="left"/>
              <w:rPr>
                <w:rFonts w:hint="eastAsia" w:ascii="宋体" w:hAnsi="宋体"/>
                <w:szCs w:val="21"/>
              </w:rPr>
            </w:pPr>
            <w:r>
              <w:rPr>
                <w:rFonts w:hint="eastAsia" w:ascii="宋体" w:hAnsi="宋体"/>
                <w:szCs w:val="21"/>
              </w:rPr>
              <w:t>企业管理费</w:t>
            </w:r>
          </w:p>
        </w:tc>
        <w:tc>
          <w:tcPr>
            <w:tcW w:w="3728" w:type="dxa"/>
            <w:noWrap w:val="0"/>
            <w:vAlign w:val="center"/>
          </w:tcPr>
          <w:p>
            <w:pPr>
              <w:jc w:val="left"/>
              <w:rPr>
                <w:rFonts w:hint="eastAsia" w:ascii="宋体" w:hAnsi="宋体"/>
                <w:szCs w:val="21"/>
              </w:rPr>
            </w:pPr>
            <w:r>
              <w:rPr>
                <w:rFonts w:hint="eastAsia" w:ascii="宋体" w:hAnsi="宋体"/>
                <w:szCs w:val="21"/>
              </w:rPr>
              <w:t>人工费+机械费</w:t>
            </w:r>
          </w:p>
        </w:tc>
        <w:tc>
          <w:tcPr>
            <w:tcW w:w="1415" w:type="dxa"/>
            <w:noWrap w:val="0"/>
            <w:vAlign w:val="center"/>
          </w:tcPr>
          <w:p>
            <w:pPr>
              <w:snapToGrid w:val="0"/>
              <w:jc w:val="center"/>
              <w:rPr>
                <w:rFonts w:hint="default" w:ascii="宋体" w:hAnsi="宋体"/>
                <w:sz w:val="24"/>
                <w:lang w:val="en-US" w:eastAsia="zh-CN"/>
              </w:rPr>
            </w:pPr>
            <w:r>
              <w:rPr>
                <w:rFonts w:hint="eastAsia" w:ascii="宋体" w:hAnsi="宋体"/>
                <w:sz w:val="24"/>
                <w:lang w:val="en-US" w:eastAsia="zh-CN"/>
              </w:rPr>
              <w:t>15.16</w:t>
            </w:r>
          </w:p>
        </w:tc>
        <w:tc>
          <w:tcPr>
            <w:tcW w:w="1370" w:type="dxa"/>
            <w:noWrap w:val="0"/>
            <w:vAlign w:val="center"/>
          </w:tcPr>
          <w:p>
            <w:pPr>
              <w:snapToGrid w:val="0"/>
              <w:jc w:val="center"/>
              <w:rPr>
                <w:rFonts w:hint="default" w:ascii="宋体" w:hAnsi="宋体" w:eastAsia="宋体"/>
                <w:sz w:val="24"/>
                <w:lang w:val="en-US" w:eastAsia="zh-CN"/>
              </w:rPr>
            </w:pPr>
            <w:r>
              <w:rPr>
                <w:rFonts w:hint="eastAsia" w:ascii="宋体" w:hAnsi="宋体"/>
                <w:sz w:val="24"/>
                <w:lang w:val="en-US" w:eastAsia="zh-CN"/>
              </w:rPr>
              <w:t>21.72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02" w:type="dxa"/>
            <w:noWrap w:val="0"/>
            <w:vAlign w:val="center"/>
          </w:tcPr>
          <w:p>
            <w:pPr>
              <w:snapToGrid w:val="0"/>
              <w:jc w:val="center"/>
              <w:rPr>
                <w:rFonts w:hint="eastAsia" w:ascii="宋体" w:hAnsi="宋体"/>
                <w:sz w:val="24"/>
              </w:rPr>
            </w:pPr>
            <w:r>
              <w:rPr>
                <w:rFonts w:ascii="宋体" w:hAnsi="宋体"/>
                <w:sz w:val="24"/>
              </w:rPr>
              <w:t>3</w:t>
            </w:r>
          </w:p>
        </w:tc>
        <w:tc>
          <w:tcPr>
            <w:tcW w:w="1709" w:type="dxa"/>
            <w:noWrap w:val="0"/>
            <w:vAlign w:val="center"/>
          </w:tcPr>
          <w:p>
            <w:pPr>
              <w:jc w:val="left"/>
              <w:rPr>
                <w:rFonts w:hint="eastAsia" w:ascii="宋体" w:hAnsi="宋体"/>
                <w:szCs w:val="21"/>
              </w:rPr>
            </w:pPr>
            <w:r>
              <w:rPr>
                <w:rFonts w:hint="eastAsia" w:ascii="宋体" w:hAnsi="宋体"/>
                <w:szCs w:val="21"/>
              </w:rPr>
              <w:t>利润</w:t>
            </w:r>
          </w:p>
        </w:tc>
        <w:tc>
          <w:tcPr>
            <w:tcW w:w="3728" w:type="dxa"/>
            <w:noWrap w:val="0"/>
            <w:vAlign w:val="center"/>
          </w:tcPr>
          <w:p>
            <w:pPr>
              <w:jc w:val="left"/>
              <w:rPr>
                <w:rFonts w:hint="eastAsia" w:ascii="宋体" w:hAnsi="宋体"/>
                <w:szCs w:val="21"/>
              </w:rPr>
            </w:pPr>
            <w:r>
              <w:rPr>
                <w:rFonts w:hint="eastAsia" w:ascii="宋体" w:hAnsi="宋体"/>
                <w:szCs w:val="21"/>
              </w:rPr>
              <w:t>人工费+机械费</w:t>
            </w:r>
          </w:p>
        </w:tc>
        <w:tc>
          <w:tcPr>
            <w:tcW w:w="1415" w:type="dxa"/>
            <w:noWrap w:val="0"/>
            <w:vAlign w:val="center"/>
          </w:tcPr>
          <w:p>
            <w:pPr>
              <w:snapToGrid w:val="0"/>
              <w:jc w:val="center"/>
              <w:rPr>
                <w:rFonts w:hint="default" w:ascii="宋体" w:hAnsi="宋体"/>
                <w:sz w:val="24"/>
                <w:lang w:val="en-US" w:eastAsia="zh-CN"/>
              </w:rPr>
            </w:pPr>
            <w:r>
              <w:rPr>
                <w:rFonts w:hint="eastAsia" w:ascii="宋体" w:hAnsi="宋体"/>
                <w:sz w:val="24"/>
                <w:lang w:val="en-US" w:eastAsia="zh-CN"/>
              </w:rPr>
              <w:t>7.62</w:t>
            </w:r>
          </w:p>
        </w:tc>
        <w:tc>
          <w:tcPr>
            <w:tcW w:w="1370" w:type="dxa"/>
            <w:noWrap w:val="0"/>
            <w:vAlign w:val="center"/>
          </w:tcPr>
          <w:p>
            <w:pPr>
              <w:snapToGrid w:val="0"/>
              <w:jc w:val="center"/>
              <w:rPr>
                <w:rFonts w:hint="default" w:ascii="宋体" w:hAnsi="宋体" w:eastAsia="宋体"/>
                <w:sz w:val="24"/>
                <w:lang w:val="en-US" w:eastAsia="zh-CN"/>
              </w:rPr>
            </w:pPr>
            <w:r>
              <w:rPr>
                <w:rFonts w:hint="eastAsia" w:ascii="宋体" w:hAnsi="宋体"/>
                <w:sz w:val="24"/>
                <w:lang w:val="en-US" w:eastAsia="zh-CN"/>
              </w:rPr>
              <w:t>10.40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02" w:type="dxa"/>
            <w:noWrap w:val="0"/>
            <w:vAlign w:val="center"/>
          </w:tcPr>
          <w:p>
            <w:pPr>
              <w:snapToGrid w:val="0"/>
              <w:jc w:val="center"/>
              <w:rPr>
                <w:rFonts w:hint="eastAsia" w:ascii="宋体" w:hAnsi="宋体"/>
                <w:sz w:val="24"/>
              </w:rPr>
            </w:pPr>
            <w:r>
              <w:rPr>
                <w:rFonts w:ascii="宋体" w:hAnsi="宋体"/>
                <w:sz w:val="24"/>
              </w:rPr>
              <w:t>4</w:t>
            </w:r>
          </w:p>
        </w:tc>
        <w:tc>
          <w:tcPr>
            <w:tcW w:w="1709" w:type="dxa"/>
            <w:noWrap w:val="0"/>
            <w:vAlign w:val="center"/>
          </w:tcPr>
          <w:p>
            <w:pPr>
              <w:jc w:val="left"/>
              <w:rPr>
                <w:rFonts w:hint="eastAsia" w:ascii="宋体" w:hAnsi="宋体"/>
                <w:szCs w:val="21"/>
              </w:rPr>
            </w:pPr>
            <w:r>
              <w:rPr>
                <w:rFonts w:hint="eastAsia" w:ascii="宋体" w:hAnsi="宋体"/>
                <w:szCs w:val="21"/>
              </w:rPr>
              <w:t>规费</w:t>
            </w:r>
          </w:p>
        </w:tc>
        <w:tc>
          <w:tcPr>
            <w:tcW w:w="3728" w:type="dxa"/>
            <w:noWrap w:val="0"/>
            <w:vAlign w:val="center"/>
          </w:tcPr>
          <w:p>
            <w:pPr>
              <w:jc w:val="left"/>
              <w:rPr>
                <w:rFonts w:ascii="宋体" w:hAnsi="宋体"/>
                <w:szCs w:val="21"/>
              </w:rPr>
            </w:pPr>
            <w:r>
              <w:rPr>
                <w:rFonts w:hint="eastAsia" w:ascii="宋体" w:hAnsi="宋体"/>
                <w:szCs w:val="21"/>
              </w:rPr>
              <w:t>人工费+机械费</w:t>
            </w:r>
          </w:p>
        </w:tc>
        <w:tc>
          <w:tcPr>
            <w:tcW w:w="1415" w:type="dxa"/>
            <w:noWrap w:val="0"/>
            <w:vAlign w:val="center"/>
          </w:tcPr>
          <w:p>
            <w:pPr>
              <w:snapToGrid w:val="0"/>
              <w:jc w:val="center"/>
              <w:rPr>
                <w:rFonts w:hint="default" w:ascii="宋体" w:hAnsi="宋体"/>
                <w:sz w:val="24"/>
                <w:lang w:val="en-US" w:eastAsia="zh-CN"/>
              </w:rPr>
            </w:pPr>
            <w:r>
              <w:rPr>
                <w:rFonts w:hint="eastAsia" w:ascii="宋体" w:hAnsi="宋体"/>
                <w:sz w:val="24"/>
                <w:lang w:val="en-US" w:eastAsia="zh-CN"/>
              </w:rPr>
              <w:t>27.92</w:t>
            </w:r>
          </w:p>
        </w:tc>
        <w:tc>
          <w:tcPr>
            <w:tcW w:w="1370" w:type="dxa"/>
            <w:noWrap w:val="0"/>
            <w:vAlign w:val="center"/>
          </w:tcPr>
          <w:p>
            <w:pPr>
              <w:snapToGrid w:val="0"/>
              <w:jc w:val="center"/>
              <w:rPr>
                <w:rFonts w:hint="default" w:ascii="宋体" w:hAnsi="宋体"/>
                <w:sz w:val="24"/>
                <w:lang w:val="en-US" w:eastAsia="zh-CN"/>
              </w:rPr>
            </w:pPr>
            <w:r>
              <w:rPr>
                <w:rFonts w:hint="eastAsia" w:ascii="宋体" w:hAnsi="宋体"/>
                <w:sz w:val="24"/>
                <w:lang w:val="en-US" w:eastAsia="zh-CN"/>
              </w:rPr>
              <w:t>30.63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02" w:type="dxa"/>
            <w:noWrap w:val="0"/>
            <w:vAlign w:val="center"/>
          </w:tcPr>
          <w:p>
            <w:pPr>
              <w:snapToGrid w:val="0"/>
              <w:jc w:val="center"/>
              <w:rPr>
                <w:rFonts w:hint="eastAsia" w:ascii="宋体" w:hAnsi="宋体"/>
                <w:sz w:val="24"/>
              </w:rPr>
            </w:pPr>
            <w:r>
              <w:rPr>
                <w:rFonts w:ascii="宋体" w:hAnsi="宋体"/>
                <w:sz w:val="24"/>
              </w:rPr>
              <w:t>5</w:t>
            </w:r>
          </w:p>
        </w:tc>
        <w:tc>
          <w:tcPr>
            <w:tcW w:w="1709" w:type="dxa"/>
            <w:noWrap w:val="0"/>
            <w:vAlign w:val="center"/>
          </w:tcPr>
          <w:p>
            <w:pPr>
              <w:jc w:val="left"/>
              <w:rPr>
                <w:rFonts w:hint="eastAsia" w:ascii="宋体" w:hAnsi="宋体"/>
                <w:szCs w:val="21"/>
              </w:rPr>
            </w:pPr>
            <w:r>
              <w:rPr>
                <w:rFonts w:hint="eastAsia" w:ascii="宋体" w:hAnsi="宋体"/>
                <w:szCs w:val="21"/>
              </w:rPr>
              <w:t>税金</w:t>
            </w:r>
          </w:p>
        </w:tc>
        <w:tc>
          <w:tcPr>
            <w:tcW w:w="3728" w:type="dxa"/>
            <w:noWrap w:val="0"/>
            <w:vAlign w:val="center"/>
          </w:tcPr>
          <w:p>
            <w:pPr>
              <w:snapToGrid w:val="0"/>
              <w:jc w:val="left"/>
              <w:rPr>
                <w:rFonts w:hint="eastAsia" w:ascii="宋体" w:hAnsi="宋体"/>
                <w:sz w:val="24"/>
              </w:rPr>
            </w:pPr>
            <w:r>
              <w:rPr>
                <w:rFonts w:hint="eastAsia" w:ascii="宋体" w:hAnsi="宋体"/>
                <w:szCs w:val="21"/>
              </w:rPr>
              <w:t>直接费+综合费用+规费+民工工伤保险</w:t>
            </w:r>
          </w:p>
        </w:tc>
        <w:tc>
          <w:tcPr>
            <w:tcW w:w="1415" w:type="dxa"/>
            <w:noWrap w:val="0"/>
            <w:vAlign w:val="center"/>
          </w:tcPr>
          <w:p>
            <w:pPr>
              <w:snapToGrid w:val="0"/>
              <w:jc w:val="center"/>
              <w:rPr>
                <w:rFonts w:hint="default" w:ascii="宋体" w:hAnsi="宋体" w:eastAsia="宋体"/>
                <w:sz w:val="24"/>
                <w:lang w:val="en-US" w:eastAsia="zh-CN"/>
              </w:rPr>
            </w:pPr>
            <w:r>
              <w:rPr>
                <w:rFonts w:hint="eastAsia" w:ascii="宋体" w:hAnsi="宋体"/>
                <w:sz w:val="24"/>
                <w:lang w:val="en-US" w:eastAsia="zh-CN"/>
              </w:rPr>
              <w:t>9.00</w:t>
            </w:r>
          </w:p>
        </w:tc>
        <w:tc>
          <w:tcPr>
            <w:tcW w:w="1370" w:type="dxa"/>
            <w:noWrap w:val="0"/>
            <w:vAlign w:val="center"/>
          </w:tcPr>
          <w:p>
            <w:pPr>
              <w:snapToGrid w:val="0"/>
              <w:jc w:val="center"/>
              <w:rPr>
                <w:rFonts w:hint="default" w:ascii="宋体" w:hAnsi="宋体" w:eastAsia="宋体"/>
                <w:sz w:val="24"/>
                <w:lang w:val="en-US" w:eastAsia="zh-CN"/>
              </w:rPr>
            </w:pPr>
            <w:r>
              <w:rPr>
                <w:rFonts w:hint="eastAsia" w:ascii="宋体" w:hAnsi="宋体"/>
                <w:sz w:val="24"/>
                <w:lang w:val="en-US" w:eastAsia="zh-CN"/>
              </w:rPr>
              <w:t>9.00</w:t>
            </w:r>
          </w:p>
        </w:tc>
      </w:tr>
    </w:tbl>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3、甲供材料情况：无。</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4、本预算书含暂定费用情况：无。</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5、施工图纸未明确部分，本预算书按以下内容计入：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（1）根据文件规定本工程所有砂浆采用预拌砂浆，预算中已按预拌砂浆计入，强度等级参《浙江省建筑工程节能预算定额》第141页"预拌砂浆与传统砂浆分类对应参考表"；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（2）规费、税金及施工组织措施费均按相关文件规定计取；</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（3）垃圾外运运距暂按</w:t>
      </w:r>
      <w:r>
        <w:rPr>
          <w:rFonts w:ascii="宋体" w:hAnsi="宋体" w:cs="宋体"/>
          <w:sz w:val="24"/>
          <w:szCs w:val="24"/>
        </w:rPr>
        <w:t>1</w:t>
      </w:r>
      <w:r>
        <w:rPr>
          <w:rFonts w:hint="eastAsia" w:ascii="宋体" w:hAnsi="宋体" w:cs="宋体"/>
          <w:sz w:val="24"/>
          <w:szCs w:val="24"/>
        </w:rPr>
        <w:t>0km计入，实际情况由投标单位自行考虑；</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）经业主确认，图纸中所涉及面砖、地砖、铝扣板吊顶、洁具等部分主要材料单价参考相应品牌计入，详见主要材料价格表。</w:t>
      </w:r>
    </w:p>
    <w:p>
      <w:pPr>
        <w:rPr>
          <w:rFonts w:ascii="宋体" w:hAnsi="宋体" w:cs="宋体"/>
          <w:color w:val="auto"/>
          <w:highlight w:val="none"/>
        </w:rPr>
      </w:pPr>
    </w:p>
    <w:p>
      <w:pPr>
        <w:spacing w:line="360" w:lineRule="auto"/>
        <w:ind w:firstLine="420" w:firstLineChars="200"/>
        <w:rPr>
          <w:rFonts w:ascii="宋体" w:hAnsi="宋体" w:cs="宋体"/>
          <w:color w:val="auto"/>
          <w:highlight w:val="none"/>
        </w:rPr>
        <w:sectPr>
          <w:pgSz w:w="11900" w:h="16838"/>
          <w:pgMar w:top="1440" w:right="1440" w:bottom="158" w:left="1440" w:header="567" w:footer="567" w:gutter="0"/>
          <w:cols w:equalWidth="0" w:num="1">
            <w:col w:w="9026"/>
          </w:cols>
        </w:sectPr>
      </w:pPr>
    </w:p>
    <w:p>
      <w:pPr>
        <w:tabs>
          <w:tab w:val="left" w:pos="300"/>
        </w:tabs>
        <w:spacing w:line="366" w:lineRule="exact"/>
        <w:jc w:val="center"/>
        <w:outlineLvl w:val="0"/>
        <w:rPr>
          <w:rFonts w:ascii="宋体" w:hAnsi="宋体" w:cs="宋体"/>
          <w:color w:val="auto"/>
          <w:sz w:val="20"/>
          <w:szCs w:val="20"/>
          <w:highlight w:val="none"/>
        </w:rPr>
      </w:pPr>
      <w:bookmarkStart w:id="80" w:name="_Toc23564_WPSOffice_Level1"/>
      <w:bookmarkStart w:id="81" w:name="_Toc1627"/>
      <w:r>
        <w:rPr>
          <w:rFonts w:hint="eastAsia" w:ascii="宋体" w:hAnsi="宋体" w:cs="宋体"/>
          <w:b/>
          <w:bCs/>
          <w:color w:val="auto"/>
          <w:sz w:val="32"/>
          <w:szCs w:val="32"/>
          <w:highlight w:val="none"/>
        </w:rPr>
        <w:t>第五章  合同条款</w:t>
      </w:r>
      <w:bookmarkEnd w:id="80"/>
      <w:bookmarkEnd w:id="81"/>
    </w:p>
    <w:p>
      <w:pPr>
        <w:jc w:val="center"/>
        <w:rPr>
          <w:rFonts w:ascii="宋体" w:hAnsi="宋体" w:cs="宋体"/>
          <w:b/>
          <w:bCs/>
          <w:color w:val="auto"/>
          <w:sz w:val="32"/>
          <w:szCs w:val="32"/>
          <w:highlight w:val="none"/>
        </w:rPr>
      </w:pPr>
      <w:bookmarkStart w:id="82" w:name="_Toc5198_WPSOffice_Level2"/>
      <w:bookmarkStart w:id="83" w:name="_Toc5281"/>
      <w:bookmarkStart w:id="84" w:name="_Toc359576785"/>
      <w:bookmarkStart w:id="85" w:name="_Toc534620501"/>
      <w:bookmarkStart w:id="86" w:name="_Toc359576784"/>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浙江农林大学                 项目政府采购合同</w:t>
      </w:r>
      <w:bookmarkEnd w:id="82"/>
      <w:bookmarkEnd w:id="83"/>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项目编号：                           合同编号:  </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确认书编号： </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甲方（采购人）：浙江农林大学</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乙方（成交供应商）：  </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鉴证方（采购代理机构）：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签约时间、地点： 年   月    日，浙江农林大学</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浙江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受浙江农林大学委托公开招标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，经过招标，确定为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供货单位。经协商双方就本采购事项达成以下条款：</w:t>
      </w:r>
    </w:p>
    <w:p>
      <w:pPr>
        <w:spacing w:line="360" w:lineRule="auto"/>
        <w:jc w:val="center"/>
        <w:rPr>
          <w:rFonts w:ascii="宋体" w:hAnsi="宋体" w:cs="宋体"/>
          <w:color w:val="auto"/>
          <w:szCs w:val="21"/>
          <w:highlight w:val="none"/>
        </w:rPr>
      </w:pPr>
      <w:bookmarkStart w:id="87" w:name="_Toc11422_WPSOffice_Level2"/>
      <w:r>
        <w:rPr>
          <w:rFonts w:hint="eastAsia" w:ascii="宋体" w:hAnsi="宋体" w:cs="宋体"/>
          <w:color w:val="auto"/>
          <w:szCs w:val="21"/>
          <w:highlight w:val="none"/>
        </w:rPr>
        <w:t>第一节合同协议书</w:t>
      </w:r>
      <w:bookmarkEnd w:id="87"/>
    </w:p>
    <w:p>
      <w:pPr>
        <w:tabs>
          <w:tab w:val="left" w:pos="1134"/>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u w:val="single"/>
        </w:rPr>
        <w:t>浙江农林大学</w:t>
      </w:r>
      <w:r>
        <w:rPr>
          <w:rFonts w:hint="eastAsia" w:ascii="宋体" w:hAnsi="宋体" w:cs="宋体"/>
          <w:color w:val="auto"/>
          <w:szCs w:val="21"/>
          <w:highlight w:val="none"/>
        </w:rPr>
        <w:t>(以下简称“发包人”)为实施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，已接受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(以下简称“承包人”)对该项目施工的投标。发包人和承包人共同达成如下协议。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1.工程概况：</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1.1工程名称：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1.2资金来源：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1.3工程地点：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1.4承包范围：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1.5承包方式：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2.签约合同价：人民币(大写)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3.承包人项目负责人：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4.工程质量符合</w:t>
      </w:r>
      <w:r>
        <w:rPr>
          <w:rFonts w:hint="eastAsia" w:ascii="宋体" w:hAnsi="宋体" w:cs="宋体"/>
          <w:color w:val="auto"/>
          <w:szCs w:val="21"/>
          <w:highlight w:val="none"/>
          <w:u w:val="single"/>
        </w:rPr>
        <w:t>合格</w:t>
      </w:r>
      <w:r>
        <w:rPr>
          <w:rFonts w:hint="eastAsia" w:ascii="宋体" w:hAnsi="宋体" w:cs="宋体"/>
          <w:color w:val="auto"/>
          <w:szCs w:val="21"/>
          <w:highlight w:val="none"/>
        </w:rPr>
        <w:t>标准。</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5.承包人承诺按合同约定承担工程的实施、完成及缺陷修复。</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6.发包人承诺按合同约定的条件、时间和方式向承包人支付合同价款。</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7.承包人应按照监理人指示开工，工期为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8. 本协议书与下列文件一起构成合同文件</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8.1中标通知书；</w:t>
      </w:r>
    </w:p>
    <w:p>
      <w:pPr>
        <w:tabs>
          <w:tab w:val="left" w:pos="1134"/>
        </w:tabs>
        <w:ind w:left="720"/>
        <w:rPr>
          <w:rFonts w:ascii="宋体" w:hAnsi="宋体" w:cs="宋体"/>
          <w:color w:val="auto"/>
          <w:szCs w:val="21"/>
          <w:highlight w:val="none"/>
        </w:rPr>
      </w:pPr>
      <w:r>
        <w:rPr>
          <w:rFonts w:hint="eastAsia" w:ascii="宋体" w:hAnsi="宋体" w:cs="宋体"/>
          <w:color w:val="auto"/>
          <w:szCs w:val="21"/>
          <w:highlight w:val="none"/>
        </w:rPr>
        <w:t>8.2采购文件及其补充文件；</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8.3投标函及投标函附录；</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8.4专用合同条款；</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8.5通用合同条款；</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8.6标准、规范及有关技术文件；</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8.7变更文件；</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8.8已标价工程量清单； </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8.9响应文件；</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8.10其他合同文件。</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9. 上述文件互相补充和解释，如有不明确或不一致之处，以合同约定次序在先者为准。</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10本协议书一</w:t>
      </w:r>
      <w:r>
        <w:rPr>
          <w:rFonts w:hint="eastAsia" w:ascii="宋体" w:hAnsi="宋体" w:cs="宋体"/>
          <w:color w:val="auto"/>
          <w:szCs w:val="21"/>
          <w:highlight w:val="none"/>
          <w:u w:val="single"/>
        </w:rPr>
        <w:t>一式玖份，甲方柒份，乙方壹份，招标代理机构壹份。</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11.合同未尽事宜，双方另行签订补充协议。补充协议是合同的组成部分。</w:t>
      </w:r>
    </w:p>
    <w:p>
      <w:pPr>
        <w:spacing w:line="360" w:lineRule="auto"/>
        <w:ind w:left="426"/>
        <w:rPr>
          <w:rFonts w:ascii="宋体" w:hAnsi="宋体" w:cs="宋体"/>
          <w:color w:val="auto"/>
          <w:szCs w:val="21"/>
          <w:highlight w:val="none"/>
        </w:rPr>
      </w:pPr>
    </w:p>
    <w:p>
      <w:pPr>
        <w:spacing w:line="360" w:lineRule="auto"/>
        <w:ind w:left="426"/>
        <w:rPr>
          <w:rFonts w:ascii="宋体" w:hAnsi="宋体" w:cs="宋体"/>
          <w:color w:val="auto"/>
          <w:szCs w:val="21"/>
          <w:highlight w:val="none"/>
        </w:rPr>
      </w:pPr>
    </w:p>
    <w:p>
      <w:pPr>
        <w:spacing w:line="360" w:lineRule="auto"/>
        <w:ind w:left="426"/>
        <w:rPr>
          <w:rFonts w:ascii="宋体" w:hAnsi="宋体" w:cs="宋体"/>
          <w:color w:val="auto"/>
          <w:szCs w:val="21"/>
          <w:highlight w:val="none"/>
        </w:rPr>
      </w:pPr>
    </w:p>
    <w:tbl>
      <w:tblPr>
        <w:tblStyle w:val="19"/>
        <w:tblW w:w="9240" w:type="dxa"/>
        <w:tblInd w:w="288" w:type="dxa"/>
        <w:tblLayout w:type="fixed"/>
        <w:tblCellMar>
          <w:top w:w="0" w:type="dxa"/>
          <w:left w:w="108" w:type="dxa"/>
          <w:bottom w:w="0" w:type="dxa"/>
          <w:right w:w="108" w:type="dxa"/>
        </w:tblCellMar>
      </w:tblPr>
      <w:tblGrid>
        <w:gridCol w:w="4581"/>
        <w:gridCol w:w="4659"/>
      </w:tblGrid>
      <w:tr>
        <w:tblPrEx>
          <w:tblCellMar>
            <w:top w:w="0" w:type="dxa"/>
            <w:left w:w="108" w:type="dxa"/>
            <w:bottom w:w="0" w:type="dxa"/>
            <w:right w:w="108" w:type="dxa"/>
          </w:tblCellMar>
        </w:tblPrEx>
        <w:trPr>
          <w:trHeight w:val="513" w:hRule="atLeast"/>
        </w:trPr>
        <w:tc>
          <w:tcPr>
            <w:tcW w:w="4581"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发包人：</w:t>
            </w:r>
            <w:r>
              <w:rPr>
                <w:rFonts w:hint="eastAsia" w:ascii="宋体" w:hAnsi="宋体" w:cs="宋体"/>
                <w:color w:val="auto"/>
                <w:sz w:val="21"/>
                <w:szCs w:val="21"/>
                <w:highlight w:val="none"/>
                <w:u w:val="single"/>
              </w:rPr>
              <w:t xml:space="preserve">                        (盖章)</w:t>
            </w:r>
          </w:p>
        </w:tc>
        <w:tc>
          <w:tcPr>
            <w:tcW w:w="4659"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承包人：</w:t>
            </w:r>
            <w:r>
              <w:rPr>
                <w:rFonts w:hint="eastAsia" w:ascii="宋体" w:hAnsi="宋体" w:cs="宋体"/>
                <w:color w:val="auto"/>
                <w:sz w:val="21"/>
                <w:szCs w:val="21"/>
                <w:highlight w:val="none"/>
                <w:u w:val="single"/>
              </w:rPr>
              <w:t xml:space="preserve">                         (盖章)</w:t>
            </w:r>
          </w:p>
        </w:tc>
      </w:tr>
      <w:tr>
        <w:tblPrEx>
          <w:tblCellMar>
            <w:top w:w="0" w:type="dxa"/>
            <w:left w:w="108" w:type="dxa"/>
            <w:bottom w:w="0" w:type="dxa"/>
            <w:right w:w="108" w:type="dxa"/>
          </w:tblCellMar>
        </w:tblPrEx>
        <w:trPr>
          <w:trHeight w:val="513" w:hRule="atLeast"/>
        </w:trPr>
        <w:tc>
          <w:tcPr>
            <w:tcW w:w="4581"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(签字)</w:t>
            </w:r>
          </w:p>
        </w:tc>
        <w:tc>
          <w:tcPr>
            <w:tcW w:w="4659"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(签字)</w:t>
            </w:r>
          </w:p>
        </w:tc>
      </w:tr>
      <w:tr>
        <w:tblPrEx>
          <w:tblCellMar>
            <w:top w:w="0" w:type="dxa"/>
            <w:left w:w="108" w:type="dxa"/>
            <w:bottom w:w="0" w:type="dxa"/>
            <w:right w:w="108" w:type="dxa"/>
          </w:tblCellMar>
        </w:tblPrEx>
        <w:trPr>
          <w:trHeight w:val="513" w:hRule="atLeast"/>
        </w:trPr>
        <w:tc>
          <w:tcPr>
            <w:tcW w:w="4581"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c>
          <w:tcPr>
            <w:tcW w:w="4659"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r>
        <w:tblPrEx>
          <w:tblCellMar>
            <w:top w:w="0" w:type="dxa"/>
            <w:left w:w="108" w:type="dxa"/>
            <w:bottom w:w="0" w:type="dxa"/>
            <w:right w:w="108" w:type="dxa"/>
          </w:tblCellMar>
        </w:tblPrEx>
        <w:trPr>
          <w:gridAfter w:val="1"/>
          <w:wAfter w:w="4659" w:type="dxa"/>
          <w:trHeight w:val="658" w:hRule="atLeast"/>
        </w:trPr>
        <w:tc>
          <w:tcPr>
            <w:tcW w:w="4581" w:type="dxa"/>
            <w:vAlign w:val="bottom"/>
          </w:tcPr>
          <w:p>
            <w:pPr>
              <w:pStyle w:val="54"/>
              <w:tabs>
                <w:tab w:val="left" w:pos="8100"/>
              </w:tabs>
              <w:ind w:left="0" w:right="77"/>
              <w:jc w:val="both"/>
              <w:rPr>
                <w:rFonts w:ascii="宋体" w:hAnsi="宋体" w:cs="宋体"/>
                <w:color w:val="auto"/>
                <w:sz w:val="21"/>
                <w:szCs w:val="21"/>
                <w:highlight w:val="none"/>
              </w:rPr>
            </w:pPr>
          </w:p>
          <w:p>
            <w:pPr>
              <w:pStyle w:val="54"/>
              <w:tabs>
                <w:tab w:val="left" w:pos="8100"/>
              </w:tabs>
              <w:ind w:left="0" w:right="77"/>
              <w:jc w:val="both"/>
              <w:rPr>
                <w:rFonts w:ascii="宋体" w:hAnsi="宋体" w:cs="宋体"/>
                <w:color w:val="auto"/>
                <w:sz w:val="21"/>
                <w:szCs w:val="21"/>
                <w:highlight w:val="none"/>
              </w:rPr>
            </w:pPr>
          </w:p>
          <w:p>
            <w:pPr>
              <w:pStyle w:val="54"/>
              <w:tabs>
                <w:tab w:val="left" w:pos="8100"/>
              </w:tabs>
              <w:ind w:left="0" w:right="77"/>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采购代理机构： </w:t>
            </w:r>
          </w:p>
        </w:tc>
      </w:tr>
      <w:tr>
        <w:tblPrEx>
          <w:tblCellMar>
            <w:top w:w="0" w:type="dxa"/>
            <w:left w:w="108" w:type="dxa"/>
            <w:bottom w:w="0" w:type="dxa"/>
            <w:right w:w="108" w:type="dxa"/>
          </w:tblCellMar>
        </w:tblPrEx>
        <w:trPr>
          <w:gridAfter w:val="1"/>
          <w:wAfter w:w="4659" w:type="dxa"/>
          <w:trHeight w:val="513" w:hRule="atLeast"/>
        </w:trPr>
        <w:tc>
          <w:tcPr>
            <w:tcW w:w="4581"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采购代理机构代表：</w:t>
            </w:r>
            <w:r>
              <w:rPr>
                <w:rFonts w:hint="eastAsia" w:ascii="宋体" w:hAnsi="宋体" w:cs="宋体"/>
                <w:color w:val="auto"/>
                <w:sz w:val="21"/>
                <w:szCs w:val="21"/>
                <w:highlight w:val="none"/>
                <w:u w:val="single"/>
              </w:rPr>
              <w:t>（签字）</w:t>
            </w:r>
          </w:p>
        </w:tc>
      </w:tr>
      <w:tr>
        <w:tblPrEx>
          <w:tblCellMar>
            <w:top w:w="0" w:type="dxa"/>
            <w:left w:w="108" w:type="dxa"/>
            <w:bottom w:w="0" w:type="dxa"/>
            <w:right w:w="108" w:type="dxa"/>
          </w:tblCellMar>
        </w:tblPrEx>
        <w:trPr>
          <w:gridAfter w:val="1"/>
          <w:wAfter w:w="4659" w:type="dxa"/>
          <w:trHeight w:val="513" w:hRule="atLeast"/>
        </w:trPr>
        <w:tc>
          <w:tcPr>
            <w:tcW w:w="4581"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                  年    月   日</w:t>
            </w:r>
          </w:p>
        </w:tc>
      </w:tr>
    </w:tbl>
    <w:p>
      <w:pPr>
        <w:pStyle w:val="55"/>
        <w:jc w:val="center"/>
        <w:rPr>
          <w:rFonts w:ascii="宋体" w:hAnsi="宋体"/>
          <w:color w:val="auto"/>
          <w:sz w:val="21"/>
          <w:szCs w:val="21"/>
          <w:highlight w:val="none"/>
        </w:rPr>
      </w:pPr>
      <w:r>
        <w:rPr>
          <w:rFonts w:hint="eastAsia" w:ascii="宋体" w:hAnsi="宋体"/>
          <w:color w:val="auto"/>
          <w:sz w:val="21"/>
          <w:szCs w:val="21"/>
          <w:highlight w:val="none"/>
        </w:rPr>
        <w:br w:type="page"/>
      </w:r>
      <w:bookmarkStart w:id="88" w:name="_Toc23766_WPSOffice_Level2"/>
      <w:bookmarkStart w:id="89" w:name="_Toc19559"/>
      <w:r>
        <w:rPr>
          <w:rFonts w:hint="eastAsia" w:ascii="宋体" w:hAnsi="宋体"/>
          <w:color w:val="auto"/>
          <w:sz w:val="21"/>
          <w:szCs w:val="21"/>
          <w:highlight w:val="none"/>
        </w:rPr>
        <w:t>第二节通用合同条款</w:t>
      </w:r>
      <w:bookmarkEnd w:id="88"/>
      <w:bookmarkEnd w:id="8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一、词语定义及合同文件</w:t>
      </w:r>
      <w:r>
        <w:rPr>
          <w:rFonts w:hint="eastAsia" w:ascii="宋体" w:hAnsi="宋体" w:cs="宋体"/>
          <w:color w:val="auto"/>
          <w:szCs w:val="21"/>
          <w:highlight w:val="none"/>
        </w:rPr>
        <w:br w:type="textWrapping"/>
      </w:r>
      <w:r>
        <w:rPr>
          <w:rFonts w:hint="eastAsia" w:ascii="宋体" w:hAnsi="宋体" w:cs="宋体"/>
          <w:color w:val="auto"/>
          <w:szCs w:val="21"/>
          <w:highlight w:val="none"/>
        </w:rPr>
        <w:t>　　1.词语定义</w:t>
      </w:r>
      <w:r>
        <w:rPr>
          <w:rFonts w:hint="eastAsia" w:ascii="宋体" w:hAnsi="宋体" w:cs="宋体"/>
          <w:color w:val="auto"/>
          <w:szCs w:val="21"/>
          <w:highlight w:val="none"/>
        </w:rPr>
        <w:br w:type="textWrapping"/>
      </w:r>
      <w:r>
        <w:rPr>
          <w:rFonts w:hint="eastAsia" w:ascii="宋体" w:hAnsi="宋体" w:cs="宋体"/>
          <w:color w:val="auto"/>
          <w:szCs w:val="21"/>
          <w:highlight w:val="none"/>
        </w:rPr>
        <w:t>　　下列词语除专用条款另有约定外，应具有本条所赋予的定义：</w:t>
      </w:r>
      <w:r>
        <w:rPr>
          <w:rFonts w:hint="eastAsia" w:ascii="宋体" w:hAnsi="宋体" w:cs="宋体"/>
          <w:color w:val="auto"/>
          <w:szCs w:val="21"/>
          <w:highlight w:val="none"/>
        </w:rPr>
        <w:br w:type="textWrapping"/>
      </w:r>
      <w:r>
        <w:rPr>
          <w:rFonts w:hint="eastAsia" w:ascii="宋体" w:hAnsi="宋体" w:cs="宋体"/>
          <w:color w:val="auto"/>
          <w:szCs w:val="21"/>
          <w:highlight w:val="none"/>
        </w:rPr>
        <w:t>　　1.1通用条款：是根据法律、行政法规规定及建设工程施工的需要订方，通用于建设工程施工的条款。</w:t>
      </w:r>
      <w:r>
        <w:rPr>
          <w:rFonts w:hint="eastAsia" w:ascii="宋体" w:hAnsi="宋体" w:cs="宋体"/>
          <w:color w:val="auto"/>
          <w:szCs w:val="21"/>
          <w:highlight w:val="none"/>
        </w:rPr>
        <w:br w:type="textWrapping"/>
      </w:r>
      <w:r>
        <w:rPr>
          <w:rFonts w:hint="eastAsia" w:ascii="宋体" w:hAnsi="宋体" w:cs="宋体"/>
          <w:color w:val="auto"/>
          <w:szCs w:val="21"/>
          <w:highlight w:val="none"/>
        </w:rPr>
        <w:t>　　1.2专用条款：是发包人与承包人根据法律、行政法规规定，结合具体工程实际，经协商达成一致意见的条款，是对通用条款的具体化、补充或修改。</w:t>
      </w:r>
      <w:r>
        <w:rPr>
          <w:rFonts w:hint="eastAsia" w:ascii="宋体" w:hAnsi="宋体" w:cs="宋体"/>
          <w:color w:val="auto"/>
          <w:szCs w:val="21"/>
          <w:highlight w:val="none"/>
        </w:rPr>
        <w:br w:type="textWrapping"/>
      </w:r>
      <w:r>
        <w:rPr>
          <w:rFonts w:hint="eastAsia" w:ascii="宋体" w:hAnsi="宋体" w:cs="宋体"/>
          <w:color w:val="auto"/>
          <w:szCs w:val="21"/>
          <w:highlight w:val="none"/>
        </w:rPr>
        <w:t>　　1.3发包人：指在协议书中约定，具有工程发包主体资格和支付工程价款能力的当事人以及取得该当事人资格的合法继承人。</w:t>
      </w:r>
      <w:r>
        <w:rPr>
          <w:rFonts w:hint="eastAsia" w:ascii="宋体" w:hAnsi="宋体" w:cs="宋体"/>
          <w:color w:val="auto"/>
          <w:szCs w:val="21"/>
          <w:highlight w:val="none"/>
        </w:rPr>
        <w:br w:type="textWrapping"/>
      </w:r>
      <w:r>
        <w:rPr>
          <w:rFonts w:hint="eastAsia" w:ascii="宋体" w:hAnsi="宋体" w:cs="宋体"/>
          <w:color w:val="auto"/>
          <w:szCs w:val="21"/>
          <w:highlight w:val="none"/>
        </w:rPr>
        <w:t>　　1.4承包人：指在协议书中约定，被发包人接受的具有工程施工承包主体资格的当事人以及取得该当事人资格的合法继承人。</w:t>
      </w:r>
      <w:r>
        <w:rPr>
          <w:rFonts w:hint="eastAsia" w:ascii="宋体" w:hAnsi="宋体" w:cs="宋体"/>
          <w:color w:val="auto"/>
          <w:szCs w:val="21"/>
          <w:highlight w:val="none"/>
        </w:rPr>
        <w:br w:type="textWrapping"/>
      </w:r>
      <w:r>
        <w:rPr>
          <w:rFonts w:hint="eastAsia" w:ascii="宋体" w:hAnsi="宋体" w:cs="宋体"/>
          <w:color w:val="auto"/>
          <w:szCs w:val="21"/>
          <w:highlight w:val="none"/>
        </w:rPr>
        <w:t>　　1.5项目经理：指承包人在专用条款中指定的负责施工管理和合同履行的代表。</w:t>
      </w:r>
      <w:r>
        <w:rPr>
          <w:rFonts w:hint="eastAsia" w:ascii="宋体" w:hAnsi="宋体" w:cs="宋体"/>
          <w:color w:val="auto"/>
          <w:szCs w:val="21"/>
          <w:highlight w:val="none"/>
        </w:rPr>
        <w:br w:type="textWrapping"/>
      </w:r>
      <w:r>
        <w:rPr>
          <w:rFonts w:hint="eastAsia" w:ascii="宋体" w:hAnsi="宋体" w:cs="宋体"/>
          <w:color w:val="auto"/>
          <w:szCs w:val="21"/>
          <w:highlight w:val="none"/>
        </w:rPr>
        <w:t>　　1.6设计单位：指发包人委托的负责本工程设计并取得相应工程设计资质等级证书的单位。</w:t>
      </w:r>
      <w:r>
        <w:rPr>
          <w:rFonts w:hint="eastAsia" w:ascii="宋体" w:hAnsi="宋体" w:cs="宋体"/>
          <w:color w:val="auto"/>
          <w:szCs w:val="21"/>
          <w:highlight w:val="none"/>
        </w:rPr>
        <w:br w:type="textWrapping"/>
      </w:r>
      <w:r>
        <w:rPr>
          <w:rFonts w:hint="eastAsia" w:ascii="宋体" w:hAnsi="宋体" w:cs="宋体"/>
          <w:color w:val="auto"/>
          <w:szCs w:val="21"/>
          <w:highlight w:val="none"/>
        </w:rPr>
        <w:t>　　1.7监理单位：指发包人委托的负责本工程监理并取得相应工程监理资质等级证书的单位。</w:t>
      </w:r>
      <w:r>
        <w:rPr>
          <w:rFonts w:hint="eastAsia" w:ascii="宋体" w:hAnsi="宋体" w:cs="宋体"/>
          <w:color w:val="auto"/>
          <w:szCs w:val="21"/>
          <w:highlight w:val="none"/>
        </w:rPr>
        <w:br w:type="textWrapping"/>
      </w:r>
      <w:r>
        <w:rPr>
          <w:rFonts w:hint="eastAsia" w:ascii="宋体" w:hAnsi="宋体" w:cs="宋体"/>
          <w:color w:val="auto"/>
          <w:szCs w:val="21"/>
          <w:highlight w:val="none"/>
        </w:rPr>
        <w:t>　　1.8工程师：指本工程监理单位委派的总监理工程师或发包人指定的履行本合同的代表，其具体身份和职权由发包人承包人在专用条款中约定。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1.9工程造价管理部门：指国务院有关部门、县级以上人民政府建设行政主管部门或其委托的工程造价管理机构。</w:t>
      </w:r>
      <w:r>
        <w:rPr>
          <w:rFonts w:hint="eastAsia" w:ascii="宋体" w:hAnsi="宋体" w:cs="宋体"/>
          <w:color w:val="auto"/>
          <w:szCs w:val="21"/>
          <w:highlight w:val="none"/>
        </w:rPr>
        <w:br w:type="textWrapping"/>
      </w:r>
      <w:r>
        <w:rPr>
          <w:rFonts w:hint="eastAsia" w:ascii="宋体" w:hAnsi="宋体" w:cs="宋体"/>
          <w:color w:val="auto"/>
          <w:szCs w:val="21"/>
          <w:highlight w:val="none"/>
        </w:rPr>
        <w:t>　　1.10工程：指发包人承包人在协议书中约定的承包范围内的工程。</w:t>
      </w:r>
      <w:r>
        <w:rPr>
          <w:rFonts w:hint="eastAsia" w:ascii="宋体" w:hAnsi="宋体" w:cs="宋体"/>
          <w:color w:val="auto"/>
          <w:szCs w:val="21"/>
          <w:highlight w:val="none"/>
        </w:rPr>
        <w:br w:type="textWrapping"/>
      </w:r>
      <w:r>
        <w:rPr>
          <w:rFonts w:hint="eastAsia" w:ascii="宋体" w:hAnsi="宋体" w:cs="宋体"/>
          <w:color w:val="auto"/>
          <w:szCs w:val="21"/>
          <w:highlight w:val="none"/>
        </w:rPr>
        <w:t>　　1.11合同价款：指发包人承包人在协议书中约定，发包人用以支付承包人按照合同约定完成承包范围内全部工程并承担质量保修责任的款项。</w:t>
      </w:r>
      <w:r>
        <w:rPr>
          <w:rFonts w:hint="eastAsia" w:ascii="宋体" w:hAnsi="宋体" w:cs="宋体"/>
          <w:color w:val="auto"/>
          <w:szCs w:val="21"/>
          <w:highlight w:val="none"/>
        </w:rPr>
        <w:br w:type="textWrapping"/>
      </w:r>
      <w:r>
        <w:rPr>
          <w:rFonts w:hint="eastAsia" w:ascii="宋体" w:hAnsi="宋体" w:cs="宋体"/>
          <w:color w:val="auto"/>
          <w:szCs w:val="21"/>
          <w:highlight w:val="none"/>
        </w:rPr>
        <w:t>　　1.12追加合同价款：指在合同履行中发生需要增加合同价款的情况，经发包人确认后按计算合同价款的方法增加的合同价款。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1.13费用：指不包含在合同价款之内的应当由发包人或承包人承担的经济支出。</w:t>
      </w:r>
      <w:r>
        <w:rPr>
          <w:rFonts w:hint="eastAsia" w:ascii="宋体" w:hAnsi="宋体" w:cs="宋体"/>
          <w:color w:val="auto"/>
          <w:szCs w:val="21"/>
          <w:highlight w:val="none"/>
        </w:rPr>
        <w:br w:type="textWrapping"/>
      </w:r>
      <w:r>
        <w:rPr>
          <w:rFonts w:hint="eastAsia" w:ascii="宋体" w:hAnsi="宋体" w:cs="宋体"/>
          <w:color w:val="auto"/>
          <w:szCs w:val="21"/>
          <w:highlight w:val="none"/>
        </w:rPr>
        <w:t>　　1.14工期；指发包人承包人在协议书中约定，按总日历天数（包括法定节假日）计算的承包天数。</w:t>
      </w:r>
      <w:r>
        <w:rPr>
          <w:rFonts w:hint="eastAsia" w:ascii="宋体" w:hAnsi="宋体" w:cs="宋体"/>
          <w:color w:val="auto"/>
          <w:szCs w:val="21"/>
          <w:highlight w:val="none"/>
        </w:rPr>
        <w:br w:type="textWrapping"/>
      </w:r>
      <w:r>
        <w:rPr>
          <w:rFonts w:hint="eastAsia" w:ascii="宋体" w:hAnsi="宋体" w:cs="宋体"/>
          <w:color w:val="auto"/>
          <w:szCs w:val="21"/>
          <w:highlight w:val="none"/>
        </w:rPr>
        <w:t>　　1.15开工日期：指发包人承包人在协议书中约定，承包人开始施工的绝对或相对的日期。</w:t>
      </w:r>
      <w:r>
        <w:rPr>
          <w:rFonts w:hint="eastAsia" w:ascii="宋体" w:hAnsi="宋体" w:cs="宋体"/>
          <w:color w:val="auto"/>
          <w:szCs w:val="21"/>
          <w:highlight w:val="none"/>
        </w:rPr>
        <w:br w:type="textWrapping"/>
      </w:r>
      <w:r>
        <w:rPr>
          <w:rFonts w:hint="eastAsia" w:ascii="宋体" w:hAnsi="宋体" w:cs="宋体"/>
          <w:color w:val="auto"/>
          <w:szCs w:val="21"/>
          <w:highlight w:val="none"/>
        </w:rPr>
        <w:t>　　1.16竣工日期：指发包人承包人在协议书中约定，承包人完成承包范围内工程的绝对或相对的日期。</w:t>
      </w:r>
      <w:r>
        <w:rPr>
          <w:rFonts w:hint="eastAsia" w:ascii="宋体" w:hAnsi="宋体" w:cs="宋体"/>
          <w:color w:val="auto"/>
          <w:szCs w:val="21"/>
          <w:highlight w:val="none"/>
        </w:rPr>
        <w:br w:type="textWrapping"/>
      </w:r>
      <w:r>
        <w:rPr>
          <w:rFonts w:hint="eastAsia" w:ascii="宋体" w:hAnsi="宋体" w:cs="宋体"/>
          <w:color w:val="auto"/>
          <w:szCs w:val="21"/>
          <w:highlight w:val="none"/>
        </w:rPr>
        <w:t>　　1.17图纸：指由发包人提供或由承包人提供并经发包人批准，满足承包人施工需要的所有图纸（包括配套说明和有关资料）。</w:t>
      </w:r>
      <w:r>
        <w:rPr>
          <w:rFonts w:hint="eastAsia" w:ascii="宋体" w:hAnsi="宋体" w:cs="宋体"/>
          <w:color w:val="auto"/>
          <w:szCs w:val="21"/>
          <w:highlight w:val="none"/>
        </w:rPr>
        <w:br w:type="textWrapping"/>
      </w:r>
      <w:r>
        <w:rPr>
          <w:rFonts w:hint="eastAsia" w:ascii="宋体" w:hAnsi="宋体" w:cs="宋体"/>
          <w:color w:val="auto"/>
          <w:szCs w:val="21"/>
          <w:highlight w:val="none"/>
        </w:rPr>
        <w:t>　　1.18施工场地：指由发包人提供的用于工程施工的场所以及发包人在图纸中具体指定的供施工使用的任何其他场所。</w:t>
      </w:r>
      <w:r>
        <w:rPr>
          <w:rFonts w:hint="eastAsia" w:ascii="宋体" w:hAnsi="宋体" w:cs="宋体"/>
          <w:color w:val="auto"/>
          <w:szCs w:val="21"/>
          <w:highlight w:val="none"/>
        </w:rPr>
        <w:br w:type="textWrapping"/>
      </w:r>
      <w:r>
        <w:rPr>
          <w:rFonts w:hint="eastAsia" w:ascii="宋体" w:hAnsi="宋体" w:cs="宋体"/>
          <w:color w:val="auto"/>
          <w:szCs w:val="21"/>
          <w:highlight w:val="none"/>
        </w:rPr>
        <w:t>　　1.19书面形式：指合同书、信件和数据电文（包括电报、电传、传真、电子数据交换和电子邮件）等可以有形地表现所载内容的形式。</w:t>
      </w:r>
      <w:r>
        <w:rPr>
          <w:rFonts w:hint="eastAsia" w:ascii="宋体" w:hAnsi="宋体" w:cs="宋体"/>
          <w:color w:val="auto"/>
          <w:szCs w:val="21"/>
          <w:highlight w:val="none"/>
        </w:rPr>
        <w:br w:type="textWrapping"/>
      </w:r>
      <w:r>
        <w:rPr>
          <w:rFonts w:hint="eastAsia" w:ascii="宋体" w:hAnsi="宋体" w:cs="宋体"/>
          <w:color w:val="auto"/>
          <w:szCs w:val="21"/>
          <w:highlight w:val="none"/>
        </w:rPr>
        <w:t>　　1.20违约责任：指合同一方不履行合同义务或履行合同义务不符合约定所应承担的责任。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1.21索赔：指在合同履行过程中，对于并非自己的过错，而是应由对方承担责任的情况造成的实际损失，向对方提出经济补偿和（或）工期顺延的要求。</w:t>
      </w:r>
      <w:r>
        <w:rPr>
          <w:rFonts w:hint="eastAsia" w:ascii="宋体" w:hAnsi="宋体" w:cs="宋体"/>
          <w:color w:val="auto"/>
          <w:szCs w:val="21"/>
          <w:highlight w:val="none"/>
        </w:rPr>
        <w:br w:type="textWrapping"/>
      </w:r>
      <w:r>
        <w:rPr>
          <w:rFonts w:hint="eastAsia" w:ascii="宋体" w:hAnsi="宋体" w:cs="宋体"/>
          <w:color w:val="auto"/>
          <w:szCs w:val="21"/>
          <w:highlight w:val="none"/>
        </w:rPr>
        <w:t>　　1.22不可抗力：指不能预见、不能避免并不能克服的客观情况。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r>
        <w:rPr>
          <w:rFonts w:hint="eastAsia" w:ascii="宋体" w:hAnsi="宋体" w:cs="宋体"/>
          <w:color w:val="auto"/>
          <w:szCs w:val="21"/>
          <w:highlight w:val="none"/>
        </w:rPr>
        <w:br w:type="textWrapping"/>
      </w:r>
      <w:r>
        <w:rPr>
          <w:rFonts w:hint="eastAsia" w:ascii="宋体" w:hAnsi="宋体" w:cs="宋体"/>
          <w:color w:val="auto"/>
          <w:szCs w:val="21"/>
          <w:highlight w:val="none"/>
        </w:rPr>
        <w:t>　　2.合同文件及解释顺序</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2.1合同文件应能相互解释，互为说明。除专用条款另有约定外，组成本合同的文件及优先解释顺序如下：</w:t>
      </w:r>
      <w:r>
        <w:rPr>
          <w:rFonts w:hint="eastAsia" w:ascii="宋体" w:hAnsi="宋体" w:cs="宋体"/>
          <w:color w:val="auto"/>
          <w:szCs w:val="21"/>
          <w:highlight w:val="none"/>
        </w:rPr>
        <w:br w:type="textWrapping"/>
      </w:r>
      <w:r>
        <w:rPr>
          <w:rFonts w:hint="eastAsia" w:ascii="宋体" w:hAnsi="宋体" w:cs="宋体"/>
          <w:color w:val="auto"/>
          <w:szCs w:val="21"/>
          <w:highlight w:val="none"/>
        </w:rPr>
        <w:t>　　（1）本合同协议书</w:t>
      </w:r>
      <w:r>
        <w:rPr>
          <w:rFonts w:hint="eastAsia" w:ascii="宋体" w:hAnsi="宋体" w:cs="宋体"/>
          <w:color w:val="auto"/>
          <w:szCs w:val="21"/>
          <w:highlight w:val="none"/>
        </w:rPr>
        <w:br w:type="textWrapping"/>
      </w:r>
      <w:r>
        <w:rPr>
          <w:rFonts w:hint="eastAsia" w:ascii="宋体" w:hAnsi="宋体" w:cs="宋体"/>
          <w:color w:val="auto"/>
          <w:szCs w:val="21"/>
          <w:highlight w:val="none"/>
        </w:rPr>
        <w:t>　　（2）中标通知书</w:t>
      </w:r>
      <w:r>
        <w:rPr>
          <w:rFonts w:hint="eastAsia" w:ascii="宋体" w:hAnsi="宋体" w:cs="宋体"/>
          <w:color w:val="auto"/>
          <w:szCs w:val="21"/>
          <w:highlight w:val="none"/>
        </w:rPr>
        <w:br w:type="textWrapping"/>
      </w:r>
      <w:r>
        <w:rPr>
          <w:rFonts w:hint="eastAsia" w:ascii="宋体" w:hAnsi="宋体" w:cs="宋体"/>
          <w:color w:val="auto"/>
          <w:szCs w:val="21"/>
          <w:highlight w:val="none"/>
        </w:rPr>
        <w:t>　　（3）投标书及其附件</w:t>
      </w:r>
      <w:r>
        <w:rPr>
          <w:rFonts w:hint="eastAsia" w:ascii="宋体" w:hAnsi="宋体" w:cs="宋体"/>
          <w:color w:val="auto"/>
          <w:szCs w:val="21"/>
          <w:highlight w:val="none"/>
        </w:rPr>
        <w:br w:type="textWrapping"/>
      </w:r>
      <w:r>
        <w:rPr>
          <w:rFonts w:hint="eastAsia" w:ascii="宋体" w:hAnsi="宋体" w:cs="宋体"/>
          <w:color w:val="auto"/>
          <w:szCs w:val="21"/>
          <w:highlight w:val="none"/>
        </w:rPr>
        <w:t>　　（4）本合同专用条款</w:t>
      </w:r>
      <w:r>
        <w:rPr>
          <w:rFonts w:hint="eastAsia" w:ascii="宋体" w:hAnsi="宋体" w:cs="宋体"/>
          <w:color w:val="auto"/>
          <w:szCs w:val="21"/>
          <w:highlight w:val="none"/>
        </w:rPr>
        <w:br w:type="textWrapping"/>
      </w:r>
      <w:r>
        <w:rPr>
          <w:rFonts w:hint="eastAsia" w:ascii="宋体" w:hAnsi="宋体" w:cs="宋体"/>
          <w:color w:val="auto"/>
          <w:szCs w:val="21"/>
          <w:highlight w:val="none"/>
        </w:rPr>
        <w:t>　　（5）本合同通用条款</w:t>
      </w:r>
      <w:r>
        <w:rPr>
          <w:rFonts w:hint="eastAsia" w:ascii="宋体" w:hAnsi="宋体" w:cs="宋体"/>
          <w:color w:val="auto"/>
          <w:szCs w:val="21"/>
          <w:highlight w:val="none"/>
        </w:rPr>
        <w:br w:type="textWrapping"/>
      </w:r>
      <w:r>
        <w:rPr>
          <w:rFonts w:hint="eastAsia" w:ascii="宋体" w:hAnsi="宋体" w:cs="宋体"/>
          <w:color w:val="auto"/>
          <w:szCs w:val="21"/>
          <w:highlight w:val="none"/>
        </w:rPr>
        <w:t>　　（6）标准、规范及有关技术文件</w:t>
      </w:r>
      <w:r>
        <w:rPr>
          <w:rFonts w:hint="eastAsia" w:ascii="宋体" w:hAnsi="宋体" w:cs="宋体"/>
          <w:color w:val="auto"/>
          <w:szCs w:val="21"/>
          <w:highlight w:val="none"/>
        </w:rPr>
        <w:br w:type="textWrapping"/>
      </w:r>
      <w:r>
        <w:rPr>
          <w:rFonts w:hint="eastAsia" w:ascii="宋体" w:hAnsi="宋体" w:cs="宋体"/>
          <w:color w:val="auto"/>
          <w:szCs w:val="21"/>
          <w:highlight w:val="none"/>
        </w:rPr>
        <w:t>　　（7）图纸</w:t>
      </w:r>
      <w:r>
        <w:rPr>
          <w:rFonts w:hint="eastAsia" w:ascii="宋体" w:hAnsi="宋体" w:cs="宋体"/>
          <w:color w:val="auto"/>
          <w:szCs w:val="21"/>
          <w:highlight w:val="none"/>
        </w:rPr>
        <w:br w:type="textWrapping"/>
      </w:r>
      <w:r>
        <w:rPr>
          <w:rFonts w:hint="eastAsia" w:ascii="宋体" w:hAnsi="宋体" w:cs="宋体"/>
          <w:color w:val="auto"/>
          <w:szCs w:val="21"/>
          <w:highlight w:val="none"/>
        </w:rPr>
        <w:t>　　（8）工程量清单</w:t>
      </w:r>
      <w:r>
        <w:rPr>
          <w:rFonts w:hint="eastAsia" w:ascii="宋体" w:hAnsi="宋体" w:cs="宋体"/>
          <w:color w:val="auto"/>
          <w:szCs w:val="21"/>
          <w:highlight w:val="none"/>
        </w:rPr>
        <w:br w:type="textWrapping"/>
      </w:r>
      <w:r>
        <w:rPr>
          <w:rFonts w:hint="eastAsia" w:ascii="宋体" w:hAnsi="宋体" w:cs="宋体"/>
          <w:color w:val="auto"/>
          <w:szCs w:val="21"/>
          <w:highlight w:val="none"/>
        </w:rPr>
        <w:t>　　（9）工程报价单或预算书</w:t>
      </w:r>
      <w:r>
        <w:rPr>
          <w:rFonts w:hint="eastAsia" w:ascii="宋体" w:hAnsi="宋体" w:cs="宋体"/>
          <w:color w:val="auto"/>
          <w:szCs w:val="21"/>
          <w:highlight w:val="none"/>
        </w:rPr>
        <w:br w:type="textWrapping"/>
      </w:r>
      <w:r>
        <w:rPr>
          <w:rFonts w:hint="eastAsia" w:ascii="宋体" w:hAnsi="宋体" w:cs="宋体"/>
          <w:color w:val="auto"/>
          <w:szCs w:val="21"/>
          <w:highlight w:val="none"/>
        </w:rPr>
        <w:t>　　合同履行中，发包人承包人有关工程的洽商、变更等书面协议或文件视为本合同的组成部分。</w:t>
      </w:r>
      <w:r>
        <w:rPr>
          <w:rFonts w:hint="eastAsia" w:ascii="宋体" w:hAnsi="宋体" w:cs="宋体"/>
          <w:color w:val="auto"/>
          <w:szCs w:val="21"/>
          <w:highlight w:val="none"/>
        </w:rPr>
        <w:br w:type="textWrapping"/>
      </w:r>
      <w:r>
        <w:rPr>
          <w:rFonts w:hint="eastAsia" w:ascii="宋体" w:hAnsi="宋体" w:cs="宋体"/>
          <w:color w:val="auto"/>
          <w:szCs w:val="21"/>
          <w:highlight w:val="none"/>
        </w:rPr>
        <w:t>　　2.2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3.语言文字和适用法律、标准及规范</w:t>
      </w:r>
      <w:r>
        <w:rPr>
          <w:rFonts w:hint="eastAsia" w:ascii="宋体" w:hAnsi="宋体" w:cs="宋体"/>
          <w:color w:val="auto"/>
          <w:szCs w:val="21"/>
          <w:highlight w:val="none"/>
        </w:rPr>
        <w:br w:type="textWrapping"/>
      </w:r>
      <w:r>
        <w:rPr>
          <w:rFonts w:hint="eastAsia" w:ascii="宋体" w:hAnsi="宋体" w:cs="宋体"/>
          <w:color w:val="auto"/>
          <w:szCs w:val="21"/>
          <w:highlight w:val="none"/>
        </w:rPr>
        <w:t>　　3.1语言文字</w:t>
      </w:r>
      <w:r>
        <w:rPr>
          <w:rFonts w:hint="eastAsia" w:ascii="宋体" w:hAnsi="宋体" w:cs="宋体"/>
          <w:color w:val="auto"/>
          <w:szCs w:val="21"/>
          <w:highlight w:val="none"/>
        </w:rPr>
        <w:br w:type="textWrapping"/>
      </w:r>
      <w:r>
        <w:rPr>
          <w:rFonts w:hint="eastAsia" w:ascii="宋体" w:hAnsi="宋体" w:cs="宋体"/>
          <w:color w:val="auto"/>
          <w:szCs w:val="21"/>
          <w:highlight w:val="none"/>
        </w:rPr>
        <w:t>　　本合同文件使用汉语语言文字书写、解释和说明。如专用条款约定使用两种以上（含两种）语言文字时，汉语应为解释和说明本合同的标准语言文字。</w:t>
      </w:r>
      <w:r>
        <w:rPr>
          <w:rFonts w:hint="eastAsia" w:ascii="宋体" w:hAnsi="宋体" w:cs="宋体"/>
          <w:color w:val="auto"/>
          <w:szCs w:val="21"/>
          <w:highlight w:val="none"/>
        </w:rPr>
        <w:br w:type="textWrapping"/>
      </w:r>
      <w:r>
        <w:rPr>
          <w:rFonts w:hint="eastAsia" w:ascii="宋体" w:hAnsi="宋体" w:cs="宋体"/>
          <w:color w:val="auto"/>
          <w:szCs w:val="21"/>
          <w:highlight w:val="none"/>
        </w:rPr>
        <w:t>　　在少数民族地区，双方可以约定使用少数民族语言文字书写和解释、说明本合同。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3.2适用法律和法规</w:t>
      </w:r>
      <w:r>
        <w:rPr>
          <w:rFonts w:hint="eastAsia" w:ascii="宋体" w:hAnsi="宋体" w:cs="宋体"/>
          <w:color w:val="auto"/>
          <w:szCs w:val="21"/>
          <w:highlight w:val="none"/>
        </w:rPr>
        <w:br w:type="textWrapping"/>
      </w:r>
      <w:r>
        <w:rPr>
          <w:rFonts w:hint="eastAsia" w:ascii="宋体" w:hAnsi="宋体" w:cs="宋体"/>
          <w:color w:val="auto"/>
          <w:szCs w:val="21"/>
          <w:highlight w:val="none"/>
        </w:rPr>
        <w:t>　　本合同文件适用国家的法律和行政法规。需要明示的法律、行政法规，由双方在专用条款中约定。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3.3适用标准、规范</w:t>
      </w:r>
      <w:r>
        <w:rPr>
          <w:rFonts w:hint="eastAsia" w:ascii="宋体" w:hAnsi="宋体" w:cs="宋体"/>
          <w:color w:val="auto"/>
          <w:szCs w:val="21"/>
          <w:highlight w:val="none"/>
        </w:rPr>
        <w:br w:type="textWrapping"/>
      </w:r>
      <w:r>
        <w:rPr>
          <w:rFonts w:hint="eastAsia" w:ascii="宋体" w:hAnsi="宋体" w:cs="宋体"/>
          <w:color w:val="auto"/>
          <w:szCs w:val="21"/>
          <w:highlight w:val="none"/>
        </w:rPr>
        <w:t>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r>
        <w:rPr>
          <w:rFonts w:hint="eastAsia" w:ascii="宋体" w:hAnsi="宋体" w:cs="宋体"/>
          <w:color w:val="auto"/>
          <w:szCs w:val="21"/>
          <w:highlight w:val="none"/>
        </w:rPr>
        <w:br w:type="textWrapping"/>
      </w:r>
      <w:r>
        <w:rPr>
          <w:rFonts w:hint="eastAsia" w:ascii="宋体" w:hAnsi="宋体" w:cs="宋体"/>
          <w:color w:val="auto"/>
          <w:szCs w:val="21"/>
          <w:highlight w:val="none"/>
        </w:rPr>
        <w:t>　　国内没有相应标准、规范的，由发包人按专用条款约定的时间向承包人提出施工技术要求，承包人按约定的时间和要求提出施工工艺，经发包人认可后执行。发包人要求使用国外标准、规范的，应负责提供中文译本。</w:t>
      </w:r>
      <w:r>
        <w:rPr>
          <w:rFonts w:hint="eastAsia" w:ascii="宋体" w:hAnsi="宋体" w:cs="宋体"/>
          <w:color w:val="auto"/>
          <w:szCs w:val="21"/>
          <w:highlight w:val="none"/>
        </w:rPr>
        <w:br w:type="textWrapping"/>
      </w:r>
      <w:r>
        <w:rPr>
          <w:rFonts w:hint="eastAsia" w:ascii="宋体" w:hAnsi="宋体" w:cs="宋体"/>
          <w:color w:val="auto"/>
          <w:szCs w:val="21"/>
          <w:highlight w:val="none"/>
        </w:rPr>
        <w:t>　　本条所发生的购买、翻译标准、规范或制定施工工艺的费用，由发包人承担。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4.图纸</w:t>
      </w:r>
      <w:r>
        <w:rPr>
          <w:rFonts w:hint="eastAsia" w:ascii="宋体" w:hAnsi="宋体" w:cs="宋体"/>
          <w:color w:val="auto"/>
          <w:szCs w:val="21"/>
          <w:highlight w:val="none"/>
        </w:rPr>
        <w:br w:type="textWrapping"/>
      </w:r>
      <w:r>
        <w:rPr>
          <w:rFonts w:hint="eastAsia" w:ascii="宋体" w:hAnsi="宋体" w:cs="宋体"/>
          <w:color w:val="auto"/>
          <w:szCs w:val="21"/>
          <w:highlight w:val="none"/>
        </w:rPr>
        <w:t>　　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4.2承包人未经发包人同意，不得将本工程图纸转给第三人。工程质量保修期满后，除承包人存档需要的图纸外，应将全部图纸退还给发包人。</w:t>
      </w:r>
      <w:r>
        <w:rPr>
          <w:rFonts w:hint="eastAsia" w:ascii="宋体" w:hAnsi="宋体" w:cs="宋体"/>
          <w:color w:val="auto"/>
          <w:szCs w:val="21"/>
          <w:highlight w:val="none"/>
        </w:rPr>
        <w:br w:type="textWrapping"/>
      </w:r>
      <w:r>
        <w:rPr>
          <w:rFonts w:hint="eastAsia" w:ascii="宋体" w:hAnsi="宋体" w:cs="宋体"/>
          <w:color w:val="auto"/>
          <w:szCs w:val="21"/>
          <w:highlight w:val="none"/>
        </w:rPr>
        <w:t>　　4.3承包人应在施工现场保留一套完整图纸，供工程师及有关人员进行工程检查时使用。</w:t>
      </w:r>
      <w:r>
        <w:rPr>
          <w:rFonts w:hint="eastAsia" w:ascii="宋体" w:hAnsi="宋体" w:cs="宋体"/>
          <w:color w:val="auto"/>
          <w:szCs w:val="21"/>
          <w:highlight w:val="none"/>
        </w:rPr>
        <w:br w:type="textWrapping"/>
      </w:r>
      <w:r>
        <w:rPr>
          <w:rFonts w:hint="eastAsia" w:ascii="宋体" w:hAnsi="宋体" w:cs="宋体"/>
          <w:color w:val="auto"/>
          <w:szCs w:val="21"/>
          <w:highlight w:val="none"/>
        </w:rPr>
        <w:t>　　二、双方一般权利和义务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5.工程师</w:t>
      </w:r>
      <w:r>
        <w:rPr>
          <w:rFonts w:hint="eastAsia" w:ascii="宋体" w:hAnsi="宋体" w:cs="宋体"/>
          <w:color w:val="auto"/>
          <w:szCs w:val="21"/>
          <w:highlight w:val="none"/>
        </w:rPr>
        <w:br w:type="textWrapping"/>
      </w:r>
      <w:r>
        <w:rPr>
          <w:rFonts w:hint="eastAsia" w:ascii="宋体" w:hAnsi="宋体" w:cs="宋体"/>
          <w:color w:val="auto"/>
          <w:szCs w:val="21"/>
          <w:highlight w:val="none"/>
        </w:rPr>
        <w:t>　　5.1实行工程监理的，发包人应在实施监理前将委托的监理单位名称、监理内容及监理权限以书面形式通知承包人。</w:t>
      </w:r>
      <w:r>
        <w:rPr>
          <w:rFonts w:hint="eastAsia" w:ascii="宋体" w:hAnsi="宋体" w:cs="宋体"/>
          <w:color w:val="auto"/>
          <w:szCs w:val="21"/>
          <w:highlight w:val="none"/>
        </w:rPr>
        <w:br w:type="textWrapping"/>
      </w:r>
      <w:r>
        <w:rPr>
          <w:rFonts w:hint="eastAsia" w:ascii="宋体" w:hAnsi="宋体" w:cs="宋体"/>
          <w:color w:val="auto"/>
          <w:szCs w:val="21"/>
          <w:highlight w:val="none"/>
        </w:rPr>
        <w:t>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r>
        <w:rPr>
          <w:rFonts w:hint="eastAsia" w:ascii="宋体" w:hAnsi="宋体" w:cs="宋体"/>
          <w:color w:val="auto"/>
          <w:szCs w:val="21"/>
          <w:highlight w:val="none"/>
        </w:rPr>
        <w:br w:type="textWrapping"/>
      </w:r>
      <w:r>
        <w:rPr>
          <w:rFonts w:hint="eastAsia" w:ascii="宋体" w:hAnsi="宋体" w:cs="宋体"/>
          <w:color w:val="auto"/>
          <w:szCs w:val="21"/>
          <w:highlight w:val="none"/>
        </w:rPr>
        <w:t>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r>
        <w:rPr>
          <w:rFonts w:hint="eastAsia" w:ascii="宋体" w:hAnsi="宋体" w:cs="宋体"/>
          <w:color w:val="auto"/>
          <w:szCs w:val="21"/>
          <w:highlight w:val="none"/>
        </w:rPr>
        <w:br w:type="textWrapping"/>
      </w:r>
      <w:r>
        <w:rPr>
          <w:rFonts w:hint="eastAsia" w:ascii="宋体" w:hAnsi="宋体" w:cs="宋体"/>
          <w:color w:val="auto"/>
          <w:szCs w:val="21"/>
          <w:highlight w:val="none"/>
        </w:rPr>
        <w:t>　　5.4合同履行中，发生影响发包人承包人双方权利或义务的事件时，负责监理的工程师应依据合同在其职权范围内客观公正地进行处理。一方对工程师的处理有异议时，按本通用条款条37条关于争议的约定处理。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5.5除合同内有明确约定或经发包人同意外，负责监理的工程师无权解除本合同约定的承包人的任何权利与义务。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5.6不实行工程监理的，本合同中工程师专指发包人派驻施工场地履行合同的代表，其具体职权由发包人在专用条款内写明。</w:t>
      </w:r>
      <w:r>
        <w:rPr>
          <w:rFonts w:hint="eastAsia" w:ascii="宋体" w:hAnsi="宋体" w:cs="宋体"/>
          <w:color w:val="auto"/>
          <w:szCs w:val="21"/>
          <w:highlight w:val="none"/>
        </w:rPr>
        <w:br w:type="textWrapping"/>
      </w:r>
      <w:r>
        <w:rPr>
          <w:rFonts w:hint="eastAsia" w:ascii="宋体" w:hAnsi="宋体" w:cs="宋体"/>
          <w:color w:val="auto"/>
          <w:szCs w:val="21"/>
          <w:highlight w:val="none"/>
        </w:rPr>
        <w:t>　　6.工程师的委派和指令</w:t>
      </w:r>
      <w:r>
        <w:rPr>
          <w:rFonts w:hint="eastAsia" w:ascii="宋体" w:hAnsi="宋体" w:cs="宋体"/>
          <w:color w:val="auto"/>
          <w:szCs w:val="21"/>
          <w:highlight w:val="none"/>
        </w:rPr>
        <w:br w:type="textWrapping"/>
      </w:r>
      <w:r>
        <w:rPr>
          <w:rFonts w:hint="eastAsia" w:ascii="宋体" w:hAnsi="宋体" w:cs="宋体"/>
          <w:color w:val="auto"/>
          <w:szCs w:val="21"/>
          <w:highlight w:val="none"/>
        </w:rPr>
        <w:t>　　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r>
        <w:rPr>
          <w:rFonts w:hint="eastAsia" w:ascii="宋体" w:hAnsi="宋体" w:cs="宋体"/>
          <w:color w:val="auto"/>
          <w:szCs w:val="21"/>
          <w:highlight w:val="none"/>
        </w:rPr>
        <w:br w:type="textWrapping"/>
      </w:r>
      <w:r>
        <w:rPr>
          <w:rFonts w:hint="eastAsia" w:ascii="宋体" w:hAnsi="宋体" w:cs="宋体"/>
          <w:color w:val="auto"/>
          <w:szCs w:val="21"/>
          <w:highlight w:val="none"/>
        </w:rPr>
        <w:t>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hint="eastAsia" w:ascii="宋体" w:hAnsi="宋体" w:cs="宋体"/>
          <w:color w:val="auto"/>
          <w:szCs w:val="21"/>
          <w:highlight w:val="none"/>
        </w:rPr>
        <w:br w:type="textWrapping"/>
      </w:r>
      <w:r>
        <w:rPr>
          <w:rFonts w:hint="eastAsia" w:ascii="宋体" w:hAnsi="宋体" w:cs="宋体"/>
          <w:color w:val="auto"/>
          <w:szCs w:val="21"/>
          <w:highlight w:val="none"/>
        </w:rPr>
        <w:t>　　除工程师或工程师代表外，发包人派驻工地的其他人员均无权向承包人发出任何指令。</w:t>
      </w:r>
      <w:r>
        <w:rPr>
          <w:rFonts w:hint="eastAsia" w:ascii="宋体" w:hAnsi="宋体" w:cs="宋体"/>
          <w:color w:val="auto"/>
          <w:szCs w:val="21"/>
          <w:highlight w:val="none"/>
        </w:rPr>
        <w:br w:type="textWrapping"/>
      </w:r>
      <w:r>
        <w:rPr>
          <w:rFonts w:hint="eastAsia" w:ascii="宋体" w:hAnsi="宋体" w:cs="宋体"/>
          <w:color w:val="auto"/>
          <w:szCs w:val="21"/>
          <w:highlight w:val="none"/>
        </w:rPr>
        <w:t>　　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r>
        <w:rPr>
          <w:rFonts w:hint="eastAsia" w:ascii="宋体" w:hAnsi="宋体" w:cs="宋体"/>
          <w:color w:val="auto"/>
          <w:szCs w:val="21"/>
          <w:highlight w:val="none"/>
        </w:rPr>
        <w:br w:type="textWrapping"/>
      </w:r>
      <w:r>
        <w:rPr>
          <w:rFonts w:hint="eastAsia" w:ascii="宋体" w:hAnsi="宋体" w:cs="宋体"/>
          <w:color w:val="auto"/>
          <w:szCs w:val="21"/>
          <w:highlight w:val="none"/>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本款规定同样适用于由工程师代表发出的指令、通知。</w:t>
      </w:r>
      <w:r>
        <w:rPr>
          <w:rFonts w:hint="eastAsia" w:ascii="宋体" w:hAnsi="宋体" w:cs="宋体"/>
          <w:color w:val="auto"/>
          <w:szCs w:val="21"/>
          <w:highlight w:val="none"/>
        </w:rPr>
        <w:br w:type="textWrapping"/>
      </w:r>
      <w:r>
        <w:rPr>
          <w:rFonts w:hint="eastAsia" w:ascii="宋体" w:hAnsi="宋体" w:cs="宋体"/>
          <w:color w:val="auto"/>
          <w:szCs w:val="21"/>
          <w:highlight w:val="none"/>
        </w:rPr>
        <w:t>　　6.3工程师应按合同约定，及时向承包人提供所需指令、批准并履行约定的其他义务。由于工程师未能按合同约定履行义务造成工期延误，发包人应承担延误造成的追加合同价款，并赔偿承包人有关损失，顺延延误的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6.4如需更换工程师，发包人应至少提前7天以书面形式通知承包人，后任继续行使合同文件约定的前任的职权，履行前任的义务。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7.项目经理</w:t>
      </w:r>
      <w:r>
        <w:rPr>
          <w:rFonts w:hint="eastAsia" w:ascii="宋体" w:hAnsi="宋体" w:cs="宋体"/>
          <w:color w:val="auto"/>
          <w:szCs w:val="21"/>
          <w:highlight w:val="none"/>
        </w:rPr>
        <w:br w:type="textWrapping"/>
      </w:r>
      <w:r>
        <w:rPr>
          <w:rFonts w:hint="eastAsia" w:ascii="宋体" w:hAnsi="宋体" w:cs="宋体"/>
          <w:color w:val="auto"/>
          <w:szCs w:val="21"/>
          <w:highlight w:val="none"/>
        </w:rPr>
        <w:t>　　7.1项目经理的姓名、职务在专用条款内写明。</w:t>
      </w:r>
      <w:r>
        <w:rPr>
          <w:rFonts w:hint="eastAsia" w:ascii="宋体" w:hAnsi="宋体" w:cs="宋体"/>
          <w:color w:val="auto"/>
          <w:szCs w:val="21"/>
          <w:highlight w:val="none"/>
        </w:rPr>
        <w:br w:type="textWrapping"/>
      </w:r>
      <w:r>
        <w:rPr>
          <w:rFonts w:hint="eastAsia" w:ascii="宋体" w:hAnsi="宋体" w:cs="宋体"/>
          <w:color w:val="auto"/>
          <w:szCs w:val="21"/>
          <w:highlight w:val="none"/>
        </w:rPr>
        <w:t>　　7.2承包人依据合同发出的通知，以书面形式由项目经理签字后送交工程师，工程师在回执上签署姓名和收到时间后生效。</w:t>
      </w:r>
      <w:r>
        <w:rPr>
          <w:rFonts w:hint="eastAsia" w:ascii="宋体" w:hAnsi="宋体" w:cs="宋体"/>
          <w:color w:val="auto"/>
          <w:szCs w:val="21"/>
          <w:highlight w:val="none"/>
        </w:rPr>
        <w:br w:type="textWrapping"/>
      </w:r>
      <w:r>
        <w:rPr>
          <w:rFonts w:hint="eastAsia" w:ascii="宋体" w:hAnsi="宋体" w:cs="宋体"/>
          <w:color w:val="auto"/>
          <w:szCs w:val="21"/>
          <w:highlight w:val="none"/>
        </w:rPr>
        <w:t>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7.4承包人如需更换项目经理，应至少提前7天以书面形式通知发包人，并征得发包人同意。后任继续行使合同文件约定的前任的职权，履行前任的义务。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7.5发包人可以与承包人协商，建议更换其认为不称职的项目经理。</w:t>
      </w:r>
      <w:r>
        <w:rPr>
          <w:rFonts w:hint="eastAsia" w:ascii="宋体" w:hAnsi="宋体" w:cs="宋体"/>
          <w:color w:val="auto"/>
          <w:szCs w:val="21"/>
          <w:highlight w:val="none"/>
        </w:rPr>
        <w:br w:type="textWrapping"/>
      </w:r>
      <w:r>
        <w:rPr>
          <w:rFonts w:hint="eastAsia" w:ascii="宋体" w:hAnsi="宋体" w:cs="宋体"/>
          <w:color w:val="auto"/>
          <w:szCs w:val="21"/>
          <w:highlight w:val="none"/>
        </w:rPr>
        <w:t>　　8.发包人工作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8.1发包人按专用条款约定的内容和时间完成以下工作：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（1）办理土地征用、拆迁补偿、平整施工场地等工作，使施工场地具备施工条件，在开工后继续负责解决以上事项遗留问题；</w:t>
      </w:r>
      <w:r>
        <w:rPr>
          <w:rFonts w:hint="eastAsia" w:ascii="宋体" w:hAnsi="宋体" w:cs="宋体"/>
          <w:color w:val="auto"/>
          <w:szCs w:val="21"/>
          <w:highlight w:val="none"/>
        </w:rPr>
        <w:br w:type="textWrapping"/>
      </w:r>
      <w:r>
        <w:rPr>
          <w:rFonts w:hint="eastAsia" w:ascii="宋体" w:hAnsi="宋体" w:cs="宋体"/>
          <w:color w:val="auto"/>
          <w:szCs w:val="21"/>
          <w:highlight w:val="none"/>
        </w:rPr>
        <w:t>　　（2）将施工所需水、电、电讯线路从施工场地外部接至专用条款约定地点，保证施工期间的需要；</w:t>
      </w:r>
      <w:r>
        <w:rPr>
          <w:rFonts w:hint="eastAsia" w:ascii="宋体" w:hAnsi="宋体" w:cs="宋体"/>
          <w:color w:val="auto"/>
          <w:szCs w:val="21"/>
          <w:highlight w:val="none"/>
        </w:rPr>
        <w:br w:type="textWrapping"/>
      </w:r>
      <w:r>
        <w:rPr>
          <w:rFonts w:hint="eastAsia" w:ascii="宋体" w:hAnsi="宋体" w:cs="宋体"/>
          <w:color w:val="auto"/>
          <w:szCs w:val="21"/>
          <w:highlight w:val="none"/>
        </w:rPr>
        <w:t>　　（3）开通施工场地与城乡公共道路的通道，以及专用条款约定的施工场地内的主要道路，满足施工运输的需要，保证施工期间的畅通；</w:t>
      </w:r>
      <w:r>
        <w:rPr>
          <w:rFonts w:hint="eastAsia" w:ascii="宋体" w:hAnsi="宋体" w:cs="宋体"/>
          <w:color w:val="auto"/>
          <w:szCs w:val="21"/>
          <w:highlight w:val="none"/>
        </w:rPr>
        <w:br w:type="textWrapping"/>
      </w:r>
      <w:r>
        <w:rPr>
          <w:rFonts w:hint="eastAsia" w:ascii="宋体" w:hAnsi="宋体" w:cs="宋体"/>
          <w:color w:val="auto"/>
          <w:szCs w:val="21"/>
          <w:highlight w:val="none"/>
        </w:rPr>
        <w:t>　　（4）向承包人提供施工场地的工程地质和地下管线资料，对资料的真实准确性负责；</w:t>
      </w:r>
      <w:r>
        <w:rPr>
          <w:rFonts w:hint="eastAsia" w:ascii="宋体" w:hAnsi="宋体" w:cs="宋体"/>
          <w:color w:val="auto"/>
          <w:szCs w:val="21"/>
          <w:highlight w:val="none"/>
        </w:rPr>
        <w:br w:type="textWrapping"/>
      </w:r>
      <w:r>
        <w:rPr>
          <w:rFonts w:hint="eastAsia" w:ascii="宋体" w:hAnsi="宋体" w:cs="宋体"/>
          <w:color w:val="auto"/>
          <w:szCs w:val="21"/>
          <w:highlight w:val="none"/>
        </w:rPr>
        <w:t>　　（5）办理施工许可证及其他施工所需证件、批件和临时用地、停水、停电、中断道路交通、爆破作业等的申请批准手续（证明承包人自身资质的证件除外）；</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（6）确定水准点与座标控制点，以书面形式交给承包人，进行现场交验；</w:t>
      </w:r>
      <w:r>
        <w:rPr>
          <w:rFonts w:hint="eastAsia" w:ascii="宋体" w:hAnsi="宋体" w:cs="宋体"/>
          <w:color w:val="auto"/>
          <w:szCs w:val="21"/>
          <w:highlight w:val="none"/>
        </w:rPr>
        <w:br w:type="textWrapping"/>
      </w:r>
      <w:r>
        <w:rPr>
          <w:rFonts w:hint="eastAsia" w:ascii="宋体" w:hAnsi="宋体" w:cs="宋体"/>
          <w:color w:val="auto"/>
          <w:szCs w:val="21"/>
          <w:highlight w:val="none"/>
        </w:rPr>
        <w:t>　　（7）组织承包人和设计单位进行图纸会审和设计交底；</w:t>
      </w:r>
      <w:r>
        <w:rPr>
          <w:rFonts w:hint="eastAsia" w:ascii="宋体" w:hAnsi="宋体" w:cs="宋体"/>
          <w:color w:val="auto"/>
          <w:szCs w:val="21"/>
          <w:highlight w:val="none"/>
        </w:rPr>
        <w:br w:type="textWrapping"/>
      </w:r>
      <w:r>
        <w:rPr>
          <w:rFonts w:hint="eastAsia" w:ascii="宋体" w:hAnsi="宋体" w:cs="宋体"/>
          <w:color w:val="auto"/>
          <w:szCs w:val="21"/>
          <w:highlight w:val="none"/>
        </w:rPr>
        <w:t>　　（8）协调处理施工场地周围地下管线和邻近建筑物、构筑物（包括文物保护建筑）、古树名木的保护工作，承担有关费用；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8.2发包人可以将8.1款部分工作委托承包人办理，双方在专用条款内约定，其费用由发包人承担。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8.3发包人未能履行8.1款各项义务，导致工期延误或给承包人造成损失的，发包人赔偿承包人有关损失，顺延延误的工期。</w:t>
      </w:r>
    </w:p>
    <w:p>
      <w:pPr>
        <w:spacing w:line="360" w:lineRule="auto"/>
        <w:ind w:firstLine="420" w:firstLineChars="200"/>
        <w:rPr>
          <w:rFonts w:ascii="宋体" w:hAnsi="宋体" w:cs="宋体"/>
          <w:color w:val="auto"/>
          <w:szCs w:val="21"/>
          <w:highlight w:val="none"/>
        </w:rPr>
        <w:sectPr>
          <w:footerReference r:id="rId9" w:type="default"/>
          <w:pgSz w:w="11900" w:h="16838"/>
          <w:pgMar w:top="1440" w:right="1440" w:bottom="158" w:left="1440" w:header="567" w:footer="567" w:gutter="0"/>
          <w:cols w:equalWidth="0" w:num="1">
            <w:col w:w="9026"/>
          </w:cols>
        </w:sectPr>
      </w:pPr>
      <w:r>
        <w:rPr>
          <w:rFonts w:hint="eastAsia" w:ascii="宋体" w:hAnsi="宋体" w:cs="宋体"/>
          <w:color w:val="auto"/>
          <w:szCs w:val="21"/>
          <w:highlight w:val="none"/>
        </w:rPr>
        <w:t>（9）发包人应做的其他工作，双方在专用条款内约定。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9.承包人工作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9.1承包人按专用条款约定的内容和时间完成以下工作：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（1）根据发包人委托，在其设计资质等级和业务允许的范围内，完成施工图设计或与工程配套的设计，经工程师确认后使用，发包人承担由此发生的费用；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（2）向工程师提供年、季、月度工程进度计划及相应进度统计报表；</w:t>
      </w:r>
      <w:r>
        <w:rPr>
          <w:rFonts w:hint="eastAsia" w:ascii="宋体" w:hAnsi="宋体" w:cs="宋体"/>
          <w:color w:val="auto"/>
          <w:szCs w:val="21"/>
          <w:highlight w:val="none"/>
        </w:rPr>
        <w:br w:type="textWrapping"/>
      </w:r>
      <w:r>
        <w:rPr>
          <w:rFonts w:hint="eastAsia" w:ascii="宋体" w:hAnsi="宋体" w:cs="宋体"/>
          <w:color w:val="auto"/>
          <w:szCs w:val="21"/>
          <w:highlight w:val="none"/>
        </w:rPr>
        <w:t>　　（3）根据工程需要，提供和维修非夜间施工使用的照明、围栏设施，并负责安全保卫；</w:t>
      </w:r>
      <w:r>
        <w:rPr>
          <w:rFonts w:hint="eastAsia" w:ascii="宋体" w:hAnsi="宋体" w:cs="宋体"/>
          <w:color w:val="auto"/>
          <w:szCs w:val="21"/>
          <w:highlight w:val="none"/>
        </w:rPr>
        <w:br w:type="textWrapping"/>
      </w:r>
      <w:r>
        <w:rPr>
          <w:rFonts w:hint="eastAsia" w:ascii="宋体" w:hAnsi="宋体" w:cs="宋体"/>
          <w:color w:val="auto"/>
          <w:szCs w:val="21"/>
          <w:highlight w:val="none"/>
        </w:rPr>
        <w:t>　　（4）按专用条款约定的数量和要求，向发包人提供施工场地办公和生活的房屋及设施，发包人承担由此发生的费用；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（5）遵守政府有关主管部门对施工场地交通、施工噪音以及环境保护和安全生产等的管理规定，按规定办理有关手续，并以书面形式通知发包人，发包人承担由此发生的费用，因承包人责任造成的罚款除外；</w:t>
      </w:r>
      <w:r>
        <w:rPr>
          <w:rFonts w:hint="eastAsia" w:ascii="宋体" w:hAnsi="宋体" w:cs="宋体"/>
          <w:color w:val="auto"/>
          <w:szCs w:val="21"/>
          <w:highlight w:val="none"/>
        </w:rPr>
        <w:br w:type="textWrapping"/>
      </w:r>
      <w:r>
        <w:rPr>
          <w:rFonts w:hint="eastAsia" w:ascii="宋体" w:hAnsi="宋体" w:cs="宋体"/>
          <w:color w:val="auto"/>
          <w:szCs w:val="21"/>
          <w:highlight w:val="none"/>
        </w:rPr>
        <w:t>　　（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（7）按专用条款约定做好施工场地地下管线和邻近建筑物、构筑物（包括文物保护建筑）、古树名木的保护工作；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（8）保证施工场地清洁符合环境卫生管理的有关规定，交工前清理现场达到专用条款约定的要求，承担因自身原因违反有关规定造成的损失和罚款；</w:t>
      </w:r>
      <w:r>
        <w:rPr>
          <w:rFonts w:hint="eastAsia" w:ascii="宋体" w:hAnsi="宋体" w:cs="宋体"/>
          <w:color w:val="auto"/>
          <w:szCs w:val="21"/>
          <w:highlight w:val="none"/>
        </w:rPr>
        <w:br w:type="textWrapping"/>
      </w:r>
      <w:r>
        <w:rPr>
          <w:rFonts w:hint="eastAsia" w:ascii="宋体" w:hAnsi="宋体" w:cs="宋体"/>
          <w:color w:val="auto"/>
          <w:szCs w:val="21"/>
          <w:highlight w:val="none"/>
        </w:rPr>
        <w:t>　　（9）承包人应做的其他工作，双方在专用条款内约定。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9.2承包人未能履行9.1款各项义务，造成发包人损失的，承包人赔偿发包人有关损失。</w:t>
      </w:r>
      <w:r>
        <w:rPr>
          <w:rFonts w:hint="eastAsia" w:ascii="宋体" w:hAnsi="宋体" w:cs="宋体"/>
          <w:color w:val="auto"/>
          <w:szCs w:val="21"/>
          <w:highlight w:val="none"/>
        </w:rPr>
        <w:br w:type="textWrapping"/>
      </w:r>
      <w:r>
        <w:rPr>
          <w:rFonts w:hint="eastAsia" w:ascii="宋体" w:hAnsi="宋体" w:cs="宋体"/>
          <w:color w:val="auto"/>
          <w:szCs w:val="21"/>
          <w:highlight w:val="none"/>
        </w:rPr>
        <w:t>　　三、施工组织设计和工期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10.进度计划</w:t>
      </w:r>
      <w:r>
        <w:rPr>
          <w:rFonts w:hint="eastAsia" w:ascii="宋体" w:hAnsi="宋体" w:cs="宋体"/>
          <w:color w:val="auto"/>
          <w:szCs w:val="21"/>
          <w:highlight w:val="none"/>
        </w:rPr>
        <w:br w:type="textWrapping"/>
      </w:r>
      <w:r>
        <w:rPr>
          <w:rFonts w:hint="eastAsia" w:ascii="宋体" w:hAnsi="宋体" w:cs="宋体"/>
          <w:color w:val="auto"/>
          <w:szCs w:val="21"/>
          <w:highlight w:val="none"/>
        </w:rPr>
        <w:t>　　10.1承包人应按专用条款约定的日期，将施工组织设计和工程进度计划提交工程师，工程师按专用条款约定的时间予以确认或提出修改意见，逾期不确认也不提出书面意见的，视为同意。</w:t>
      </w:r>
      <w:r>
        <w:rPr>
          <w:rFonts w:hint="eastAsia" w:ascii="宋体" w:hAnsi="宋体" w:cs="宋体"/>
          <w:color w:val="auto"/>
          <w:szCs w:val="21"/>
          <w:highlight w:val="none"/>
        </w:rPr>
        <w:br w:type="textWrapping"/>
      </w:r>
      <w:r>
        <w:rPr>
          <w:rFonts w:hint="eastAsia" w:ascii="宋体" w:hAnsi="宋体" w:cs="宋体"/>
          <w:color w:val="auto"/>
          <w:szCs w:val="21"/>
          <w:highlight w:val="none"/>
        </w:rPr>
        <w:t>　　10.2群体工程中单位工程分期进行施工的，承包人应按照发包人提供图纸及有关资料的时间，按单位工程编制进度计划，其具体内容双方在专用条款中约定。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11.开工及延期开工</w:t>
      </w:r>
      <w:r>
        <w:rPr>
          <w:rFonts w:hint="eastAsia" w:ascii="宋体" w:hAnsi="宋体" w:cs="宋体"/>
          <w:color w:val="auto"/>
          <w:szCs w:val="21"/>
          <w:highlight w:val="none"/>
        </w:rPr>
        <w:br w:type="textWrapping"/>
      </w:r>
      <w:r>
        <w:rPr>
          <w:rFonts w:hint="eastAsia" w:ascii="宋体" w:hAnsi="宋体" w:cs="宋体"/>
          <w:color w:val="auto"/>
          <w:szCs w:val="21"/>
          <w:highlight w:val="none"/>
        </w:rPr>
        <w:t>　　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11.2因发包人原因不能按照协议书约定的开工日期开工，工程师应以书面形式通知承包人，推迟开工日期。发包人赔偿承包人因延期开工造成的损失，并相应顺延工期。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12.暂停施工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r>
        <w:rPr>
          <w:rFonts w:hint="eastAsia" w:ascii="宋体" w:hAnsi="宋体" w:cs="宋体"/>
          <w:color w:val="auto"/>
          <w:szCs w:val="21"/>
          <w:highlight w:val="none"/>
        </w:rPr>
        <w:br w:type="textWrapping"/>
      </w:r>
      <w:r>
        <w:rPr>
          <w:rFonts w:hint="eastAsia" w:ascii="宋体" w:hAnsi="宋体" w:cs="宋体"/>
          <w:color w:val="auto"/>
          <w:szCs w:val="21"/>
          <w:highlight w:val="none"/>
        </w:rPr>
        <w:t>　　13.工期延误</w:t>
      </w:r>
      <w:r>
        <w:rPr>
          <w:rFonts w:hint="eastAsia" w:ascii="宋体" w:hAnsi="宋体" w:cs="宋体"/>
          <w:color w:val="auto"/>
          <w:szCs w:val="21"/>
          <w:highlight w:val="none"/>
        </w:rPr>
        <w:br w:type="textWrapping"/>
      </w:r>
      <w:r>
        <w:rPr>
          <w:rFonts w:hint="eastAsia" w:ascii="宋体" w:hAnsi="宋体" w:cs="宋体"/>
          <w:color w:val="auto"/>
          <w:szCs w:val="21"/>
          <w:highlight w:val="none"/>
        </w:rPr>
        <w:t>　　13.1因以下原因造成工期延误，经工程师确认，工期相应顺延：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（1）发包人未能按专用条款的约定提供图纸及开工条件；</w:t>
      </w:r>
      <w:r>
        <w:rPr>
          <w:rFonts w:hint="eastAsia" w:ascii="宋体" w:hAnsi="宋体" w:cs="宋体"/>
          <w:color w:val="auto"/>
          <w:szCs w:val="21"/>
          <w:highlight w:val="none"/>
        </w:rPr>
        <w:br w:type="textWrapping"/>
      </w:r>
      <w:r>
        <w:rPr>
          <w:rFonts w:hint="eastAsia" w:ascii="宋体" w:hAnsi="宋体" w:cs="宋体"/>
          <w:color w:val="auto"/>
          <w:szCs w:val="21"/>
          <w:highlight w:val="none"/>
        </w:rPr>
        <w:t>　　（2）发包人未能按约定日期支付工程预付款、进度款，致使施工不能正常进行；</w:t>
      </w:r>
      <w:r>
        <w:rPr>
          <w:rFonts w:hint="eastAsia" w:ascii="宋体" w:hAnsi="宋体" w:cs="宋体"/>
          <w:color w:val="auto"/>
          <w:szCs w:val="21"/>
          <w:highlight w:val="none"/>
        </w:rPr>
        <w:br w:type="textWrapping"/>
      </w:r>
      <w:r>
        <w:rPr>
          <w:rFonts w:hint="eastAsia" w:ascii="宋体" w:hAnsi="宋体" w:cs="宋体"/>
          <w:color w:val="auto"/>
          <w:szCs w:val="21"/>
          <w:highlight w:val="none"/>
        </w:rPr>
        <w:t>　　（3）工程师未按合同约定提供所需指令、批准等，致使施工不能正常地行；</w:t>
      </w:r>
      <w:r>
        <w:rPr>
          <w:rFonts w:hint="eastAsia" w:ascii="宋体" w:hAnsi="宋体" w:cs="宋体"/>
          <w:color w:val="auto"/>
          <w:szCs w:val="21"/>
          <w:highlight w:val="none"/>
        </w:rPr>
        <w:br w:type="textWrapping"/>
      </w:r>
      <w:r>
        <w:rPr>
          <w:rFonts w:hint="eastAsia" w:ascii="宋体" w:hAnsi="宋体" w:cs="宋体"/>
          <w:color w:val="auto"/>
          <w:szCs w:val="21"/>
          <w:highlight w:val="none"/>
        </w:rPr>
        <w:t>　　（4）设计变更和工程量增加；</w:t>
      </w:r>
      <w:r>
        <w:rPr>
          <w:rFonts w:hint="eastAsia" w:ascii="宋体" w:hAnsi="宋体" w:cs="宋体"/>
          <w:color w:val="auto"/>
          <w:szCs w:val="21"/>
          <w:highlight w:val="none"/>
        </w:rPr>
        <w:br w:type="textWrapping"/>
      </w:r>
      <w:r>
        <w:rPr>
          <w:rFonts w:hint="eastAsia" w:ascii="宋体" w:hAnsi="宋体" w:cs="宋体"/>
          <w:color w:val="auto"/>
          <w:szCs w:val="21"/>
          <w:highlight w:val="none"/>
        </w:rPr>
        <w:t>　　（5）一周内非承包人原因停水、停电、停气造成停工累计超过8小时；</w:t>
      </w:r>
      <w:r>
        <w:rPr>
          <w:rFonts w:hint="eastAsia" w:ascii="宋体" w:hAnsi="宋体" w:cs="宋体"/>
          <w:color w:val="auto"/>
          <w:szCs w:val="21"/>
          <w:highlight w:val="none"/>
        </w:rPr>
        <w:br w:type="textWrapping"/>
      </w:r>
      <w:r>
        <w:rPr>
          <w:rFonts w:hint="eastAsia" w:ascii="宋体" w:hAnsi="宋体" w:cs="宋体"/>
          <w:color w:val="auto"/>
          <w:szCs w:val="21"/>
          <w:highlight w:val="none"/>
        </w:rPr>
        <w:t>　　（6）不可抗力；</w:t>
      </w:r>
      <w:r>
        <w:rPr>
          <w:rFonts w:hint="eastAsia" w:ascii="宋体" w:hAnsi="宋体" w:cs="宋体"/>
          <w:color w:val="auto"/>
          <w:szCs w:val="21"/>
          <w:highlight w:val="none"/>
        </w:rPr>
        <w:br w:type="textWrapping"/>
      </w:r>
      <w:r>
        <w:rPr>
          <w:rFonts w:hint="eastAsia" w:ascii="宋体" w:hAnsi="宋体" w:cs="宋体"/>
          <w:color w:val="auto"/>
          <w:szCs w:val="21"/>
          <w:highlight w:val="none"/>
        </w:rPr>
        <w:t>　　（7）专用条款中约定或工程师同意工期顺延的其他情况。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13.2承包人在13.1款情况发生后14天内，就延误的工期以书面形式向工程师提出报告。工程师在收到报告后14天内予以确认，逾期不予确认也不提出修改意见，视为同意顺延工期。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14工程竣工</w:t>
      </w:r>
      <w:r>
        <w:rPr>
          <w:rFonts w:hint="eastAsia" w:ascii="宋体" w:hAnsi="宋体" w:cs="宋体"/>
          <w:color w:val="auto"/>
          <w:szCs w:val="21"/>
          <w:highlight w:val="none"/>
        </w:rPr>
        <w:br w:type="textWrapping"/>
      </w:r>
      <w:r>
        <w:rPr>
          <w:rFonts w:hint="eastAsia" w:ascii="宋体" w:hAnsi="宋体" w:cs="宋体"/>
          <w:color w:val="auto"/>
          <w:szCs w:val="21"/>
          <w:highlight w:val="none"/>
        </w:rPr>
        <w:t>　　14.1承包人必须按照协议书约定的竣工日期或工程师同意顺延的工期竣工。</w:t>
      </w:r>
      <w:r>
        <w:rPr>
          <w:rFonts w:hint="eastAsia" w:ascii="宋体" w:hAnsi="宋体" w:cs="宋体"/>
          <w:color w:val="auto"/>
          <w:szCs w:val="21"/>
          <w:highlight w:val="none"/>
        </w:rPr>
        <w:br w:type="textWrapping"/>
      </w:r>
      <w:r>
        <w:rPr>
          <w:rFonts w:hint="eastAsia" w:ascii="宋体" w:hAnsi="宋体" w:cs="宋体"/>
          <w:color w:val="auto"/>
          <w:szCs w:val="21"/>
          <w:highlight w:val="none"/>
        </w:rPr>
        <w:t>　　14.2因承包人原因不能按照协议书约定的竣工日期或工程师同意顺延的工期竣工的，承包人承担违约责任。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r>
        <w:rPr>
          <w:rFonts w:hint="eastAsia" w:ascii="宋体" w:hAnsi="宋体" w:cs="宋体"/>
          <w:color w:val="auto"/>
          <w:szCs w:val="21"/>
          <w:highlight w:val="none"/>
        </w:rPr>
        <w:br w:type="textWrapping"/>
      </w:r>
      <w:r>
        <w:rPr>
          <w:rFonts w:hint="eastAsia" w:ascii="宋体" w:hAnsi="宋体" w:cs="宋体"/>
          <w:color w:val="auto"/>
          <w:szCs w:val="21"/>
          <w:highlight w:val="none"/>
        </w:rPr>
        <w:t>　　四、质量与检验</w:t>
      </w:r>
      <w:r>
        <w:rPr>
          <w:rFonts w:hint="eastAsia" w:ascii="宋体" w:hAnsi="宋体" w:cs="宋体"/>
          <w:color w:val="auto"/>
          <w:szCs w:val="21"/>
          <w:highlight w:val="none"/>
        </w:rPr>
        <w:br w:type="textWrapping"/>
      </w:r>
      <w:r>
        <w:rPr>
          <w:rFonts w:hint="eastAsia" w:ascii="宋体" w:hAnsi="宋体" w:cs="宋体"/>
          <w:color w:val="auto"/>
          <w:szCs w:val="21"/>
          <w:highlight w:val="none"/>
        </w:rPr>
        <w:t>　　15.工程质量</w:t>
      </w:r>
      <w:r>
        <w:rPr>
          <w:rFonts w:hint="eastAsia" w:ascii="宋体" w:hAnsi="宋体" w:cs="宋体"/>
          <w:color w:val="auto"/>
          <w:szCs w:val="21"/>
          <w:highlight w:val="none"/>
        </w:rPr>
        <w:br w:type="textWrapping"/>
      </w:r>
      <w:r>
        <w:rPr>
          <w:rFonts w:hint="eastAsia" w:ascii="宋体" w:hAnsi="宋体" w:cs="宋体"/>
          <w:color w:val="auto"/>
          <w:szCs w:val="21"/>
          <w:highlight w:val="none"/>
        </w:rPr>
        <w:t>　　15.1工程质量应当达到协议书约定的质量标准，质量标准的评定以国家或行业的质量检验评定标准为依据。因承包人原因工程质量达不到约定的质量标准，承包人承担违约责任。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15.2双方对工程质量有争议，由双方同意的工程质量检测机构鉴定，所需费用及因此造成的损失，由责任方承担。双方均有责任，由双方根据其责任分别承担。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16.检查和返工</w:t>
      </w:r>
      <w:r>
        <w:rPr>
          <w:rFonts w:hint="eastAsia" w:ascii="宋体" w:hAnsi="宋体" w:cs="宋体"/>
          <w:color w:val="auto"/>
          <w:szCs w:val="21"/>
          <w:highlight w:val="none"/>
        </w:rPr>
        <w:br w:type="textWrapping"/>
      </w:r>
      <w:r>
        <w:rPr>
          <w:rFonts w:hint="eastAsia" w:ascii="宋体" w:hAnsi="宋体" w:cs="宋体"/>
          <w:color w:val="auto"/>
          <w:szCs w:val="21"/>
          <w:highlight w:val="none"/>
        </w:rPr>
        <w:t>　　16.1承包人应认真按照标准、规范和设计图纸要求以及工程师依据合同发出的指令施工，随时接受工程师的检查检验，为检查检验提供便利条件。</w:t>
      </w:r>
      <w:r>
        <w:rPr>
          <w:rFonts w:hint="eastAsia" w:ascii="宋体" w:hAnsi="宋体" w:cs="宋体"/>
          <w:color w:val="auto"/>
          <w:szCs w:val="21"/>
          <w:highlight w:val="none"/>
        </w:rPr>
        <w:br w:type="textWrapping"/>
      </w:r>
      <w:r>
        <w:rPr>
          <w:rFonts w:hint="eastAsia" w:ascii="宋体" w:hAnsi="宋体" w:cs="宋体"/>
          <w:color w:val="auto"/>
          <w:szCs w:val="21"/>
          <w:highlight w:val="none"/>
        </w:rPr>
        <w:t>　　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16.3工程师的检查检验不应影响施工正常进行。如影响施工正常进行，检查检验不合格时，影响正常施工的费用由承包人承担。除此之外影响正常施工的追加合同价款由发包人承担，相应顺延工期。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16.4因工程师指令失误或其他非承包人原因发生的追加合同价款，由发包人承担。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17.隐蔽工程和中间验收</w:t>
      </w:r>
      <w:r>
        <w:rPr>
          <w:rFonts w:hint="eastAsia" w:ascii="宋体" w:hAnsi="宋体" w:cs="宋体"/>
          <w:color w:val="auto"/>
          <w:szCs w:val="21"/>
          <w:highlight w:val="none"/>
        </w:rPr>
        <w:br w:type="textWrapping"/>
      </w:r>
      <w:r>
        <w:rPr>
          <w:rFonts w:hint="eastAsia" w:ascii="宋体" w:hAnsi="宋体" w:cs="宋体"/>
          <w:color w:val="auto"/>
          <w:szCs w:val="21"/>
          <w:highlight w:val="none"/>
        </w:rPr>
        <w:t>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cs="宋体"/>
          <w:color w:val="auto"/>
          <w:szCs w:val="21"/>
          <w:highlight w:val="none"/>
        </w:rPr>
        <w:br w:type="textWrapping"/>
      </w:r>
      <w:r>
        <w:rPr>
          <w:rFonts w:hint="eastAsia" w:ascii="宋体" w:hAnsi="宋体" w:cs="宋体"/>
          <w:color w:val="auto"/>
          <w:szCs w:val="21"/>
          <w:highlight w:val="none"/>
        </w:rPr>
        <w:t>　　17.2工程师不能按时进行验收，应在验收前24小时以书面形式向承包人提出延期要求，延期不能超过48小时。工程师未能按以上时间提出延期要求，不进行验收，承包人可自行组织验收，工程师应承认验收记录。</w:t>
      </w:r>
      <w:r>
        <w:rPr>
          <w:rFonts w:hint="eastAsia" w:ascii="宋体" w:hAnsi="宋体" w:cs="宋体"/>
          <w:color w:val="auto"/>
          <w:szCs w:val="21"/>
          <w:highlight w:val="none"/>
        </w:rPr>
        <w:br w:type="textWrapping"/>
      </w:r>
      <w:r>
        <w:rPr>
          <w:rFonts w:hint="eastAsia" w:ascii="宋体" w:hAnsi="宋体" w:cs="宋体"/>
          <w:color w:val="auto"/>
          <w:szCs w:val="21"/>
          <w:highlight w:val="none"/>
        </w:rPr>
        <w:t>　　17.3经工程师验收，工程质量符合标准、规范和设计图纸等要求，验收24小时后，工程师不在验收记录上签字，视为工程师已经认可验收记录，承包人可进行隐蔽或继续施工。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18.重新检验</w:t>
      </w:r>
      <w:r>
        <w:rPr>
          <w:rFonts w:hint="eastAsia" w:ascii="宋体" w:hAnsi="宋体" w:cs="宋体"/>
          <w:color w:val="auto"/>
          <w:szCs w:val="21"/>
          <w:highlight w:val="none"/>
        </w:rPr>
        <w:br w:type="textWrapping"/>
      </w:r>
      <w:r>
        <w:rPr>
          <w:rFonts w:hint="eastAsia" w:ascii="宋体" w:hAnsi="宋体" w:cs="宋体"/>
          <w:color w:val="auto"/>
          <w:szCs w:val="21"/>
          <w:highlight w:val="none"/>
        </w:rPr>
        <w:t>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19.工程试车</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19.1双方约定需要试车的，试车内容应与承包人承包的安装范围相一致。</w:t>
      </w:r>
      <w:r>
        <w:rPr>
          <w:rFonts w:hint="eastAsia" w:ascii="宋体" w:hAnsi="宋体" w:cs="宋体"/>
          <w:color w:val="auto"/>
          <w:szCs w:val="21"/>
          <w:highlight w:val="none"/>
        </w:rPr>
        <w:br w:type="textWrapping"/>
      </w:r>
      <w:r>
        <w:rPr>
          <w:rFonts w:hint="eastAsia" w:ascii="宋体" w:hAnsi="宋体" w:cs="宋体"/>
          <w:color w:val="auto"/>
          <w:szCs w:val="21"/>
          <w:highlight w:val="none"/>
        </w:rPr>
        <w:t>　　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r>
        <w:rPr>
          <w:rFonts w:hint="eastAsia" w:ascii="宋体" w:hAnsi="宋体" w:cs="宋体"/>
          <w:color w:val="auto"/>
          <w:szCs w:val="21"/>
          <w:highlight w:val="none"/>
        </w:rPr>
        <w:br w:type="textWrapping"/>
      </w:r>
      <w:r>
        <w:rPr>
          <w:rFonts w:hint="eastAsia" w:ascii="宋体" w:hAnsi="宋体" w:cs="宋体"/>
          <w:color w:val="auto"/>
          <w:szCs w:val="21"/>
          <w:highlight w:val="none"/>
        </w:rPr>
        <w:t>　　19.3工程师不能按时参加试车，须在开始试车前24小时以书面形式向承包人提出延期要求，延期不能超过48小时。工程师未能按以上时间提出延期要求，不参加试车，应承认试车记录。</w:t>
      </w:r>
      <w:r>
        <w:rPr>
          <w:rFonts w:hint="eastAsia" w:ascii="宋体" w:hAnsi="宋体" w:cs="宋体"/>
          <w:color w:val="auto"/>
          <w:szCs w:val="21"/>
          <w:highlight w:val="none"/>
        </w:rPr>
        <w:br w:type="textWrapping"/>
      </w:r>
      <w:r>
        <w:rPr>
          <w:rFonts w:hint="eastAsia" w:ascii="宋体" w:hAnsi="宋体" w:cs="宋体"/>
          <w:color w:val="auto"/>
          <w:szCs w:val="21"/>
          <w:highlight w:val="none"/>
        </w:rPr>
        <w:t>　　19.4设备安装工程具备无负荷联动试车条件，发包人组织试车，并在试车前48小时以书面形式通知承包人。通知包括试车内容、时间、地点和对承包人的要求，承包人按要求做好准备工作。试车合格，双方在试车记录上签字。</w:t>
      </w:r>
      <w:r>
        <w:rPr>
          <w:rFonts w:hint="eastAsia" w:ascii="宋体" w:hAnsi="宋体" w:cs="宋体"/>
          <w:color w:val="auto"/>
          <w:szCs w:val="21"/>
          <w:highlight w:val="none"/>
        </w:rPr>
        <w:br w:type="textWrapping"/>
      </w:r>
      <w:r>
        <w:rPr>
          <w:rFonts w:hint="eastAsia" w:ascii="宋体" w:hAnsi="宋体" w:cs="宋体"/>
          <w:color w:val="auto"/>
          <w:szCs w:val="21"/>
          <w:highlight w:val="none"/>
        </w:rPr>
        <w:t>　　19.5双方责任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（1）由于设计原因试车达不到验收要求，发包人应要求设计单位修改设计，承包人按修改后的设计重新安装。发包人承担修改设计、拆除及重新安装的全部费用和追加合同价款，工期相应顺延。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（3）由于承包人施工原因试车达不到验收要求，承包人按工程师要求重新安装和试车，并承担重新安装和试车的费用，工期不予顺延。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（4）试车费用除已包括在合同价款之内或专用条款另有约定外，均由发包人承担。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（5）工程师在试车合格后不在试车记录上签字，试车结束24小时后，视为工程师已经认可试车记录，承包人可继续施工或办理竣工手续。</w:t>
      </w:r>
      <w:r>
        <w:rPr>
          <w:rFonts w:hint="eastAsia" w:ascii="宋体" w:hAnsi="宋体" w:cs="宋体"/>
          <w:color w:val="auto"/>
          <w:szCs w:val="21"/>
          <w:highlight w:val="none"/>
        </w:rPr>
        <w:br w:type="textWrapping"/>
      </w:r>
      <w:r>
        <w:rPr>
          <w:rFonts w:hint="eastAsia" w:ascii="宋体" w:hAnsi="宋体" w:cs="宋体"/>
          <w:color w:val="auto"/>
          <w:szCs w:val="21"/>
          <w:highlight w:val="none"/>
        </w:rPr>
        <w:t>　　19.6投料试车应在工程竣工验收后由发包人负责，如发包人要求在工程竣工验收前进行或需要承包人配合时，应征得承包人同意，另行签订补充协议。</w:t>
      </w:r>
      <w:r>
        <w:rPr>
          <w:rFonts w:hint="eastAsia" w:ascii="宋体" w:hAnsi="宋体" w:cs="宋体"/>
          <w:color w:val="auto"/>
          <w:szCs w:val="21"/>
          <w:highlight w:val="none"/>
        </w:rPr>
        <w:br w:type="textWrapping"/>
      </w:r>
      <w:r>
        <w:rPr>
          <w:rFonts w:hint="eastAsia" w:ascii="宋体" w:hAnsi="宋体" w:cs="宋体"/>
          <w:color w:val="auto"/>
          <w:szCs w:val="21"/>
          <w:highlight w:val="none"/>
        </w:rPr>
        <w:t>　　五、安全施工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20.安全施工与检查</w:t>
      </w:r>
      <w:r>
        <w:rPr>
          <w:rFonts w:hint="eastAsia" w:ascii="宋体" w:hAnsi="宋体" w:cs="宋体"/>
          <w:color w:val="auto"/>
          <w:szCs w:val="21"/>
          <w:highlight w:val="none"/>
        </w:rPr>
        <w:br w:type="textWrapping"/>
      </w:r>
      <w:r>
        <w:rPr>
          <w:rFonts w:hint="eastAsia" w:ascii="宋体" w:hAnsi="宋体" w:cs="宋体"/>
          <w:color w:val="auto"/>
          <w:szCs w:val="21"/>
          <w:highlight w:val="none"/>
        </w:rPr>
        <w:t>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20.2发包人应对其在施工场地的工作人员进行安全教育，并对他们的安全负责。发包人不得要求承包人违反安全管理的规定进行施工。因发包人原因导致的安全事故，由发包人承担相应责任及发生的费用。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21.安全防护</w:t>
      </w:r>
      <w:r>
        <w:rPr>
          <w:rFonts w:hint="eastAsia" w:ascii="宋体" w:hAnsi="宋体" w:cs="宋体"/>
          <w:color w:val="auto"/>
          <w:szCs w:val="21"/>
          <w:highlight w:val="none"/>
        </w:rPr>
        <w:br w:type="textWrapping"/>
      </w:r>
      <w:r>
        <w:rPr>
          <w:rFonts w:hint="eastAsia" w:ascii="宋体" w:hAnsi="宋体" w:cs="宋体"/>
          <w:color w:val="auto"/>
          <w:szCs w:val="21"/>
          <w:highlight w:val="none"/>
        </w:rPr>
        <w:t>　　21.1承包人在动力设备、输电线路、地下管道、密封防震车间、易燃易爆地段以及临街交通要道附近施工时，施工开始前应向工程师提出安全防护措施，经工程师认可后实施，防护措施费用由发包人承担。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22.事故处理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22.1发生重大伤亡及其他安全事故，承包人应按有关规定立即上报有关部门并通知工程师，同时按政府有关部门要求处理，由事故责任方承担发生的费用。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22.2发包人承包人对事故责任有争议时，应按政府有关部门的认定处理。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六、合同价款与支付</w:t>
      </w:r>
      <w:r>
        <w:rPr>
          <w:rFonts w:hint="eastAsia" w:ascii="宋体" w:hAnsi="宋体" w:cs="宋体"/>
          <w:color w:val="auto"/>
          <w:szCs w:val="21"/>
          <w:highlight w:val="none"/>
        </w:rPr>
        <w:br w:type="textWrapping"/>
      </w:r>
      <w:r>
        <w:rPr>
          <w:rFonts w:hint="eastAsia" w:ascii="宋体" w:hAnsi="宋体" w:cs="宋体"/>
          <w:color w:val="auto"/>
          <w:szCs w:val="21"/>
          <w:highlight w:val="none"/>
        </w:rPr>
        <w:t>　　23.合同价款及调整</w:t>
      </w:r>
      <w:r>
        <w:rPr>
          <w:rFonts w:hint="eastAsia" w:ascii="宋体" w:hAnsi="宋体" w:cs="宋体"/>
          <w:color w:val="auto"/>
          <w:szCs w:val="21"/>
          <w:highlight w:val="none"/>
        </w:rPr>
        <w:br w:type="textWrapping"/>
      </w:r>
      <w:r>
        <w:rPr>
          <w:rFonts w:hint="eastAsia" w:ascii="宋体" w:hAnsi="宋体" w:cs="宋体"/>
          <w:color w:val="auto"/>
          <w:szCs w:val="21"/>
          <w:highlight w:val="none"/>
        </w:rPr>
        <w:t>　　23.1招标工程的合同价款由发包人承包人依据中标通知书中的中标价格在协议书内约定。非招标工程的合同价款由发包人承包人依据工程预算书在协议书内约定。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23.2合同价款在协议书内约定后，任何一方不得擅自改变。下列三种确定合同价款的方式，双方可在专用条款内约定采用其中一种：</w:t>
      </w:r>
      <w:r>
        <w:rPr>
          <w:rFonts w:hint="eastAsia" w:ascii="宋体" w:hAnsi="宋体" w:cs="宋体"/>
          <w:color w:val="auto"/>
          <w:szCs w:val="21"/>
          <w:highlight w:val="none"/>
        </w:rPr>
        <w:br w:type="textWrapping"/>
      </w:r>
      <w:r>
        <w:rPr>
          <w:rFonts w:hint="eastAsia" w:ascii="宋体" w:hAnsi="宋体" w:cs="宋体"/>
          <w:color w:val="auto"/>
          <w:szCs w:val="21"/>
          <w:highlight w:val="none"/>
        </w:rPr>
        <w:t>　　（1）固定价格合同。双方在专用条款内约定合同价款包含的风险范围和风险费用的计算方法，在约定的风险范围内合同价款不再调整。风险范围以外的合同价款调整方法，应当在专用条款内约定。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（2）可调价格合同。合同价款可根据双方的约定而调整，双方在专用条款内约定合同价款调整方法。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（3）成本加酬金合同。合同价款包括成本和酬金两部分，双方在专用条款内约定成本构成和酬金的计算方法。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23.3可调价格合同中合同价款的调整因素包括：</w:t>
      </w:r>
      <w:r>
        <w:rPr>
          <w:rFonts w:hint="eastAsia" w:ascii="宋体" w:hAnsi="宋体" w:cs="宋体"/>
          <w:color w:val="auto"/>
          <w:szCs w:val="21"/>
          <w:highlight w:val="none"/>
        </w:rPr>
        <w:br w:type="textWrapping"/>
      </w:r>
      <w:r>
        <w:rPr>
          <w:rFonts w:hint="eastAsia" w:ascii="宋体" w:hAnsi="宋体" w:cs="宋体"/>
          <w:color w:val="auto"/>
          <w:szCs w:val="21"/>
          <w:highlight w:val="none"/>
        </w:rPr>
        <w:t>　　（1）法律、行政法规和国家有关政策变化影响合同价款；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（2）工程造价管理部门公布的价格调整；</w:t>
      </w:r>
      <w:r>
        <w:rPr>
          <w:rFonts w:hint="eastAsia" w:ascii="宋体" w:hAnsi="宋体" w:cs="宋体"/>
          <w:color w:val="auto"/>
          <w:szCs w:val="21"/>
          <w:highlight w:val="none"/>
        </w:rPr>
        <w:br w:type="textWrapping"/>
      </w:r>
      <w:r>
        <w:rPr>
          <w:rFonts w:hint="eastAsia" w:ascii="宋体" w:hAnsi="宋体" w:cs="宋体"/>
          <w:color w:val="auto"/>
          <w:szCs w:val="21"/>
          <w:highlight w:val="none"/>
        </w:rPr>
        <w:t>　　（3）一周内非承包人原因停水、停电、停气造成停工累计超过8时；</w:t>
      </w:r>
      <w:r>
        <w:rPr>
          <w:rFonts w:hint="eastAsia" w:ascii="宋体" w:hAnsi="宋体" w:cs="宋体"/>
          <w:color w:val="auto"/>
          <w:szCs w:val="21"/>
          <w:highlight w:val="none"/>
        </w:rPr>
        <w:br w:type="textWrapping"/>
      </w:r>
      <w:r>
        <w:rPr>
          <w:rFonts w:hint="eastAsia" w:ascii="宋体" w:hAnsi="宋体" w:cs="宋体"/>
          <w:color w:val="auto"/>
          <w:szCs w:val="21"/>
          <w:highlight w:val="none"/>
        </w:rPr>
        <w:t>　　（4）双方约定的其他因素。</w:t>
      </w:r>
      <w:r>
        <w:rPr>
          <w:rFonts w:hint="eastAsia" w:ascii="宋体" w:hAnsi="宋体" w:cs="宋体"/>
          <w:color w:val="auto"/>
          <w:szCs w:val="21"/>
          <w:highlight w:val="none"/>
        </w:rPr>
        <w:br w:type="textWrapping"/>
      </w:r>
      <w:r>
        <w:rPr>
          <w:rFonts w:hint="eastAsia" w:ascii="宋体" w:hAnsi="宋体" w:cs="宋体"/>
          <w:color w:val="auto"/>
          <w:szCs w:val="21"/>
          <w:highlight w:val="none"/>
        </w:rPr>
        <w:t>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r>
        <w:rPr>
          <w:rFonts w:hint="eastAsia" w:ascii="宋体" w:hAnsi="宋体" w:cs="宋体"/>
          <w:color w:val="auto"/>
          <w:szCs w:val="21"/>
          <w:highlight w:val="none"/>
        </w:rPr>
        <w:br w:type="textWrapping"/>
      </w:r>
      <w:r>
        <w:rPr>
          <w:rFonts w:hint="eastAsia" w:ascii="宋体" w:hAnsi="宋体" w:cs="宋体"/>
          <w:color w:val="auto"/>
          <w:szCs w:val="21"/>
          <w:highlight w:val="none"/>
        </w:rPr>
        <w:t>　　24.工程预付款</w:t>
      </w:r>
      <w:r>
        <w:rPr>
          <w:rFonts w:hint="eastAsia" w:ascii="宋体" w:hAnsi="宋体" w:cs="宋体"/>
          <w:color w:val="auto"/>
          <w:szCs w:val="21"/>
          <w:highlight w:val="none"/>
        </w:rPr>
        <w:br w:type="textWrapping"/>
      </w:r>
      <w:r>
        <w:rPr>
          <w:rFonts w:hint="eastAsia" w:ascii="宋体" w:hAnsi="宋体" w:cs="宋体"/>
          <w:color w:val="auto"/>
          <w:szCs w:val="21"/>
          <w:highlight w:val="none"/>
        </w:rPr>
        <w:t>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25.工程量的确认</w:t>
      </w:r>
      <w:r>
        <w:rPr>
          <w:rFonts w:hint="eastAsia" w:ascii="宋体" w:hAnsi="宋体" w:cs="宋体"/>
          <w:color w:val="auto"/>
          <w:szCs w:val="21"/>
          <w:highlight w:val="none"/>
        </w:rPr>
        <w:br w:type="textWrapping"/>
      </w:r>
      <w:r>
        <w:rPr>
          <w:rFonts w:hint="eastAsia" w:ascii="宋体" w:hAnsi="宋体" w:cs="宋体"/>
          <w:color w:val="auto"/>
          <w:szCs w:val="21"/>
          <w:highlight w:val="none"/>
        </w:rPr>
        <w:t>　　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r>
        <w:rPr>
          <w:rFonts w:hint="eastAsia" w:ascii="宋体" w:hAnsi="宋体" w:cs="宋体"/>
          <w:color w:val="auto"/>
          <w:szCs w:val="21"/>
          <w:highlight w:val="none"/>
        </w:rPr>
        <w:br w:type="textWrapping"/>
      </w:r>
      <w:r>
        <w:rPr>
          <w:rFonts w:hint="eastAsia" w:ascii="宋体" w:hAnsi="宋体" w:cs="宋体"/>
          <w:color w:val="auto"/>
          <w:szCs w:val="21"/>
          <w:highlight w:val="none"/>
        </w:rPr>
        <w:t>　　25.2工程师收到承包人报告后７天内未进行计量，从第8天起，承包人报告中开列的工程量即视为被确认，作为工程价款支付的依据。工程师不按约定时间通知承包人，致使承包人未能参加计量，计量结果无效。</w:t>
      </w:r>
      <w:r>
        <w:rPr>
          <w:rFonts w:hint="eastAsia" w:ascii="宋体" w:hAnsi="宋体" w:cs="宋体"/>
          <w:color w:val="auto"/>
          <w:szCs w:val="21"/>
          <w:highlight w:val="none"/>
        </w:rPr>
        <w:br w:type="textWrapping"/>
      </w:r>
      <w:r>
        <w:rPr>
          <w:rFonts w:hint="eastAsia" w:ascii="宋体" w:hAnsi="宋体" w:cs="宋体"/>
          <w:color w:val="auto"/>
          <w:szCs w:val="21"/>
          <w:highlight w:val="none"/>
        </w:rPr>
        <w:t>　　25.3对承包人超出设计图纸范围和因承包人原因造成返工的工程量，工程师不予计量。</w:t>
      </w:r>
      <w:r>
        <w:rPr>
          <w:rFonts w:hint="eastAsia" w:ascii="宋体" w:hAnsi="宋体" w:cs="宋体"/>
          <w:color w:val="auto"/>
          <w:szCs w:val="21"/>
          <w:highlight w:val="none"/>
        </w:rPr>
        <w:br w:type="textWrapping"/>
      </w:r>
      <w:r>
        <w:rPr>
          <w:rFonts w:hint="eastAsia" w:ascii="宋体" w:hAnsi="宋体" w:cs="宋体"/>
          <w:color w:val="auto"/>
          <w:szCs w:val="21"/>
          <w:highlight w:val="none"/>
        </w:rPr>
        <w:t>　　26.工程款（进度款）支付</w:t>
      </w:r>
      <w:r>
        <w:rPr>
          <w:rFonts w:hint="eastAsia" w:ascii="宋体" w:hAnsi="宋体" w:cs="宋体"/>
          <w:color w:val="auto"/>
          <w:szCs w:val="21"/>
          <w:highlight w:val="none"/>
        </w:rPr>
        <w:br w:type="textWrapping"/>
      </w:r>
      <w:r>
        <w:rPr>
          <w:rFonts w:hint="eastAsia" w:ascii="宋体" w:hAnsi="宋体" w:cs="宋体"/>
          <w:color w:val="auto"/>
          <w:szCs w:val="21"/>
          <w:highlight w:val="none"/>
        </w:rPr>
        <w:t>　　26.1在确认计量结果后14天内，发包人应向承包人支付工程款（进度款）。按约定时间发包人应扣回的预付款，与工程款（进度款）同期结算。</w:t>
      </w:r>
      <w:r>
        <w:rPr>
          <w:rFonts w:hint="eastAsia" w:ascii="宋体" w:hAnsi="宋体" w:cs="宋体"/>
          <w:color w:val="auto"/>
          <w:szCs w:val="21"/>
          <w:highlight w:val="none"/>
        </w:rPr>
        <w:br w:type="textWrapping"/>
      </w:r>
      <w:r>
        <w:rPr>
          <w:rFonts w:hint="eastAsia" w:ascii="宋体" w:hAnsi="宋体" w:cs="宋体"/>
          <w:color w:val="auto"/>
          <w:szCs w:val="21"/>
          <w:highlight w:val="none"/>
        </w:rPr>
        <w:t>　　26.2本通用条款第23条确定调整的合同价款，第31条工程变更调整的合同价款及其他条款中约定的追加合同价款，应与工程款（进度款）同期调整支付。</w:t>
      </w:r>
      <w:r>
        <w:rPr>
          <w:rFonts w:hint="eastAsia" w:ascii="宋体" w:hAnsi="宋体" w:cs="宋体"/>
          <w:color w:val="auto"/>
          <w:szCs w:val="21"/>
          <w:highlight w:val="none"/>
        </w:rPr>
        <w:br w:type="textWrapping"/>
      </w:r>
      <w:r>
        <w:rPr>
          <w:rFonts w:hint="eastAsia" w:ascii="宋体" w:hAnsi="宋体" w:cs="宋体"/>
          <w:color w:val="auto"/>
          <w:szCs w:val="21"/>
          <w:highlight w:val="none"/>
        </w:rPr>
        <w:t>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r>
        <w:rPr>
          <w:rFonts w:hint="eastAsia" w:ascii="宋体" w:hAnsi="宋体" w:cs="宋体"/>
          <w:color w:val="auto"/>
          <w:szCs w:val="21"/>
          <w:highlight w:val="none"/>
        </w:rPr>
        <w:br w:type="textWrapping"/>
      </w:r>
      <w:r>
        <w:rPr>
          <w:rFonts w:hint="eastAsia" w:ascii="宋体" w:hAnsi="宋体" w:cs="宋体"/>
          <w:color w:val="auto"/>
          <w:szCs w:val="21"/>
          <w:highlight w:val="none"/>
        </w:rPr>
        <w:t>　　26.4发包人不按合同约定支付工程款（进度款），双方又未达成延期付款协议，导致施工无法进行，承包人可停止施工，由发包人承担违约责任。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七、材料设备供应</w:t>
      </w:r>
      <w:r>
        <w:rPr>
          <w:rFonts w:hint="eastAsia" w:ascii="宋体" w:hAnsi="宋体" w:cs="宋体"/>
          <w:color w:val="auto"/>
          <w:szCs w:val="21"/>
          <w:highlight w:val="none"/>
        </w:rPr>
        <w:br w:type="textWrapping"/>
      </w:r>
      <w:r>
        <w:rPr>
          <w:rFonts w:hint="eastAsia" w:ascii="宋体" w:hAnsi="宋体" w:cs="宋体"/>
          <w:color w:val="auto"/>
          <w:szCs w:val="21"/>
          <w:highlight w:val="none"/>
        </w:rPr>
        <w:t>　　27.发包人供应材料设备</w:t>
      </w:r>
      <w:r>
        <w:rPr>
          <w:rFonts w:hint="eastAsia" w:ascii="宋体" w:hAnsi="宋体" w:cs="宋体"/>
          <w:color w:val="auto"/>
          <w:szCs w:val="21"/>
          <w:highlight w:val="none"/>
        </w:rPr>
        <w:br w:type="textWrapping"/>
      </w:r>
      <w:r>
        <w:rPr>
          <w:rFonts w:hint="eastAsia" w:ascii="宋体" w:hAnsi="宋体" w:cs="宋体"/>
          <w:color w:val="auto"/>
          <w:szCs w:val="21"/>
          <w:highlight w:val="none"/>
        </w:rPr>
        <w:t>　　27.1实行发包人供应材料设备的，双方应当约定发包人供应材料设备的一览表，作为本合同附件（附件2）。一览表包括发包人供应材料设备的品种、规格、型号、数量、单价、质量等级、提供时间和地点。</w:t>
      </w:r>
      <w:r>
        <w:rPr>
          <w:rFonts w:hint="eastAsia" w:ascii="宋体" w:hAnsi="宋体" w:cs="宋体"/>
          <w:color w:val="auto"/>
          <w:szCs w:val="21"/>
          <w:highlight w:val="none"/>
        </w:rPr>
        <w:br w:type="textWrapping"/>
      </w:r>
      <w:r>
        <w:rPr>
          <w:rFonts w:hint="eastAsia" w:ascii="宋体" w:hAnsi="宋体" w:cs="宋体"/>
          <w:color w:val="auto"/>
          <w:szCs w:val="21"/>
          <w:highlight w:val="none"/>
        </w:rPr>
        <w:t>　　27.2发包人按一览表约定的内容提供材料设备，并向承包人提供产品合格证明，对其质量负责。发包人在所供材料设备到货前24小时，以书面形式通知承包人，由承包人派人与发包人共同清点。</w:t>
      </w:r>
      <w:r>
        <w:rPr>
          <w:rFonts w:hint="eastAsia" w:ascii="宋体" w:hAnsi="宋体" w:cs="宋体"/>
          <w:color w:val="auto"/>
          <w:szCs w:val="21"/>
          <w:highlight w:val="none"/>
        </w:rPr>
        <w:br w:type="textWrapping"/>
      </w:r>
      <w:r>
        <w:rPr>
          <w:rFonts w:hint="eastAsia" w:ascii="宋体" w:hAnsi="宋体" w:cs="宋体"/>
          <w:color w:val="auto"/>
          <w:szCs w:val="21"/>
          <w:highlight w:val="none"/>
        </w:rPr>
        <w:t>　　27.3发包人供应的材料设备，承包人派人参加清点后由承包人妥善保管，发包人支付相应保管费用。因承包人原因发生丢失损坏，由承包人负责赔偿。</w:t>
      </w:r>
      <w:r>
        <w:rPr>
          <w:rFonts w:hint="eastAsia" w:ascii="宋体" w:hAnsi="宋体" w:cs="宋体"/>
          <w:color w:val="auto"/>
          <w:szCs w:val="21"/>
          <w:highlight w:val="none"/>
        </w:rPr>
        <w:br w:type="textWrapping"/>
      </w:r>
      <w:r>
        <w:rPr>
          <w:rFonts w:hint="eastAsia" w:ascii="宋体" w:hAnsi="宋体" w:cs="宋体"/>
          <w:color w:val="auto"/>
          <w:szCs w:val="21"/>
          <w:highlight w:val="none"/>
        </w:rPr>
        <w:t>　　发包人未通知承包人清点，承包人不负责材料设备的保管，丢失损坏由发包人负责。</w:t>
      </w:r>
      <w:r>
        <w:rPr>
          <w:rFonts w:hint="eastAsia" w:ascii="宋体" w:hAnsi="宋体" w:cs="宋体"/>
          <w:color w:val="auto"/>
          <w:szCs w:val="21"/>
          <w:highlight w:val="none"/>
        </w:rPr>
        <w:br w:type="textWrapping"/>
      </w:r>
      <w:r>
        <w:rPr>
          <w:rFonts w:hint="eastAsia" w:ascii="宋体" w:hAnsi="宋体" w:cs="宋体"/>
          <w:color w:val="auto"/>
          <w:szCs w:val="21"/>
          <w:highlight w:val="none"/>
        </w:rPr>
        <w:t>　　27.4发包人供应的材料设备与一览表不符时，发包人承担有关责任。发包人应承担责任的具体内容，双方根据下列情况在专用条款内约定：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（1）材料设备单价与一览表不符，由发包人承担所有价差；</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（2）材料设备的品种、规格、型号、质量等级与一览表不符，承包人可拒绝接收保管，由发包人运出施工场地并重新采购；</w:t>
      </w:r>
      <w:r>
        <w:rPr>
          <w:rFonts w:hint="eastAsia" w:ascii="宋体" w:hAnsi="宋体" w:cs="宋体"/>
          <w:color w:val="auto"/>
          <w:szCs w:val="21"/>
          <w:highlight w:val="none"/>
        </w:rPr>
        <w:br w:type="textWrapping"/>
      </w:r>
      <w:r>
        <w:rPr>
          <w:rFonts w:hint="eastAsia" w:ascii="宋体" w:hAnsi="宋体" w:cs="宋体"/>
          <w:color w:val="auto"/>
          <w:szCs w:val="21"/>
          <w:highlight w:val="none"/>
        </w:rPr>
        <w:t>　　（3）发包人供应的材料规格、型号与一览表不符，经发包人同意，承包人可代为调剂串换，由发包人承担相应费用；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（4）到货地点与一览表不符，由发包人负责运至一览表指定地点；</w:t>
      </w:r>
      <w:r>
        <w:rPr>
          <w:rFonts w:hint="eastAsia" w:ascii="宋体" w:hAnsi="宋体" w:cs="宋体"/>
          <w:color w:val="auto"/>
          <w:szCs w:val="21"/>
          <w:highlight w:val="none"/>
        </w:rPr>
        <w:br w:type="textWrapping"/>
      </w:r>
      <w:r>
        <w:rPr>
          <w:rFonts w:hint="eastAsia" w:ascii="宋体" w:hAnsi="宋体" w:cs="宋体"/>
          <w:color w:val="auto"/>
          <w:szCs w:val="21"/>
          <w:highlight w:val="none"/>
        </w:rPr>
        <w:t>　　（5）供应数量少于一览表约定的数量时，由发包人补齐，多于一览表约定数量时，发包人负责将多出部分运出施工场地；</w:t>
      </w:r>
      <w:r>
        <w:rPr>
          <w:rFonts w:hint="eastAsia" w:ascii="宋体" w:hAnsi="宋体" w:cs="宋体"/>
          <w:color w:val="auto"/>
          <w:szCs w:val="21"/>
          <w:highlight w:val="none"/>
        </w:rPr>
        <w:br w:type="textWrapping"/>
      </w:r>
      <w:r>
        <w:rPr>
          <w:rFonts w:hint="eastAsia" w:ascii="宋体" w:hAnsi="宋体" w:cs="宋体"/>
          <w:color w:val="auto"/>
          <w:szCs w:val="21"/>
          <w:highlight w:val="none"/>
        </w:rPr>
        <w:t>　　（6）到货时间早于一览表约定时间，由发包人承担因此发生的保管费用；到货时间迟于一览表约定的供应时间，发包人赔偿由此造成的承包人损失，造成工期延误的，相应顺延工期；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27.5发包人供应的材料设备使用前，由承包人负责检验或试验，不合格的不得使用，检验或试验费用由发包人承担。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27.6发包人供应材料设备的结算方法，双方在专用条款内约定。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28.承包人采购材料设备</w:t>
      </w:r>
      <w:r>
        <w:rPr>
          <w:rFonts w:hint="eastAsia" w:ascii="宋体" w:hAnsi="宋体" w:cs="宋体"/>
          <w:color w:val="auto"/>
          <w:szCs w:val="21"/>
          <w:highlight w:val="none"/>
        </w:rPr>
        <w:br w:type="textWrapping"/>
      </w:r>
      <w:r>
        <w:rPr>
          <w:rFonts w:hint="eastAsia" w:ascii="宋体" w:hAnsi="宋体" w:cs="宋体"/>
          <w:color w:val="auto"/>
          <w:szCs w:val="21"/>
          <w:highlight w:val="none"/>
        </w:rPr>
        <w:t>　　28.1承包人负责采购材料设备的，应按照专用条款约定及设计和有关标准要求采购，并提供产品合格证明，对材料设备质量负责。承包人在材料设备到货前24小时通知工程师清点。</w:t>
      </w:r>
      <w:r>
        <w:rPr>
          <w:rFonts w:hint="eastAsia" w:ascii="宋体" w:hAnsi="宋体" w:cs="宋体"/>
          <w:color w:val="auto"/>
          <w:szCs w:val="21"/>
          <w:highlight w:val="none"/>
        </w:rPr>
        <w:br w:type="textWrapping"/>
      </w:r>
      <w:r>
        <w:rPr>
          <w:rFonts w:hint="eastAsia" w:ascii="宋体" w:hAnsi="宋体" w:cs="宋体"/>
          <w:color w:val="auto"/>
          <w:szCs w:val="21"/>
          <w:highlight w:val="none"/>
        </w:rPr>
        <w:t>　　28.2承包人采购的材料设备与设计或标准要求不符时，承包人应按工程师要求的时间运出施工场地，重新采购符合要求的产品，承担由此发生的费用，由此延误的工期不予顺延。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28.3承包人采购的材料设备在使用前，承包人应按工程师的要求进行检验或试验，不合格的不得使用，检验或试验费用由承包人承担。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28.4工程师发现承包人采购并使用不符合设计和标准要求的材料设备时，应要求承包人负责修复、拆除或重新采购，由承包人承担发生的费用，由此延误的工期不予顺延。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28.5承包人需要使用代用材料时，应经工程师认可后才能使用，由此增减的合同价款双方以书面形式议定。</w:t>
      </w:r>
      <w:r>
        <w:rPr>
          <w:rFonts w:hint="eastAsia" w:ascii="宋体" w:hAnsi="宋体" w:cs="宋体"/>
          <w:color w:val="auto"/>
          <w:szCs w:val="21"/>
          <w:highlight w:val="none"/>
        </w:rPr>
        <w:br w:type="textWrapping"/>
      </w:r>
      <w:r>
        <w:rPr>
          <w:rFonts w:hint="eastAsia" w:ascii="宋体" w:hAnsi="宋体" w:cs="宋体"/>
          <w:color w:val="auto"/>
          <w:szCs w:val="21"/>
          <w:highlight w:val="none"/>
        </w:rPr>
        <w:t>　　28.6由承包人采购的材料设备，发包人不得指定生产厂或供应商。</w:t>
      </w:r>
      <w:r>
        <w:rPr>
          <w:rFonts w:hint="eastAsia" w:ascii="宋体" w:hAnsi="宋体" w:cs="宋体"/>
          <w:color w:val="auto"/>
          <w:szCs w:val="21"/>
          <w:highlight w:val="none"/>
        </w:rPr>
        <w:br w:type="textWrapping"/>
      </w:r>
      <w:r>
        <w:rPr>
          <w:rFonts w:hint="eastAsia" w:ascii="宋体" w:hAnsi="宋体" w:cs="宋体"/>
          <w:color w:val="auto"/>
          <w:szCs w:val="21"/>
          <w:highlight w:val="none"/>
        </w:rPr>
        <w:t>　　八、工程变更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29.工程设计变更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（1）更改工程有关部分的标高、基线、位置和尺寸；</w:t>
      </w:r>
      <w:r>
        <w:rPr>
          <w:rFonts w:hint="eastAsia" w:ascii="宋体" w:hAnsi="宋体" w:cs="宋体"/>
          <w:color w:val="auto"/>
          <w:szCs w:val="21"/>
          <w:highlight w:val="none"/>
        </w:rPr>
        <w:br w:type="textWrapping"/>
      </w:r>
      <w:r>
        <w:rPr>
          <w:rFonts w:hint="eastAsia" w:ascii="宋体" w:hAnsi="宋体" w:cs="宋体"/>
          <w:color w:val="auto"/>
          <w:szCs w:val="21"/>
          <w:highlight w:val="none"/>
        </w:rPr>
        <w:t>　　（2）增减合同中约定的工程量；</w:t>
      </w:r>
      <w:r>
        <w:rPr>
          <w:rFonts w:hint="eastAsia" w:ascii="宋体" w:hAnsi="宋体" w:cs="宋体"/>
          <w:color w:val="auto"/>
          <w:szCs w:val="21"/>
          <w:highlight w:val="none"/>
        </w:rPr>
        <w:br w:type="textWrapping"/>
      </w:r>
      <w:r>
        <w:rPr>
          <w:rFonts w:hint="eastAsia" w:ascii="宋体" w:hAnsi="宋体" w:cs="宋体"/>
          <w:color w:val="auto"/>
          <w:szCs w:val="21"/>
          <w:highlight w:val="none"/>
        </w:rPr>
        <w:t>　　（3）改变有关工程的施工时间和顺序；</w:t>
      </w:r>
      <w:r>
        <w:rPr>
          <w:rFonts w:hint="eastAsia" w:ascii="宋体" w:hAnsi="宋体" w:cs="宋体"/>
          <w:color w:val="auto"/>
          <w:szCs w:val="21"/>
          <w:highlight w:val="none"/>
        </w:rPr>
        <w:br w:type="textWrapping"/>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（4）其他有关工程变更需要的附加工作。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因变更导致合同价款的增减及造成的承包人损失，由发包人承担，延误的工期相应顺延。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29.2施工中承包人不得对原工程设计进行变更。因承包人擅自变更设计发生的费用和由此导致发包人的直接损失，由承包人承担，延误的工期不予顺延。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工程师同意采用承包人合理化建议，所发生的费用和获得的收益，发包人承包人另行约定分担或分享。</w:t>
      </w:r>
      <w:r>
        <w:rPr>
          <w:rFonts w:hint="eastAsia" w:ascii="宋体" w:hAnsi="宋体" w:cs="宋体"/>
          <w:color w:val="auto"/>
          <w:szCs w:val="21"/>
          <w:highlight w:val="none"/>
        </w:rPr>
        <w:br w:type="textWrapping"/>
      </w:r>
      <w:r>
        <w:rPr>
          <w:rFonts w:hint="eastAsia" w:ascii="宋体" w:hAnsi="宋体" w:cs="宋体"/>
          <w:color w:val="auto"/>
          <w:szCs w:val="21"/>
          <w:highlight w:val="none"/>
        </w:rPr>
        <w:t>　　30.其他变更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合同履行中发包人要求变更工程质量标准及发生其他实质性变更，由双方协商解决。</w:t>
      </w:r>
      <w:r>
        <w:rPr>
          <w:rFonts w:hint="eastAsia" w:ascii="宋体" w:hAnsi="宋体" w:cs="宋体"/>
          <w:color w:val="auto"/>
          <w:szCs w:val="21"/>
          <w:highlight w:val="none"/>
        </w:rPr>
        <w:br w:type="textWrapping"/>
      </w:r>
      <w:r>
        <w:rPr>
          <w:rFonts w:hint="eastAsia" w:ascii="宋体" w:hAnsi="宋体" w:cs="宋体"/>
          <w:color w:val="auto"/>
          <w:szCs w:val="21"/>
          <w:highlight w:val="none"/>
        </w:rPr>
        <w:t>　　31.确定变更价款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31.1承包人在工程变更确定后14天内，提出变更工程价款的报告，经工程师确认后调整合同价款。变更合同价款按下列方法进行：</w:t>
      </w:r>
      <w:r>
        <w:rPr>
          <w:rFonts w:hint="eastAsia" w:ascii="宋体" w:hAnsi="宋体" w:cs="宋体"/>
          <w:color w:val="auto"/>
          <w:szCs w:val="21"/>
          <w:highlight w:val="none"/>
        </w:rPr>
        <w:br w:type="textWrapping"/>
      </w:r>
      <w:r>
        <w:rPr>
          <w:rFonts w:hint="eastAsia" w:ascii="宋体" w:hAnsi="宋体" w:cs="宋体"/>
          <w:color w:val="auto"/>
          <w:szCs w:val="21"/>
          <w:highlight w:val="none"/>
        </w:rPr>
        <w:t>　　（1）合同中已有适用于变更工程的价格，按合同已有的价格变更合同价款；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（2）合同中只有类似于变更工程的价格，可以参照类似价格变更合同价款；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（3）合同中没有适用或类似于变更工程的价格，由承包人提出适当的变更价格，经工程师确认后执行。</w:t>
      </w:r>
      <w:r>
        <w:rPr>
          <w:rFonts w:hint="eastAsia" w:ascii="宋体" w:hAnsi="宋体" w:cs="宋体"/>
          <w:color w:val="auto"/>
          <w:szCs w:val="21"/>
          <w:highlight w:val="none"/>
        </w:rPr>
        <w:br w:type="textWrapping"/>
      </w:r>
      <w:r>
        <w:rPr>
          <w:rFonts w:hint="eastAsia" w:ascii="宋体" w:hAnsi="宋体" w:cs="宋体"/>
          <w:color w:val="auto"/>
          <w:szCs w:val="21"/>
          <w:highlight w:val="none"/>
        </w:rPr>
        <w:t>　　31.2承包人在双方确定变更后14天内不向工程师提出变更工程价款报告时，视为该项变更不涉及合同价款的变更。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31.3工程师应在收到变更工程价款报告之日起14天内予以确认，工程师无正当理由不确认时，自变更工程价款报告送达之日起14天后视为变更工程价款报告已被确认。</w:t>
      </w:r>
      <w:r>
        <w:rPr>
          <w:rFonts w:hint="eastAsia" w:ascii="宋体" w:hAnsi="宋体" w:cs="宋体"/>
          <w:color w:val="auto"/>
          <w:szCs w:val="21"/>
          <w:highlight w:val="none"/>
        </w:rPr>
        <w:br w:type="textWrapping"/>
      </w:r>
      <w:r>
        <w:rPr>
          <w:rFonts w:hint="eastAsia" w:ascii="宋体" w:hAnsi="宋体" w:cs="宋体"/>
          <w:color w:val="auto"/>
          <w:szCs w:val="21"/>
          <w:highlight w:val="none"/>
        </w:rPr>
        <w:t>　　31.4工程师不同意承包人提出的变更价款，按本通用条款第37条关于争议的约定处理。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31.5工程师确认增加的工程变更价款作为追加合同价款，与工程款同期支付。</w:t>
      </w:r>
      <w:r>
        <w:rPr>
          <w:rFonts w:hint="eastAsia" w:ascii="宋体" w:hAnsi="宋体" w:cs="宋体"/>
          <w:color w:val="auto"/>
          <w:szCs w:val="21"/>
          <w:highlight w:val="none"/>
        </w:rPr>
        <w:br w:type="textWrapping"/>
      </w:r>
      <w:r>
        <w:rPr>
          <w:rFonts w:hint="eastAsia" w:ascii="宋体" w:hAnsi="宋体" w:cs="宋体"/>
          <w:color w:val="auto"/>
          <w:szCs w:val="21"/>
          <w:highlight w:val="none"/>
        </w:rPr>
        <w:t>　　31.6因承包人自身原因导致的工程变更，承包人无权要求追加合同价款。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九、竣工验收与结算</w:t>
      </w:r>
      <w:r>
        <w:rPr>
          <w:rFonts w:hint="eastAsia" w:ascii="宋体" w:hAnsi="宋体" w:cs="宋体"/>
          <w:color w:val="auto"/>
          <w:szCs w:val="21"/>
          <w:highlight w:val="none"/>
        </w:rPr>
        <w:br w:type="textWrapping"/>
      </w:r>
      <w:r>
        <w:rPr>
          <w:rFonts w:hint="eastAsia" w:ascii="宋体" w:hAnsi="宋体" w:cs="宋体"/>
          <w:color w:val="auto"/>
          <w:szCs w:val="21"/>
          <w:highlight w:val="none"/>
        </w:rPr>
        <w:t>　　32.竣工验收</w:t>
      </w:r>
      <w:r>
        <w:rPr>
          <w:rFonts w:hint="eastAsia" w:ascii="宋体" w:hAnsi="宋体" w:cs="宋体"/>
          <w:color w:val="auto"/>
          <w:szCs w:val="21"/>
          <w:highlight w:val="none"/>
        </w:rPr>
        <w:br w:type="textWrapping"/>
      </w:r>
      <w:r>
        <w:rPr>
          <w:rFonts w:hint="eastAsia" w:ascii="宋体" w:hAnsi="宋体" w:cs="宋体"/>
          <w:color w:val="auto"/>
          <w:szCs w:val="21"/>
          <w:highlight w:val="none"/>
        </w:rPr>
        <w:t>　　32.1工程具备竣工验收条件，承包人按国家工程竣工验收有关规定，向发包人提供完整竣工资料及竣工验收报告。双方约定由承包人提供竣工图的，应当在专用条款内约定提供的日期和份数。</w:t>
      </w:r>
      <w:r>
        <w:rPr>
          <w:rFonts w:hint="eastAsia" w:ascii="宋体" w:hAnsi="宋体" w:cs="宋体"/>
          <w:color w:val="auto"/>
          <w:szCs w:val="21"/>
          <w:highlight w:val="none"/>
        </w:rPr>
        <w:br w:type="textWrapping"/>
      </w:r>
      <w:r>
        <w:rPr>
          <w:rFonts w:hint="eastAsia" w:ascii="宋体" w:hAnsi="宋体" w:cs="宋体"/>
          <w:color w:val="auto"/>
          <w:szCs w:val="21"/>
          <w:highlight w:val="none"/>
        </w:rPr>
        <w:t>　　32.2发包人收到竣工验收报告后28天内组织有关单位验收，并在验收后14天内给予认可或提出修改意见。承包人按要求修改，并承担由自身原因造成修改的费用。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32.3发包人收到承包人送交的竣工验收报告后28天内不组织验收，或验收后14天内不提出修改意见，视为竣工验收报告已被认可。</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32.4工程竣工验收通过，承包人送交竣工验收报告的日期为实际竣工日期。工程按发包人要求修改后通过竣工验收的，实际竣工日期为承包人修改后提请发包人验收的日期。</w:t>
      </w:r>
      <w:r>
        <w:rPr>
          <w:rFonts w:hint="eastAsia" w:ascii="宋体" w:hAnsi="宋体" w:cs="宋体"/>
          <w:color w:val="auto"/>
          <w:szCs w:val="21"/>
          <w:highlight w:val="none"/>
        </w:rPr>
        <w:br w:type="textWrapping"/>
      </w:r>
      <w:r>
        <w:rPr>
          <w:rFonts w:hint="eastAsia" w:ascii="宋体" w:hAnsi="宋体" w:cs="宋体"/>
          <w:color w:val="auto"/>
          <w:szCs w:val="21"/>
          <w:highlight w:val="none"/>
        </w:rPr>
        <w:t>　　32.5发包人收到承包人竣工验收报告后28天内不组织验收，从第29天起承担工程保管及一切意外责任。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32.6中间交工工程的范围和竣工时间，双方在专用条款内约定，其验收程序按本通用条款32.1款至32.4款办理。</w:t>
      </w:r>
      <w:r>
        <w:rPr>
          <w:rFonts w:hint="eastAsia" w:ascii="宋体" w:hAnsi="宋体" w:cs="宋体"/>
          <w:color w:val="auto"/>
          <w:szCs w:val="21"/>
          <w:highlight w:val="none"/>
        </w:rPr>
        <w:br w:type="textWrapping"/>
      </w:r>
      <w:r>
        <w:rPr>
          <w:rFonts w:hint="eastAsia" w:ascii="宋体" w:hAnsi="宋体" w:cs="宋体"/>
          <w:color w:val="auto"/>
          <w:szCs w:val="21"/>
          <w:highlight w:val="none"/>
        </w:rPr>
        <w:t>　　32.7因特殊原因，发包人要求部分单位工程或工程部位甩项竣工的，双方另行签订甩项竣工协议，明确双方责任和工程价款的支付方法。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32.8工程未经竣工验收或竣工验收未通过的，发包人不得使用。发包人强行使用时，由此发生的质量问题及其他问题，由发包人承担责任。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33.竣工结算</w:t>
      </w:r>
      <w:r>
        <w:rPr>
          <w:rFonts w:hint="eastAsia" w:ascii="宋体" w:hAnsi="宋体" w:cs="宋体"/>
          <w:color w:val="auto"/>
          <w:szCs w:val="21"/>
          <w:highlight w:val="none"/>
        </w:rPr>
        <w:br w:type="textWrapping"/>
      </w:r>
      <w:r>
        <w:rPr>
          <w:rFonts w:hint="eastAsia" w:ascii="宋体" w:hAnsi="宋体" w:cs="宋体"/>
          <w:color w:val="auto"/>
          <w:szCs w:val="21"/>
          <w:highlight w:val="none"/>
        </w:rPr>
        <w:t>　　33.1工程竣工验收报告经发包人认可后28天内，承包人向发包人递交竣工结算报告及完整的结算资料，双方按照协议书约定的合同价款及专用条款约定的合同价款调整内容，进行工程竣工结算。</w:t>
      </w:r>
      <w:r>
        <w:rPr>
          <w:rFonts w:hint="eastAsia" w:ascii="宋体" w:hAnsi="宋体" w:cs="宋体"/>
          <w:color w:val="auto"/>
          <w:szCs w:val="21"/>
          <w:highlight w:val="none"/>
        </w:rPr>
        <w:br w:type="textWrapping"/>
      </w:r>
      <w:r>
        <w:rPr>
          <w:rFonts w:hint="eastAsia" w:ascii="宋体" w:hAnsi="宋体" w:cs="宋体"/>
          <w:color w:val="auto"/>
          <w:szCs w:val="21"/>
          <w:highlight w:val="none"/>
        </w:rPr>
        <w:t>　　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r>
        <w:rPr>
          <w:rFonts w:hint="eastAsia" w:ascii="宋体" w:hAnsi="宋体" w:cs="宋体"/>
          <w:color w:val="auto"/>
          <w:szCs w:val="21"/>
          <w:highlight w:val="none"/>
        </w:rPr>
        <w:br w:type="textWrapping"/>
      </w:r>
      <w:r>
        <w:rPr>
          <w:rFonts w:hint="eastAsia" w:ascii="宋体" w:hAnsi="宋体" w:cs="宋体"/>
          <w:color w:val="auto"/>
          <w:szCs w:val="21"/>
          <w:highlight w:val="none"/>
        </w:rPr>
        <w:t>　　33.3发包人收到竣工结算报告及结算资料后28天内无正当理由不支付工程竣工结算价款，从第29天起按承包人同期向银行贷款利率支付拖欠工程价款的利息，并承担违约责任。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r>
        <w:rPr>
          <w:rFonts w:hint="eastAsia" w:ascii="宋体" w:hAnsi="宋体" w:cs="宋体"/>
          <w:color w:val="auto"/>
          <w:szCs w:val="21"/>
          <w:highlight w:val="none"/>
        </w:rPr>
        <w:br w:type="textWrapping"/>
      </w:r>
      <w:r>
        <w:rPr>
          <w:rFonts w:hint="eastAsia" w:ascii="宋体" w:hAnsi="宋体" w:cs="宋体"/>
          <w:color w:val="auto"/>
          <w:szCs w:val="21"/>
          <w:highlight w:val="none"/>
        </w:rPr>
        <w:t>　　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33.6发包人承包人对工程竣工结算价款发生争议时，按本通用条款第37条关于争议的约定处理。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34.质量保修</w:t>
      </w:r>
      <w:r>
        <w:rPr>
          <w:rFonts w:hint="eastAsia" w:ascii="宋体" w:hAnsi="宋体" w:cs="宋体"/>
          <w:color w:val="auto"/>
          <w:szCs w:val="21"/>
          <w:highlight w:val="none"/>
        </w:rPr>
        <w:br w:type="textWrapping"/>
      </w:r>
      <w:r>
        <w:rPr>
          <w:rFonts w:hint="eastAsia" w:ascii="宋体" w:hAnsi="宋体" w:cs="宋体"/>
          <w:color w:val="auto"/>
          <w:szCs w:val="21"/>
          <w:highlight w:val="none"/>
        </w:rPr>
        <w:t>　　34.1承包人应按法律、行政法规或国家关于工程质量保修的有关规定，对交付发包人使用的工程在质量保修期内承担质量保修责任。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34.2质量保修工作的实施。承包人应在工程竣工验收之前，与发包人签订质量保修书，作为本合同附件（附件3）。</w:t>
      </w:r>
      <w:r>
        <w:rPr>
          <w:rFonts w:hint="eastAsia" w:ascii="宋体" w:hAnsi="宋体" w:cs="宋体"/>
          <w:color w:val="auto"/>
          <w:szCs w:val="21"/>
          <w:highlight w:val="none"/>
        </w:rPr>
        <w:br w:type="textWrapping"/>
      </w:r>
      <w:r>
        <w:rPr>
          <w:rFonts w:hint="eastAsia" w:ascii="宋体" w:hAnsi="宋体" w:cs="宋体"/>
          <w:color w:val="auto"/>
          <w:szCs w:val="21"/>
          <w:highlight w:val="none"/>
        </w:rPr>
        <w:t>　　34.3质量保修书的主要内容包括：</w:t>
      </w:r>
      <w:r>
        <w:rPr>
          <w:rFonts w:hint="eastAsia" w:ascii="宋体" w:hAnsi="宋体" w:cs="宋体"/>
          <w:color w:val="auto"/>
          <w:szCs w:val="21"/>
          <w:highlight w:val="none"/>
        </w:rPr>
        <w:br w:type="textWrapping"/>
      </w:r>
      <w:r>
        <w:rPr>
          <w:rFonts w:hint="eastAsia" w:ascii="宋体" w:hAnsi="宋体" w:cs="宋体"/>
          <w:color w:val="auto"/>
          <w:szCs w:val="21"/>
          <w:highlight w:val="none"/>
        </w:rPr>
        <w:t>　　（1）质量保修项目内容及范围；</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（2）质理保修期；</w:t>
      </w:r>
      <w:r>
        <w:rPr>
          <w:rFonts w:hint="eastAsia" w:ascii="宋体" w:hAnsi="宋体" w:cs="宋体"/>
          <w:color w:val="auto"/>
          <w:szCs w:val="21"/>
          <w:highlight w:val="none"/>
        </w:rPr>
        <w:br w:type="textWrapping"/>
      </w:r>
      <w:r>
        <w:rPr>
          <w:rFonts w:hint="eastAsia" w:ascii="宋体" w:hAnsi="宋体" w:cs="宋体"/>
          <w:color w:val="auto"/>
          <w:szCs w:val="21"/>
          <w:highlight w:val="none"/>
        </w:rPr>
        <w:t>　　（3）质量保修责任；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（4）质量保修金的支付方法。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十、违约、索赔和争议</w:t>
      </w:r>
      <w:r>
        <w:rPr>
          <w:rFonts w:hint="eastAsia" w:ascii="宋体" w:hAnsi="宋体" w:cs="宋体"/>
          <w:color w:val="auto"/>
          <w:szCs w:val="21"/>
          <w:highlight w:val="none"/>
        </w:rPr>
        <w:br w:type="textWrapping"/>
      </w:r>
      <w:r>
        <w:rPr>
          <w:rFonts w:hint="eastAsia" w:ascii="宋体" w:hAnsi="宋体" w:cs="宋体"/>
          <w:color w:val="auto"/>
          <w:szCs w:val="21"/>
          <w:highlight w:val="none"/>
        </w:rPr>
        <w:t>　　35.违约</w:t>
      </w:r>
      <w:r>
        <w:rPr>
          <w:rFonts w:hint="eastAsia" w:ascii="宋体" w:hAnsi="宋体" w:cs="宋体"/>
          <w:color w:val="auto"/>
          <w:szCs w:val="21"/>
          <w:highlight w:val="none"/>
        </w:rPr>
        <w:br w:type="textWrapping"/>
      </w:r>
      <w:r>
        <w:rPr>
          <w:rFonts w:hint="eastAsia" w:ascii="宋体" w:hAnsi="宋体" w:cs="宋体"/>
          <w:color w:val="auto"/>
          <w:szCs w:val="21"/>
          <w:highlight w:val="none"/>
        </w:rPr>
        <w:t>　　35.1发包人违约。当发生下列情况时：</w:t>
      </w:r>
      <w:r>
        <w:rPr>
          <w:rFonts w:hint="eastAsia" w:ascii="宋体" w:hAnsi="宋体" w:cs="宋体"/>
          <w:color w:val="auto"/>
          <w:szCs w:val="21"/>
          <w:highlight w:val="none"/>
        </w:rPr>
        <w:br w:type="textWrapping"/>
      </w:r>
      <w:r>
        <w:rPr>
          <w:rFonts w:hint="eastAsia" w:ascii="宋体" w:hAnsi="宋体" w:cs="宋体"/>
          <w:color w:val="auto"/>
          <w:szCs w:val="21"/>
          <w:highlight w:val="none"/>
        </w:rPr>
        <w:t>　　（1）本通用条款第24条提到的发包人不按时支付工程预付款；</w:t>
      </w:r>
      <w:r>
        <w:rPr>
          <w:rFonts w:hint="eastAsia" w:ascii="宋体" w:hAnsi="宋体" w:cs="宋体"/>
          <w:color w:val="auto"/>
          <w:szCs w:val="21"/>
          <w:highlight w:val="none"/>
        </w:rPr>
        <w:br w:type="textWrapping"/>
      </w:r>
      <w:r>
        <w:rPr>
          <w:rFonts w:hint="eastAsia" w:ascii="宋体" w:hAnsi="宋体" w:cs="宋体"/>
          <w:color w:val="auto"/>
          <w:szCs w:val="21"/>
          <w:highlight w:val="none"/>
        </w:rPr>
        <w:t>　　（2）本通用条款第26.4款提到的发包人不按合同约定支付工程款，导致施工无法进行；</w:t>
      </w:r>
      <w:r>
        <w:rPr>
          <w:rFonts w:hint="eastAsia" w:ascii="宋体" w:hAnsi="宋体" w:cs="宋体"/>
          <w:color w:val="auto"/>
          <w:szCs w:val="21"/>
          <w:highlight w:val="none"/>
        </w:rPr>
        <w:br w:type="textWrapping"/>
      </w:r>
      <w:r>
        <w:rPr>
          <w:rFonts w:hint="eastAsia" w:ascii="宋体" w:hAnsi="宋体" w:cs="宋体"/>
          <w:color w:val="auto"/>
          <w:szCs w:val="21"/>
          <w:highlight w:val="none"/>
        </w:rPr>
        <w:t>　　（3）本通用条款第33.3款提到的发包人无正当理由不支付工程竣工结算价款；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（4）发包人不履行合同义务或不按合同约定履行义务的其他情况。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发包人承担违约责任，赔偿因其违约给承包人造成的经济损失，顺延延误的工期。双方在专用条款内约定发包人赔偿承包人损失的计算方法或者发包人应当支付违约金的数额或计算方法。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35.2承包人违约。当发生下列情况时：</w:t>
      </w:r>
      <w:r>
        <w:rPr>
          <w:rFonts w:hint="eastAsia" w:ascii="宋体" w:hAnsi="宋体" w:cs="宋体"/>
          <w:color w:val="auto"/>
          <w:szCs w:val="21"/>
          <w:highlight w:val="none"/>
        </w:rPr>
        <w:br w:type="textWrapping"/>
      </w:r>
      <w:r>
        <w:rPr>
          <w:rFonts w:hint="eastAsia" w:ascii="宋体" w:hAnsi="宋体" w:cs="宋体"/>
          <w:color w:val="auto"/>
          <w:szCs w:val="21"/>
          <w:highlight w:val="none"/>
        </w:rPr>
        <w:t>　　（1）本通用条款第14.2款提到的因承包人原因不能按照协议书约定的竣工日期或工程师同意顺延的工期竣工；</w:t>
      </w:r>
      <w:r>
        <w:rPr>
          <w:rFonts w:hint="eastAsia" w:ascii="宋体" w:hAnsi="宋体" w:cs="宋体"/>
          <w:color w:val="auto"/>
          <w:szCs w:val="21"/>
          <w:highlight w:val="none"/>
        </w:rPr>
        <w:br w:type="textWrapping"/>
      </w:r>
      <w:r>
        <w:rPr>
          <w:rFonts w:hint="eastAsia" w:ascii="宋体" w:hAnsi="宋体" w:cs="宋体"/>
          <w:color w:val="auto"/>
          <w:szCs w:val="21"/>
          <w:highlight w:val="none"/>
        </w:rPr>
        <w:t>　　（2）本通用条款第15.1款提到的因承包人原因工程质量达不到协议书约定的质量标准；</w:t>
      </w:r>
      <w:r>
        <w:rPr>
          <w:rFonts w:hint="eastAsia" w:ascii="宋体" w:hAnsi="宋体" w:cs="宋体"/>
          <w:color w:val="auto"/>
          <w:szCs w:val="21"/>
          <w:highlight w:val="none"/>
        </w:rPr>
        <w:br w:type="textWrapping"/>
      </w:r>
      <w:r>
        <w:rPr>
          <w:rFonts w:hint="eastAsia" w:ascii="宋体" w:hAnsi="宋体" w:cs="宋体"/>
          <w:color w:val="auto"/>
          <w:szCs w:val="21"/>
          <w:highlight w:val="none"/>
        </w:rPr>
        <w:t>　　（3）承包人不履行合同义务或不按合同约定履行义务的其他情况。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承包人承担违约责任，赔偿因其违约给发包人造成的损失。双方在专用条款内约定承包人赔偿发包人损失的计算方法或者承包人应当支付违约金的数额或计算方法。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35.3一方违约后，另一方要求违约方继续履行合同时，违约方承担上述违约责任后仍应继续履行合同。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36.索赔</w:t>
      </w:r>
      <w:r>
        <w:rPr>
          <w:rFonts w:hint="eastAsia" w:ascii="宋体" w:hAnsi="宋体" w:cs="宋体"/>
          <w:color w:val="auto"/>
          <w:szCs w:val="21"/>
          <w:highlight w:val="none"/>
        </w:rPr>
        <w:br w:type="textWrapping"/>
      </w:r>
      <w:r>
        <w:rPr>
          <w:rFonts w:hint="eastAsia" w:ascii="宋体" w:hAnsi="宋体" w:cs="宋体"/>
          <w:color w:val="auto"/>
          <w:szCs w:val="21"/>
          <w:highlight w:val="none"/>
        </w:rPr>
        <w:t>　　36.1当一方向另一方提出索赔时，要有正当索赔理由，且有索赔事件发生时的有效证据。</w:t>
      </w:r>
      <w:r>
        <w:rPr>
          <w:rFonts w:hint="eastAsia" w:ascii="宋体" w:hAnsi="宋体" w:cs="宋体"/>
          <w:color w:val="auto"/>
          <w:szCs w:val="21"/>
          <w:highlight w:val="none"/>
        </w:rPr>
        <w:br w:type="textWrapping"/>
      </w:r>
      <w:r>
        <w:rPr>
          <w:rFonts w:hint="eastAsia" w:ascii="宋体" w:hAnsi="宋体" w:cs="宋体"/>
          <w:color w:val="auto"/>
          <w:szCs w:val="21"/>
          <w:highlight w:val="none"/>
        </w:rPr>
        <w:t>　　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Pr>
          <w:rFonts w:hint="eastAsia" w:ascii="宋体" w:hAnsi="宋体" w:cs="宋体"/>
          <w:color w:val="auto"/>
          <w:szCs w:val="21"/>
          <w:highlight w:val="none"/>
        </w:rPr>
        <w:br w:type="textWrapping"/>
      </w:r>
      <w:r>
        <w:rPr>
          <w:rFonts w:hint="eastAsia" w:ascii="宋体" w:hAnsi="宋体" w:cs="宋体"/>
          <w:color w:val="auto"/>
          <w:szCs w:val="21"/>
          <w:highlight w:val="none"/>
        </w:rPr>
        <w:t>　　（1）索赔事件发生后28天内，向工程师发出索赔意向通知；</w:t>
      </w:r>
      <w:r>
        <w:rPr>
          <w:rFonts w:hint="eastAsia" w:ascii="宋体" w:hAnsi="宋体" w:cs="宋体"/>
          <w:color w:val="auto"/>
          <w:szCs w:val="21"/>
          <w:highlight w:val="none"/>
        </w:rPr>
        <w:br w:type="textWrapping"/>
      </w:r>
      <w:r>
        <w:rPr>
          <w:rFonts w:hint="eastAsia" w:ascii="宋体" w:hAnsi="宋体" w:cs="宋体"/>
          <w:color w:val="auto"/>
          <w:szCs w:val="21"/>
          <w:highlight w:val="none"/>
        </w:rPr>
        <w:t>　　（2）发出索赔意向通知后28天内，向工程师提出延长工期和（或）补偿经济损失的索赔报告及有关资料；</w:t>
      </w:r>
      <w:r>
        <w:rPr>
          <w:rFonts w:hint="eastAsia" w:ascii="宋体" w:hAnsi="宋体" w:cs="宋体"/>
          <w:color w:val="auto"/>
          <w:szCs w:val="21"/>
          <w:highlight w:val="none"/>
        </w:rPr>
        <w:br w:type="textWrapping"/>
      </w:r>
      <w:r>
        <w:rPr>
          <w:rFonts w:hint="eastAsia" w:ascii="宋体" w:hAnsi="宋体" w:cs="宋体"/>
          <w:color w:val="auto"/>
          <w:szCs w:val="21"/>
          <w:highlight w:val="none"/>
        </w:rPr>
        <w:t>　　（3）工程师在收到承包人送交的索赔报告和有关资料后，于28天内给予答复，或要求承包人进一步补充索赔理由和证据；</w:t>
      </w:r>
      <w:r>
        <w:rPr>
          <w:rFonts w:hint="eastAsia" w:ascii="宋体" w:hAnsi="宋体" w:cs="宋体"/>
          <w:color w:val="auto"/>
          <w:szCs w:val="21"/>
          <w:highlight w:val="none"/>
        </w:rPr>
        <w:br w:type="textWrapping"/>
      </w:r>
      <w:r>
        <w:rPr>
          <w:rFonts w:hint="eastAsia" w:ascii="宋体" w:hAnsi="宋体" w:cs="宋体"/>
          <w:color w:val="auto"/>
          <w:szCs w:val="21"/>
          <w:highlight w:val="none"/>
        </w:rPr>
        <w:t>　　（4）工程师在收到承包人送交的索赔报告和有关资料后28天内未予答复或未对承包人作进一步要求，视为该项索赔已经认可；</w:t>
      </w:r>
      <w:r>
        <w:rPr>
          <w:rFonts w:hint="eastAsia" w:ascii="宋体" w:hAnsi="宋体" w:cs="宋体"/>
          <w:color w:val="auto"/>
          <w:szCs w:val="21"/>
          <w:highlight w:val="none"/>
        </w:rPr>
        <w:br w:type="textWrapping"/>
      </w:r>
      <w:r>
        <w:rPr>
          <w:rFonts w:hint="eastAsia" w:ascii="宋体" w:hAnsi="宋体" w:cs="宋体"/>
          <w:color w:val="auto"/>
          <w:szCs w:val="21"/>
          <w:highlight w:val="none"/>
        </w:rPr>
        <w:t>　　（5）当该索赔事件持续进行时，承包人应当阶段性向工程师发出索赔意向，在索赔事件终了后28天内，向工程师送交索赔的有关资料和最终索赔报告。索赔答复程序与（3）、（4）规定相同。</w:t>
      </w:r>
      <w:r>
        <w:rPr>
          <w:rFonts w:hint="eastAsia" w:ascii="宋体" w:hAnsi="宋体" w:cs="宋体"/>
          <w:color w:val="auto"/>
          <w:szCs w:val="21"/>
          <w:highlight w:val="none"/>
        </w:rPr>
        <w:br w:type="textWrapping"/>
      </w:r>
      <w:r>
        <w:rPr>
          <w:rFonts w:hint="eastAsia" w:ascii="宋体" w:hAnsi="宋体" w:cs="宋体"/>
          <w:color w:val="auto"/>
          <w:szCs w:val="21"/>
          <w:highlight w:val="none"/>
        </w:rPr>
        <w:t>　　36.3承包人未能按合同约定履行自己的各项义务或发生错误，给发包人造成经济损失，发包人可按36.2款确定的时限向承包人提出索赔。</w:t>
      </w:r>
      <w:r>
        <w:rPr>
          <w:rFonts w:hint="eastAsia" w:ascii="宋体" w:hAnsi="宋体" w:cs="宋体"/>
          <w:color w:val="auto"/>
          <w:szCs w:val="21"/>
          <w:highlight w:val="none"/>
        </w:rPr>
        <w:br w:type="textWrapping"/>
      </w:r>
      <w:r>
        <w:rPr>
          <w:rFonts w:hint="eastAsia" w:ascii="宋体" w:hAnsi="宋体" w:cs="宋体"/>
          <w:color w:val="auto"/>
          <w:szCs w:val="21"/>
          <w:highlight w:val="none"/>
        </w:rPr>
        <w:t>　　37.争议</w:t>
      </w:r>
      <w:r>
        <w:rPr>
          <w:rFonts w:hint="eastAsia" w:ascii="宋体" w:hAnsi="宋体" w:cs="宋体"/>
          <w:color w:val="auto"/>
          <w:szCs w:val="21"/>
          <w:highlight w:val="none"/>
        </w:rPr>
        <w:br w:type="textWrapping"/>
      </w:r>
      <w:r>
        <w:rPr>
          <w:rFonts w:hint="eastAsia" w:ascii="宋体" w:hAnsi="宋体" w:cs="宋体"/>
          <w:color w:val="auto"/>
          <w:szCs w:val="21"/>
          <w:highlight w:val="none"/>
        </w:rPr>
        <w:t>　　37.1发包人承包人在履行合同时发生争议，可以和解或者要求有关主管部门调解。当事人不愿和解、调解或者和解、调解不成的，双方可以在专用条款内约定以下一种方式解决争议：</w:t>
      </w:r>
      <w:r>
        <w:rPr>
          <w:rFonts w:hint="eastAsia" w:ascii="宋体" w:hAnsi="宋体" w:cs="宋体"/>
          <w:color w:val="auto"/>
          <w:szCs w:val="21"/>
          <w:highlight w:val="none"/>
        </w:rPr>
        <w:br w:type="textWrapping"/>
      </w:r>
      <w:r>
        <w:rPr>
          <w:rFonts w:hint="eastAsia" w:ascii="宋体" w:hAnsi="宋体" w:cs="宋体"/>
          <w:color w:val="auto"/>
          <w:szCs w:val="21"/>
          <w:highlight w:val="none"/>
        </w:rPr>
        <w:t>　　第一种解决方式：双方达成仲裁协议，向约定的仲裁委员会申请仲裁；</w:t>
      </w:r>
      <w:r>
        <w:rPr>
          <w:rFonts w:hint="eastAsia" w:ascii="宋体" w:hAnsi="宋体" w:cs="宋体"/>
          <w:color w:val="auto"/>
          <w:szCs w:val="21"/>
          <w:highlight w:val="none"/>
        </w:rPr>
        <w:br w:type="textWrapping"/>
      </w:r>
      <w:r>
        <w:rPr>
          <w:rFonts w:hint="eastAsia" w:ascii="宋体" w:hAnsi="宋体" w:cs="宋体"/>
          <w:color w:val="auto"/>
          <w:szCs w:val="21"/>
          <w:highlight w:val="none"/>
        </w:rPr>
        <w:t>　　第二种解决方式；向有管辖权的人民法院起诉。</w:t>
      </w:r>
      <w:r>
        <w:rPr>
          <w:rFonts w:hint="eastAsia" w:ascii="宋体" w:hAnsi="宋体" w:cs="宋体"/>
          <w:color w:val="auto"/>
          <w:szCs w:val="21"/>
          <w:highlight w:val="none"/>
        </w:rPr>
        <w:br w:type="textWrapping"/>
      </w:r>
      <w:r>
        <w:rPr>
          <w:rFonts w:hint="eastAsia" w:ascii="宋体" w:hAnsi="宋体" w:cs="宋体"/>
          <w:color w:val="auto"/>
          <w:szCs w:val="21"/>
          <w:highlight w:val="none"/>
        </w:rPr>
        <w:t>　　37.2发生争议后，除非出现下列情况的，双方都应继续履行合同，保持施工连续，保护好已完工程：</w:t>
      </w:r>
      <w:r>
        <w:rPr>
          <w:rFonts w:hint="eastAsia" w:ascii="宋体" w:hAnsi="宋体" w:cs="宋体"/>
          <w:color w:val="auto"/>
          <w:szCs w:val="21"/>
          <w:highlight w:val="none"/>
        </w:rPr>
        <w:br w:type="textWrapping"/>
      </w:r>
      <w:r>
        <w:rPr>
          <w:rFonts w:hint="eastAsia" w:ascii="宋体" w:hAnsi="宋体" w:cs="宋体"/>
          <w:color w:val="auto"/>
          <w:szCs w:val="21"/>
          <w:highlight w:val="none"/>
        </w:rPr>
        <w:t>　　（1）单方违约导致合同确已无法履行，双方协议停止施工；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（2）调解要求停止施工，且为双方接受；</w:t>
      </w:r>
      <w:r>
        <w:rPr>
          <w:rFonts w:hint="eastAsia" w:ascii="宋体" w:hAnsi="宋体" w:cs="宋体"/>
          <w:color w:val="auto"/>
          <w:szCs w:val="21"/>
          <w:highlight w:val="none"/>
        </w:rPr>
        <w:br w:type="textWrapping"/>
      </w:r>
      <w:r>
        <w:rPr>
          <w:rFonts w:hint="eastAsia" w:ascii="宋体" w:hAnsi="宋体" w:cs="宋体"/>
          <w:color w:val="auto"/>
          <w:szCs w:val="21"/>
          <w:highlight w:val="none"/>
        </w:rPr>
        <w:t>　　（3）仲裁机构要求停止施工；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（4）法院要求停止施工。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十一、其他</w:t>
      </w:r>
      <w:r>
        <w:rPr>
          <w:rFonts w:hint="eastAsia" w:ascii="宋体" w:hAnsi="宋体" w:cs="宋体"/>
          <w:color w:val="auto"/>
          <w:szCs w:val="21"/>
          <w:highlight w:val="none"/>
        </w:rPr>
        <w:br w:type="textWrapping"/>
      </w:r>
      <w:r>
        <w:rPr>
          <w:rFonts w:hint="eastAsia" w:ascii="宋体" w:hAnsi="宋体" w:cs="宋体"/>
          <w:color w:val="auto"/>
          <w:szCs w:val="21"/>
          <w:highlight w:val="none"/>
        </w:rPr>
        <w:t>　　38.工程分包</w:t>
      </w:r>
      <w:r>
        <w:rPr>
          <w:rFonts w:hint="eastAsia" w:ascii="宋体" w:hAnsi="宋体" w:cs="宋体"/>
          <w:color w:val="auto"/>
          <w:szCs w:val="21"/>
          <w:highlight w:val="none"/>
        </w:rPr>
        <w:br w:type="textWrapping"/>
      </w:r>
      <w:r>
        <w:rPr>
          <w:rFonts w:hint="eastAsia" w:ascii="宋体" w:hAnsi="宋体" w:cs="宋体"/>
          <w:color w:val="auto"/>
          <w:szCs w:val="21"/>
          <w:highlight w:val="none"/>
        </w:rPr>
        <w:t>　　38.1承包人按专用条款的约定分包所承包的部分工程，并与分包单位签订分包合同。非经发包人同意，承包人不得将承包工程的任何部分分包。</w:t>
      </w:r>
      <w:r>
        <w:rPr>
          <w:rFonts w:hint="eastAsia" w:ascii="宋体" w:hAnsi="宋体" w:cs="宋体"/>
          <w:color w:val="auto"/>
          <w:szCs w:val="21"/>
          <w:highlight w:val="none"/>
        </w:rPr>
        <w:br w:type="textWrapping"/>
      </w:r>
      <w:r>
        <w:rPr>
          <w:rFonts w:hint="eastAsia" w:ascii="宋体" w:hAnsi="宋体" w:cs="宋体"/>
          <w:color w:val="auto"/>
          <w:szCs w:val="21"/>
          <w:highlight w:val="none"/>
        </w:rPr>
        <w:t>　　38.2承包人不得将其承包的全部工程转包给他人，也不得将其承包的全部工程肢解以后以分包的名义分别转包给他人。</w:t>
      </w:r>
      <w:r>
        <w:rPr>
          <w:rFonts w:hint="eastAsia" w:ascii="宋体" w:hAnsi="宋体" w:cs="宋体"/>
          <w:color w:val="auto"/>
          <w:szCs w:val="21"/>
          <w:highlight w:val="none"/>
        </w:rPr>
        <w:br w:type="textWrapping"/>
      </w:r>
      <w:r>
        <w:rPr>
          <w:rFonts w:hint="eastAsia" w:ascii="宋体" w:hAnsi="宋体" w:cs="宋体"/>
          <w:color w:val="auto"/>
          <w:szCs w:val="21"/>
          <w:highlight w:val="none"/>
        </w:rPr>
        <w:t>　　38.3工程分包不能解除承包人任何责任与义务。承包人应在分包场地派驻相应管理人员，保证本合同的履行。分包单位的任何违约行为或疏忽导致工程损害或给发包人造成其他损失，承包人承担连带责任。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38.4分包工程价款由承包人与分包单位结算。发包人未经承包人同意不得以任何形式向分包单位支付各种工程款项。</w:t>
      </w:r>
      <w:r>
        <w:rPr>
          <w:rFonts w:hint="eastAsia" w:ascii="宋体" w:hAnsi="宋体" w:cs="宋体"/>
          <w:color w:val="auto"/>
          <w:szCs w:val="21"/>
          <w:highlight w:val="none"/>
        </w:rPr>
        <w:br w:type="textWrapping"/>
      </w:r>
      <w:r>
        <w:rPr>
          <w:rFonts w:hint="eastAsia" w:ascii="宋体" w:hAnsi="宋体" w:cs="宋体"/>
          <w:color w:val="auto"/>
          <w:szCs w:val="21"/>
          <w:highlight w:val="none"/>
        </w:rPr>
        <w:t>　　39.不可抗力</w:t>
      </w:r>
      <w:r>
        <w:rPr>
          <w:rFonts w:hint="eastAsia" w:ascii="宋体" w:hAnsi="宋体" w:cs="宋体"/>
          <w:color w:val="auto"/>
          <w:szCs w:val="21"/>
          <w:highlight w:val="none"/>
        </w:rPr>
        <w:br w:type="textWrapping"/>
      </w:r>
      <w:r>
        <w:rPr>
          <w:rFonts w:hint="eastAsia" w:ascii="宋体" w:hAnsi="宋体" w:cs="宋体"/>
          <w:color w:val="auto"/>
          <w:szCs w:val="21"/>
          <w:highlight w:val="none"/>
        </w:rPr>
        <w:t>　　39.1不可抗力包括因战争、动乱、空中飞行物体坠落或其他非发包人承包人责任造成的爆炸、火灾，以及专用条款约定的风、雨、雪、洪、震等自然灾害。</w:t>
      </w:r>
      <w:r>
        <w:rPr>
          <w:rFonts w:hint="eastAsia" w:ascii="宋体" w:hAnsi="宋体" w:cs="宋体"/>
          <w:color w:val="auto"/>
          <w:szCs w:val="21"/>
          <w:highlight w:val="none"/>
        </w:rPr>
        <w:br w:type="textWrapping"/>
      </w:r>
      <w:r>
        <w:rPr>
          <w:rFonts w:hint="eastAsia" w:ascii="宋体" w:hAnsi="宋体" w:cs="宋体"/>
          <w:color w:val="auto"/>
          <w:szCs w:val="21"/>
          <w:highlight w:val="none"/>
        </w:rPr>
        <w:t>　　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r>
        <w:rPr>
          <w:rFonts w:hint="eastAsia" w:ascii="宋体" w:hAnsi="宋体" w:cs="宋体"/>
          <w:color w:val="auto"/>
          <w:szCs w:val="21"/>
          <w:highlight w:val="none"/>
        </w:rPr>
        <w:br w:type="textWrapping"/>
      </w:r>
      <w:r>
        <w:rPr>
          <w:rFonts w:hint="eastAsia" w:ascii="宋体" w:hAnsi="宋体" w:cs="宋体"/>
          <w:color w:val="auto"/>
          <w:szCs w:val="21"/>
          <w:highlight w:val="none"/>
        </w:rPr>
        <w:t>　39.3因不可抗力事件导致的费用及延误的工期由双方按以下方法分别承担：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（1）工程本身的损害、因工程损害导致第三人人员伤亡和财产损失以及运至施工场地用于施工的材料和待安装的设备的损害，由发包人承担；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（2）发包人承包人人员伤亡由其所在单位负责，并承担相应费用；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（3）承包人机械设备损坏及停工损失，由承包人承担；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（4）停工期间，承包人应工程师要求留在施工场地的必要的管理人员及保卫人员的费用由发包人承担；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（5）工程所需清理、修复费用，由发包人承担；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（6）延误的工期相应顺延。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39.4因合同一方迟延履行合同后发生不可抗力的，不能免除迟延履行方的相应责任。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40.保险</w:t>
      </w:r>
      <w:r>
        <w:rPr>
          <w:rFonts w:hint="eastAsia" w:ascii="宋体" w:hAnsi="宋体" w:cs="宋体"/>
          <w:color w:val="auto"/>
          <w:szCs w:val="21"/>
          <w:highlight w:val="none"/>
        </w:rPr>
        <w:br w:type="textWrapping"/>
      </w:r>
      <w:r>
        <w:rPr>
          <w:rFonts w:hint="eastAsia" w:ascii="宋体" w:hAnsi="宋体" w:cs="宋体"/>
          <w:color w:val="auto"/>
          <w:szCs w:val="21"/>
          <w:highlight w:val="none"/>
        </w:rPr>
        <w:t>　　40.1工程开工前，发包人为建设工程和施工场地内的自有人员及第三人人员生命财产办理保险，支付保险费用。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40.2运至施工场地内用于工程的材料和待安装设备，由发包人办理保险，并支付保险费用。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40.3发包人可以将有关保险事项委托承包人办理，费用由发包人承担。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40.4承包人必须为从事危险作业的职工办理意外伤害保险，并为施工场地内自有人员生命财产和施工机械设备办理保险，支付保险费用。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40.5保险事故发生时，发包人承包人有责任尽力采取必要的措施，防止或者减少损失。</w:t>
      </w:r>
      <w:r>
        <w:rPr>
          <w:rFonts w:hint="eastAsia" w:ascii="宋体" w:hAnsi="宋体" w:cs="宋体"/>
          <w:color w:val="auto"/>
          <w:szCs w:val="21"/>
          <w:highlight w:val="none"/>
        </w:rPr>
        <w:br w:type="textWrapping"/>
      </w:r>
      <w:r>
        <w:rPr>
          <w:rFonts w:hint="eastAsia" w:ascii="宋体" w:hAnsi="宋体" w:cs="宋体"/>
          <w:color w:val="auto"/>
          <w:szCs w:val="21"/>
          <w:highlight w:val="none"/>
        </w:rPr>
        <w:t>　　40.6具体投保内容和相关责任，发包人承包人在专用条款中约定。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41.担保</w:t>
      </w:r>
      <w:r>
        <w:rPr>
          <w:rFonts w:hint="eastAsia" w:ascii="宋体" w:hAnsi="宋体" w:cs="宋体"/>
          <w:color w:val="auto"/>
          <w:szCs w:val="21"/>
          <w:highlight w:val="none"/>
        </w:rPr>
        <w:br w:type="textWrapping"/>
      </w:r>
      <w:r>
        <w:rPr>
          <w:rFonts w:hint="eastAsia" w:ascii="宋体" w:hAnsi="宋体" w:cs="宋体"/>
          <w:color w:val="auto"/>
          <w:szCs w:val="21"/>
          <w:highlight w:val="none"/>
        </w:rPr>
        <w:t>　　41.1发包人承包人为了全面履行合同，应互相提供以下担保：</w:t>
      </w:r>
      <w:r>
        <w:rPr>
          <w:rFonts w:hint="eastAsia" w:ascii="宋体" w:hAnsi="宋体" w:cs="宋体"/>
          <w:color w:val="auto"/>
          <w:szCs w:val="21"/>
          <w:highlight w:val="none"/>
        </w:rPr>
        <w:br w:type="textWrapping"/>
      </w:r>
      <w:r>
        <w:rPr>
          <w:rFonts w:hint="eastAsia" w:ascii="宋体" w:hAnsi="宋体" w:cs="宋体"/>
          <w:color w:val="auto"/>
          <w:szCs w:val="21"/>
          <w:highlight w:val="none"/>
        </w:rPr>
        <w:t>　　（1）发包人向承包人提供履约担保，按合同约定支付工程价款及履行合同约定的其他义务。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（2）承包人向发包人提供履约担保，按合同约定履行自己的各项义务。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41.2一方违约后，另一方可要求提供担保的第三人承担相应责任。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41.3提供担保的内容、方式和相关责任，发包人承包人除在专用条款中约定外，被担保方与担保方还应签订担保合同，作为本合同附件。</w:t>
      </w:r>
      <w:r>
        <w:rPr>
          <w:rFonts w:hint="eastAsia" w:ascii="宋体" w:hAnsi="宋体" w:cs="宋体"/>
          <w:color w:val="auto"/>
          <w:szCs w:val="21"/>
          <w:highlight w:val="none"/>
        </w:rPr>
        <w:br w:type="textWrapping"/>
      </w:r>
      <w:r>
        <w:rPr>
          <w:rFonts w:hint="eastAsia" w:ascii="宋体" w:hAnsi="宋体" w:cs="宋体"/>
          <w:color w:val="auto"/>
          <w:szCs w:val="21"/>
          <w:highlight w:val="none"/>
        </w:rPr>
        <w:t>　　42.专利技术及特殊工艺</w:t>
      </w:r>
      <w:r>
        <w:rPr>
          <w:rFonts w:hint="eastAsia" w:ascii="宋体" w:hAnsi="宋体" w:cs="宋体"/>
          <w:color w:val="auto"/>
          <w:szCs w:val="21"/>
          <w:highlight w:val="none"/>
        </w:rPr>
        <w:br w:type="textWrapping"/>
      </w:r>
      <w:r>
        <w:rPr>
          <w:rFonts w:hint="eastAsia" w:ascii="宋体" w:hAnsi="宋体" w:cs="宋体"/>
          <w:color w:val="auto"/>
          <w:szCs w:val="21"/>
          <w:highlight w:val="none"/>
        </w:rPr>
        <w:t>　　42.1发包人要求使用专利技术或特殊工艺，应负责办理相应的申报手续，承担申报、试验、使用等费用；承包人提出使用专利技术或特殊工艺，应取得工程师认可，承包人负责办理申报手续并承担有关费用。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42.2擅自使用专利技术侵犯他人专利权的，责任者依法承担相应责任。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43.文物和地下障碍物</w:t>
      </w:r>
      <w:r>
        <w:rPr>
          <w:rFonts w:hint="eastAsia" w:ascii="宋体" w:hAnsi="宋体" w:cs="宋体"/>
          <w:color w:val="auto"/>
          <w:szCs w:val="21"/>
          <w:highlight w:val="none"/>
        </w:rPr>
        <w:br w:type="textWrapping"/>
      </w:r>
      <w:r>
        <w:rPr>
          <w:rFonts w:hint="eastAsia" w:ascii="宋体" w:hAnsi="宋体" w:cs="宋体"/>
          <w:color w:val="auto"/>
          <w:szCs w:val="21"/>
          <w:highlight w:val="none"/>
        </w:rPr>
        <w:t>　　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如发现后隐瞒不报，致使文物遭受破坏，责任者依法承担相应责任。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43.2施工中发现影响施工的地下障碍物时，承包人应于8小时内以书面形式通知工程师，同时提出处置方案，工程师收到处置方案后24小时内予以认可或提出修正方案。发包人承担由此发生的费用，顺延延误的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所发现的地下障碍物有归属单位时，发包人应报请有关部门协同处置</w:t>
      </w:r>
      <w:r>
        <w:rPr>
          <w:rFonts w:hint="eastAsia" w:ascii="宋体" w:hAnsi="宋体" w:cs="宋体"/>
          <w:color w:val="auto"/>
          <w:szCs w:val="21"/>
          <w:highlight w:val="none"/>
        </w:rPr>
        <w:br w:type="textWrapping"/>
      </w:r>
      <w:r>
        <w:rPr>
          <w:rFonts w:hint="eastAsia" w:ascii="宋体" w:hAnsi="宋体" w:cs="宋体"/>
          <w:color w:val="auto"/>
          <w:szCs w:val="21"/>
          <w:highlight w:val="none"/>
        </w:rPr>
        <w:t>　　44.合同解除</w:t>
      </w:r>
      <w:r>
        <w:rPr>
          <w:rFonts w:hint="eastAsia" w:ascii="宋体" w:hAnsi="宋体" w:cs="宋体"/>
          <w:color w:val="auto"/>
          <w:szCs w:val="21"/>
          <w:highlight w:val="none"/>
        </w:rPr>
        <w:br w:type="textWrapping"/>
      </w:r>
      <w:r>
        <w:rPr>
          <w:rFonts w:hint="eastAsia" w:ascii="宋体" w:hAnsi="宋体" w:cs="宋体"/>
          <w:color w:val="auto"/>
          <w:szCs w:val="21"/>
          <w:highlight w:val="none"/>
        </w:rPr>
        <w:t>　　44.1发包人承包人协商一致，可以解除合同。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44.2发生本通用条款第26.4款情况，停止施工超过56天，发包人仍不支付工程款（进度款），承包人有权解除合同。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44.3发生本通用条款第38.2款禁止的情况，承包人将其承包的全部工程转包给他人或者肢解以后以分包的包义分别转包给他人，发包人有权解除合同。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44.4有下列情形之一的，发包人承包人可以解除合同：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（1）因不可抗力致使合同无法履行；</w:t>
      </w:r>
      <w:r>
        <w:rPr>
          <w:rFonts w:hint="eastAsia" w:ascii="宋体" w:hAnsi="宋体" w:cs="宋体"/>
          <w:color w:val="auto"/>
          <w:szCs w:val="21"/>
          <w:highlight w:val="none"/>
        </w:rPr>
        <w:br w:type="textWrapping"/>
      </w:r>
      <w:r>
        <w:rPr>
          <w:rFonts w:hint="eastAsia" w:ascii="宋体" w:hAnsi="宋体" w:cs="宋体"/>
          <w:color w:val="auto"/>
          <w:szCs w:val="21"/>
          <w:highlight w:val="none"/>
        </w:rPr>
        <w:t>　　（2）因一方违约（包括因发包人原因造成工程停建或缓建）致使合同无法履行。</w:t>
      </w:r>
      <w:r>
        <w:rPr>
          <w:rFonts w:hint="eastAsia" w:ascii="宋体" w:hAnsi="宋体" w:cs="宋体"/>
          <w:color w:val="auto"/>
          <w:szCs w:val="21"/>
          <w:highlight w:val="none"/>
        </w:rPr>
        <w:br w:type="textWrapping"/>
      </w:r>
      <w:r>
        <w:rPr>
          <w:rFonts w:hint="eastAsia" w:ascii="宋体" w:hAnsi="宋体" w:cs="宋体"/>
          <w:color w:val="auto"/>
          <w:szCs w:val="21"/>
          <w:highlight w:val="none"/>
        </w:rPr>
        <w:t>　　44.5一方依据44.2、44.3、44.4款约定要求解除合同的，应以书面形式向对方发出解除合同的通知，并在发出通知前7天告知对方，通知到达对方时合同解除。对解除合同有争议的，按本通用条款第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r>
        <w:rPr>
          <w:rFonts w:hint="eastAsia" w:ascii="宋体" w:hAnsi="宋体" w:cs="宋体"/>
          <w:color w:val="auto"/>
          <w:szCs w:val="21"/>
          <w:highlight w:val="none"/>
        </w:rPr>
        <w:br w:type="textWrapping"/>
      </w:r>
      <w:r>
        <w:rPr>
          <w:rFonts w:hint="eastAsia" w:ascii="宋体" w:hAnsi="宋体" w:cs="宋体"/>
          <w:color w:val="auto"/>
          <w:szCs w:val="21"/>
          <w:highlight w:val="none"/>
        </w:rPr>
        <w:t>　　44.7合同解除后，不影响双方在合同中约定的结算和清理条款的效力。</w:t>
      </w:r>
      <w:r>
        <w:rPr>
          <w:rFonts w:hint="eastAsia" w:ascii="宋体" w:hAnsi="宋体" w:cs="宋体"/>
          <w:color w:val="auto"/>
          <w:szCs w:val="21"/>
          <w:highlight w:val="none"/>
        </w:rPr>
        <w:br w:type="textWrapping"/>
      </w:r>
      <w:r>
        <w:rPr>
          <w:rFonts w:hint="eastAsia" w:ascii="宋体" w:hAnsi="宋体" w:cs="宋体"/>
          <w:color w:val="auto"/>
          <w:szCs w:val="21"/>
          <w:highlight w:val="none"/>
        </w:rPr>
        <w:t>　　45.合同生效与终止</w:t>
      </w:r>
      <w:r>
        <w:rPr>
          <w:rFonts w:hint="eastAsia" w:ascii="宋体" w:hAnsi="宋体" w:cs="宋体"/>
          <w:color w:val="auto"/>
          <w:szCs w:val="21"/>
          <w:highlight w:val="none"/>
        </w:rPr>
        <w:br w:type="textWrapping"/>
      </w:r>
      <w:r>
        <w:rPr>
          <w:rFonts w:hint="eastAsia" w:ascii="宋体" w:hAnsi="宋体" w:cs="宋体"/>
          <w:color w:val="auto"/>
          <w:szCs w:val="21"/>
          <w:highlight w:val="none"/>
        </w:rPr>
        <w:t>　　45.1双方在协议书中约定合同生效方式。</w:t>
      </w:r>
      <w:r>
        <w:rPr>
          <w:rFonts w:hint="eastAsia" w:ascii="宋体" w:hAnsi="宋体" w:cs="宋体"/>
          <w:color w:val="auto"/>
          <w:szCs w:val="21"/>
          <w:highlight w:val="none"/>
        </w:rPr>
        <w:br w:type="textWrapping"/>
      </w:r>
      <w:r>
        <w:rPr>
          <w:rFonts w:hint="eastAsia" w:ascii="宋体" w:hAnsi="宋体" w:cs="宋体"/>
          <w:color w:val="auto"/>
          <w:szCs w:val="21"/>
          <w:highlight w:val="none"/>
        </w:rPr>
        <w:t>　　45.2除本通用条款第34条外，发包人承包人履行合同全部义务，竣工结算价款支付完毕，承包人向发包人交付竣工工程后，本合同即告终止。</w:t>
      </w:r>
      <w:r>
        <w:rPr>
          <w:rFonts w:hint="eastAsia" w:ascii="宋体" w:hAnsi="宋体" w:cs="宋体"/>
          <w:color w:val="auto"/>
          <w:szCs w:val="21"/>
          <w:highlight w:val="none"/>
        </w:rPr>
        <w:br w:type="textWrapping"/>
      </w:r>
      <w:r>
        <w:rPr>
          <w:rFonts w:hint="eastAsia" w:ascii="宋体" w:hAnsi="宋体" w:cs="宋体"/>
          <w:color w:val="auto"/>
          <w:szCs w:val="21"/>
          <w:highlight w:val="none"/>
        </w:rPr>
        <w:t>　　45.3合同的权利义务终止后，发包人承包人应当遵循诚实信用原则，履行通知、协助、保密等义务。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46.合同份数</w:t>
      </w:r>
      <w:r>
        <w:rPr>
          <w:rFonts w:hint="eastAsia" w:ascii="宋体" w:hAnsi="宋体" w:cs="宋体"/>
          <w:color w:val="auto"/>
          <w:szCs w:val="21"/>
          <w:highlight w:val="none"/>
        </w:rPr>
        <w:br w:type="textWrapping"/>
      </w:r>
      <w:r>
        <w:rPr>
          <w:rFonts w:hint="eastAsia" w:ascii="宋体" w:hAnsi="宋体" w:cs="宋体"/>
          <w:color w:val="auto"/>
          <w:szCs w:val="21"/>
          <w:highlight w:val="none"/>
        </w:rPr>
        <w:t>　　46.1本合同正本两份，具有同等效力，由发包人承包人分别保存一份。</w:t>
      </w:r>
      <w:r>
        <w:rPr>
          <w:rFonts w:hint="eastAsia" w:ascii="宋体" w:hAnsi="宋体" w:cs="宋体"/>
          <w:color w:val="auto"/>
          <w:szCs w:val="21"/>
          <w:highlight w:val="none"/>
        </w:rPr>
        <w:br w:type="textWrapping"/>
      </w:r>
      <w:r>
        <w:rPr>
          <w:rFonts w:hint="eastAsia" w:ascii="宋体" w:hAnsi="宋体" w:cs="宋体"/>
          <w:color w:val="auto"/>
          <w:szCs w:val="21"/>
          <w:highlight w:val="none"/>
        </w:rPr>
        <w:t>　</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46.2本合同副本份数，由双方根据需要在专用条款内约定。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47.补充条款。</w:t>
      </w:r>
      <w:r>
        <w:rPr>
          <w:rFonts w:hint="eastAsia" w:ascii="宋体" w:hAnsi="宋体" w:cs="宋体"/>
          <w:color w:val="auto"/>
          <w:szCs w:val="21"/>
          <w:highlight w:val="none"/>
        </w:rPr>
        <w:br w:type="textWrapping"/>
      </w:r>
      <w:r>
        <w:rPr>
          <w:rFonts w:hint="eastAsia" w:ascii="宋体" w:hAnsi="宋体" w:cs="宋体"/>
          <w:color w:val="auto"/>
          <w:szCs w:val="21"/>
          <w:highlight w:val="none"/>
        </w:rPr>
        <w:t>　　双方根据有关法律、行政法规规定，结合工程实际，经协商一致后，可对本通用条款内容具体化、补充或修改，在专用条款内约定。</w:t>
      </w:r>
    </w:p>
    <w:p>
      <w:pPr>
        <w:pStyle w:val="55"/>
        <w:jc w:val="center"/>
        <w:rPr>
          <w:rFonts w:ascii="宋体" w:hAnsi="宋体"/>
          <w:color w:val="auto"/>
          <w:sz w:val="21"/>
          <w:szCs w:val="21"/>
          <w:highlight w:val="none"/>
        </w:rPr>
      </w:pPr>
      <w:bookmarkStart w:id="90" w:name="_Toc18917_WPSOffice_Level2"/>
      <w:bookmarkStart w:id="91" w:name="_Toc5417"/>
      <w:r>
        <w:rPr>
          <w:rFonts w:hint="eastAsia" w:ascii="宋体" w:hAnsi="宋体"/>
          <w:color w:val="auto"/>
          <w:sz w:val="21"/>
          <w:szCs w:val="21"/>
          <w:highlight w:val="none"/>
        </w:rPr>
        <w:t>第三节专用合同条款</w:t>
      </w:r>
      <w:bookmarkEnd w:id="90"/>
      <w:bookmarkEnd w:id="9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一、词语定义及合同文件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2．合同文件及解释顺序</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合同文件组成及解释顺序：（1）</w:t>
      </w:r>
      <w:r>
        <w:rPr>
          <w:rFonts w:hint="eastAsia" w:ascii="宋体" w:hAnsi="宋体" w:cs="宋体"/>
          <w:color w:val="auto"/>
          <w:szCs w:val="21"/>
          <w:highlight w:val="none"/>
          <w:u w:val="single"/>
        </w:rPr>
        <w:t>本合同协议书（2）中标通知书（3）本合同专用条款（4）补充协议（5）采购文件及附件（6）响应文件及附件（7）本合同通用条款（8）技术标准及规范等。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3.语言文字和适用法律、标准及规范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本合同除使用汉语外，还使用</w:t>
      </w:r>
      <w:r>
        <w:rPr>
          <w:rFonts w:hint="eastAsia" w:ascii="宋体" w:hAnsi="宋体" w:cs="宋体"/>
          <w:color w:val="auto"/>
          <w:szCs w:val="21"/>
          <w:highlight w:val="none"/>
          <w:u w:val="single"/>
        </w:rPr>
        <w:t>无</w:t>
      </w:r>
      <w:r>
        <w:rPr>
          <w:rFonts w:hint="eastAsia" w:ascii="宋体" w:hAnsi="宋体" w:cs="宋体"/>
          <w:color w:val="auto"/>
          <w:szCs w:val="21"/>
          <w:highlight w:val="none"/>
        </w:rPr>
        <w:t>语言文字。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3.2适用法律和法规</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需要明示的法律、行政法规：</w:t>
      </w:r>
      <w:r>
        <w:rPr>
          <w:rFonts w:hint="eastAsia" w:ascii="宋体" w:hAnsi="宋体" w:cs="宋体"/>
          <w:color w:val="auto"/>
          <w:szCs w:val="21"/>
          <w:highlight w:val="none"/>
          <w:u w:val="single"/>
        </w:rPr>
        <w:t>《中华人民共和国建筑法》、《中华人民共和国合同法》、《中华人民共和国招标投标法》、《中华人民共和国安全生产法》、《建筑工程质量管理条例》、《建设工程安全生产管理条例》及现行相关法律、法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3.3适用标准、规范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适用标准、规范的名称：</w:t>
      </w:r>
      <w:r>
        <w:rPr>
          <w:rFonts w:hint="eastAsia" w:ascii="宋体" w:hAnsi="宋体" w:cs="宋体"/>
          <w:color w:val="auto"/>
          <w:szCs w:val="21"/>
          <w:highlight w:val="none"/>
          <w:u w:val="single"/>
        </w:rPr>
        <w:t>现行的国家、地方和行业质量标准、规范、《建筑工程施工质量验收统一标准GB50300-2013》。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发包人提供标准、规范的时间：</w:t>
      </w:r>
      <w:r>
        <w:rPr>
          <w:rFonts w:hint="eastAsia" w:ascii="宋体" w:hAnsi="宋体" w:cs="宋体"/>
          <w:color w:val="auto"/>
          <w:szCs w:val="21"/>
          <w:highlight w:val="none"/>
          <w:u w:val="single"/>
        </w:rPr>
        <w:t>本合同签订之日。</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国内没有相应标准、规范的约定：</w:t>
      </w:r>
      <w:r>
        <w:rPr>
          <w:rFonts w:hint="eastAsia" w:ascii="宋体" w:hAnsi="宋体" w:cs="宋体"/>
          <w:color w:val="auto"/>
          <w:szCs w:val="21"/>
          <w:highlight w:val="none"/>
          <w:u w:val="single"/>
        </w:rPr>
        <w:t>按地方、行业协会及企业标准、规范、规定、经发包人、承包人双方确认后执行。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4．图纸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4.1发包人向承包人提供图纸日期和套数：</w:t>
      </w:r>
      <w:r>
        <w:rPr>
          <w:rFonts w:hint="eastAsia" w:ascii="宋体" w:hAnsi="宋体" w:cs="宋体"/>
          <w:color w:val="auto"/>
          <w:szCs w:val="21"/>
          <w:highlight w:val="none"/>
          <w:u w:val="single"/>
        </w:rPr>
        <w:t xml:space="preserve">    开工前提供蓝图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发包人对图纸的保密要求：</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使用国外图纸的要求及费用承担：/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二、双方一般权利和义务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5.工程师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5.2监理单位委派的工程师</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姓名：         职务：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发包人委托的职权：</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需要取得发包人批准才能行使的职权：</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5.3发包人派驻的工程师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姓名：            职务：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职权：</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5.6工程师的职权：</w:t>
      </w:r>
      <w:r>
        <w:rPr>
          <w:rFonts w:hint="eastAsia" w:ascii="宋体" w:hAnsi="宋体" w:cs="宋体"/>
          <w:color w:val="auto"/>
          <w:szCs w:val="21"/>
          <w:highlight w:val="none"/>
          <w:u w:val="single"/>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7．项目负责人</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项目负责人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8．发包人工作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8.1发包人应按约定的时间和要求完成以下工作：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（1）施工场地具备施工条件的要求及完成的时间：</w:t>
      </w:r>
      <w:r>
        <w:rPr>
          <w:rFonts w:hint="eastAsia" w:ascii="宋体" w:hAnsi="宋体" w:cs="宋体"/>
          <w:color w:val="auto"/>
          <w:szCs w:val="21"/>
          <w:highlight w:val="none"/>
          <w:u w:val="single"/>
        </w:rPr>
        <w:t>已具备。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（2）将施工所需的水、电、电讯线路接至施工场地的时间、地点和供应要求：</w:t>
      </w:r>
      <w:r>
        <w:rPr>
          <w:rFonts w:hint="eastAsia" w:ascii="宋体" w:hAnsi="宋体" w:cs="宋体"/>
          <w:color w:val="auto"/>
          <w:szCs w:val="21"/>
          <w:highlight w:val="none"/>
          <w:u w:val="single"/>
        </w:rPr>
        <w:t>发包人提供施工所需的水、电、电讯线路的接入口，承包人负责安装单独计量表接入，产生的水电等一切费用由承包人自行承担，并另行向发包人支付。如无法安装水电表，则按规定将从工程款中扣除水电费（按定额含量扣除）</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（3）施工场地与公共道路的通道开通时间和要求：</w:t>
      </w:r>
      <w:r>
        <w:rPr>
          <w:rFonts w:hint="eastAsia" w:ascii="宋体" w:hAnsi="宋体" w:cs="宋体"/>
          <w:color w:val="auto"/>
          <w:szCs w:val="21"/>
          <w:highlight w:val="none"/>
          <w:u w:val="single"/>
        </w:rPr>
        <w:t>已开通。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（4）工程地质和地下管线资料的提供时间：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（5）由发包人办理的施工所需证件、批件的名称和完成时间：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（6）水准点与座标控制点交验要求：</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（7）图纸会审和设计交底时间：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（8）协调处理施工场地周围地下管线和邻近建筑物、构筑物（含文物保护建筑）、古树名木的保护工作.</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（9）双方约定发包工应做的其他工作：</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8.2发包人委托承包人办理的工作：</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9．承包人工作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9.1承包人应按约定时间和要求，完成以下工作：</w:t>
      </w:r>
    </w:p>
    <w:p>
      <w:pPr>
        <w:spacing w:line="360" w:lineRule="auto"/>
        <w:ind w:left="120" w:leftChars="57" w:firstLine="333" w:firstLineChars="159"/>
        <w:rPr>
          <w:rFonts w:ascii="宋体" w:hAnsi="宋体" w:cs="宋体"/>
          <w:color w:val="auto"/>
          <w:szCs w:val="21"/>
          <w:highlight w:val="none"/>
        </w:rPr>
      </w:pPr>
      <w:r>
        <w:rPr>
          <w:rFonts w:hint="eastAsia" w:ascii="宋体" w:hAnsi="宋体" w:cs="宋体"/>
          <w:color w:val="auto"/>
          <w:szCs w:val="21"/>
          <w:highlight w:val="none"/>
        </w:rPr>
        <w:t>（1）需由设计资质等级和业务范围允许的承包人完成的设计文件提交时间：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（2）应提供计划、报表的名称及完成时间：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（3）承担施工安全保卫工作及非夜间施工照明的责任和要求：</w:t>
      </w:r>
      <w:r>
        <w:rPr>
          <w:rFonts w:hint="eastAsia" w:ascii="宋体" w:hAnsi="宋体" w:cs="宋体"/>
          <w:color w:val="auto"/>
          <w:szCs w:val="21"/>
          <w:highlight w:val="none"/>
          <w:u w:val="single"/>
        </w:rPr>
        <w:t>承包人施工过程中负责安全保卫，确保场内人员及过路行人的安全。</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（4）向发包人提供的办公和生活房屋及设施的要求：</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（5）需承包人办理的有关施工场地交通、环卫和施工噪音管理等手续：</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（6）已完工程成品保护的特殊要求及费用承担：</w:t>
      </w:r>
      <w:r>
        <w:rPr>
          <w:rFonts w:hint="eastAsia" w:ascii="宋体" w:hAnsi="宋体" w:cs="宋体"/>
          <w:color w:val="auto"/>
          <w:szCs w:val="21"/>
          <w:highlight w:val="none"/>
          <w:u w:val="single"/>
        </w:rPr>
        <w:t>在未竣工验收交货前，成品保护及费用均由承包人承担。</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（7）施工场地周围地下管线和邻近建筑物、构筑物（含文物保护建筑）、古树名木的保护要求及费用承担：</w:t>
      </w:r>
      <w:r>
        <w:rPr>
          <w:rFonts w:hint="eastAsia" w:ascii="宋体" w:hAnsi="宋体" w:cs="宋体"/>
          <w:color w:val="auto"/>
          <w:szCs w:val="21"/>
          <w:highlight w:val="none"/>
          <w:u w:val="single"/>
        </w:rPr>
        <w:t>由承包人负责保护并承担费用。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（8）施工场地清洁卫生的要求：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每天清扫一次，现场公共部位的清洁工作，工程完工后2天内现场应清除所有不再需要的临时工程，承包人的设备和多余材料，全部建筑和生活垃圾。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（9）双方约定承包人应做的其他工作：</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施工期间，休息时段（早、中、晚）施工场地应不影响学校正常通行。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三、施工组织设计和工期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10．进度计划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10.1承包人提供施工组织设计（施工方案）和进度计划的时间：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开工前              天提交施工组织设计，并同时提交进度计划。</w:t>
      </w:r>
    </w:p>
    <w:p>
      <w:pPr>
        <w:spacing w:line="360" w:lineRule="auto"/>
        <w:ind w:firstLine="420" w:firstLineChars="200"/>
        <w:rPr>
          <w:rFonts w:ascii="宋体" w:hAnsi="宋体" w:cs="宋体"/>
          <w:i/>
          <w:iCs/>
          <w:color w:val="auto"/>
          <w:szCs w:val="21"/>
          <w:highlight w:val="none"/>
          <w:u w:val="single"/>
        </w:rPr>
      </w:pPr>
      <w:r>
        <w:rPr>
          <w:rFonts w:hint="eastAsia" w:ascii="宋体" w:hAnsi="宋体" w:cs="宋体"/>
          <w:color w:val="auto"/>
          <w:szCs w:val="21"/>
          <w:highlight w:val="none"/>
        </w:rPr>
        <w:t>工程师确认的时间：</w:t>
      </w:r>
      <w:r>
        <w:rPr>
          <w:rFonts w:hint="eastAsia" w:ascii="宋体" w:hAnsi="宋体" w:cs="宋体"/>
          <w:color w:val="auto"/>
          <w:szCs w:val="21"/>
          <w:highlight w:val="none"/>
          <w:u w:val="single"/>
        </w:rPr>
        <w:t>收到完整资料后一周。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10.2群体工程中有关进度计划的要求：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13．工期延误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13.1双方约定工期顺延的其他情况：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遇不可抗力情况，国家法规规定可顺延条件及发包人责任引起的工期延误，经承包人申报，发包人批准后，可顺延工期。设计变更或者甲方原因引起的延期。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非上述原因引起的工期延误，3天以内的按3000元人民币/天扣除工期延误费，3天以上的，则以上天数按5000元人民币/天计算。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四、质量与验收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17.隐蔽工程和中间验收</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17.1双方约定中间验收部位：</w:t>
      </w:r>
      <w:r>
        <w:rPr>
          <w:rFonts w:hint="eastAsia" w:ascii="宋体" w:hAnsi="宋体" w:cs="宋体"/>
          <w:color w:val="auto"/>
          <w:szCs w:val="21"/>
          <w:highlight w:val="none"/>
          <w:u w:val="single"/>
        </w:rPr>
        <w:t>由建设单位跟踪验收，总体工程质量符合《工程施工质量验收规范GB50300-2013》标准。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19．工程试车</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19.5试车费用的承担：</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五、安全施工</w:t>
      </w:r>
    </w:p>
    <w:p>
      <w:pPr>
        <w:adjustRightInd w:val="0"/>
        <w:snapToGrid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严格执行J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六、合同价款与支付</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23．合同价款及调整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bCs/>
          <w:color w:val="auto"/>
          <w:szCs w:val="21"/>
          <w:highlight w:val="none"/>
        </w:rPr>
        <w:t>本合同价款采用</w:t>
      </w:r>
      <w:r>
        <w:rPr>
          <w:rFonts w:hint="eastAsia" w:ascii="宋体" w:hAnsi="宋体" w:cs="宋体"/>
          <w:bCs/>
          <w:color w:val="auto"/>
          <w:szCs w:val="21"/>
          <w:highlight w:val="none"/>
          <w:u w:val="single"/>
        </w:rPr>
        <w:t xml:space="preserve">  (1)  </w:t>
      </w:r>
      <w:r>
        <w:rPr>
          <w:rFonts w:hint="eastAsia" w:ascii="宋体" w:hAnsi="宋体" w:cs="宋体"/>
          <w:bCs/>
          <w:color w:val="auto"/>
          <w:szCs w:val="21"/>
          <w:highlight w:val="none"/>
        </w:rPr>
        <w:t>方式确定。本工程结算下浮率</w:t>
      </w:r>
      <w:r>
        <w:rPr>
          <w:rFonts w:hint="eastAsia" w:ascii="宋体" w:hAnsi="宋体" w:cs="宋体"/>
          <w:bCs/>
          <w:color w:val="auto"/>
          <w:szCs w:val="21"/>
          <w:highlight w:val="none"/>
          <w:u w:val="single"/>
        </w:rPr>
        <w:t xml:space="preserve">     %  </w:t>
      </w:r>
      <w:r>
        <w:rPr>
          <w:rFonts w:hint="eastAsia" w:ascii="宋体" w:hAnsi="宋体" w:cs="宋体"/>
          <w:bCs/>
          <w:color w:val="auto"/>
          <w:szCs w:val="21"/>
          <w:highlight w:val="none"/>
        </w:rPr>
        <w:t>。</w:t>
      </w:r>
      <w:r>
        <w:rPr>
          <w:rFonts w:hint="eastAsia" w:ascii="宋体" w:hAnsi="宋体" w:cs="宋体"/>
          <w:color w:val="auto"/>
          <w:szCs w:val="21"/>
          <w:highlight w:val="none"/>
        </w:rPr>
        <w:t xml:space="preserve"> </w:t>
      </w:r>
    </w:p>
    <w:p>
      <w:pPr>
        <w:autoSpaceDE w:val="0"/>
        <w:autoSpaceDN w:val="0"/>
        <w:adjustRightInd w:val="0"/>
        <w:spacing w:line="360"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(1)采用固定综合单价合同，合同价款中包括的风险范围: 1 、合同履行期间物价上涨( 另有约定除外)；2 、定额、标准及规范调整: 国家政策变化以及一个有经验的承包人可以或应该预见的风险。3、因临时停电、停水引起的费用增加。</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风险费用的计算方法:以上风险费用已在投标报价时考虑，不再另行计取。如因此而造成停工、罢工的，除按工期有关条款外，还须没收全部履约保证金，罚没的保证金归甲方所有(在工程款中扣除〉。</w:t>
      </w:r>
    </w:p>
    <w:p>
      <w:pPr>
        <w:autoSpaceDE w:val="0"/>
        <w:autoSpaceDN w:val="0"/>
        <w:adjustRightInd w:val="0"/>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rPr>
        <w:t>风险范围以外合同价款调整方法:</w:t>
      </w:r>
      <w:r>
        <w:rPr>
          <w:rFonts w:hint="eastAsia" w:ascii="宋体" w:hAnsi="宋体" w:cs="宋体"/>
          <w:b/>
          <w:bCs/>
          <w:color w:val="auto"/>
          <w:szCs w:val="21"/>
          <w:highlight w:val="none"/>
          <w:u w:val="single"/>
          <w:lang w:eastAsia="zh-CN"/>
        </w:rPr>
        <w:t>（以下合同价款调整方案，均需按</w:t>
      </w:r>
      <w:r>
        <w:rPr>
          <w:rFonts w:hint="eastAsia" w:ascii="宋体" w:hAnsi="宋体" w:cs="宋体"/>
          <w:b/>
          <w:bCs/>
          <w:color w:val="auto"/>
          <w:szCs w:val="21"/>
          <w:highlight w:val="none"/>
          <w:u w:val="single"/>
          <w:lang w:val="en-US" w:eastAsia="zh-CN"/>
        </w:rPr>
        <w:t>23.2规定的</w:t>
      </w:r>
      <w:r>
        <w:rPr>
          <w:rFonts w:hint="eastAsia" w:ascii="宋体" w:hAnsi="宋体" w:cs="宋体"/>
          <w:b/>
          <w:bCs/>
          <w:color w:val="auto"/>
          <w:szCs w:val="21"/>
          <w:highlight w:val="none"/>
          <w:u w:val="single"/>
          <w:lang w:eastAsia="zh-CN"/>
        </w:rPr>
        <w:t>下浮率计算后执行）</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1)因发包人提供的工程量清单有数量误差，或设计变更引起工程量清单项目工程数量的增减，按原有合同价格执行。</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因发包人提供的工程量清单项目漏项，或设计变更引起的新增工程项目，其相应单价的确定方法为:合同中己有适用于变更工程的单价的，按合同已有单价计:合同中有类似适用于变更工程的单价的，参照该单价确定:合同无参考单价的，其综合单价按浙江省18版定额计算的直接工程费(主材价格确定方法:有信息价的按发生当月的浙江省、杭州市工程造价信息正刊的信息价计取:当主材无信息价时按发包人确认的市场价格为准) +综合费用(按下限计取)+规费+税金确定。当工程量清单编制明显错误或当响应方报价明显高于同期市场价格水平，并且增加工程量与清单同比超过15 %的，采购人将保留重新估价的权力，单价确定的方法同前。</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 发包人根据工程的需要可能对承包范围内的数量和内容进行调整，所涉及的费用按投标报价进行相应的调整。</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 发包人签证认可的其他增减。</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5) 经发包人签证同意的材料变更、价格调整，仅调整差价及差价的税金；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（2）采用可调价格合同，合同价款调整方法：</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（3）采用成本加酬金合同，有关成本和酬金的约定：</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23.3双方约定合同价款的其他调整因素：</w:t>
      </w:r>
      <w:r>
        <w:rPr>
          <w:rFonts w:hint="eastAsia" w:ascii="宋体" w:hAnsi="宋体" w:cs="宋体"/>
          <w:color w:val="auto"/>
          <w:szCs w:val="21"/>
          <w:highlight w:val="none"/>
          <w:u w:val="single"/>
        </w:rPr>
        <w:t>①发包人同意的设计变更②发包人要求增加的施工图范围外的内容（施工单位投标时漏报甲方要求做的内容，不作为调整决算内容。）③当结算子项实际数量变化超过工程量清单内数量10%以上且满足以下条件之一时,业主有权调整工程量增减部分的综合单价：A、结算子项综合单价超过正常水平的±20%以上，B：结算子项实际变化金额超过合同金额±0.1%以上。</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24．工程预付款</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合同金额</w:t>
      </w:r>
      <w:r>
        <w:rPr>
          <w:rFonts w:hint="eastAsia" w:ascii="宋体" w:hAnsi="宋体" w:cs="宋体"/>
          <w:color w:val="auto"/>
          <w:szCs w:val="21"/>
          <w:highlight w:val="none"/>
          <w:u w:val="single"/>
          <w:lang w:eastAsia="zh-CN"/>
        </w:rPr>
        <w:t>的</w:t>
      </w:r>
      <w:r>
        <w:rPr>
          <w:rFonts w:hint="eastAsia" w:ascii="宋体" w:hAnsi="宋体" w:cs="宋体"/>
          <w:color w:val="auto"/>
          <w:szCs w:val="21"/>
          <w:highlight w:val="none"/>
          <w:u w:val="single"/>
        </w:rPr>
        <w:t>30%。</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25．工程量确认</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25.1承包人向工程师提交已完工程量报告的时间：</w:t>
      </w:r>
      <w:r>
        <w:rPr>
          <w:rFonts w:hint="eastAsia" w:ascii="宋体" w:hAnsi="宋体" w:cs="宋体"/>
          <w:color w:val="auto"/>
          <w:szCs w:val="21"/>
          <w:highlight w:val="none"/>
          <w:u w:val="single"/>
        </w:rPr>
        <w:t>每月25日前承包方向发包方提交已完成工程量报告。</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26．工程款（进度款）支付</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双方约定的工程款（进度款）支付的方式和时间：</w:t>
      </w:r>
    </w:p>
    <w:p>
      <w:pPr>
        <w:spacing w:line="440" w:lineRule="exact"/>
        <w:ind w:firstLine="420" w:firstLineChars="200"/>
        <w:rPr>
          <w:rFonts w:ascii="宋体" w:hAnsi="宋体" w:cs="宋体"/>
          <w:color w:val="auto"/>
          <w:szCs w:val="21"/>
          <w:highlight w:val="none"/>
          <w:u w:val="single"/>
        </w:rPr>
      </w:pPr>
      <w:r>
        <w:rPr>
          <w:rFonts w:hint="eastAsia" w:ascii="宋体" w:hAnsi="宋体" w:eastAsia="宋体" w:cs="宋体"/>
          <w:color w:val="auto"/>
          <w:sz w:val="21"/>
          <w:szCs w:val="21"/>
          <w:highlight w:val="none"/>
          <w:u w:val="single"/>
        </w:rPr>
        <w:t>工程竣工验收后,</w:t>
      </w:r>
      <w:r>
        <w:rPr>
          <w:rFonts w:hint="eastAsia" w:ascii="宋体" w:hAnsi="宋体" w:eastAsia="宋体" w:cs="宋体"/>
          <w:color w:val="auto"/>
          <w:sz w:val="21"/>
          <w:szCs w:val="21"/>
          <w:highlight w:val="none"/>
          <w:u w:val="single"/>
          <w:lang w:val="en-US" w:eastAsia="zh-CN"/>
        </w:rPr>
        <w:t>发包方</w:t>
      </w:r>
      <w:r>
        <w:rPr>
          <w:rFonts w:hint="eastAsia" w:ascii="宋体" w:hAnsi="宋体" w:eastAsia="宋体" w:cs="宋体"/>
          <w:color w:val="auto"/>
          <w:sz w:val="21"/>
          <w:szCs w:val="21"/>
          <w:highlight w:val="none"/>
          <w:u w:val="single"/>
        </w:rPr>
        <w:t>支付至合同价的80%；经工程结算审核完成后支付至审定价的97.5%；质保期满付清尾款。</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七、材料设备供应</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27．发包人供应材料设计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27.4发包人供应的材料设备与一览表不符时，双方约定发包人承担责任如下：</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（1）材料设备单价与一览表不符：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（2）材料设备的品种、规格、型号、质量等级与一览表不符：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（3）承包人可代为调剂串换的材料：</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（4）到货地点与一览表不符：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（5）供应数量与一览表不符：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（6）到货时间与一览表不符：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27.6发包人供应材料设备的结算方法：</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28．承包人采购材料设备</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28.1承包人采购材料设备的约定：</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由承包人自行采购，所有材料均应有合格证和质保书，并符合国家规定的技术标准和设计要求。施工前须经发包方验收。承包人使用不合格产品无条件返工，并承担发包人由此造成的损失。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八、工程变更</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设计变更必须经设计单位确认；因工程变更而产生的新增减工程量，经发包人工程联系单盖章签复意见后，方可作为决算依据。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九、竣工验收与结算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工程具备竣工验收条件，承包人按国家工程验收有关规定，向发包人提供完整竣工资料及竣工验收报告；工程价款结算最终以审计部门审定结果为支付依据。在竣工验收后一个月内提交完整的结算资料送交发包人审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32．竣工验收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32.1承包人提供竣工图的约定：</w:t>
      </w:r>
      <w:r>
        <w:rPr>
          <w:rFonts w:hint="eastAsia" w:ascii="宋体" w:hAnsi="宋体" w:cs="宋体"/>
          <w:color w:val="auto"/>
          <w:szCs w:val="21"/>
          <w:highlight w:val="none"/>
          <w:u w:val="single"/>
        </w:rPr>
        <w:t>工程竣工验收一个月内提交发包方完整的竣工图伍套、技术资料伍套及全套电子文档一份。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32.6中间交工工程的范围和竣工时间：</w:t>
      </w:r>
      <w:r>
        <w:rPr>
          <w:rFonts w:hint="eastAsia" w:ascii="宋体" w:hAnsi="宋体" w:cs="宋体"/>
          <w:color w:val="auto"/>
          <w:szCs w:val="21"/>
          <w:highlight w:val="none"/>
          <w:u w:val="single"/>
        </w:rPr>
        <w:t>按签订工程合同为准。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十、违约、索赔和争议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35．违约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35.1本合同中关于发包人违约的具体责任如下：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本合同通用条款第24条约定发包人违约应承担的违约责任：</w:t>
      </w:r>
      <w:r>
        <w:rPr>
          <w:rFonts w:hint="eastAsia" w:ascii="宋体" w:hAnsi="宋体" w:cs="宋体"/>
          <w:color w:val="auto"/>
          <w:szCs w:val="21"/>
          <w:highlight w:val="none"/>
          <w:u w:val="single"/>
        </w:rPr>
        <w:t>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本合同通用条款第26.4 款约定发包人违约应承担的违约责任：</w:t>
      </w:r>
      <w:r>
        <w:rPr>
          <w:rFonts w:hint="eastAsia" w:ascii="宋体" w:hAnsi="宋体" w:cs="宋体"/>
          <w:color w:val="auto"/>
          <w:szCs w:val="21"/>
          <w:highlight w:val="none"/>
          <w:u w:val="single"/>
        </w:rPr>
        <w:t>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本合同通用条款第33.3 款约定发包人违约应承担的违约责任：</w:t>
      </w:r>
      <w:r>
        <w:rPr>
          <w:rFonts w:hint="eastAsia" w:ascii="宋体" w:hAnsi="宋体" w:cs="宋体"/>
          <w:color w:val="auto"/>
          <w:szCs w:val="21"/>
          <w:highlight w:val="none"/>
          <w:u w:val="single"/>
        </w:rPr>
        <w:t>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双方约定的发包人其他违约责任：</w:t>
      </w:r>
      <w:r>
        <w:rPr>
          <w:rFonts w:hint="eastAsia" w:ascii="宋体" w:hAnsi="宋体" w:cs="宋体"/>
          <w:color w:val="auto"/>
          <w:szCs w:val="21"/>
          <w:highlight w:val="none"/>
          <w:u w:val="single"/>
        </w:rPr>
        <w:t>由于发包人的原因造成的工期延误，工期顺延天数由现场监理及发包签证确定。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35.2本合同中关于承包人违约的具体责任如下：</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双方约定的承包人其他违约责任：</w:t>
      </w:r>
      <w:r>
        <w:rPr>
          <w:rFonts w:hint="eastAsia" w:ascii="宋体" w:hAnsi="宋体" w:cs="宋体"/>
          <w:color w:val="auto"/>
          <w:szCs w:val="21"/>
          <w:highlight w:val="none"/>
          <w:u w:val="single"/>
        </w:rPr>
        <w:t>以签订合同为准。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37．争议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37.1本合同在履行过程中发生的争议，由双方当事人协商解决，协商不成的，按下列第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（1）提交</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种裁委员会仲裁；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（2）依法向</w:t>
      </w:r>
      <w:r>
        <w:rPr>
          <w:rFonts w:hint="eastAsia" w:ascii="宋体" w:hAnsi="宋体" w:cs="宋体"/>
          <w:color w:val="auto"/>
          <w:szCs w:val="21"/>
          <w:highlight w:val="none"/>
          <w:u w:val="single"/>
        </w:rPr>
        <w:t>杭州市</w:t>
      </w:r>
      <w:r>
        <w:rPr>
          <w:rFonts w:hint="eastAsia" w:ascii="宋体" w:hAnsi="宋体" w:cs="宋体"/>
          <w:color w:val="auto"/>
          <w:szCs w:val="21"/>
          <w:highlight w:val="none"/>
        </w:rPr>
        <w:t>仲裁委员会提请仲裁或向</w:t>
      </w:r>
      <w:r>
        <w:rPr>
          <w:rFonts w:hint="eastAsia" w:ascii="宋体" w:hAnsi="宋体" w:cs="宋体"/>
          <w:color w:val="auto"/>
          <w:szCs w:val="21"/>
          <w:highlight w:val="none"/>
          <w:u w:val="single"/>
        </w:rPr>
        <w:t>杭州市</w:t>
      </w:r>
      <w:r>
        <w:rPr>
          <w:rFonts w:hint="eastAsia" w:ascii="宋体" w:hAnsi="宋体" w:cs="宋体"/>
          <w:color w:val="auto"/>
          <w:szCs w:val="21"/>
          <w:highlight w:val="none"/>
        </w:rPr>
        <w:t>人民法院提起诉讼。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十一、其他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38．工程分包</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38.1本工程发包人同意承包人分包的工程：</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分包施工单位为：</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39．不可抗力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39.1双方关于不可抗力的约定：</w:t>
      </w:r>
      <w:r>
        <w:rPr>
          <w:rFonts w:hint="eastAsia" w:ascii="宋体" w:hAnsi="宋体" w:cs="宋体"/>
          <w:color w:val="auto"/>
          <w:szCs w:val="21"/>
          <w:highlight w:val="none"/>
          <w:u w:val="single"/>
        </w:rPr>
        <w:t>按通用条款的相应条款执行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40．保险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40.6本工程双方约定投保内容如下：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（1）发包人投保内容：</w:t>
      </w:r>
      <w:r>
        <w:rPr>
          <w:rFonts w:hint="eastAsia" w:ascii="宋体" w:hAnsi="宋体" w:cs="宋体"/>
          <w:color w:val="auto"/>
          <w:szCs w:val="21"/>
          <w:highlight w:val="none"/>
          <w:u w:val="single"/>
        </w:rPr>
        <w:t>发包人工地自身人员和第三者人身意外伤害保险。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发包人委托承包人办理的保险事项：</w:t>
      </w:r>
      <w:r>
        <w:rPr>
          <w:rFonts w:hint="eastAsia" w:ascii="宋体" w:hAnsi="宋体" w:cs="宋体"/>
          <w:color w:val="auto"/>
          <w:szCs w:val="21"/>
          <w:highlight w:val="none"/>
          <w:u w:val="single"/>
        </w:rPr>
        <w:t>按通用条款办理。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（2）承包人保内容：</w:t>
      </w:r>
      <w:r>
        <w:rPr>
          <w:rFonts w:hint="eastAsia" w:ascii="宋体" w:hAnsi="宋体" w:cs="宋体"/>
          <w:color w:val="auto"/>
          <w:szCs w:val="21"/>
          <w:highlight w:val="none"/>
          <w:u w:val="single"/>
        </w:rPr>
        <w:t>承包人必须为施工场地内自有人员办理意外伤害保险，并为施工机械设备办理保险，支付相关保险费用。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41．担保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41.3本工程双方约定担保事项如下：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（1）发包人向承包人提供履约担保，担保方式为：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（2）承包人向发包人提供履约担保，担保方式为</w:t>
      </w:r>
      <w:r>
        <w:rPr>
          <w:rFonts w:hint="eastAsia" w:ascii="宋体" w:hAnsi="宋体" w:cs="宋体"/>
          <w:color w:val="auto"/>
          <w:szCs w:val="21"/>
          <w:highlight w:val="none"/>
          <w:u w:val="single"/>
        </w:rPr>
        <w:t>合同总价2.5%的银行汇票或转帐支票或现金支票，</w:t>
      </w:r>
      <w:r>
        <w:rPr>
          <w:rFonts w:hint="eastAsia" w:ascii="宋体" w:hAnsi="宋体" w:cs="宋体"/>
          <w:color w:val="auto"/>
          <w:szCs w:val="21"/>
          <w:highlight w:val="none"/>
        </w:rPr>
        <w:t>担保合同作为本合同附件。</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（3）双方约定的其他担保事项：</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46．合同份数</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46.1双方约定合同副本份数：</w:t>
      </w:r>
      <w:r>
        <w:rPr>
          <w:rFonts w:hint="eastAsia" w:ascii="宋体" w:hAnsi="宋体" w:cs="宋体"/>
          <w:color w:val="auto"/>
          <w:szCs w:val="21"/>
          <w:highlight w:val="none"/>
          <w:u w:val="single"/>
        </w:rPr>
        <w:t>一式玖份，甲方柒份，乙方壹份，招标代理机构壹份。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47．补充条款</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47.1合同双方确认，本合同及本合同约定的其它文件组成部分中的各项约定都是通过法定招标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2.5%的履约保证金。并且由承包人承担由此造成的损失和责任，由此导致的工期拖延，发包人不顺延工期。</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47.3履约保证金分为三部分，其中履约担保金中40%作为质量担保，30%作为工期进度担保，剩余30%作为文明施工担保。</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47.4 主材的相关要求：乙方提供的施工材料必须全部符合绿色环保规定要求，不得使用任何三无产品。施工时，必须按照响应文件中确定的材料进行，未经甲方同意不得更换已确定的装修材料。</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47.5结算审核费用由发包人、承包人按“浙价服（2009）84号”文件计取，其中核增额、超过5%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pPr>
        <w:spacing w:line="360" w:lineRule="auto"/>
        <w:ind w:firstLine="422"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b/>
          <w:bCs/>
          <w:color w:val="auto"/>
          <w:szCs w:val="21"/>
          <w:highlight w:val="none"/>
          <w:u w:val="single"/>
          <w:lang w:val="en-US" w:eastAsia="zh-CN"/>
        </w:rPr>
        <w:t>47.6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万元/人/次（发包人要求除外），同时拟更换的人员须经发包人书面同意。</w:t>
      </w:r>
    </w:p>
    <w:p>
      <w:pPr>
        <w:spacing w:line="360" w:lineRule="auto"/>
        <w:ind w:firstLine="420" w:firstLineChars="200"/>
        <w:rPr>
          <w:rFonts w:hint="eastAsia" w:ascii="宋体" w:hAnsi="宋体" w:eastAsia="宋体" w:cs="宋体"/>
          <w:color w:val="auto"/>
          <w:szCs w:val="21"/>
          <w:highlight w:val="none"/>
          <w:u w:val="single"/>
        </w:rPr>
      </w:pPr>
    </w:p>
    <w:p>
      <w:pPr>
        <w:spacing w:line="360" w:lineRule="auto"/>
        <w:ind w:firstLine="420" w:firstLineChars="200"/>
        <w:rPr>
          <w:rFonts w:hint="eastAsia" w:ascii="宋体" w:hAnsi="宋体" w:eastAsia="宋体" w:cs="宋体"/>
          <w:color w:val="auto"/>
          <w:szCs w:val="21"/>
          <w:highlight w:val="none"/>
          <w:u w:val="single"/>
        </w:rPr>
      </w:pPr>
    </w:p>
    <w:p>
      <w:pPr>
        <w:spacing w:line="360" w:lineRule="auto"/>
        <w:ind w:firstLine="420" w:firstLineChars="200"/>
        <w:rPr>
          <w:rFonts w:hint="eastAsia" w:ascii="宋体" w:hAnsi="宋体" w:eastAsia="宋体" w:cs="宋体"/>
          <w:color w:val="auto"/>
          <w:szCs w:val="21"/>
          <w:highlight w:val="none"/>
          <w:u w:val="single"/>
        </w:rPr>
      </w:pPr>
    </w:p>
    <w:p>
      <w:pPr>
        <w:spacing w:line="360" w:lineRule="auto"/>
        <w:ind w:firstLine="420" w:firstLineChars="200"/>
        <w:rPr>
          <w:rFonts w:hint="eastAsia" w:ascii="宋体" w:hAnsi="宋体" w:eastAsia="宋体" w:cs="宋体"/>
          <w:color w:val="auto"/>
          <w:szCs w:val="21"/>
          <w:highlight w:val="none"/>
          <w:u w:val="single"/>
        </w:rPr>
      </w:pPr>
    </w:p>
    <w:p>
      <w:pPr>
        <w:pStyle w:val="55"/>
        <w:jc w:val="center"/>
        <w:rPr>
          <w:rFonts w:ascii="宋体" w:hAnsi="宋体"/>
          <w:color w:val="auto"/>
          <w:sz w:val="21"/>
          <w:szCs w:val="21"/>
          <w:highlight w:val="none"/>
        </w:rPr>
      </w:pPr>
      <w:r>
        <w:rPr>
          <w:rFonts w:hint="eastAsia" w:ascii="宋体" w:hAnsi="宋体"/>
          <w:color w:val="auto"/>
          <w:sz w:val="21"/>
          <w:szCs w:val="21"/>
          <w:highlight w:val="none"/>
        </w:rPr>
        <w:br w:type="page"/>
      </w:r>
      <w:bookmarkStart w:id="92" w:name="_Toc28000"/>
      <w:bookmarkStart w:id="93" w:name="_Toc3589_WPSOffice_Level2"/>
      <w:r>
        <w:rPr>
          <w:rFonts w:hint="eastAsia" w:ascii="宋体" w:hAnsi="宋体"/>
          <w:color w:val="auto"/>
          <w:sz w:val="21"/>
          <w:szCs w:val="21"/>
          <w:highlight w:val="none"/>
        </w:rPr>
        <w:t>第四节合同附件</w:t>
      </w:r>
      <w:bookmarkEnd w:id="84"/>
      <w:bookmarkEnd w:id="85"/>
      <w:bookmarkEnd w:id="86"/>
      <w:bookmarkEnd w:id="92"/>
      <w:bookmarkEnd w:id="93"/>
      <w:r>
        <w:rPr>
          <w:rFonts w:hint="eastAsia" w:ascii="宋体" w:hAnsi="宋体"/>
          <w:color w:val="auto"/>
          <w:sz w:val="21"/>
          <w:szCs w:val="21"/>
          <w:highlight w:val="none"/>
        </w:rPr>
        <w:t xml:space="preserve"> </w:t>
      </w:r>
    </w:p>
    <w:p>
      <w:pPr>
        <w:pStyle w:val="54"/>
        <w:tabs>
          <w:tab w:val="left" w:pos="8100"/>
        </w:tabs>
        <w:ind w:left="0" w:right="77"/>
        <w:outlineLvl w:val="2"/>
        <w:rPr>
          <w:rFonts w:ascii="宋体" w:hAnsi="宋体" w:cs="宋体"/>
          <w:snapToGrid w:val="0"/>
          <w:color w:val="auto"/>
          <w:sz w:val="21"/>
          <w:szCs w:val="21"/>
          <w:highlight w:val="none"/>
        </w:rPr>
      </w:pPr>
      <w:bookmarkStart w:id="94" w:name="_Toc21100_WPSOffice_Level2"/>
      <w:bookmarkStart w:id="95" w:name="_Toc534620509"/>
      <w:bookmarkStart w:id="96" w:name="_Toc249091536"/>
      <w:r>
        <w:rPr>
          <w:rFonts w:hint="eastAsia" w:ascii="宋体" w:hAnsi="宋体" w:cs="宋体"/>
          <w:snapToGrid w:val="0"/>
          <w:color w:val="auto"/>
          <w:sz w:val="21"/>
          <w:szCs w:val="21"/>
          <w:highlight w:val="none"/>
        </w:rPr>
        <w:t>附件一：质量保修书</w:t>
      </w:r>
      <w:bookmarkEnd w:id="94"/>
      <w:bookmarkEnd w:id="95"/>
      <w:bookmarkEnd w:id="96"/>
      <w:r>
        <w:rPr>
          <w:rFonts w:hint="eastAsia" w:ascii="宋体" w:hAnsi="宋体" w:cs="宋体"/>
          <w:snapToGrid w:val="0"/>
          <w:color w:val="auto"/>
          <w:sz w:val="21"/>
          <w:szCs w:val="21"/>
          <w:highlight w:val="none"/>
        </w:rPr>
        <w:t xml:space="preserve"> </w:t>
      </w: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房屋建筑工程质量保修书</w:t>
      </w:r>
    </w:p>
    <w:p>
      <w:pPr>
        <w:pStyle w:val="54"/>
        <w:tabs>
          <w:tab w:val="left" w:pos="7920"/>
          <w:tab w:val="left" w:pos="8640"/>
        </w:tabs>
        <w:ind w:left="0" w:right="720"/>
        <w:rPr>
          <w:rFonts w:ascii="宋体" w:hAnsi="宋体" w:cs="宋体"/>
          <w:color w:val="auto"/>
          <w:sz w:val="21"/>
          <w:szCs w:val="21"/>
          <w:highlight w:val="none"/>
        </w:rPr>
      </w:pPr>
      <w:r>
        <w:rPr>
          <w:rFonts w:hint="eastAsia" w:ascii="宋体" w:hAnsi="宋体" w:cs="宋体"/>
          <w:color w:val="auto"/>
          <w:sz w:val="21"/>
          <w:szCs w:val="21"/>
          <w:highlight w:val="none"/>
        </w:rPr>
        <w:t>发包人（全称）：</w:t>
      </w:r>
      <w:r>
        <w:rPr>
          <w:rFonts w:hint="eastAsia" w:ascii="宋体" w:hAnsi="宋体" w:cs="宋体"/>
          <w:color w:val="auto"/>
          <w:sz w:val="21"/>
          <w:szCs w:val="21"/>
          <w:highlight w:val="none"/>
          <w:u w:val="single"/>
        </w:rPr>
        <w:t>___浙江农林大学_____</w:t>
      </w:r>
    </w:p>
    <w:p>
      <w:pPr>
        <w:pStyle w:val="54"/>
        <w:tabs>
          <w:tab w:val="left" w:pos="7920"/>
          <w:tab w:val="left" w:pos="8640"/>
        </w:tabs>
        <w:ind w:left="0" w:right="720"/>
        <w:rPr>
          <w:rFonts w:ascii="宋体" w:hAnsi="宋体" w:cs="宋体"/>
          <w:color w:val="auto"/>
          <w:sz w:val="21"/>
          <w:szCs w:val="21"/>
          <w:highlight w:val="none"/>
        </w:rPr>
      </w:pPr>
      <w:r>
        <w:rPr>
          <w:rFonts w:hint="eastAsia" w:ascii="宋体" w:hAnsi="宋体" w:cs="宋体"/>
          <w:color w:val="auto"/>
          <w:sz w:val="21"/>
          <w:szCs w:val="21"/>
          <w:highlight w:val="none"/>
        </w:rPr>
        <w:t>承包人（全称）：</w:t>
      </w:r>
      <w:r>
        <w:rPr>
          <w:rFonts w:hint="eastAsia" w:ascii="宋体" w:hAnsi="宋体" w:cs="宋体"/>
          <w:color w:val="auto"/>
          <w:sz w:val="21"/>
          <w:szCs w:val="21"/>
          <w:highlight w:val="none"/>
          <w:u w:val="single"/>
        </w:rPr>
        <w:t>__                 ___</w:t>
      </w:r>
      <w:r>
        <w:rPr>
          <w:rFonts w:hint="eastAsia" w:ascii="宋体" w:hAnsi="宋体" w:cs="宋体"/>
          <w:color w:val="auto"/>
          <w:sz w:val="21"/>
          <w:szCs w:val="21"/>
          <w:highlight w:val="none"/>
        </w:rPr>
        <w:t>_</w:t>
      </w:r>
    </w:p>
    <w:p>
      <w:pPr>
        <w:pStyle w:val="54"/>
        <w:tabs>
          <w:tab w:val="left" w:pos="7920"/>
          <w:tab w:val="left" w:pos="8640"/>
        </w:tabs>
        <w:spacing w:before="0" w:after="0" w:line="480" w:lineRule="auto"/>
        <w:ind w:left="0" w:right="77"/>
        <w:rPr>
          <w:rFonts w:ascii="宋体" w:hAnsi="宋体" w:cs="宋体"/>
          <w:color w:val="auto"/>
          <w:sz w:val="21"/>
          <w:szCs w:val="21"/>
          <w:highlight w:val="none"/>
        </w:rPr>
      </w:pPr>
      <w:r>
        <w:rPr>
          <w:rFonts w:hint="eastAsia" w:ascii="宋体" w:hAnsi="宋体" w:cs="宋体"/>
          <w:color w:val="auto"/>
          <w:sz w:val="21"/>
          <w:szCs w:val="21"/>
          <w:highlight w:val="none"/>
        </w:rPr>
        <w:t>　　发包人、承包人根据《中华人民共和国建筑法》、《建设工程质量管理条例》和《房屋建筑工程质量保修办法》，经协商一致，对</w:t>
      </w:r>
      <w:r>
        <w:rPr>
          <w:rFonts w:hint="eastAsia" w:ascii="宋体" w:hAnsi="宋体" w:cs="宋体"/>
          <w:color w:val="auto"/>
          <w:sz w:val="21"/>
          <w:szCs w:val="21"/>
          <w:highlight w:val="none"/>
          <w:u w:val="single"/>
        </w:rPr>
        <w:t>_                                     __</w:t>
      </w:r>
      <w:r>
        <w:rPr>
          <w:rFonts w:hint="eastAsia" w:ascii="宋体" w:hAnsi="宋体" w:cs="宋体"/>
          <w:color w:val="auto"/>
          <w:sz w:val="21"/>
          <w:szCs w:val="21"/>
          <w:highlight w:val="none"/>
        </w:rPr>
        <w:t>（工程全称）签定工程质量保修书。</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一、工程质量保修范围和内容</w:t>
      </w:r>
    </w:p>
    <w:p>
      <w:pPr>
        <w:pStyle w:val="54"/>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承包人在质量保修期内，按照有关法律、法规、规章的管理规定和双方约定，承担本工程质量保修责任。</w:t>
      </w:r>
    </w:p>
    <w:p>
      <w:pPr>
        <w:pStyle w:val="54"/>
        <w:tabs>
          <w:tab w:val="left" w:pos="7920"/>
          <w:tab w:val="left" w:pos="8640"/>
        </w:tabs>
        <w:spacing w:before="0" w:after="0" w:line="480" w:lineRule="auto"/>
        <w:ind w:left="0" w:right="720"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保修范围为承包人所承包项目的全部内容。</w:t>
      </w:r>
    </w:p>
    <w:p>
      <w:pPr>
        <w:pStyle w:val="54"/>
        <w:tabs>
          <w:tab w:val="left" w:pos="7920"/>
          <w:tab w:val="left" w:pos="8640"/>
        </w:tabs>
        <w:spacing w:before="0" w:after="0" w:line="480" w:lineRule="auto"/>
        <w:ind w:left="0" w:right="720" w:firstLine="420"/>
        <w:rPr>
          <w:rFonts w:ascii="宋体" w:hAnsi="宋体" w:cs="宋体"/>
          <w:color w:val="auto"/>
          <w:sz w:val="21"/>
          <w:szCs w:val="21"/>
          <w:highlight w:val="none"/>
        </w:rPr>
      </w:pPr>
      <w:r>
        <w:rPr>
          <w:rFonts w:hint="eastAsia" w:ascii="宋体" w:hAnsi="宋体" w:cs="宋体"/>
          <w:color w:val="auto"/>
          <w:sz w:val="21"/>
          <w:szCs w:val="21"/>
          <w:highlight w:val="none"/>
        </w:rPr>
        <w:t>二、保修期</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双方根据《建设工程质量管理条例》及有关规定，约定本工程的质量保修期如下：</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1.屋面防水工程、房间和外墙面的防渗漏为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pPr>
        <w:pStyle w:val="54"/>
        <w:tabs>
          <w:tab w:val="left" w:pos="7920"/>
          <w:tab w:val="left" w:pos="8640"/>
        </w:tabs>
        <w:spacing w:before="0" w:after="0" w:line="480" w:lineRule="auto"/>
        <w:ind w:left="0" w:right="720"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2.其他项目保修期限约定如下：</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pPr>
        <w:pStyle w:val="54"/>
        <w:tabs>
          <w:tab w:val="left" w:pos="7768"/>
          <w:tab w:val="left" w:pos="7920"/>
          <w:tab w:val="left" w:pos="8640"/>
        </w:tabs>
        <w:snapToGrid w:val="0"/>
        <w:spacing w:before="0" w:after="0" w:line="480" w:lineRule="auto"/>
        <w:ind w:left="0" w:right="0"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质量保修期自工程竣工验收合格之日起计算。</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三、质量保修责任</w:t>
      </w:r>
    </w:p>
    <w:p>
      <w:pPr>
        <w:pStyle w:val="54"/>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⒈属于保修范围、内容的项目，承包人应当在接到保修通知之日起2天内派人保修。承包人不在约定期限内派人保修的，发包人可以委托他人修理，费用可直接从质保金中扣除。如质量保修金金额不足以支付工程保修及赔偿等费用，承包人应在接到发包人通知后15天内将差额补齐。</w:t>
      </w:r>
    </w:p>
    <w:p>
      <w:pPr>
        <w:pStyle w:val="54"/>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⒉发生紧急抢修事故的，承包人在接到事故通知后，应当立即到达事故现场抢修。</w:t>
      </w:r>
    </w:p>
    <w:p>
      <w:pPr>
        <w:pStyle w:val="54"/>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54"/>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⒋质量保修完成后，由发包人组织验收。</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四、保修费用</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保修费用由造成质量缺陷的责任方承担。</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五、其他</w:t>
      </w:r>
    </w:p>
    <w:p>
      <w:pPr>
        <w:pStyle w:val="54"/>
        <w:tabs>
          <w:tab w:val="left" w:pos="7920"/>
          <w:tab w:val="left" w:pos="8640"/>
        </w:tabs>
        <w:spacing w:before="0" w:after="0" w:line="480" w:lineRule="auto"/>
        <w:ind w:left="0" w:right="720"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双方约定的其他工程质量保修事项：</w:t>
      </w:r>
    </w:p>
    <w:p>
      <w:pPr>
        <w:pStyle w:val="54"/>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本工程质量保修书，由施工合同发包人、承包人双方在竣工验收前共同签署，作为施工合同附件，其有效期限至保修期满。</w:t>
      </w:r>
    </w:p>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发　包　人（公章）：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承　包　人（公章）：</w:t>
      </w:r>
    </w:p>
    <w:p>
      <w:pPr>
        <w:pStyle w:val="54"/>
        <w:ind w:left="0" w:right="720"/>
        <w:rPr>
          <w:rFonts w:ascii="宋体" w:hAnsi="宋体" w:cs="宋体"/>
          <w:color w:val="auto"/>
          <w:sz w:val="21"/>
          <w:szCs w:val="21"/>
          <w:highlight w:val="none"/>
        </w:rPr>
      </w:pPr>
      <w:r>
        <w:rPr>
          <w:rFonts w:hint="eastAsia" w:ascii="宋体" w:hAnsi="宋体" w:cs="宋体"/>
          <w:color w:val="auto"/>
          <w:sz w:val="21"/>
          <w:szCs w:val="21"/>
          <w:highlight w:val="none"/>
        </w:rPr>
        <w:t>法定地址：浙江农林大学东湖校区             法定地址：</w:t>
      </w:r>
    </w:p>
    <w:p>
      <w:pPr>
        <w:pStyle w:val="54"/>
        <w:ind w:left="0" w:right="77"/>
        <w:rPr>
          <w:rFonts w:ascii="宋体" w:hAnsi="宋体" w:cs="宋体"/>
          <w:color w:val="auto"/>
          <w:sz w:val="21"/>
          <w:szCs w:val="21"/>
          <w:highlight w:val="none"/>
          <w:u w:val="singl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（签字或盖章）   </w:t>
      </w: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（签字或盖章）</w:t>
      </w:r>
    </w:p>
    <w:p>
      <w:pPr>
        <w:pStyle w:val="54"/>
        <w:ind w:left="0" w:right="77"/>
        <w:rPr>
          <w:rFonts w:ascii="宋体" w:hAnsi="宋体" w:cs="宋体"/>
          <w:color w:val="auto"/>
          <w:sz w:val="21"/>
          <w:szCs w:val="21"/>
          <w:highlight w:val="none"/>
          <w:u w:val="single"/>
        </w:rPr>
      </w:pPr>
      <w:r>
        <w:rPr>
          <w:rFonts w:hint="eastAsia" w:ascii="宋体" w:hAnsi="宋体" w:cs="宋体"/>
          <w:color w:val="auto"/>
          <w:sz w:val="21"/>
          <w:szCs w:val="21"/>
          <w:highlight w:val="none"/>
        </w:rPr>
        <w:t>电话： 0571-63740768                       电话：</w:t>
      </w:r>
    </w:p>
    <w:p>
      <w:pPr>
        <w:pStyle w:val="54"/>
        <w:ind w:left="0" w:right="77"/>
        <w:rPr>
          <w:rFonts w:ascii="宋体" w:hAnsi="宋体" w:cs="宋体"/>
          <w:color w:val="auto"/>
          <w:sz w:val="21"/>
          <w:szCs w:val="21"/>
          <w:highlight w:val="none"/>
        </w:rPr>
      </w:pPr>
      <w:r>
        <w:rPr>
          <w:rFonts w:hint="eastAsia" w:ascii="宋体" w:hAnsi="宋体" w:cs="宋体"/>
          <w:color w:val="auto"/>
          <w:sz w:val="21"/>
          <w:szCs w:val="21"/>
          <w:highlight w:val="none"/>
        </w:rPr>
        <w:t>传真：                                     传真：</w:t>
      </w:r>
    </w:p>
    <w:p>
      <w:pPr>
        <w:pStyle w:val="54"/>
        <w:ind w:left="0" w:right="77"/>
        <w:rPr>
          <w:rFonts w:ascii="宋体" w:hAnsi="宋体" w:cs="宋体"/>
          <w:color w:val="auto"/>
          <w:sz w:val="21"/>
          <w:szCs w:val="21"/>
          <w:highlight w:val="none"/>
          <w:u w:val="single"/>
        </w:rPr>
      </w:pPr>
      <w:r>
        <w:rPr>
          <w:rFonts w:hint="eastAsia" w:ascii="宋体" w:hAnsi="宋体" w:cs="宋体"/>
          <w:color w:val="auto"/>
          <w:sz w:val="21"/>
          <w:szCs w:val="21"/>
          <w:highlight w:val="none"/>
        </w:rPr>
        <w:t>电子邮箱：                                 电子邮箱：</w:t>
      </w:r>
    </w:p>
    <w:p>
      <w:pPr>
        <w:pStyle w:val="54"/>
        <w:ind w:left="0" w:right="77"/>
        <w:rPr>
          <w:rFonts w:ascii="宋体" w:hAnsi="宋体" w:cs="宋体"/>
          <w:color w:val="auto"/>
          <w:sz w:val="21"/>
          <w:szCs w:val="21"/>
          <w:highlight w:val="none"/>
        </w:rPr>
      </w:pPr>
      <w:r>
        <w:rPr>
          <w:rFonts w:hint="eastAsia" w:ascii="宋体" w:hAnsi="宋体" w:cs="宋体"/>
          <w:color w:val="auto"/>
          <w:sz w:val="21"/>
          <w:szCs w:val="21"/>
          <w:highlight w:val="none"/>
        </w:rPr>
        <w:t>开户银行：建行临安市支行营业部             开户银行：</w:t>
      </w:r>
    </w:p>
    <w:p>
      <w:pPr>
        <w:pStyle w:val="54"/>
        <w:ind w:left="0" w:right="77"/>
        <w:rPr>
          <w:rFonts w:ascii="宋体" w:hAnsi="宋体" w:cs="宋体"/>
          <w:color w:val="auto"/>
          <w:sz w:val="21"/>
          <w:szCs w:val="21"/>
          <w:highlight w:val="none"/>
        </w:rPr>
      </w:pPr>
      <w:r>
        <w:rPr>
          <w:rFonts w:hint="eastAsia" w:ascii="宋体" w:hAnsi="宋体" w:cs="宋体"/>
          <w:color w:val="auto"/>
          <w:sz w:val="21"/>
          <w:szCs w:val="21"/>
          <w:highlight w:val="none"/>
        </w:rPr>
        <w:t>帐号：3300 1617 3350 5001 8761             帐号：</w:t>
      </w:r>
    </w:p>
    <w:p>
      <w:pPr>
        <w:pStyle w:val="54"/>
        <w:ind w:left="0" w:right="720"/>
        <w:rPr>
          <w:rFonts w:ascii="宋体" w:hAnsi="宋体" w:cs="宋体"/>
          <w:color w:val="auto"/>
          <w:sz w:val="21"/>
          <w:szCs w:val="21"/>
          <w:highlight w:val="none"/>
        </w:rPr>
      </w:pPr>
      <w:r>
        <w:rPr>
          <w:rFonts w:hint="eastAsia" w:ascii="宋体" w:hAnsi="宋体" w:cs="宋体"/>
          <w:color w:val="auto"/>
          <w:sz w:val="21"/>
          <w:szCs w:val="21"/>
          <w:highlight w:val="none"/>
        </w:rPr>
        <w:t>邮政编码：311300                           邮政编码：</w:t>
      </w:r>
    </w:p>
    <w:p>
      <w:pPr>
        <w:pStyle w:val="54"/>
        <w:ind w:left="0" w:right="720"/>
        <w:rPr>
          <w:rFonts w:ascii="宋体" w:hAnsi="宋体" w:cs="宋体"/>
          <w:color w:val="auto"/>
          <w:sz w:val="21"/>
          <w:szCs w:val="21"/>
          <w:highlight w:val="none"/>
        </w:rPr>
      </w:pPr>
      <w:r>
        <w:rPr>
          <w:rFonts w:hint="eastAsia" w:ascii="宋体" w:hAnsi="宋体" w:cs="宋体"/>
          <w:color w:val="auto"/>
          <w:sz w:val="21"/>
          <w:szCs w:val="21"/>
          <w:highlight w:val="none"/>
        </w:rPr>
        <w:t>　　　年　月　日　　　　　　　　　　                            　年　月　日</w:t>
      </w:r>
    </w:p>
    <w:p>
      <w:pPr>
        <w:pStyle w:val="56"/>
        <w:numPr>
          <w:ilvl w:val="0"/>
          <w:numId w:val="0"/>
        </w:numPr>
        <w:rPr>
          <w:rFonts w:ascii="宋体" w:hAnsi="宋体" w:eastAsia="宋体"/>
          <w:b w:val="0"/>
          <w:snapToGrid w:val="0"/>
          <w:color w:val="auto"/>
          <w:sz w:val="21"/>
          <w:szCs w:val="21"/>
          <w:highlight w:val="none"/>
        </w:rPr>
      </w:pPr>
      <w:r>
        <w:rPr>
          <w:rFonts w:hint="eastAsia" w:ascii="宋体" w:hAnsi="宋体" w:eastAsia="宋体"/>
          <w:color w:val="auto"/>
          <w:sz w:val="21"/>
          <w:szCs w:val="21"/>
          <w:highlight w:val="none"/>
        </w:rPr>
        <w:br w:type="page"/>
      </w:r>
      <w:bookmarkStart w:id="97" w:name="_Toc31436_WPSOffice_Level2"/>
      <w:r>
        <w:rPr>
          <w:rFonts w:hint="eastAsia" w:ascii="宋体" w:hAnsi="宋体" w:eastAsia="宋体"/>
          <w:b w:val="0"/>
          <w:snapToGrid w:val="0"/>
          <w:color w:val="auto"/>
          <w:sz w:val="21"/>
          <w:szCs w:val="21"/>
          <w:highlight w:val="none"/>
        </w:rPr>
        <w:t>附件二：廉政协议书</w:t>
      </w:r>
      <w:bookmarkEnd w:id="97"/>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廉政协议书</w:t>
      </w:r>
    </w:p>
    <w:p>
      <w:pPr>
        <w:rPr>
          <w:rFonts w:ascii="宋体" w:hAnsi="宋体" w:cs="宋体"/>
          <w:color w:val="auto"/>
          <w:szCs w:val="21"/>
          <w:highlight w:val="none"/>
        </w:rPr>
      </w:pPr>
    </w:p>
    <w:p>
      <w:pPr>
        <w:rPr>
          <w:rFonts w:ascii="宋体" w:hAnsi="宋体" w:cs="宋体"/>
          <w:color w:val="auto"/>
          <w:szCs w:val="21"/>
          <w:highlight w:val="none"/>
          <w:u w:val="single"/>
        </w:rPr>
      </w:pPr>
      <w:r>
        <w:rPr>
          <w:rFonts w:hint="eastAsia" w:ascii="宋体" w:hAnsi="宋体" w:cs="宋体"/>
          <w:color w:val="auto"/>
          <w:szCs w:val="21"/>
          <w:highlight w:val="none"/>
        </w:rPr>
        <w:t>建设单位（甲方）：</w:t>
      </w:r>
      <w:r>
        <w:rPr>
          <w:rFonts w:hint="eastAsia" w:ascii="宋体" w:hAnsi="宋体" w:cs="宋体"/>
          <w:color w:val="auto"/>
          <w:szCs w:val="21"/>
          <w:highlight w:val="none"/>
          <w:u w:val="single"/>
        </w:rPr>
        <w:t>浙江农林大学</w:t>
      </w:r>
    </w:p>
    <w:p>
      <w:pPr>
        <w:rPr>
          <w:rFonts w:ascii="宋体" w:hAnsi="宋体" w:cs="宋体"/>
          <w:color w:val="auto"/>
          <w:szCs w:val="21"/>
          <w:highlight w:val="none"/>
        </w:rPr>
      </w:pPr>
      <w:r>
        <w:rPr>
          <w:rFonts w:hint="eastAsia" w:ascii="宋体" w:hAnsi="宋体" w:cs="宋体"/>
          <w:color w:val="auto"/>
          <w:szCs w:val="21"/>
          <w:highlight w:val="none"/>
        </w:rPr>
        <w:t xml:space="preserve">施工单位（乙方）： </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rPr>
          <w:rFonts w:ascii="宋体" w:hAnsi="宋体" w:cs="宋体"/>
          <w:b/>
          <w:bCs/>
          <w:color w:val="auto"/>
          <w:szCs w:val="21"/>
          <w:highlight w:val="none"/>
        </w:rPr>
      </w:pPr>
      <w:r>
        <w:rPr>
          <w:rFonts w:hint="eastAsia" w:ascii="宋体" w:hAnsi="宋体" w:cs="宋体"/>
          <w:b/>
          <w:bCs/>
          <w:color w:val="auto"/>
          <w:szCs w:val="21"/>
          <w:highlight w:val="none"/>
        </w:rPr>
        <w:t>第一条　甲乙双方的责任</w:t>
      </w:r>
    </w:p>
    <w:p>
      <w:pPr>
        <w:rPr>
          <w:rFonts w:ascii="宋体" w:hAnsi="宋体" w:cs="宋体"/>
          <w:color w:val="auto"/>
          <w:szCs w:val="21"/>
          <w:highlight w:val="none"/>
        </w:rPr>
      </w:pPr>
      <w:r>
        <w:rPr>
          <w:rFonts w:hint="eastAsia" w:ascii="宋体" w:hAnsi="宋体" w:cs="宋体"/>
          <w:color w:val="auto"/>
          <w:szCs w:val="21"/>
          <w:highlight w:val="none"/>
        </w:rPr>
        <w:t>（一）应严格遵守国家关于市场准入、项目招标投标、工程建设、施工安装和市场活动等有关法律、法规，相关政策，以及廉政建设的各项规定。</w:t>
      </w:r>
    </w:p>
    <w:p>
      <w:pPr>
        <w:rPr>
          <w:rFonts w:ascii="宋体" w:hAnsi="宋体" w:cs="宋体"/>
          <w:color w:val="auto"/>
          <w:szCs w:val="21"/>
          <w:highlight w:val="none"/>
        </w:rPr>
      </w:pPr>
      <w:r>
        <w:rPr>
          <w:rFonts w:hint="eastAsia" w:ascii="宋体" w:hAnsi="宋体" w:cs="宋体"/>
          <w:color w:val="auto"/>
          <w:szCs w:val="21"/>
          <w:highlight w:val="none"/>
        </w:rPr>
        <w:t>（二）严格执行建设工程项目施工合同文件，自觉履行合同的约定。</w:t>
      </w:r>
    </w:p>
    <w:p>
      <w:pPr>
        <w:rPr>
          <w:rFonts w:ascii="宋体" w:hAnsi="宋体" w:cs="宋体"/>
          <w:color w:val="auto"/>
          <w:szCs w:val="21"/>
          <w:highlight w:val="none"/>
        </w:rPr>
      </w:pPr>
      <w:r>
        <w:rPr>
          <w:rFonts w:hint="eastAsia" w:ascii="宋体" w:hAnsi="宋体" w:cs="宋体"/>
          <w:color w:val="auto"/>
          <w:szCs w:val="21"/>
          <w:highlight w:val="none"/>
        </w:rPr>
        <w:t>（三）工程建设的业务活动必须坚持公平、公正、公开、诚信、透明的原则（除法律法规另有规定者外），不得为获取不正当的利益而损害国家、集体和对方利益；不得违反工程建设管理、施工安装的规章制度。</w:t>
      </w:r>
    </w:p>
    <w:p>
      <w:pPr>
        <w:rPr>
          <w:rFonts w:ascii="宋体" w:hAnsi="宋体" w:cs="宋体"/>
          <w:color w:val="auto"/>
          <w:szCs w:val="21"/>
          <w:highlight w:val="none"/>
        </w:rPr>
      </w:pPr>
      <w:r>
        <w:rPr>
          <w:rFonts w:hint="eastAsia" w:ascii="宋体" w:hAnsi="宋体" w:cs="宋体"/>
          <w:color w:val="auto"/>
          <w:szCs w:val="21"/>
          <w:highlight w:val="none"/>
        </w:rPr>
        <w:t>（四）发现对方在工程建设业务活动中有违规、违纪、违法行为的，应及时纠正对方，情节严重的，应向其上级主管部门或院校纪检监察、司法等有关机关举报。</w:t>
      </w:r>
    </w:p>
    <w:p>
      <w:pPr>
        <w:rPr>
          <w:rFonts w:ascii="宋体" w:hAnsi="宋体" w:cs="宋体"/>
          <w:b/>
          <w:bCs/>
          <w:color w:val="auto"/>
          <w:szCs w:val="21"/>
          <w:highlight w:val="none"/>
        </w:rPr>
      </w:pPr>
      <w:r>
        <w:rPr>
          <w:rFonts w:hint="eastAsia" w:ascii="宋体" w:hAnsi="宋体" w:cs="宋体"/>
          <w:b/>
          <w:bCs/>
          <w:color w:val="auto"/>
          <w:szCs w:val="21"/>
          <w:highlight w:val="none"/>
        </w:rPr>
        <w:t>第二条　甲方的责任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甲方的领导和从事该工程建设项目的管理部门及工作人员，在工程建设业务活动的事前、事中、事后应遵守以下规定：</w:t>
      </w:r>
    </w:p>
    <w:p>
      <w:pPr>
        <w:rPr>
          <w:rFonts w:ascii="宋体" w:hAnsi="宋体" w:cs="宋体"/>
          <w:color w:val="auto"/>
          <w:szCs w:val="21"/>
          <w:highlight w:val="none"/>
        </w:rPr>
      </w:pPr>
      <w:r>
        <w:rPr>
          <w:rFonts w:hint="eastAsia" w:ascii="宋体" w:hAnsi="宋体" w:cs="宋体"/>
          <w:color w:val="auto"/>
          <w:szCs w:val="21"/>
          <w:highlight w:val="none"/>
        </w:rPr>
        <w:t>（一）不准向乙方和相关单位索要或接受回扣、礼金、有价证券、贵重物品和好处费、感谢费等。</w:t>
      </w:r>
    </w:p>
    <w:p>
      <w:pPr>
        <w:rPr>
          <w:rFonts w:ascii="宋体" w:hAnsi="宋体" w:cs="宋体"/>
          <w:color w:val="auto"/>
          <w:szCs w:val="21"/>
          <w:highlight w:val="none"/>
        </w:rPr>
      </w:pPr>
      <w:r>
        <w:rPr>
          <w:rFonts w:hint="eastAsia" w:ascii="宋体" w:hAnsi="宋体" w:cs="宋体"/>
          <w:color w:val="auto"/>
          <w:szCs w:val="21"/>
          <w:highlight w:val="none"/>
        </w:rPr>
        <w:t>（二）不准在乙方和相关单位报销任何应由甲方或个人支付的费用。</w:t>
      </w:r>
    </w:p>
    <w:p>
      <w:pPr>
        <w:rPr>
          <w:rFonts w:ascii="宋体" w:hAnsi="宋体" w:cs="宋体"/>
          <w:color w:val="auto"/>
          <w:szCs w:val="21"/>
          <w:highlight w:val="none"/>
        </w:rPr>
      </w:pPr>
      <w:r>
        <w:rPr>
          <w:rFonts w:hint="eastAsia" w:ascii="宋体" w:hAnsi="宋体" w:cs="宋体"/>
          <w:color w:val="auto"/>
          <w:szCs w:val="21"/>
          <w:highlight w:val="none"/>
        </w:rPr>
        <w:t>（三）不准要求、暗示和接受乙方和相关单位为个人装修住房、婚丧嫁娶、配偶子女的工作安排以及出国（境）、旅游等提供方便。</w:t>
      </w:r>
    </w:p>
    <w:p>
      <w:pPr>
        <w:rPr>
          <w:rFonts w:ascii="宋体" w:hAnsi="宋体" w:cs="宋体"/>
          <w:color w:val="auto"/>
          <w:szCs w:val="21"/>
          <w:highlight w:val="none"/>
        </w:rPr>
      </w:pPr>
      <w:r>
        <w:rPr>
          <w:rFonts w:hint="eastAsia" w:ascii="宋体" w:hAnsi="宋体" w:cs="宋体"/>
          <w:color w:val="auto"/>
          <w:szCs w:val="21"/>
          <w:highlight w:val="none"/>
        </w:rPr>
        <w:t>（四）不准参加有可能影响公正执行公务的乙方和相关单位的宴请和健身、娱乐等活动。</w:t>
      </w:r>
    </w:p>
    <w:p>
      <w:pPr>
        <w:rPr>
          <w:rFonts w:ascii="宋体" w:hAnsi="宋体" w:cs="宋体"/>
          <w:color w:val="auto"/>
          <w:szCs w:val="21"/>
          <w:highlight w:val="none"/>
        </w:rPr>
      </w:pPr>
      <w:r>
        <w:rPr>
          <w:rFonts w:hint="eastAsia" w:ascii="宋体" w:hAnsi="宋体" w:cs="宋体"/>
          <w:color w:val="auto"/>
          <w:szCs w:val="21"/>
          <w:highlight w:val="none"/>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rPr>
          <w:rFonts w:ascii="宋体" w:hAnsi="宋体" w:cs="宋体"/>
          <w:b/>
          <w:bCs/>
          <w:color w:val="auto"/>
          <w:szCs w:val="21"/>
          <w:highlight w:val="none"/>
        </w:rPr>
      </w:pPr>
      <w:r>
        <w:rPr>
          <w:rFonts w:hint="eastAsia" w:ascii="宋体" w:hAnsi="宋体" w:cs="宋体"/>
          <w:b/>
          <w:bCs/>
          <w:color w:val="auto"/>
          <w:szCs w:val="21"/>
          <w:highlight w:val="none"/>
        </w:rPr>
        <w:t>第三条　乙方的责任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应与甲方保持正常的业务交往，按照有关法律法规和程序开展业务工作，严格执行工程建设的有关方针、政策，尤其是有关建筑施工安装的强制性标准和规范，并遵守以下规定：</w:t>
      </w:r>
    </w:p>
    <w:p>
      <w:pPr>
        <w:rPr>
          <w:rFonts w:ascii="宋体" w:hAnsi="宋体" w:cs="宋体"/>
          <w:color w:val="auto"/>
          <w:szCs w:val="21"/>
          <w:highlight w:val="none"/>
        </w:rPr>
      </w:pPr>
      <w:r>
        <w:rPr>
          <w:rFonts w:hint="eastAsia" w:ascii="宋体" w:hAnsi="宋体" w:cs="宋体"/>
          <w:color w:val="auto"/>
          <w:szCs w:val="21"/>
          <w:highlight w:val="none"/>
        </w:rPr>
        <w:t>（一）不准以任何理由向甲方、相关单位及其工作人员赠送礼金、有价证券、贵重物品和回扣、好处费、感谢费等。</w:t>
      </w:r>
    </w:p>
    <w:p>
      <w:pPr>
        <w:rPr>
          <w:rFonts w:ascii="宋体" w:hAnsi="宋体" w:cs="宋体"/>
          <w:color w:val="auto"/>
          <w:szCs w:val="21"/>
          <w:highlight w:val="none"/>
        </w:rPr>
      </w:pPr>
      <w:r>
        <w:rPr>
          <w:rFonts w:hint="eastAsia" w:ascii="宋体" w:hAnsi="宋体" w:cs="宋体"/>
          <w:color w:val="auto"/>
          <w:szCs w:val="21"/>
          <w:highlight w:val="none"/>
        </w:rPr>
        <w:t>（二）不准以任何理由为甲方和相关单位报销应由对方或个人支付的费用。</w:t>
      </w:r>
    </w:p>
    <w:p>
      <w:pPr>
        <w:rPr>
          <w:rFonts w:ascii="宋体" w:hAnsi="宋体" w:cs="宋体"/>
          <w:color w:val="auto"/>
          <w:szCs w:val="21"/>
          <w:highlight w:val="none"/>
        </w:rPr>
      </w:pPr>
      <w:r>
        <w:rPr>
          <w:rFonts w:hint="eastAsia" w:ascii="宋体" w:hAnsi="宋体" w:cs="宋体"/>
          <w:color w:val="auto"/>
          <w:szCs w:val="21"/>
          <w:highlight w:val="none"/>
        </w:rPr>
        <w:t>（三）不准接受或暗示为甲方、相关单位或个人装修住房、婚丧嫁娶、配偶子女的工作安排以及出国（境）、旅游等提供方便。</w:t>
      </w:r>
    </w:p>
    <w:p>
      <w:pPr>
        <w:rPr>
          <w:rFonts w:ascii="宋体" w:hAnsi="宋体" w:cs="宋体"/>
          <w:color w:val="auto"/>
          <w:szCs w:val="21"/>
          <w:highlight w:val="none"/>
        </w:rPr>
      </w:pPr>
      <w:r>
        <w:rPr>
          <w:rFonts w:hint="eastAsia" w:ascii="宋体" w:hAnsi="宋体" w:cs="宋体"/>
          <w:color w:val="auto"/>
          <w:szCs w:val="21"/>
          <w:highlight w:val="none"/>
        </w:rPr>
        <w:t>（四）不准以任何理由为甲方、相关单位或个人组织有可能影响公正执行公务的宴请、健身、娱乐等活动。</w:t>
      </w:r>
    </w:p>
    <w:p>
      <w:pPr>
        <w:rPr>
          <w:rFonts w:ascii="宋体" w:hAnsi="宋体" w:cs="宋体"/>
          <w:b/>
          <w:bCs/>
          <w:color w:val="auto"/>
          <w:szCs w:val="21"/>
          <w:highlight w:val="none"/>
        </w:rPr>
      </w:pPr>
      <w:r>
        <w:rPr>
          <w:rFonts w:hint="eastAsia" w:ascii="宋体" w:hAnsi="宋体" w:cs="宋体"/>
          <w:b/>
          <w:bCs/>
          <w:color w:val="auto"/>
          <w:szCs w:val="21"/>
          <w:highlight w:val="none"/>
        </w:rPr>
        <w:t>第四条　违约责任</w:t>
      </w:r>
    </w:p>
    <w:p>
      <w:pPr>
        <w:rPr>
          <w:rFonts w:ascii="宋体" w:hAnsi="宋体" w:cs="宋体"/>
          <w:color w:val="auto"/>
          <w:szCs w:val="21"/>
          <w:highlight w:val="none"/>
        </w:rPr>
      </w:pPr>
      <w:r>
        <w:rPr>
          <w:rFonts w:hint="eastAsia" w:ascii="宋体" w:hAnsi="宋体" w:cs="宋体"/>
          <w:color w:val="auto"/>
          <w:szCs w:val="21"/>
          <w:highlight w:val="none"/>
        </w:rPr>
        <w:t>（一）甲方及其工作人员有违反本协议书第一、二条责任行为的，按照管理权限，依据有关法律法规和规定，给予党纪、政纪处分或组织处理；涉嫌犯罪的，移交司法机关追究刑事责任。</w:t>
      </w:r>
    </w:p>
    <w:p>
      <w:pPr>
        <w:rPr>
          <w:rFonts w:ascii="宋体" w:hAnsi="宋体" w:cs="宋体"/>
          <w:color w:val="auto"/>
          <w:szCs w:val="21"/>
          <w:highlight w:val="none"/>
        </w:rPr>
      </w:pPr>
      <w:r>
        <w:rPr>
          <w:rFonts w:hint="eastAsia" w:ascii="宋体" w:hAnsi="宋体" w:cs="宋体"/>
          <w:color w:val="auto"/>
          <w:szCs w:val="21"/>
          <w:highlight w:val="none"/>
        </w:rPr>
        <w:t>（二）乙方及其工作人员有违反本协议书第一、三条责任行为的，按照管理权限，依据有关法律法规和规定，给予党纪、政纪处分或组织处理；涉嫌犯罪的，移交司法机关追究刑事责任。</w:t>
      </w:r>
    </w:p>
    <w:p>
      <w:pPr>
        <w:rPr>
          <w:rFonts w:ascii="宋体" w:hAnsi="宋体" w:cs="宋体"/>
          <w:b/>
          <w:bCs/>
          <w:color w:val="auto"/>
          <w:szCs w:val="21"/>
          <w:highlight w:val="none"/>
        </w:rPr>
      </w:pPr>
      <w:r>
        <w:rPr>
          <w:rFonts w:hint="eastAsia" w:ascii="宋体" w:hAnsi="宋体" w:cs="宋体"/>
          <w:b/>
          <w:bCs/>
          <w:color w:val="auto"/>
          <w:szCs w:val="21"/>
          <w:highlight w:val="none"/>
        </w:rPr>
        <w:t>第五条　本协议书作为工程建设施工合同的附件，与工程建设施工合同具有同等法律效力。经双方签署后立即生效。</w:t>
      </w:r>
    </w:p>
    <w:p>
      <w:pPr>
        <w:rPr>
          <w:rFonts w:ascii="宋体" w:hAnsi="宋体" w:cs="宋体"/>
          <w:b/>
          <w:bCs/>
          <w:color w:val="auto"/>
          <w:szCs w:val="21"/>
          <w:highlight w:val="none"/>
        </w:rPr>
      </w:pPr>
      <w:r>
        <w:rPr>
          <w:rFonts w:hint="eastAsia" w:ascii="宋体" w:hAnsi="宋体" w:cs="宋体"/>
          <w:b/>
          <w:bCs/>
          <w:color w:val="auto"/>
          <w:szCs w:val="21"/>
          <w:highlight w:val="none"/>
        </w:rPr>
        <w:t>第六条　本协议书的有效期为双方签署之日起至该工程项目竣工验收合格时止。</w:t>
      </w:r>
    </w:p>
    <w:p>
      <w:pPr>
        <w:rPr>
          <w:rFonts w:ascii="宋体" w:hAnsi="宋体" w:cs="宋体"/>
          <w:b/>
          <w:bCs/>
          <w:color w:val="auto"/>
          <w:szCs w:val="21"/>
          <w:highlight w:val="none"/>
        </w:rPr>
      </w:pPr>
      <w:r>
        <w:rPr>
          <w:rFonts w:hint="eastAsia" w:ascii="宋体" w:hAnsi="宋体" w:cs="宋体"/>
          <w:b/>
          <w:bCs/>
          <w:color w:val="auto"/>
          <w:szCs w:val="21"/>
          <w:highlight w:val="none"/>
        </w:rPr>
        <w:t>第七条　本协议书一式四份，由甲乙双方各执一份，送交双方监督单位各一份。</w:t>
      </w:r>
    </w:p>
    <w:p>
      <w:pPr>
        <w:rPr>
          <w:rFonts w:ascii="宋体" w:hAnsi="宋体" w:cs="宋体"/>
          <w:b/>
          <w:bCs/>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甲方单位：（盖章）                               乙方单位：（盖章）</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pPr>
        <w:rPr>
          <w:rFonts w:ascii="宋体" w:hAnsi="宋体" w:cs="宋体"/>
          <w:color w:val="auto"/>
          <w:szCs w:val="21"/>
          <w:highlight w:val="none"/>
        </w:rPr>
      </w:pPr>
    </w:p>
    <w:p>
      <w:pPr>
        <w:rPr>
          <w:rFonts w:ascii="宋体" w:hAnsi="宋体" w:cs="宋体"/>
          <w:color w:val="auto"/>
          <w:szCs w:val="21"/>
          <w:highlight w:val="none"/>
        </w:rPr>
      </w:pPr>
    </w:p>
    <w:p>
      <w:pPr>
        <w:spacing w:line="288" w:lineRule="auto"/>
        <w:rPr>
          <w:rFonts w:ascii="宋体" w:hAnsi="宋体" w:cs="宋体"/>
          <w:color w:val="auto"/>
          <w:szCs w:val="21"/>
          <w:highlight w:val="none"/>
        </w:rPr>
        <w:sectPr>
          <w:pgSz w:w="11900" w:h="16838"/>
          <w:pgMar w:top="1440" w:right="1440" w:bottom="158" w:left="1440" w:header="567" w:footer="567" w:gutter="0"/>
          <w:cols w:equalWidth="0" w:num="1">
            <w:col w:w="9026"/>
          </w:cols>
        </w:sectPr>
      </w:pPr>
      <w:r>
        <w:rPr>
          <w:rFonts w:hint="eastAsia" w:ascii="宋体" w:hAnsi="宋体" w:cs="宋体"/>
          <w:color w:val="auto"/>
          <w:szCs w:val="21"/>
          <w:highlight w:val="none"/>
        </w:rPr>
        <w:t>年　月　日                                             年　月　日</w:t>
      </w:r>
    </w:p>
    <w:p>
      <w:pPr>
        <w:tabs>
          <w:tab w:val="left" w:pos="300"/>
        </w:tabs>
        <w:spacing w:line="366" w:lineRule="exact"/>
        <w:jc w:val="center"/>
        <w:outlineLvl w:val="0"/>
        <w:rPr>
          <w:rFonts w:ascii="宋体" w:hAnsi="宋体" w:cs="宋体"/>
          <w:b/>
          <w:bCs/>
          <w:color w:val="auto"/>
          <w:sz w:val="32"/>
          <w:szCs w:val="32"/>
          <w:highlight w:val="none"/>
        </w:rPr>
      </w:pPr>
      <w:bookmarkStart w:id="98" w:name="_Toc954"/>
      <w:bookmarkStart w:id="99" w:name="_Toc12050_WPSOffice_Level1"/>
      <w:r>
        <w:rPr>
          <w:rFonts w:hint="eastAsia" w:ascii="宋体" w:hAnsi="宋体" w:cs="宋体"/>
          <w:b/>
          <w:bCs/>
          <w:color w:val="auto"/>
          <w:sz w:val="32"/>
          <w:szCs w:val="32"/>
          <w:highlight w:val="none"/>
        </w:rPr>
        <w:t>第六章  响应文件格式</w:t>
      </w:r>
      <w:bookmarkEnd w:id="98"/>
      <w:bookmarkEnd w:id="99"/>
    </w:p>
    <w:p>
      <w:pPr>
        <w:spacing w:line="256" w:lineRule="exact"/>
        <w:rPr>
          <w:rFonts w:ascii="宋体" w:hAnsi="宋体" w:cs="宋体"/>
          <w:color w:val="auto"/>
          <w:sz w:val="20"/>
          <w:szCs w:val="20"/>
          <w:highlight w:val="none"/>
        </w:rPr>
      </w:pPr>
    </w:p>
    <w:p>
      <w:pPr>
        <w:spacing w:line="240" w:lineRule="exact"/>
        <w:ind w:right="-13"/>
        <w:jc w:val="center"/>
        <w:rPr>
          <w:rFonts w:ascii="宋体" w:hAnsi="宋体" w:cs="宋体"/>
          <w:color w:val="auto"/>
          <w:sz w:val="20"/>
          <w:szCs w:val="20"/>
          <w:highlight w:val="none"/>
        </w:rPr>
      </w:pPr>
      <w:bookmarkStart w:id="100" w:name="_Toc23816_WPSOffice_Level2"/>
      <w:bookmarkStart w:id="101" w:name="_Toc20282_WPSOffice_Level2"/>
      <w:r>
        <w:rPr>
          <w:rFonts w:hint="eastAsia" w:ascii="宋体" w:hAnsi="宋体" w:cs="宋体"/>
          <w:color w:val="auto"/>
          <w:szCs w:val="21"/>
          <w:highlight w:val="none"/>
        </w:rPr>
        <w:t>（未提供格式的由供应商自拟）</w:t>
      </w:r>
      <w:bookmarkEnd w:id="100"/>
      <w:bookmarkEnd w:id="101"/>
    </w:p>
    <w:p>
      <w:pPr>
        <w:tabs>
          <w:tab w:val="left" w:pos="300"/>
        </w:tabs>
        <w:spacing w:line="366" w:lineRule="exact"/>
        <w:jc w:val="center"/>
        <w:rPr>
          <w:rFonts w:ascii="宋体" w:hAnsi="宋体" w:cs="宋体"/>
          <w:b/>
          <w:bCs/>
          <w:color w:val="auto"/>
          <w:sz w:val="32"/>
          <w:szCs w:val="32"/>
          <w:highlight w:val="none"/>
        </w:rPr>
      </w:pPr>
    </w:p>
    <w:p>
      <w:pPr>
        <w:pStyle w:val="8"/>
        <w:rPr>
          <w:rFonts w:ascii="宋体" w:hAnsi="宋体" w:cs="宋体"/>
          <w:color w:val="auto"/>
          <w:highlight w:val="none"/>
        </w:rPr>
      </w:pPr>
    </w:p>
    <w:p>
      <w:pPr>
        <w:spacing w:line="320" w:lineRule="exact"/>
        <w:ind w:left="360"/>
        <w:rPr>
          <w:rFonts w:ascii="宋体" w:hAnsi="宋体" w:cs="宋体"/>
          <w:color w:val="auto"/>
          <w:sz w:val="20"/>
          <w:szCs w:val="20"/>
          <w:highlight w:val="none"/>
        </w:rPr>
      </w:pPr>
      <w:bookmarkStart w:id="102" w:name="_Toc22347_WPSOffice_Level2"/>
      <w:r>
        <w:rPr>
          <w:rFonts w:hint="eastAsia" w:ascii="宋体" w:hAnsi="宋体" w:cs="宋体"/>
          <w:color w:val="auto"/>
          <w:sz w:val="28"/>
          <w:szCs w:val="28"/>
          <w:highlight w:val="none"/>
        </w:rPr>
        <w:t>外包装封面</w:t>
      </w:r>
      <w:bookmarkEnd w:id="102"/>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03" w:name="_Toc10074_WPSOffice_Level2"/>
      <w:r>
        <w:rPr>
          <w:rFonts w:hint="eastAsia" w:ascii="宋体" w:hAnsi="宋体" w:cs="宋体"/>
          <w:color w:val="auto"/>
          <w:sz w:val="28"/>
          <w:szCs w:val="28"/>
          <w:highlight w:val="none"/>
        </w:rPr>
        <w:t>项目名称：</w:t>
      </w:r>
      <w:bookmarkEnd w:id="103"/>
    </w:p>
    <w:p>
      <w:pPr>
        <w:spacing w:line="20" w:lineRule="exact"/>
        <w:rPr>
          <w:rFonts w:ascii="宋体" w:hAnsi="宋体" w:cs="宋体"/>
          <w:color w:val="auto"/>
          <w:sz w:val="20"/>
          <w:szCs w:val="20"/>
          <w:highlight w:val="none"/>
        </w:rPr>
      </w:pPr>
      <w:r>
        <w:rPr>
          <w:rFonts w:ascii="宋体" w:hAnsi="宋体" w:cs="宋体"/>
          <w:color w:val="auto"/>
          <w:highlight w:val="none"/>
        </w:rPr>
        <w:pict>
          <v:line id="_x0000_s1035" o:spid="_x0000_s1035" o:spt="20" style="position:absolute;left:0pt;margin-left:136.95pt;margin-top:0.05pt;height:0pt;width:287.1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04" w:name="_Toc27691_WPSOffice_Level2"/>
      <w:r>
        <w:rPr>
          <w:rFonts w:hint="eastAsia" w:ascii="宋体" w:hAnsi="宋体" w:cs="宋体"/>
          <w:color w:val="auto"/>
          <w:sz w:val="28"/>
          <w:szCs w:val="28"/>
          <w:highlight w:val="none"/>
        </w:rPr>
        <w:t>项目编号：</w:t>
      </w:r>
      <w:bookmarkEnd w:id="104"/>
    </w:p>
    <w:p>
      <w:pPr>
        <w:spacing w:line="20" w:lineRule="exact"/>
        <w:rPr>
          <w:rFonts w:ascii="宋体" w:hAnsi="宋体" w:cs="宋体"/>
          <w:color w:val="auto"/>
          <w:sz w:val="20"/>
          <w:szCs w:val="20"/>
          <w:highlight w:val="none"/>
        </w:rPr>
      </w:pPr>
      <w:r>
        <w:rPr>
          <w:rFonts w:ascii="宋体" w:hAnsi="宋体" w:cs="宋体"/>
          <w:color w:val="auto"/>
          <w:highlight w:val="none"/>
        </w:rPr>
        <w:pict>
          <v:line id="_x0000_s1036" o:spid="_x0000_s1036" o:spt="20" style="position:absolute;left:0pt;margin-left:136.95pt;margin-top:0.05pt;height:0pt;width:287.1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5"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投 标 文 件</w:t>
      </w:r>
    </w:p>
    <w:p>
      <w:pPr>
        <w:spacing w:line="200" w:lineRule="exact"/>
        <w:rPr>
          <w:rFonts w:ascii="宋体" w:hAnsi="宋体" w:cs="宋体"/>
          <w:color w:val="auto"/>
          <w:sz w:val="20"/>
          <w:szCs w:val="20"/>
          <w:highlight w:val="none"/>
        </w:rPr>
      </w:pPr>
    </w:p>
    <w:p>
      <w:pPr>
        <w:spacing w:line="381"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（报价、商务技术文件）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67"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bookmarkStart w:id="105" w:name="_Toc15720_WPSOffice_Level2"/>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bookmarkEnd w:id="105"/>
    </w:p>
    <w:p>
      <w:pPr>
        <w:spacing w:line="20" w:lineRule="exact"/>
        <w:rPr>
          <w:rFonts w:ascii="宋体" w:hAnsi="宋体" w:cs="宋体"/>
          <w:color w:val="auto"/>
          <w:sz w:val="20"/>
          <w:szCs w:val="20"/>
          <w:highlight w:val="none"/>
        </w:rPr>
      </w:pPr>
      <w:r>
        <w:rPr>
          <w:rFonts w:ascii="宋体" w:hAnsi="宋体" w:cs="宋体"/>
          <w:color w:val="auto"/>
          <w:highlight w:val="none"/>
        </w:rPr>
        <w:pict>
          <v:line id="_x0000_s1037" o:spid="_x0000_s1037" o:spt="20" style="position:absolute;left:0pt;margin-left:112.6pt;margin-top:0.05pt;height:0pt;width:182.05pt;z-index:-1024;mso-width-relative:page;mso-height-relative:page;" filled="t" coordsize="21600,21600" o:allowincell="f">
            <v:path arrowok="t"/>
            <v:fill on="t" focussize="0,0"/>
            <v:stroke weight="1.08pt" joinstyle="miter"/>
            <v:imagedata o:title=""/>
            <o:lock v:ext="edit"/>
          </v:line>
        </w:pic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bookmarkStart w:id="106" w:name="_Toc28306_WPSOffice_Level2"/>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bookmarkEnd w:id="106"/>
    </w:p>
    <w:p>
      <w:pPr>
        <w:spacing w:line="20" w:lineRule="exact"/>
        <w:rPr>
          <w:rFonts w:ascii="宋体" w:hAnsi="宋体" w:cs="宋体"/>
          <w:color w:val="auto"/>
          <w:sz w:val="20"/>
          <w:szCs w:val="20"/>
          <w:highlight w:val="none"/>
        </w:rPr>
      </w:pPr>
      <w:r>
        <w:rPr>
          <w:rFonts w:ascii="宋体" w:hAnsi="宋体" w:cs="宋体"/>
          <w:color w:val="auto"/>
          <w:highlight w:val="none"/>
        </w:rPr>
        <w:pict>
          <v:line id="_x0000_s1038" o:spid="_x0000_s1038" o:spt="20" style="position:absolute;left:0pt;margin-left:168.65pt;margin-top:0.05pt;height:0pt;width:105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bookmarkStart w:id="107" w:name="_Toc8356_WPSOffice_Level2"/>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bookmarkEnd w:id="107"/>
    </w:p>
    <w:p>
      <w:pPr>
        <w:rPr>
          <w:rFonts w:ascii="宋体" w:hAnsi="宋体" w:cs="宋体"/>
          <w:color w:val="auto"/>
          <w:highlight w:val="none"/>
        </w:rPr>
        <w:sectPr>
          <w:pgSz w:w="11900" w:h="16838"/>
          <w:pgMar w:top="1440" w:right="1440" w:bottom="158" w:left="1440" w:header="567" w:footer="567" w:gutter="0"/>
          <w:cols w:equalWidth="0" w:num="1">
            <w:col w:w="9026"/>
          </w:cols>
        </w:sectPr>
      </w:pPr>
    </w:p>
    <w:p>
      <w:pPr>
        <w:tabs>
          <w:tab w:val="left" w:pos="300"/>
        </w:tabs>
        <w:spacing w:line="366" w:lineRule="exact"/>
        <w:jc w:val="center"/>
        <w:rPr>
          <w:rFonts w:ascii="宋体" w:hAnsi="宋体" w:cs="宋体"/>
          <w:b/>
          <w:bCs/>
          <w:color w:val="auto"/>
          <w:sz w:val="32"/>
          <w:szCs w:val="32"/>
          <w:highlight w:val="none"/>
        </w:rPr>
      </w:pPr>
    </w:p>
    <w:p>
      <w:pPr>
        <w:spacing w:line="168" w:lineRule="exact"/>
        <w:rPr>
          <w:rFonts w:ascii="宋体" w:hAnsi="宋体" w:cs="宋体"/>
          <w:color w:val="auto"/>
          <w:sz w:val="20"/>
          <w:szCs w:val="20"/>
          <w:highlight w:val="none"/>
        </w:rPr>
      </w:pPr>
    </w:p>
    <w:p>
      <w:pPr>
        <w:spacing w:line="320" w:lineRule="exact"/>
        <w:ind w:left="360"/>
        <w:rPr>
          <w:rFonts w:ascii="宋体" w:hAnsi="宋体" w:cs="宋体"/>
          <w:color w:val="auto"/>
          <w:sz w:val="20"/>
          <w:szCs w:val="20"/>
          <w:highlight w:val="none"/>
        </w:rPr>
      </w:pPr>
      <w:bookmarkStart w:id="108" w:name="_Toc23848_WPSOffice_Level2"/>
      <w:r>
        <w:rPr>
          <w:rFonts w:hint="eastAsia" w:ascii="宋体" w:hAnsi="宋体" w:cs="宋体"/>
          <w:color w:val="auto"/>
          <w:sz w:val="28"/>
          <w:szCs w:val="28"/>
          <w:highlight w:val="none"/>
        </w:rPr>
        <w:t>报价文件封面</w:t>
      </w:r>
      <w:bookmarkEnd w:id="108"/>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09" w:name="_Toc1313_WPSOffice_Level2"/>
      <w:r>
        <w:rPr>
          <w:rFonts w:hint="eastAsia" w:ascii="宋体" w:hAnsi="宋体" w:cs="宋体"/>
          <w:color w:val="auto"/>
          <w:sz w:val="28"/>
          <w:szCs w:val="28"/>
          <w:highlight w:val="none"/>
        </w:rPr>
        <w:t>项目名称：</w:t>
      </w:r>
      <w:bookmarkEnd w:id="109"/>
    </w:p>
    <w:p>
      <w:pPr>
        <w:spacing w:line="20" w:lineRule="exact"/>
        <w:rPr>
          <w:rFonts w:ascii="宋体" w:hAnsi="宋体" w:cs="宋体"/>
          <w:color w:val="auto"/>
          <w:sz w:val="20"/>
          <w:szCs w:val="20"/>
          <w:highlight w:val="none"/>
        </w:rPr>
      </w:pPr>
      <w:r>
        <w:rPr>
          <w:rFonts w:ascii="宋体" w:hAnsi="宋体" w:cs="宋体"/>
          <w:color w:val="auto"/>
          <w:highlight w:val="none"/>
        </w:rPr>
        <w:pict>
          <v:line id="Shape 215" o:spid="_x0000_s1039" o:spt="20" style="position:absolute;left:0pt;margin-left:136.95pt;margin-top:0.05pt;height:0pt;width:287.1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10" w:name="_Toc13212_WPSOffice_Level2"/>
      <w:r>
        <w:rPr>
          <w:rFonts w:hint="eastAsia" w:ascii="宋体" w:hAnsi="宋体" w:cs="宋体"/>
          <w:color w:val="auto"/>
          <w:sz w:val="28"/>
          <w:szCs w:val="28"/>
          <w:highlight w:val="none"/>
        </w:rPr>
        <w:t>项目编号：</w:t>
      </w:r>
      <w:bookmarkEnd w:id="110"/>
    </w:p>
    <w:p>
      <w:pPr>
        <w:spacing w:line="20" w:lineRule="exact"/>
        <w:rPr>
          <w:rFonts w:ascii="宋体" w:hAnsi="宋体" w:cs="宋体"/>
          <w:color w:val="auto"/>
          <w:sz w:val="20"/>
          <w:szCs w:val="20"/>
          <w:highlight w:val="none"/>
        </w:rPr>
      </w:pPr>
      <w:r>
        <w:rPr>
          <w:rFonts w:ascii="宋体" w:hAnsi="宋体" w:cs="宋体"/>
          <w:color w:val="auto"/>
          <w:highlight w:val="none"/>
        </w:rPr>
        <w:pict>
          <v:line id="Shape 216" o:spid="_x0000_s1040" o:spt="20" style="position:absolute;left:0pt;margin-left:136.95pt;margin-top:0.05pt;height:0pt;width:287.1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4"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投 标 文 件</w:t>
      </w:r>
    </w:p>
    <w:p>
      <w:pPr>
        <w:spacing w:line="200" w:lineRule="exact"/>
        <w:rPr>
          <w:rFonts w:ascii="宋体" w:hAnsi="宋体" w:cs="宋体"/>
          <w:color w:val="auto"/>
          <w:sz w:val="20"/>
          <w:szCs w:val="20"/>
          <w:highlight w:val="none"/>
        </w:rPr>
      </w:pPr>
    </w:p>
    <w:p>
      <w:pPr>
        <w:spacing w:line="380"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（报价文件）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22"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bookmarkStart w:id="111" w:name="_Toc14375_WPSOffice_Level2"/>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bookmarkEnd w:id="111"/>
    </w:p>
    <w:p>
      <w:pPr>
        <w:spacing w:line="20" w:lineRule="exact"/>
        <w:rPr>
          <w:rFonts w:ascii="宋体" w:hAnsi="宋体" w:cs="宋体"/>
          <w:color w:val="auto"/>
          <w:sz w:val="20"/>
          <w:szCs w:val="20"/>
          <w:highlight w:val="none"/>
        </w:rPr>
      </w:pPr>
      <w:r>
        <w:rPr>
          <w:rFonts w:ascii="宋体" w:hAnsi="宋体" w:cs="宋体"/>
          <w:color w:val="auto"/>
          <w:highlight w:val="none"/>
        </w:rPr>
        <w:pict>
          <v:line id="Shape 217" o:spid="_x0000_s1041" o:spt="20" style="position:absolute;left:0pt;margin-left:112.6pt;margin-top:0.05pt;height:0pt;width:182.05pt;z-index:-1024;mso-width-relative:page;mso-height-relative:page;" filled="t" coordsize="21600,21600" o:allowincell="f">
            <v:path arrowok="t"/>
            <v:fill on="t" focussize="0,0"/>
            <v:stroke weight="1.08pt" joinstyle="miter"/>
            <v:imagedata o:title=""/>
            <o:lock v:ext="edit"/>
          </v:line>
        </w:pic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bookmarkStart w:id="112" w:name="_Toc12549_WPSOffice_Level2"/>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bookmarkEnd w:id="112"/>
    </w:p>
    <w:p>
      <w:pPr>
        <w:spacing w:line="20" w:lineRule="exact"/>
        <w:rPr>
          <w:rFonts w:ascii="宋体" w:hAnsi="宋体" w:cs="宋体"/>
          <w:color w:val="auto"/>
          <w:sz w:val="20"/>
          <w:szCs w:val="20"/>
          <w:highlight w:val="none"/>
        </w:rPr>
      </w:pPr>
      <w:r>
        <w:rPr>
          <w:rFonts w:ascii="宋体" w:hAnsi="宋体" w:cs="宋体"/>
          <w:color w:val="auto"/>
          <w:highlight w:val="none"/>
        </w:rPr>
        <w:pict>
          <v:line id="Shape 218" o:spid="_x0000_s1042" o:spt="20" style="position:absolute;left:0pt;margin-left:168.65pt;margin-top:0.05pt;height:0pt;width:105pt;z-index:-1024;mso-width-relative:page;mso-height-relative:page;" filled="t" coordsize="21600,21600" o:allowincell="f">
            <v:path arrowok="t"/>
            <v:fill on="t" focussize="0,0"/>
            <v:stroke weight="1.07992125984252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bookmarkStart w:id="113" w:name="_Toc20379_WPSOffice_Level2"/>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bookmarkEnd w:id="113"/>
    </w:p>
    <w:p>
      <w:pPr>
        <w:spacing w:line="20" w:lineRule="exact"/>
        <w:rPr>
          <w:rFonts w:ascii="宋体" w:hAnsi="宋体" w:cs="宋体"/>
          <w:color w:val="auto"/>
          <w:sz w:val="20"/>
          <w:szCs w:val="20"/>
          <w:highlight w:val="none"/>
        </w:rPr>
      </w:pPr>
      <w:r>
        <w:rPr>
          <w:rFonts w:ascii="宋体" w:hAnsi="宋体" w:cs="宋体"/>
          <w:color w:val="auto"/>
          <w:highlight w:val="none"/>
        </w:rPr>
        <w:pict>
          <v:line id="Shape 219" o:spid="_x0000_s1043" o:spt="20" style="position:absolute;left:0pt;margin-left:153.85pt;margin-top:0.05pt;height:0pt;width:42.15pt;z-index:-1024;mso-width-relative:page;mso-height-relative:page;" filled="t" coordsize="21600,21600" o:allowincell="f">
            <v:path arrowok="t"/>
            <v:fill on="t" focussize="0,0"/>
            <v:stroke weight="1.08pt" joinstyle="miter"/>
            <v:imagedata o:title=""/>
            <o:lock v:ext="edit"/>
          </v:line>
        </w:pict>
      </w:r>
      <w:r>
        <w:rPr>
          <w:rFonts w:ascii="宋体" w:hAnsi="宋体" w:cs="宋体"/>
          <w:color w:val="auto"/>
          <w:highlight w:val="none"/>
        </w:rPr>
        <w:pict>
          <v:line id="Shape 220" o:spid="_x0000_s1044" o:spt="20" style="position:absolute;left:0pt;margin-left:209.9pt;margin-top:0.05pt;height:0pt;width:21.05pt;z-index:-1024;mso-width-relative:page;mso-height-relative:page;" filled="t" coordsize="21600,21600" o:allowincell="f">
            <v:path arrowok="t"/>
            <v:fill on="t" focussize="0,0"/>
            <v:stroke weight="1.08pt" joinstyle="miter"/>
            <v:imagedata o:title=""/>
            <o:lock v:ext="edit"/>
          </v:line>
        </w:pict>
      </w:r>
      <w:r>
        <w:rPr>
          <w:rFonts w:ascii="宋体" w:hAnsi="宋体" w:cs="宋体"/>
          <w:color w:val="auto"/>
          <w:highlight w:val="none"/>
        </w:rPr>
        <w:pict>
          <v:line id="Shape 221" o:spid="_x0000_s1045" o:spt="20" style="position:absolute;left:0pt;margin-left:244.95pt;margin-top:0.05pt;height:0pt;width:20.9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401" w:left="1440" w:header="567" w:footer="567" w:gutter="0"/>
          <w:cols w:equalWidth="0" w:num="1">
            <w:col w:w="9026"/>
          </w:cols>
        </w:sectPr>
      </w:pPr>
    </w:p>
    <w:p>
      <w:pPr>
        <w:spacing w:line="360" w:lineRule="auto"/>
        <w:ind w:left="782"/>
        <w:rPr>
          <w:rFonts w:ascii="宋体" w:hAnsi="宋体" w:cs="宋体"/>
          <w:b/>
          <w:bCs/>
          <w:color w:val="auto"/>
          <w:sz w:val="30"/>
          <w:szCs w:val="30"/>
          <w:highlight w:val="none"/>
        </w:rPr>
      </w:pPr>
      <w:bookmarkStart w:id="114" w:name="page49"/>
      <w:bookmarkEnd w:id="114"/>
      <w:r>
        <w:rPr>
          <w:rFonts w:hint="eastAsia" w:ascii="宋体" w:hAnsi="宋体" w:cs="宋体"/>
          <w:b/>
          <w:bCs/>
          <w:color w:val="auto"/>
          <w:sz w:val="30"/>
          <w:szCs w:val="30"/>
          <w:highlight w:val="none"/>
        </w:rPr>
        <w:t>报价文件</w:t>
      </w:r>
    </w:p>
    <w:p>
      <w:pPr>
        <w:spacing w:line="169" w:lineRule="exact"/>
        <w:rPr>
          <w:rFonts w:ascii="宋体" w:hAnsi="宋体" w:cs="宋体"/>
          <w:color w:val="auto"/>
          <w:sz w:val="20"/>
          <w:szCs w:val="20"/>
          <w:highlight w:val="none"/>
        </w:rPr>
      </w:pPr>
    </w:p>
    <w:p>
      <w:pPr>
        <w:spacing w:line="366" w:lineRule="exact"/>
        <w:ind w:right="6"/>
        <w:jc w:val="center"/>
        <w:rPr>
          <w:rFonts w:ascii="宋体" w:hAnsi="宋体" w:cs="宋体"/>
          <w:color w:val="auto"/>
          <w:sz w:val="28"/>
          <w:szCs w:val="28"/>
          <w:highlight w:val="none"/>
        </w:rPr>
      </w:pPr>
      <w:r>
        <w:rPr>
          <w:rFonts w:hint="eastAsia" w:ascii="宋体" w:hAnsi="宋体" w:cs="宋体"/>
          <w:b/>
          <w:bCs/>
          <w:color w:val="auto"/>
          <w:sz w:val="28"/>
          <w:szCs w:val="28"/>
          <w:highlight w:val="none"/>
        </w:rPr>
        <w:t>一、报价函</w:t>
      </w:r>
    </w:p>
    <w:p>
      <w:pPr>
        <w:spacing w:line="258"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（采购人单位名称）：</w:t>
      </w:r>
    </w:p>
    <w:p>
      <w:pPr>
        <w:spacing w:line="20" w:lineRule="exact"/>
        <w:rPr>
          <w:rFonts w:ascii="宋体" w:hAnsi="宋体" w:cs="宋体"/>
          <w:color w:val="auto"/>
          <w:sz w:val="20"/>
          <w:szCs w:val="20"/>
          <w:highlight w:val="none"/>
        </w:rPr>
      </w:pPr>
      <w:r>
        <w:rPr>
          <w:rFonts w:ascii="宋体" w:hAnsi="宋体" w:cs="宋体"/>
          <w:color w:val="auto"/>
          <w:highlight w:val="none"/>
        </w:rPr>
        <w:pict>
          <v:line id="Shape 223" o:spid="_x0000_s1046" o:spt="20" style="position:absolute;left:0pt;margin-left:17.9pt;margin-top:0.3pt;height:0pt;width:89.25pt;z-index:-1024;mso-width-relative:page;mso-height-relative:page;" filled="t" coordsize="21600,21600" o:allowincell="f">
            <v:path arrowok="t"/>
            <v:fill on="t" focussize="0,0"/>
            <v:stroke weight="0.59992125984252pt" joinstyle="miter"/>
            <v:imagedata o:title=""/>
            <o:lock v:ext="edit"/>
          </v:line>
        </w:pict>
      </w:r>
    </w:p>
    <w:p>
      <w:pPr>
        <w:spacing w:line="148"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u w:val="single"/>
        </w:rPr>
        <w:t>浙江五石工程咨询有限公司</w:t>
      </w:r>
      <w:r>
        <w:rPr>
          <w:rFonts w:hint="eastAsia" w:ascii="宋体" w:hAnsi="宋体" w:cs="宋体"/>
          <w:color w:val="auto"/>
          <w:szCs w:val="21"/>
          <w:highlight w:val="none"/>
        </w:rPr>
        <w:t>：</w:t>
      </w:r>
    </w:p>
    <w:p>
      <w:pPr>
        <w:spacing w:line="168" w:lineRule="exact"/>
        <w:rPr>
          <w:rFonts w:ascii="宋体" w:hAnsi="宋体" w:cs="宋体"/>
          <w:color w:val="auto"/>
          <w:sz w:val="20"/>
          <w:szCs w:val="20"/>
          <w:highlight w:val="none"/>
        </w:rPr>
      </w:pPr>
    </w:p>
    <w:p>
      <w:pPr>
        <w:tabs>
          <w:tab w:val="left" w:pos="7300"/>
        </w:tabs>
        <w:spacing w:line="240" w:lineRule="exact"/>
        <w:ind w:left="2560"/>
        <w:rPr>
          <w:rFonts w:ascii="宋体" w:hAnsi="宋体" w:cs="宋体"/>
          <w:color w:val="auto"/>
          <w:sz w:val="20"/>
          <w:szCs w:val="20"/>
          <w:highlight w:val="none"/>
        </w:rPr>
      </w:pPr>
      <w:r>
        <w:rPr>
          <w:rFonts w:hint="eastAsia" w:ascii="宋体" w:hAnsi="宋体" w:cs="宋体"/>
          <w:color w:val="auto"/>
          <w:szCs w:val="21"/>
          <w:highlight w:val="none"/>
        </w:rPr>
        <w:t>（供应商全称）参加贵方组织的</w:t>
      </w:r>
      <w:r>
        <w:rPr>
          <w:rFonts w:hint="eastAsia" w:ascii="宋体" w:hAnsi="宋体" w:cs="宋体"/>
          <w:color w:val="auto"/>
          <w:sz w:val="20"/>
          <w:szCs w:val="20"/>
          <w:highlight w:val="none"/>
        </w:rPr>
        <w:tab/>
      </w:r>
      <w:r>
        <w:rPr>
          <w:rFonts w:hint="eastAsia" w:ascii="宋体" w:hAnsi="宋体" w:cs="宋体"/>
          <w:color w:val="auto"/>
          <w:szCs w:val="21"/>
          <w:highlight w:val="none"/>
        </w:rPr>
        <w:t>（项目名称）</w:t>
      </w:r>
    </w:p>
    <w:p>
      <w:pPr>
        <w:spacing w:line="20" w:lineRule="exact"/>
        <w:rPr>
          <w:rFonts w:ascii="宋体" w:hAnsi="宋体" w:cs="宋体"/>
          <w:color w:val="auto"/>
          <w:sz w:val="20"/>
          <w:szCs w:val="20"/>
          <w:highlight w:val="none"/>
        </w:rPr>
      </w:pPr>
      <w:r>
        <w:rPr>
          <w:rFonts w:ascii="宋体" w:hAnsi="宋体" w:cs="宋体"/>
          <w:color w:val="auto"/>
          <w:highlight w:val="none"/>
        </w:rPr>
        <w:pict>
          <v:line id="Shape 224" o:spid="_x0000_s1047" o:spt="20" style="position:absolute;left:0pt;margin-left:38.5pt;margin-top:0pt;height:0pt;width:89.2pt;z-index:-1024;mso-width-relative:page;mso-height-relative:page;" filled="t" coordsize="21600,21600" o:allowincell="f">
            <v:path arrowok="t"/>
            <v:fill on="t" focussize="0,0"/>
            <v:stroke weight="0.71992125984252pt" joinstyle="miter"/>
            <v:imagedata o:title=""/>
            <o:lock v:ext="edit"/>
          </v:line>
        </w:pict>
      </w:r>
      <w:r>
        <w:rPr>
          <w:rFonts w:ascii="宋体" w:hAnsi="宋体" w:cs="宋体"/>
          <w:color w:val="auto"/>
          <w:highlight w:val="none"/>
        </w:rPr>
        <w:pict>
          <v:line id="Shape 225" o:spid="_x0000_s1048" o:spt="20" style="position:absolute;left:0pt;margin-left:286.95pt;margin-top:0pt;height:0pt;width:79.5pt;z-index:-1024;mso-width-relative:page;mso-height-relative:page;" filled="t" coordsize="21600,21600" o:allowincell="f">
            <v:path arrowok="t"/>
            <v:fill on="t" focussize="0,0"/>
            <v:stroke weight="0.71992125984252pt" joinstyle="miter"/>
            <v:imagedata o:title=""/>
            <o:lock v:ext="edit"/>
          </v:line>
        </w:pict>
      </w:r>
    </w:p>
    <w:p>
      <w:pPr>
        <w:spacing w:line="148" w:lineRule="exact"/>
        <w:rPr>
          <w:rFonts w:ascii="宋体" w:hAnsi="宋体" w:cs="宋体"/>
          <w:color w:val="auto"/>
          <w:sz w:val="20"/>
          <w:szCs w:val="20"/>
          <w:highlight w:val="none"/>
        </w:rPr>
      </w:pPr>
    </w:p>
    <w:p>
      <w:pPr>
        <w:tabs>
          <w:tab w:val="left" w:pos="5420"/>
          <w:tab w:val="left" w:pos="7820"/>
        </w:tabs>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（项目编号）磋商的有关活动，并对</w:t>
      </w:r>
      <w:r>
        <w:rPr>
          <w:rFonts w:hint="eastAsia" w:ascii="宋体" w:hAnsi="宋体" w:cs="宋体"/>
          <w:color w:val="auto"/>
          <w:sz w:val="20"/>
          <w:szCs w:val="20"/>
          <w:highlight w:val="none"/>
        </w:rPr>
        <w:tab/>
      </w:r>
      <w:r>
        <w:rPr>
          <w:rFonts w:hint="eastAsia" w:ascii="宋体" w:hAnsi="宋体" w:cs="宋体"/>
          <w:color w:val="auto"/>
          <w:szCs w:val="21"/>
          <w:highlight w:val="none"/>
        </w:rPr>
        <w:t>（项目名称）的</w:t>
      </w:r>
      <w:r>
        <w:rPr>
          <w:rFonts w:hint="eastAsia" w:ascii="宋体" w:hAnsi="宋体" w:cs="宋体"/>
          <w:color w:val="auto"/>
          <w:sz w:val="20"/>
          <w:szCs w:val="20"/>
          <w:highlight w:val="none"/>
        </w:rPr>
        <w:tab/>
      </w:r>
      <w:r>
        <w:rPr>
          <w:rFonts w:hint="eastAsia" w:ascii="宋体" w:hAnsi="宋体" w:cs="宋体"/>
          <w:color w:val="auto"/>
          <w:sz w:val="20"/>
          <w:szCs w:val="20"/>
          <w:highlight w:val="none"/>
        </w:rPr>
        <w:t>（标项内</w:t>
      </w:r>
    </w:p>
    <w:p>
      <w:pPr>
        <w:spacing w:line="20" w:lineRule="exact"/>
        <w:rPr>
          <w:rFonts w:ascii="宋体" w:hAnsi="宋体" w:cs="宋体"/>
          <w:color w:val="auto"/>
          <w:sz w:val="20"/>
          <w:szCs w:val="20"/>
          <w:highlight w:val="none"/>
        </w:rPr>
      </w:pPr>
      <w:r>
        <w:rPr>
          <w:rFonts w:ascii="宋体" w:hAnsi="宋体" w:cs="宋体"/>
          <w:color w:val="auto"/>
          <w:highlight w:val="none"/>
        </w:rPr>
        <w:pict>
          <v:line id="Shape 226" o:spid="_x0000_s1049" o:spt="20" style="position:absolute;left:0pt;margin-left:184.25pt;margin-top:0pt;height:0pt;width:89.05pt;z-index:-1024;mso-width-relative:page;mso-height-relative:page;" filled="t" coordsize="21600,21600" o:allowincell="f">
            <v:path arrowok="t"/>
            <v:fill on="t" focussize="0,0"/>
            <v:stroke weight="0.72pt" joinstyle="miter"/>
            <v:imagedata o:title=""/>
            <o:lock v:ext="edit"/>
          </v:line>
        </w:pict>
      </w:r>
      <w:r>
        <w:rPr>
          <w:rFonts w:ascii="宋体" w:hAnsi="宋体" w:cs="宋体"/>
          <w:color w:val="auto"/>
          <w:highlight w:val="none"/>
        </w:rPr>
        <w:pict>
          <v:line id="Shape 227" o:spid="_x0000_s1050" o:spt="20" style="position:absolute;left:0pt;margin-left:345.3pt;margin-top:0pt;height:0pt;width:47.05pt;z-index:-1024;mso-width-relative:page;mso-height-relative:page;" filled="t" coordsize="21600,21600" o:allowincell="f">
            <v:path arrowok="t"/>
            <v:fill on="t" focussize="0,0"/>
            <v:stroke weight="0.72pt" joinstyle="miter"/>
            <v:imagedata o:title=""/>
            <o:lock v:ext="edit"/>
          </v:line>
        </w:pict>
      </w:r>
    </w:p>
    <w:p>
      <w:pPr>
        <w:spacing w:line="148"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容）进行磋商。为此我方：</w:t>
      </w:r>
    </w:p>
    <w:p>
      <w:pPr>
        <w:spacing w:line="172"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1、承诺在供应商须知规定的投标截止日起遵守本响应文件中的承诺，且在投标有效期</w:t>
      </w:r>
    </w:p>
    <w:p>
      <w:pPr>
        <w:spacing w:line="152"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满之前均具有约束力。</w:t>
      </w:r>
    </w:p>
    <w:p>
      <w:pPr>
        <w:spacing w:line="169"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2、承诺已经具备《中华人民共和国政府采购法》中规定的参加政府采购活动的供应商</w:t>
      </w:r>
    </w:p>
    <w:p>
      <w:pPr>
        <w:spacing w:line="152"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应当具备的条件及采购人规定的特定条件。</w:t>
      </w:r>
    </w:p>
    <w:p>
      <w:pPr>
        <w:spacing w:line="184" w:lineRule="exact"/>
        <w:rPr>
          <w:rFonts w:ascii="宋体" w:hAnsi="宋体" w:cs="宋体"/>
          <w:color w:val="auto"/>
          <w:sz w:val="20"/>
          <w:szCs w:val="20"/>
          <w:highlight w:val="none"/>
        </w:rPr>
      </w:pPr>
    </w:p>
    <w:p>
      <w:pPr>
        <w:spacing w:line="243" w:lineRule="exact"/>
        <w:ind w:left="780"/>
        <w:rPr>
          <w:rFonts w:ascii="宋体" w:hAnsi="宋体" w:cs="宋体"/>
          <w:color w:val="auto"/>
          <w:sz w:val="20"/>
          <w:szCs w:val="20"/>
          <w:highlight w:val="none"/>
        </w:rPr>
      </w:pPr>
      <w:r>
        <w:rPr>
          <w:rFonts w:hint="eastAsia" w:ascii="宋体" w:hAnsi="宋体" w:cs="宋体"/>
          <w:color w:val="auto"/>
          <w:sz w:val="20"/>
          <w:szCs w:val="20"/>
          <w:highlight w:val="none"/>
        </w:rPr>
        <w:t>3、</w:t>
      </w:r>
      <w:r>
        <w:rPr>
          <w:rFonts w:hint="eastAsia" w:ascii="宋体" w:hAnsi="宋体" w:cs="宋体"/>
          <w:color w:val="auto"/>
          <w:szCs w:val="21"/>
          <w:highlight w:val="none"/>
        </w:rPr>
        <w:t>已详细审核全部竞争性磋商文件，包括竞争性磋商文件补充（如果有）、参考资料及</w:t>
      </w:r>
    </w:p>
    <w:p>
      <w:pPr>
        <w:spacing w:line="152"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有关附件，确认无误。</w:t>
      </w:r>
    </w:p>
    <w:p>
      <w:pPr>
        <w:spacing w:line="169"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4、提供供应商须知规定的全部响应文件，包括响应文件</w:t>
      </w:r>
      <w:r>
        <w:rPr>
          <w:rFonts w:hint="eastAsia" w:ascii="宋体" w:hAnsi="宋体" w:cs="宋体"/>
          <w:color w:val="auto"/>
          <w:szCs w:val="21"/>
          <w:highlight w:val="none"/>
          <w:u w:val="single"/>
        </w:rPr>
        <w:t>正本</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1</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份，副本</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4</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份</w:t>
      </w:r>
      <w:r>
        <w:rPr>
          <w:rFonts w:hint="eastAsia" w:ascii="宋体" w:hAnsi="宋体" w:cs="宋体"/>
          <w:color w:val="auto"/>
          <w:szCs w:val="21"/>
          <w:highlight w:val="none"/>
        </w:rPr>
        <w:t>。</w:t>
      </w:r>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5、投标报价详见《初次报价一览表》。</w:t>
      </w:r>
    </w:p>
    <w:p>
      <w:pPr>
        <w:spacing w:line="154"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6、保证遵守竞争性磋商文件中的其他有关规定。</w:t>
      </w:r>
    </w:p>
    <w:p>
      <w:pPr>
        <w:spacing w:line="156"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7、完全理解不一定接受最低价中标。</w:t>
      </w:r>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8、愿意向贵方提供任何与该项目投标有关的数据、情况和技术资料。若贵方需要，愿</w:t>
      </w:r>
    </w:p>
    <w:p>
      <w:pPr>
        <w:spacing w:line="152"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意提供我方做出的一切承诺的证明材料。</w:t>
      </w:r>
    </w:p>
    <w:p>
      <w:pPr>
        <w:spacing w:line="169"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9、保证忠实地执行双方所签订的合同，并承担合同规定的责任和义务。</w:t>
      </w:r>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10、将严格遵守《中华人民共和国政府采购法》第七十七条规定，供应商有下列情形</w:t>
      </w:r>
    </w:p>
    <w:p>
      <w:pPr>
        <w:spacing w:line="156" w:lineRule="exact"/>
        <w:rPr>
          <w:rFonts w:ascii="宋体" w:hAnsi="宋体" w:cs="宋体"/>
          <w:color w:val="auto"/>
          <w:sz w:val="20"/>
          <w:szCs w:val="20"/>
          <w:highlight w:val="none"/>
        </w:rPr>
      </w:pPr>
    </w:p>
    <w:p>
      <w:pPr>
        <w:spacing w:line="255" w:lineRule="exact"/>
        <w:ind w:left="360"/>
        <w:rPr>
          <w:rFonts w:ascii="宋体" w:hAnsi="宋体" w:cs="宋体"/>
          <w:color w:val="auto"/>
          <w:sz w:val="20"/>
          <w:szCs w:val="20"/>
          <w:highlight w:val="none"/>
        </w:rPr>
      </w:pPr>
      <w:r>
        <w:rPr>
          <w:rFonts w:hint="eastAsia" w:ascii="宋体" w:hAnsi="宋体" w:cs="宋体"/>
          <w:color w:val="auto"/>
          <w:szCs w:val="21"/>
          <w:highlight w:val="none"/>
        </w:rPr>
        <w:t>之一的，处以采购金额 5‰以上 10‰以下的罚款，列入不良行为记录名单，在一至三年内</w:t>
      </w:r>
    </w:p>
    <w:p>
      <w:pPr>
        <w:spacing w:line="164" w:lineRule="exact"/>
        <w:rPr>
          <w:rFonts w:ascii="宋体" w:hAnsi="宋体" w:cs="宋体"/>
          <w:color w:val="auto"/>
          <w:sz w:val="20"/>
          <w:szCs w:val="20"/>
          <w:highlight w:val="none"/>
        </w:rPr>
      </w:pPr>
    </w:p>
    <w:p>
      <w:pPr>
        <w:spacing w:line="229" w:lineRule="exact"/>
        <w:ind w:left="360"/>
        <w:rPr>
          <w:rFonts w:ascii="宋体" w:hAnsi="宋体" w:cs="宋体"/>
          <w:color w:val="auto"/>
          <w:szCs w:val="21"/>
          <w:highlight w:val="none"/>
        </w:rPr>
      </w:pPr>
      <w:r>
        <w:rPr>
          <w:rFonts w:hint="eastAsia" w:ascii="宋体" w:hAnsi="宋体" w:cs="宋体"/>
          <w:color w:val="auto"/>
          <w:szCs w:val="21"/>
          <w:highlight w:val="none"/>
        </w:rPr>
        <w:t>禁止参加政府采购活动；有违法所得的，并处没收违法所得；情节严重的，由工商行政管理</w:t>
      </w:r>
    </w:p>
    <w:p>
      <w:pPr>
        <w:spacing w:line="169"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机关吊销营业执照；构成犯罪的，依法追究刑事责任：</w:t>
      </w:r>
    </w:p>
    <w:p>
      <w:pPr>
        <w:spacing w:line="169"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15" w:name="_Toc16949_WPSOffice_Level2"/>
      <w:r>
        <w:rPr>
          <w:rFonts w:hint="eastAsia" w:ascii="宋体" w:hAnsi="宋体" w:cs="宋体"/>
          <w:color w:val="auto"/>
          <w:szCs w:val="21"/>
          <w:highlight w:val="none"/>
        </w:rPr>
        <w:t>a）提供虚假材料谋取中标、成交的；</w:t>
      </w:r>
      <w:bookmarkEnd w:id="115"/>
    </w:p>
    <w:p>
      <w:pPr>
        <w:spacing w:line="156"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16" w:name="_Toc389_WPSOffice_Level2"/>
      <w:r>
        <w:rPr>
          <w:rFonts w:hint="eastAsia" w:ascii="宋体" w:hAnsi="宋体" w:cs="宋体"/>
          <w:color w:val="auto"/>
          <w:szCs w:val="21"/>
          <w:highlight w:val="none"/>
        </w:rPr>
        <w:t>b）采取不正当手段诋毁、排挤其他供应商的；</w:t>
      </w:r>
      <w:bookmarkEnd w:id="116"/>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17" w:name="_Toc14247_WPSOffice_Level2"/>
      <w:r>
        <w:rPr>
          <w:rFonts w:hint="eastAsia" w:ascii="宋体" w:hAnsi="宋体" w:cs="宋体"/>
          <w:color w:val="auto"/>
          <w:szCs w:val="21"/>
          <w:highlight w:val="none"/>
        </w:rPr>
        <w:t>c）与采购人、其它供应商或者采购代理机构恶意串通的；</w:t>
      </w:r>
      <w:bookmarkEnd w:id="117"/>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18" w:name="_Toc19645_WPSOffice_Level2"/>
      <w:r>
        <w:rPr>
          <w:rFonts w:hint="eastAsia" w:ascii="宋体" w:hAnsi="宋体" w:cs="宋体"/>
          <w:color w:val="auto"/>
          <w:szCs w:val="21"/>
          <w:highlight w:val="none"/>
        </w:rPr>
        <w:t>d）向采购人、采购代理机构行贿或者提供其他不正当利益的；</w:t>
      </w:r>
      <w:bookmarkEnd w:id="118"/>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19" w:name="_Toc27639_WPSOffice_Level2"/>
      <w:r>
        <w:rPr>
          <w:rFonts w:hint="eastAsia" w:ascii="宋体" w:hAnsi="宋体" w:cs="宋体"/>
          <w:color w:val="auto"/>
          <w:szCs w:val="21"/>
          <w:highlight w:val="none"/>
        </w:rPr>
        <w:t>e）在招标采购过程中与采购人进行协商谈判的；</w:t>
      </w:r>
      <w:bookmarkEnd w:id="119"/>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20" w:name="_Toc9224_WPSOffice_Level2"/>
      <w:r>
        <w:rPr>
          <w:rFonts w:hint="eastAsia" w:ascii="宋体" w:hAnsi="宋体" w:cs="宋体"/>
          <w:color w:val="auto"/>
          <w:szCs w:val="21"/>
          <w:highlight w:val="none"/>
        </w:rPr>
        <w:t>f）拒绝有关部门监督检查或提供虚假情况的。</w:t>
      </w:r>
      <w:bookmarkEnd w:id="120"/>
    </w:p>
    <w:p>
      <w:pPr>
        <w:spacing w:line="156"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供应商有前款第 a）至 f）项情形之一的，中标、成交无效。</w:t>
      </w:r>
    </w:p>
    <w:p>
      <w:pPr>
        <w:spacing w:line="154"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11、本响应文件的有效期为自投标截止时间起 120 天。</w:t>
      </w:r>
    </w:p>
    <w:p>
      <w:pPr>
        <w:spacing w:line="200" w:lineRule="exact"/>
        <w:rPr>
          <w:rFonts w:ascii="宋体" w:hAnsi="宋体" w:cs="宋体"/>
          <w:color w:val="auto"/>
          <w:sz w:val="20"/>
          <w:szCs w:val="20"/>
          <w:highlight w:val="none"/>
        </w:rPr>
      </w:pPr>
    </w:p>
    <w:p>
      <w:pPr>
        <w:spacing w:line="315" w:lineRule="exact"/>
        <w:rPr>
          <w:rFonts w:ascii="宋体" w:hAnsi="宋体" w:cs="宋体"/>
          <w:color w:val="auto"/>
          <w:sz w:val="20"/>
          <w:szCs w:val="20"/>
          <w:highlight w:val="none"/>
        </w:rPr>
      </w:pPr>
    </w:p>
    <w:p>
      <w:pPr>
        <w:spacing w:line="240" w:lineRule="exact"/>
        <w:ind w:left="840"/>
        <w:rPr>
          <w:rFonts w:ascii="宋体" w:hAnsi="宋体" w:cs="宋体"/>
          <w:color w:val="auto"/>
          <w:szCs w:val="21"/>
          <w:highlight w:val="none"/>
        </w:rPr>
      </w:pPr>
    </w:p>
    <w:p>
      <w:pPr>
        <w:spacing w:line="240" w:lineRule="exact"/>
        <w:ind w:left="840"/>
        <w:rPr>
          <w:rFonts w:ascii="宋体" w:hAnsi="宋体" w:cs="宋体"/>
          <w:color w:val="auto"/>
          <w:szCs w:val="21"/>
          <w:highlight w:val="none"/>
        </w:rPr>
      </w:pPr>
    </w:p>
    <w:p>
      <w:pPr>
        <w:spacing w:line="240" w:lineRule="exact"/>
        <w:ind w:left="840"/>
        <w:rPr>
          <w:rFonts w:ascii="宋体" w:hAnsi="宋体" w:cs="宋体"/>
          <w:color w:val="auto"/>
          <w:szCs w:val="21"/>
          <w:highlight w:val="none"/>
        </w:rPr>
      </w:pPr>
    </w:p>
    <w:p>
      <w:pPr>
        <w:spacing w:line="240" w:lineRule="exact"/>
        <w:ind w:left="840"/>
        <w:rPr>
          <w:rFonts w:ascii="宋体" w:hAnsi="宋体" w:cs="宋体"/>
          <w:color w:val="auto"/>
          <w:szCs w:val="21"/>
          <w:highlight w:val="none"/>
        </w:rPr>
      </w:pPr>
    </w:p>
    <w:p>
      <w:pPr>
        <w:spacing w:line="360" w:lineRule="auto"/>
        <w:ind w:left="84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360" w:lineRule="auto"/>
        <w:ind w:left="840"/>
        <w:rPr>
          <w:rFonts w:ascii="宋体" w:hAnsi="宋体" w:cs="宋体"/>
          <w:color w:val="auto"/>
          <w:sz w:val="20"/>
          <w:szCs w:val="20"/>
          <w:highlight w:val="none"/>
        </w:rPr>
      </w:pPr>
      <w:bookmarkStart w:id="121" w:name="page50"/>
      <w:bookmarkEnd w:id="121"/>
      <w:r>
        <w:rPr>
          <w:rFonts w:hint="eastAsia" w:ascii="宋体" w:hAnsi="宋体" w:cs="宋体"/>
          <w:color w:val="auto"/>
          <w:szCs w:val="21"/>
          <w:highlight w:val="none"/>
        </w:rPr>
        <w:t>响应文件签署人（签字或盖章）：</w:t>
      </w:r>
    </w:p>
    <w:p>
      <w:pPr>
        <w:spacing w:line="360" w:lineRule="auto"/>
        <w:ind w:left="840"/>
        <w:rPr>
          <w:rFonts w:ascii="宋体" w:hAnsi="宋体" w:cs="宋体"/>
          <w:color w:val="auto"/>
          <w:sz w:val="20"/>
          <w:szCs w:val="20"/>
          <w:highlight w:val="none"/>
        </w:rPr>
      </w:pPr>
      <w:r>
        <w:rPr>
          <w:rFonts w:hint="eastAsia" w:ascii="宋体" w:hAnsi="宋体" w:cs="宋体"/>
          <w:color w:val="auto"/>
          <w:szCs w:val="21"/>
          <w:highlight w:val="none"/>
        </w:rPr>
        <w:t>日期：</w:t>
      </w:r>
    </w:p>
    <w:p>
      <w:pPr>
        <w:spacing w:line="360" w:lineRule="auto"/>
        <w:ind w:left="840"/>
        <w:rPr>
          <w:rFonts w:ascii="宋体" w:hAnsi="宋体" w:cs="宋体"/>
          <w:color w:val="auto"/>
          <w:sz w:val="20"/>
          <w:szCs w:val="20"/>
          <w:highlight w:val="none"/>
        </w:rPr>
      </w:pPr>
      <w:r>
        <w:rPr>
          <w:rFonts w:hint="eastAsia" w:ascii="宋体" w:hAnsi="宋体" w:cs="宋体"/>
          <w:color w:val="auto"/>
          <w:szCs w:val="21"/>
          <w:highlight w:val="none"/>
        </w:rPr>
        <w:t>单位地址：</w:t>
      </w:r>
    </w:p>
    <w:p>
      <w:pPr>
        <w:tabs>
          <w:tab w:val="left" w:pos="2700"/>
          <w:tab w:val="left" w:pos="4380"/>
        </w:tabs>
        <w:spacing w:line="360" w:lineRule="auto"/>
        <w:ind w:left="840"/>
        <w:rPr>
          <w:rFonts w:ascii="宋体" w:hAnsi="宋体" w:cs="宋体"/>
          <w:color w:val="auto"/>
          <w:sz w:val="20"/>
          <w:szCs w:val="20"/>
          <w:highlight w:val="none"/>
        </w:rPr>
      </w:pPr>
      <w:r>
        <w:rPr>
          <w:rFonts w:hint="eastAsia" w:ascii="宋体" w:hAnsi="宋体" w:cs="宋体"/>
          <w:color w:val="auto"/>
          <w:szCs w:val="21"/>
          <w:highlight w:val="none"/>
        </w:rPr>
        <w:t>邮编：</w:t>
      </w:r>
      <w:r>
        <w:rPr>
          <w:rFonts w:hint="eastAsia" w:ascii="宋体" w:hAnsi="宋体" w:cs="宋体"/>
          <w:color w:val="auto"/>
          <w:sz w:val="20"/>
          <w:szCs w:val="20"/>
          <w:highlight w:val="none"/>
        </w:rPr>
        <w:tab/>
      </w:r>
      <w:r>
        <w:rPr>
          <w:rFonts w:hint="eastAsia" w:ascii="宋体" w:hAnsi="宋体" w:cs="宋体"/>
          <w:color w:val="auto"/>
          <w:szCs w:val="21"/>
          <w:highlight w:val="none"/>
        </w:rPr>
        <w:t>电话：</w:t>
      </w:r>
      <w:r>
        <w:rPr>
          <w:rFonts w:hint="eastAsia" w:ascii="宋体" w:hAnsi="宋体" w:cs="宋体"/>
          <w:color w:val="auto"/>
          <w:sz w:val="20"/>
          <w:szCs w:val="20"/>
          <w:highlight w:val="none"/>
        </w:rPr>
        <w:tab/>
      </w:r>
      <w:r>
        <w:rPr>
          <w:rFonts w:hint="eastAsia" w:ascii="宋体" w:hAnsi="宋体" w:cs="宋体"/>
          <w:color w:val="auto"/>
          <w:szCs w:val="21"/>
          <w:highlight w:val="none"/>
        </w:rPr>
        <w:t>传真：</w:t>
      </w:r>
    </w:p>
    <w:p>
      <w:pPr>
        <w:rPr>
          <w:rFonts w:ascii="宋体" w:hAnsi="宋体" w:cs="宋体"/>
          <w:color w:val="auto"/>
          <w:highlight w:val="none"/>
        </w:rPr>
        <w:sectPr>
          <w:pgSz w:w="11900" w:h="16838"/>
          <w:pgMar w:top="1440" w:right="1440" w:bottom="401" w:left="1440" w:header="567" w:footer="567" w:gutter="0"/>
          <w:cols w:equalWidth="0" w:num="1">
            <w:col w:w="9026"/>
          </w:cols>
        </w:sectPr>
      </w:pPr>
    </w:p>
    <w:p>
      <w:pPr>
        <w:spacing w:line="366" w:lineRule="exact"/>
        <w:ind w:right="6"/>
        <w:jc w:val="center"/>
        <w:rPr>
          <w:rFonts w:ascii="宋体" w:hAnsi="宋体" w:cs="宋体"/>
          <w:color w:val="auto"/>
          <w:sz w:val="28"/>
          <w:szCs w:val="28"/>
          <w:highlight w:val="none"/>
        </w:rPr>
      </w:pPr>
      <w:bookmarkStart w:id="122" w:name="page51"/>
      <w:bookmarkEnd w:id="122"/>
      <w:r>
        <w:rPr>
          <w:rFonts w:hint="eastAsia" w:ascii="宋体" w:hAnsi="宋体" w:cs="宋体"/>
          <w:b/>
          <w:bCs/>
          <w:color w:val="auto"/>
          <w:sz w:val="28"/>
          <w:szCs w:val="28"/>
          <w:highlight w:val="none"/>
        </w:rPr>
        <w:t>二、初次报价一览表</w:t>
      </w:r>
    </w:p>
    <w:p>
      <w:pPr>
        <w:spacing w:line="252" w:lineRule="exact"/>
        <w:rPr>
          <w:rFonts w:ascii="宋体" w:hAnsi="宋体" w:cs="宋体"/>
          <w:color w:val="auto"/>
          <w:sz w:val="20"/>
          <w:szCs w:val="20"/>
          <w:highlight w:val="none"/>
        </w:rPr>
      </w:pPr>
    </w:p>
    <w:tbl>
      <w:tblPr>
        <w:tblStyle w:val="19"/>
        <w:tblW w:w="8960" w:type="dxa"/>
        <w:tblInd w:w="50" w:type="dxa"/>
        <w:tblLayout w:type="fixed"/>
        <w:tblCellMar>
          <w:top w:w="0" w:type="dxa"/>
          <w:left w:w="0" w:type="dxa"/>
          <w:bottom w:w="0" w:type="dxa"/>
          <w:right w:w="0" w:type="dxa"/>
        </w:tblCellMar>
      </w:tblPr>
      <w:tblGrid>
        <w:gridCol w:w="1480"/>
        <w:gridCol w:w="520"/>
        <w:gridCol w:w="1460"/>
        <w:gridCol w:w="540"/>
        <w:gridCol w:w="1700"/>
        <w:gridCol w:w="1800"/>
        <w:gridCol w:w="1460"/>
      </w:tblGrid>
      <w:tr>
        <w:tblPrEx>
          <w:tblCellMar>
            <w:top w:w="0" w:type="dxa"/>
            <w:left w:w="0" w:type="dxa"/>
            <w:bottom w:w="0" w:type="dxa"/>
            <w:right w:w="0" w:type="dxa"/>
          </w:tblCellMar>
        </w:tblPrEx>
        <w:trPr>
          <w:trHeight w:val="240" w:hRule="atLeast"/>
        </w:trPr>
        <w:tc>
          <w:tcPr>
            <w:tcW w:w="1480" w:type="dxa"/>
            <w:vAlign w:val="bottom"/>
          </w:tcPr>
          <w:p>
            <w:pPr>
              <w:spacing w:line="360" w:lineRule="auto"/>
              <w:ind w:left="320"/>
              <w:rPr>
                <w:rFonts w:ascii="宋体" w:hAnsi="宋体" w:cs="宋体"/>
                <w:color w:val="auto"/>
                <w:sz w:val="20"/>
                <w:szCs w:val="20"/>
                <w:highlight w:val="none"/>
              </w:rPr>
            </w:pPr>
            <w:r>
              <w:rPr>
                <w:rFonts w:hint="eastAsia" w:ascii="宋体" w:hAnsi="宋体" w:cs="宋体"/>
                <w:color w:val="auto"/>
                <w:szCs w:val="21"/>
                <w:highlight w:val="none"/>
              </w:rPr>
              <w:t>项目名称：</w:t>
            </w:r>
          </w:p>
        </w:tc>
        <w:tc>
          <w:tcPr>
            <w:tcW w:w="520" w:type="dxa"/>
            <w:tcBorders>
              <w:bottom w:val="single" w:color="auto" w:sz="8" w:space="0"/>
            </w:tcBorders>
            <w:vAlign w:val="bottom"/>
          </w:tcPr>
          <w:p>
            <w:pPr>
              <w:spacing w:line="360" w:lineRule="auto"/>
              <w:rPr>
                <w:rFonts w:ascii="宋体" w:hAnsi="宋体" w:cs="宋体"/>
                <w:color w:val="auto"/>
                <w:sz w:val="20"/>
                <w:szCs w:val="20"/>
                <w:highlight w:val="none"/>
              </w:rPr>
            </w:pPr>
          </w:p>
        </w:tc>
        <w:tc>
          <w:tcPr>
            <w:tcW w:w="1460" w:type="dxa"/>
            <w:tcBorders>
              <w:bottom w:val="single" w:color="auto" w:sz="8" w:space="0"/>
            </w:tcBorders>
            <w:vAlign w:val="bottom"/>
          </w:tcPr>
          <w:p>
            <w:pPr>
              <w:spacing w:line="360" w:lineRule="auto"/>
              <w:rPr>
                <w:rFonts w:ascii="宋体" w:hAnsi="宋体" w:cs="宋体"/>
                <w:color w:val="auto"/>
                <w:sz w:val="20"/>
                <w:szCs w:val="20"/>
                <w:highlight w:val="none"/>
              </w:rPr>
            </w:pPr>
          </w:p>
        </w:tc>
        <w:tc>
          <w:tcPr>
            <w:tcW w:w="540" w:type="dxa"/>
            <w:vAlign w:val="bottom"/>
          </w:tcPr>
          <w:p>
            <w:pPr>
              <w:spacing w:line="360" w:lineRule="auto"/>
              <w:rPr>
                <w:rFonts w:ascii="宋体" w:hAnsi="宋体" w:cs="宋体"/>
                <w:color w:val="auto"/>
                <w:sz w:val="20"/>
                <w:szCs w:val="20"/>
                <w:highlight w:val="none"/>
              </w:rPr>
            </w:pPr>
          </w:p>
        </w:tc>
        <w:tc>
          <w:tcPr>
            <w:tcW w:w="1700" w:type="dxa"/>
            <w:vAlign w:val="bottom"/>
          </w:tcPr>
          <w:p>
            <w:pPr>
              <w:spacing w:line="360" w:lineRule="auto"/>
              <w:rPr>
                <w:rFonts w:ascii="宋体" w:hAnsi="宋体" w:cs="宋体"/>
                <w:color w:val="auto"/>
                <w:sz w:val="20"/>
                <w:szCs w:val="20"/>
                <w:highlight w:val="none"/>
              </w:rPr>
            </w:pPr>
          </w:p>
        </w:tc>
        <w:tc>
          <w:tcPr>
            <w:tcW w:w="1800" w:type="dxa"/>
            <w:vAlign w:val="bottom"/>
          </w:tcPr>
          <w:p>
            <w:pPr>
              <w:spacing w:line="360" w:lineRule="auto"/>
              <w:rPr>
                <w:rFonts w:ascii="宋体" w:hAnsi="宋体" w:cs="宋体"/>
                <w:color w:val="auto"/>
                <w:sz w:val="20"/>
                <w:szCs w:val="20"/>
                <w:highlight w:val="none"/>
              </w:rPr>
            </w:pPr>
          </w:p>
        </w:tc>
        <w:tc>
          <w:tcPr>
            <w:tcW w:w="1460" w:type="dxa"/>
            <w:vAlign w:val="bottom"/>
          </w:tcPr>
          <w:p>
            <w:pPr>
              <w:spacing w:line="360" w:lineRule="auto"/>
              <w:rPr>
                <w:rFonts w:ascii="宋体" w:hAnsi="宋体" w:cs="宋体"/>
                <w:color w:val="auto"/>
                <w:sz w:val="20"/>
                <w:szCs w:val="20"/>
                <w:highlight w:val="none"/>
              </w:rPr>
            </w:pPr>
          </w:p>
        </w:tc>
      </w:tr>
      <w:tr>
        <w:tblPrEx>
          <w:tblCellMar>
            <w:top w:w="0" w:type="dxa"/>
            <w:left w:w="0" w:type="dxa"/>
            <w:bottom w:w="0" w:type="dxa"/>
            <w:right w:w="0" w:type="dxa"/>
          </w:tblCellMar>
        </w:tblPrEx>
        <w:trPr>
          <w:trHeight w:val="388" w:hRule="atLeast"/>
        </w:trPr>
        <w:tc>
          <w:tcPr>
            <w:tcW w:w="1480" w:type="dxa"/>
            <w:vAlign w:val="bottom"/>
          </w:tcPr>
          <w:p>
            <w:pPr>
              <w:spacing w:line="360" w:lineRule="auto"/>
              <w:ind w:left="320"/>
              <w:rPr>
                <w:rFonts w:ascii="宋体" w:hAnsi="宋体" w:cs="宋体"/>
                <w:color w:val="auto"/>
                <w:sz w:val="20"/>
                <w:szCs w:val="20"/>
                <w:highlight w:val="none"/>
              </w:rPr>
            </w:pPr>
            <w:r>
              <w:rPr>
                <w:rFonts w:hint="eastAsia" w:ascii="宋体" w:hAnsi="宋体" w:cs="宋体"/>
                <w:color w:val="auto"/>
                <w:szCs w:val="21"/>
                <w:highlight w:val="none"/>
              </w:rPr>
              <w:t>项目编号：</w:t>
            </w:r>
          </w:p>
        </w:tc>
        <w:tc>
          <w:tcPr>
            <w:tcW w:w="520" w:type="dxa"/>
            <w:tcBorders>
              <w:bottom w:val="single" w:color="auto" w:sz="8" w:space="0"/>
            </w:tcBorders>
            <w:vAlign w:val="bottom"/>
          </w:tcPr>
          <w:p>
            <w:pPr>
              <w:spacing w:line="360" w:lineRule="auto"/>
              <w:rPr>
                <w:rFonts w:ascii="宋体" w:hAnsi="宋体" w:cs="宋体"/>
                <w:color w:val="auto"/>
                <w:sz w:val="24"/>
                <w:szCs w:val="24"/>
                <w:highlight w:val="none"/>
              </w:rPr>
            </w:pPr>
          </w:p>
        </w:tc>
        <w:tc>
          <w:tcPr>
            <w:tcW w:w="1460" w:type="dxa"/>
            <w:tcBorders>
              <w:bottom w:val="single" w:color="auto" w:sz="8" w:space="0"/>
            </w:tcBorders>
            <w:vAlign w:val="bottom"/>
          </w:tcPr>
          <w:p>
            <w:pPr>
              <w:spacing w:line="360" w:lineRule="auto"/>
              <w:rPr>
                <w:rFonts w:ascii="宋体" w:hAnsi="宋体" w:cs="宋体"/>
                <w:color w:val="auto"/>
                <w:sz w:val="24"/>
                <w:szCs w:val="24"/>
                <w:highlight w:val="none"/>
              </w:rPr>
            </w:pPr>
          </w:p>
        </w:tc>
        <w:tc>
          <w:tcPr>
            <w:tcW w:w="540" w:type="dxa"/>
            <w:vAlign w:val="bottom"/>
          </w:tcPr>
          <w:p>
            <w:pPr>
              <w:spacing w:line="360" w:lineRule="auto"/>
              <w:rPr>
                <w:rFonts w:ascii="宋体" w:hAnsi="宋体" w:cs="宋体"/>
                <w:color w:val="auto"/>
                <w:sz w:val="24"/>
                <w:szCs w:val="24"/>
                <w:highlight w:val="none"/>
              </w:rPr>
            </w:pPr>
          </w:p>
        </w:tc>
        <w:tc>
          <w:tcPr>
            <w:tcW w:w="1700" w:type="dxa"/>
            <w:vAlign w:val="bottom"/>
          </w:tcPr>
          <w:p>
            <w:pPr>
              <w:spacing w:line="360" w:lineRule="auto"/>
              <w:rPr>
                <w:rFonts w:ascii="宋体" w:hAnsi="宋体" w:cs="宋体"/>
                <w:color w:val="auto"/>
                <w:sz w:val="24"/>
                <w:szCs w:val="24"/>
                <w:highlight w:val="none"/>
              </w:rPr>
            </w:pPr>
          </w:p>
        </w:tc>
        <w:tc>
          <w:tcPr>
            <w:tcW w:w="3260" w:type="dxa"/>
            <w:gridSpan w:val="2"/>
            <w:vAlign w:val="bottom"/>
          </w:tcPr>
          <w:p>
            <w:pPr>
              <w:spacing w:line="360" w:lineRule="auto"/>
              <w:ind w:left="500"/>
              <w:rPr>
                <w:rFonts w:ascii="宋体" w:hAnsi="宋体" w:cs="宋体"/>
                <w:color w:val="auto"/>
                <w:sz w:val="20"/>
                <w:szCs w:val="20"/>
                <w:highlight w:val="none"/>
              </w:rPr>
            </w:pPr>
            <w:r>
              <w:rPr>
                <w:rFonts w:hint="eastAsia" w:ascii="宋体" w:hAnsi="宋体" w:cs="宋体"/>
                <w:color w:val="auto"/>
                <w:szCs w:val="21"/>
                <w:highlight w:val="none"/>
              </w:rPr>
              <w:t>（价格单位：元人民币）</w:t>
            </w:r>
          </w:p>
        </w:tc>
      </w:tr>
      <w:tr>
        <w:tblPrEx>
          <w:tblCellMar>
            <w:top w:w="0" w:type="dxa"/>
            <w:left w:w="0" w:type="dxa"/>
            <w:bottom w:w="0" w:type="dxa"/>
            <w:right w:w="0" w:type="dxa"/>
          </w:tblCellMar>
        </w:tblPrEx>
        <w:trPr>
          <w:trHeight w:val="155" w:hRule="atLeast"/>
        </w:trPr>
        <w:tc>
          <w:tcPr>
            <w:tcW w:w="148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52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2000" w:type="dxa"/>
            <w:gridSpan w:val="2"/>
            <w:tcBorders>
              <w:bottom w:val="single" w:color="auto" w:sz="8" w:space="0"/>
            </w:tcBorders>
            <w:vAlign w:val="bottom"/>
          </w:tcPr>
          <w:p>
            <w:pPr>
              <w:spacing w:line="360" w:lineRule="auto"/>
              <w:rPr>
                <w:rFonts w:ascii="宋体" w:hAnsi="宋体" w:cs="宋体"/>
                <w:color w:val="auto"/>
                <w:sz w:val="13"/>
                <w:szCs w:val="13"/>
                <w:highlight w:val="none"/>
              </w:rPr>
            </w:pPr>
          </w:p>
        </w:tc>
        <w:tc>
          <w:tcPr>
            <w:tcW w:w="170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180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1460" w:type="dxa"/>
            <w:tcBorders>
              <w:bottom w:val="single" w:color="auto" w:sz="8" w:space="0"/>
            </w:tcBorders>
            <w:vAlign w:val="bottom"/>
          </w:tcPr>
          <w:p>
            <w:pPr>
              <w:spacing w:line="360" w:lineRule="auto"/>
              <w:rPr>
                <w:rFonts w:ascii="宋体" w:hAnsi="宋体" w:cs="宋体"/>
                <w:color w:val="auto"/>
                <w:sz w:val="13"/>
                <w:szCs w:val="13"/>
                <w:highlight w:val="none"/>
              </w:rPr>
            </w:pPr>
          </w:p>
        </w:tc>
      </w:tr>
      <w:tr>
        <w:tblPrEx>
          <w:tblCellMar>
            <w:top w:w="0" w:type="dxa"/>
            <w:left w:w="0" w:type="dxa"/>
            <w:bottom w:w="0" w:type="dxa"/>
            <w:right w:w="0" w:type="dxa"/>
          </w:tblCellMar>
        </w:tblPrEx>
        <w:trPr>
          <w:trHeight w:val="428" w:hRule="atLeast"/>
        </w:trPr>
        <w:tc>
          <w:tcPr>
            <w:tcW w:w="1480" w:type="dxa"/>
            <w:tcBorders>
              <w:left w:val="single" w:color="auto" w:sz="8" w:space="0"/>
            </w:tcBorders>
            <w:vAlign w:val="bottom"/>
          </w:tcPr>
          <w:p>
            <w:pPr>
              <w:spacing w:line="360" w:lineRule="auto"/>
              <w:ind w:left="580"/>
              <w:rPr>
                <w:rFonts w:ascii="宋体" w:hAnsi="宋体" w:cs="宋体"/>
                <w:color w:val="auto"/>
                <w:sz w:val="20"/>
                <w:szCs w:val="20"/>
                <w:highlight w:val="none"/>
              </w:rPr>
            </w:pPr>
            <w:r>
              <w:rPr>
                <w:rFonts w:hint="eastAsia" w:ascii="宋体" w:hAnsi="宋体" w:cs="宋体"/>
                <w:color w:val="auto"/>
                <w:szCs w:val="21"/>
                <w:highlight w:val="none"/>
              </w:rPr>
              <w:t>项目名称</w:t>
            </w:r>
          </w:p>
        </w:tc>
        <w:tc>
          <w:tcPr>
            <w:tcW w:w="520" w:type="dxa"/>
            <w:tcBorders>
              <w:right w:val="single" w:color="auto" w:sz="8" w:space="0"/>
            </w:tcBorders>
            <w:vAlign w:val="bottom"/>
          </w:tcPr>
          <w:p>
            <w:pPr>
              <w:spacing w:line="360" w:lineRule="auto"/>
              <w:rPr>
                <w:rFonts w:ascii="宋体" w:hAnsi="宋体" w:cs="宋体"/>
                <w:color w:val="auto"/>
                <w:sz w:val="24"/>
                <w:szCs w:val="24"/>
                <w:highlight w:val="none"/>
              </w:rPr>
            </w:pPr>
          </w:p>
        </w:tc>
        <w:tc>
          <w:tcPr>
            <w:tcW w:w="2000" w:type="dxa"/>
            <w:gridSpan w:val="2"/>
            <w:tcBorders>
              <w:right w:val="single" w:color="auto" w:sz="8" w:space="0"/>
            </w:tcBorders>
            <w:vAlign w:val="bottom"/>
          </w:tcPr>
          <w:p>
            <w:pPr>
              <w:spacing w:line="360" w:lineRule="auto"/>
              <w:ind w:left="240"/>
              <w:rPr>
                <w:rFonts w:ascii="宋体" w:hAnsi="宋体" w:cs="宋体"/>
                <w:color w:val="auto"/>
                <w:sz w:val="20"/>
                <w:szCs w:val="20"/>
                <w:highlight w:val="none"/>
              </w:rPr>
            </w:pPr>
            <w:r>
              <w:rPr>
                <w:rFonts w:hint="eastAsia" w:ascii="宋体" w:hAnsi="宋体" w:cs="宋体"/>
                <w:color w:val="auto"/>
                <w:szCs w:val="21"/>
                <w:highlight w:val="none"/>
              </w:rPr>
              <w:t>投标报价（元）</w:t>
            </w:r>
          </w:p>
        </w:tc>
        <w:tc>
          <w:tcPr>
            <w:tcW w:w="1700" w:type="dxa"/>
            <w:tcBorders>
              <w:right w:val="single" w:color="auto" w:sz="8" w:space="0"/>
            </w:tcBorders>
            <w:vAlign w:val="bottom"/>
          </w:tcPr>
          <w:p>
            <w:pPr>
              <w:spacing w:line="360" w:lineRule="auto"/>
              <w:ind w:left="100"/>
              <w:rPr>
                <w:rFonts w:ascii="宋体" w:hAnsi="宋体" w:cs="宋体"/>
                <w:color w:val="auto"/>
                <w:sz w:val="20"/>
                <w:szCs w:val="20"/>
                <w:highlight w:val="none"/>
              </w:rPr>
            </w:pPr>
            <w:r>
              <w:rPr>
                <w:rFonts w:hint="eastAsia" w:ascii="宋体" w:hAnsi="宋体" w:cs="宋体"/>
                <w:color w:val="auto"/>
                <w:szCs w:val="21"/>
                <w:highlight w:val="none"/>
              </w:rPr>
              <w:t>工期（日历天）</w:t>
            </w:r>
          </w:p>
        </w:tc>
        <w:tc>
          <w:tcPr>
            <w:tcW w:w="1800" w:type="dxa"/>
            <w:tcBorders>
              <w:right w:val="single" w:color="auto" w:sz="8" w:space="0"/>
            </w:tcBorders>
            <w:vAlign w:val="bottom"/>
          </w:tcPr>
          <w:p>
            <w:pPr>
              <w:spacing w:line="360" w:lineRule="auto"/>
              <w:ind w:left="460"/>
              <w:rPr>
                <w:rFonts w:ascii="宋体" w:hAnsi="宋体" w:cs="宋体"/>
                <w:color w:val="auto"/>
                <w:sz w:val="20"/>
                <w:szCs w:val="20"/>
                <w:highlight w:val="none"/>
              </w:rPr>
            </w:pPr>
            <w:r>
              <w:rPr>
                <w:rFonts w:hint="eastAsia" w:ascii="宋体" w:hAnsi="宋体" w:cs="宋体"/>
                <w:color w:val="auto"/>
                <w:szCs w:val="21"/>
                <w:highlight w:val="none"/>
              </w:rPr>
              <w:t>项目经理</w:t>
            </w:r>
          </w:p>
        </w:tc>
        <w:tc>
          <w:tcPr>
            <w:tcW w:w="1460" w:type="dxa"/>
            <w:tcBorders>
              <w:right w:val="single" w:color="auto" w:sz="8" w:space="0"/>
            </w:tcBorders>
            <w:vAlign w:val="bottom"/>
          </w:tcPr>
          <w:p>
            <w:pPr>
              <w:spacing w:line="360" w:lineRule="auto"/>
              <w:ind w:left="300"/>
              <w:rPr>
                <w:rFonts w:ascii="宋体" w:hAnsi="宋体" w:cs="宋体"/>
                <w:color w:val="auto"/>
                <w:sz w:val="20"/>
                <w:szCs w:val="20"/>
                <w:highlight w:val="none"/>
              </w:rPr>
            </w:pPr>
            <w:r>
              <w:rPr>
                <w:rFonts w:hint="eastAsia" w:ascii="宋体" w:hAnsi="宋体" w:cs="宋体"/>
                <w:color w:val="auto"/>
                <w:szCs w:val="21"/>
                <w:highlight w:val="none"/>
              </w:rPr>
              <w:t>质量标准</w:t>
            </w:r>
          </w:p>
        </w:tc>
      </w:tr>
      <w:tr>
        <w:tblPrEx>
          <w:tblCellMar>
            <w:top w:w="0" w:type="dxa"/>
            <w:left w:w="0" w:type="dxa"/>
            <w:bottom w:w="0" w:type="dxa"/>
            <w:right w:w="0" w:type="dxa"/>
          </w:tblCellMar>
        </w:tblPrEx>
        <w:trPr>
          <w:trHeight w:val="116" w:hRule="atLeast"/>
        </w:trPr>
        <w:tc>
          <w:tcPr>
            <w:tcW w:w="1480" w:type="dxa"/>
            <w:tcBorders>
              <w:left w:val="single" w:color="auto" w:sz="8" w:space="0"/>
              <w:bottom w:val="single" w:color="auto" w:sz="8" w:space="0"/>
            </w:tcBorders>
            <w:vAlign w:val="bottom"/>
          </w:tcPr>
          <w:p>
            <w:pPr>
              <w:spacing w:line="360" w:lineRule="auto"/>
              <w:rPr>
                <w:rFonts w:ascii="宋体" w:hAnsi="宋体" w:cs="宋体"/>
                <w:color w:val="auto"/>
                <w:sz w:val="10"/>
                <w:szCs w:val="10"/>
                <w:highlight w:val="none"/>
              </w:rPr>
            </w:pPr>
          </w:p>
        </w:tc>
        <w:tc>
          <w:tcPr>
            <w:tcW w:w="52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c>
          <w:tcPr>
            <w:tcW w:w="1460" w:type="dxa"/>
            <w:tcBorders>
              <w:bottom w:val="single" w:color="auto" w:sz="8" w:space="0"/>
            </w:tcBorders>
            <w:vAlign w:val="bottom"/>
          </w:tcPr>
          <w:p>
            <w:pPr>
              <w:spacing w:line="360" w:lineRule="auto"/>
              <w:rPr>
                <w:rFonts w:ascii="宋体" w:hAnsi="宋体" w:cs="宋体"/>
                <w:color w:val="auto"/>
                <w:sz w:val="10"/>
                <w:szCs w:val="10"/>
                <w:highlight w:val="none"/>
              </w:rPr>
            </w:pPr>
          </w:p>
        </w:tc>
        <w:tc>
          <w:tcPr>
            <w:tcW w:w="54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c>
          <w:tcPr>
            <w:tcW w:w="170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c>
          <w:tcPr>
            <w:tcW w:w="180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c>
          <w:tcPr>
            <w:tcW w:w="146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r>
      <w:tr>
        <w:tblPrEx>
          <w:tblCellMar>
            <w:top w:w="0" w:type="dxa"/>
            <w:left w:w="0" w:type="dxa"/>
            <w:bottom w:w="0" w:type="dxa"/>
            <w:right w:w="0" w:type="dxa"/>
          </w:tblCellMar>
        </w:tblPrEx>
        <w:trPr>
          <w:trHeight w:val="647" w:hRule="atLeast"/>
        </w:trPr>
        <w:tc>
          <w:tcPr>
            <w:tcW w:w="1480" w:type="dxa"/>
            <w:tcBorders>
              <w:left w:val="single" w:color="auto" w:sz="8" w:space="0"/>
              <w:bottom w:val="single" w:color="auto" w:sz="8" w:space="0"/>
            </w:tcBorders>
            <w:vAlign w:val="bottom"/>
          </w:tcPr>
          <w:p>
            <w:pPr>
              <w:spacing w:line="360" w:lineRule="auto"/>
              <w:rPr>
                <w:rFonts w:ascii="宋体" w:hAnsi="宋体" w:cs="宋体"/>
                <w:color w:val="auto"/>
                <w:sz w:val="24"/>
                <w:szCs w:val="24"/>
                <w:highlight w:val="none"/>
              </w:rPr>
            </w:pPr>
          </w:p>
        </w:tc>
        <w:tc>
          <w:tcPr>
            <w:tcW w:w="52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c>
          <w:tcPr>
            <w:tcW w:w="1460" w:type="dxa"/>
            <w:tcBorders>
              <w:bottom w:val="single" w:color="auto" w:sz="8" w:space="0"/>
            </w:tcBorders>
            <w:vAlign w:val="bottom"/>
          </w:tcPr>
          <w:p>
            <w:pPr>
              <w:spacing w:line="360" w:lineRule="auto"/>
              <w:rPr>
                <w:rFonts w:ascii="宋体" w:hAnsi="宋体" w:cs="宋体"/>
                <w:color w:val="auto"/>
                <w:sz w:val="24"/>
                <w:szCs w:val="24"/>
                <w:highlight w:val="none"/>
              </w:rPr>
            </w:pPr>
          </w:p>
        </w:tc>
        <w:tc>
          <w:tcPr>
            <w:tcW w:w="54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c>
          <w:tcPr>
            <w:tcW w:w="170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c>
          <w:tcPr>
            <w:tcW w:w="180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c>
          <w:tcPr>
            <w:tcW w:w="146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r>
    </w:tbl>
    <w:p>
      <w:pPr>
        <w:spacing w:line="360" w:lineRule="auto"/>
        <w:ind w:left="460"/>
        <w:rPr>
          <w:rFonts w:ascii="宋体" w:hAnsi="宋体" w:cs="宋体"/>
          <w:color w:val="auto"/>
          <w:szCs w:val="21"/>
          <w:highlight w:val="none"/>
        </w:rPr>
      </w:pPr>
    </w:p>
    <w:p>
      <w:pPr>
        <w:spacing w:line="360" w:lineRule="auto"/>
        <w:ind w:left="460"/>
        <w:rPr>
          <w:rFonts w:ascii="宋体" w:hAnsi="宋体" w:cs="宋体"/>
          <w:color w:val="auto"/>
          <w:sz w:val="20"/>
          <w:szCs w:val="20"/>
          <w:highlight w:val="none"/>
        </w:rPr>
      </w:pPr>
      <w:r>
        <w:rPr>
          <w:rFonts w:hint="eastAsia" w:ascii="宋体" w:hAnsi="宋体" w:cs="宋体"/>
          <w:color w:val="auto"/>
          <w:szCs w:val="21"/>
          <w:highlight w:val="none"/>
        </w:rPr>
        <w:t>注：大写金额与小写金额不一致时，以大写金额为准。</w:t>
      </w:r>
    </w:p>
    <w:p>
      <w:pPr>
        <w:spacing w:line="360" w:lineRule="auto"/>
        <w:rPr>
          <w:rFonts w:ascii="宋体" w:hAnsi="宋体" w:cs="宋体"/>
          <w:color w:val="auto"/>
          <w:sz w:val="20"/>
          <w:szCs w:val="20"/>
          <w:highlight w:val="none"/>
        </w:rPr>
      </w:pPr>
    </w:p>
    <w:p>
      <w:pPr>
        <w:spacing w:line="360" w:lineRule="auto"/>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1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响应文件签署人（签字或盖章）：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w:t>
      </w:r>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401" w:left="1440" w:header="567" w:footer="567" w:gutter="0"/>
          <w:cols w:equalWidth="0" w:num="1">
            <w:col w:w="9026"/>
          </w:cols>
        </w:sectPr>
      </w:pPr>
    </w:p>
    <w:p>
      <w:pPr>
        <w:spacing w:line="360" w:lineRule="auto"/>
        <w:jc w:val="center"/>
        <w:rPr>
          <w:rFonts w:ascii="宋体" w:hAnsi="宋体" w:cs="宋体"/>
          <w:color w:val="auto"/>
          <w:sz w:val="28"/>
          <w:szCs w:val="28"/>
          <w:highlight w:val="none"/>
        </w:rPr>
      </w:pPr>
      <w:bookmarkStart w:id="123" w:name="page52"/>
      <w:bookmarkEnd w:id="123"/>
      <w:r>
        <w:rPr>
          <w:rFonts w:hint="eastAsia" w:ascii="宋体" w:hAnsi="宋体" w:cs="宋体"/>
          <w:b/>
          <w:bCs/>
          <w:color w:val="auto"/>
          <w:sz w:val="28"/>
          <w:szCs w:val="28"/>
          <w:highlight w:val="none"/>
        </w:rPr>
        <w:t>三、</w:t>
      </w:r>
      <w:r>
        <w:rPr>
          <w:rFonts w:hint="eastAsia" w:ascii="宋体" w:hAnsi="宋体" w:cs="宋体"/>
          <w:b/>
          <w:color w:val="auto"/>
          <w:sz w:val="28"/>
          <w:szCs w:val="28"/>
          <w:highlight w:val="none"/>
        </w:rPr>
        <w:t>已标价工程量清单报价表格式</w:t>
      </w:r>
    </w:p>
    <w:p>
      <w:pPr>
        <w:spacing w:line="150" w:lineRule="exact"/>
        <w:rPr>
          <w:rFonts w:ascii="宋体" w:hAnsi="宋体" w:cs="宋体"/>
          <w:color w:val="auto"/>
          <w:sz w:val="20"/>
          <w:szCs w:val="20"/>
          <w:highlight w:val="none"/>
        </w:rPr>
      </w:pPr>
    </w:p>
    <w:p>
      <w:pPr>
        <w:spacing w:line="240" w:lineRule="exact"/>
        <w:ind w:left="4160"/>
        <w:rPr>
          <w:rFonts w:ascii="宋体" w:hAnsi="宋体" w:cs="宋体"/>
          <w:b/>
          <w:bCs/>
          <w:color w:val="auto"/>
          <w:szCs w:val="21"/>
          <w:highlight w:val="none"/>
        </w:rPr>
      </w:pPr>
    </w:p>
    <w:p>
      <w:pPr>
        <w:spacing w:line="360" w:lineRule="auto"/>
        <w:jc w:val="center"/>
        <w:rPr>
          <w:rFonts w:ascii="宋体" w:hAnsi="宋体" w:cs="宋体"/>
          <w:b/>
          <w:bCs/>
          <w:color w:val="auto"/>
          <w:sz w:val="28"/>
          <w:szCs w:val="28"/>
          <w:highlight w:val="none"/>
        </w:rPr>
      </w:pPr>
      <w:bookmarkStart w:id="124" w:name="_Toc26372_WPSOffice_Level2"/>
      <w:r>
        <w:rPr>
          <w:rFonts w:hint="eastAsia" w:ascii="宋体" w:hAnsi="宋体" w:cs="宋体"/>
          <w:b/>
          <w:bCs/>
          <w:color w:val="auto"/>
          <w:sz w:val="28"/>
          <w:szCs w:val="28"/>
          <w:highlight w:val="none"/>
        </w:rPr>
        <w:t>（具体请按照《浙江省建设工程计价规则》（2018版）投标报价格式编制）</w:t>
      </w:r>
      <w:bookmarkEnd w:id="124"/>
    </w:p>
    <w:p>
      <w:pPr>
        <w:spacing w:line="200" w:lineRule="exact"/>
        <w:rPr>
          <w:rFonts w:ascii="宋体" w:hAnsi="宋体" w:cs="宋体"/>
          <w:color w:val="auto"/>
          <w:sz w:val="20"/>
          <w:szCs w:val="20"/>
          <w:highlight w:val="none"/>
        </w:rPr>
      </w:pPr>
    </w:p>
    <w:p>
      <w:pPr>
        <w:snapToGrid w:val="0"/>
        <w:spacing w:line="300" w:lineRule="exact"/>
        <w:rPr>
          <w:rFonts w:ascii="宋体" w:hAnsi="宋体" w:cs="宋体"/>
          <w:bCs/>
          <w:color w:val="auto"/>
          <w:kern w:val="10"/>
          <w:szCs w:val="21"/>
          <w:highlight w:val="none"/>
          <w:u w:val="single"/>
        </w:rPr>
      </w:pPr>
      <w:r>
        <w:rPr>
          <w:rFonts w:hint="eastAsia" w:ascii="宋体" w:hAnsi="宋体" w:cs="宋体"/>
          <w:b/>
          <w:bCs/>
          <w:color w:val="auto"/>
          <w:szCs w:val="21"/>
          <w:highlight w:val="none"/>
        </w:rPr>
        <w:t>▲</w:t>
      </w:r>
      <w:r>
        <w:rPr>
          <w:rFonts w:hint="eastAsia" w:ascii="宋体" w:hAnsi="宋体" w:cs="宋体"/>
          <w:b/>
          <w:color w:val="auto"/>
          <w:szCs w:val="21"/>
          <w:highlight w:val="none"/>
        </w:rPr>
        <w:t>造价人员签字及盖章要求：</w:t>
      </w:r>
      <w:r>
        <w:rPr>
          <w:rFonts w:hint="eastAsia" w:ascii="宋体" w:hAnsi="宋体" w:cs="宋体"/>
          <w:bCs/>
          <w:color w:val="auto"/>
          <w:kern w:val="10"/>
          <w:szCs w:val="21"/>
          <w:highlight w:val="none"/>
          <w:u w:val="single"/>
        </w:rPr>
        <w:t>根据国家住建部、省级造价主管部门对造价从业人员执业管理的相关法律法规规定以及国标计价规范的规定，报价的编制必须遵守以下规定：</w:t>
      </w:r>
    </w:p>
    <w:p>
      <w:pPr>
        <w:snapToGrid w:val="0"/>
        <w:spacing w:line="300" w:lineRule="exact"/>
        <w:rPr>
          <w:rFonts w:ascii="宋体" w:hAnsi="宋体" w:cs="宋体"/>
          <w:bCs/>
          <w:color w:val="auto"/>
          <w:kern w:val="10"/>
          <w:szCs w:val="21"/>
          <w:highlight w:val="none"/>
          <w:u w:val="single"/>
        </w:rPr>
      </w:pPr>
      <w:r>
        <w:rPr>
          <w:rFonts w:hint="eastAsia" w:ascii="宋体" w:hAnsi="宋体" w:cs="宋体"/>
          <w:bCs/>
          <w:color w:val="auto"/>
          <w:kern w:val="10"/>
          <w:szCs w:val="21"/>
          <w:highlight w:val="none"/>
          <w:u w:val="singl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ascii="宋体" w:hAnsi="宋体" w:cs="宋体"/>
          <w:bCs/>
          <w:color w:val="auto"/>
          <w:kern w:val="10"/>
          <w:szCs w:val="21"/>
          <w:highlight w:val="none"/>
          <w:u w:val="single"/>
        </w:rPr>
      </w:pPr>
      <w:r>
        <w:rPr>
          <w:rFonts w:hint="eastAsia" w:ascii="宋体" w:hAnsi="宋体" w:cs="宋体"/>
          <w:bCs/>
          <w:color w:val="auto"/>
          <w:kern w:val="10"/>
          <w:szCs w:val="21"/>
          <w:highlight w:val="none"/>
          <w:u w:val="single"/>
        </w:rPr>
        <w:t>（2）如报价由供应商编制，编制人员必须是在编制单位注册的造价工程师，并由其签字并盖执业专用章；</w:t>
      </w:r>
    </w:p>
    <w:p>
      <w:pPr>
        <w:snapToGrid w:val="0"/>
        <w:spacing w:line="300" w:lineRule="exact"/>
        <w:rPr>
          <w:rFonts w:ascii="宋体" w:hAnsi="宋体" w:cs="宋体"/>
          <w:bCs/>
          <w:color w:val="auto"/>
          <w:kern w:val="10"/>
          <w:szCs w:val="21"/>
          <w:highlight w:val="none"/>
          <w:u w:val="single"/>
        </w:rPr>
      </w:pPr>
      <w:r>
        <w:rPr>
          <w:rFonts w:hint="eastAsia" w:ascii="宋体" w:hAnsi="宋体" w:cs="宋体"/>
          <w:bCs/>
          <w:color w:val="auto"/>
          <w:kern w:val="10"/>
          <w:szCs w:val="21"/>
          <w:highlight w:val="none"/>
          <w:u w:val="singl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ascii="宋体" w:hAnsi="宋体" w:cs="宋体"/>
          <w:bCs/>
          <w:color w:val="auto"/>
          <w:kern w:val="10"/>
          <w:szCs w:val="21"/>
          <w:highlight w:val="none"/>
          <w:u w:val="single"/>
        </w:rPr>
      </w:pPr>
      <w:r>
        <w:rPr>
          <w:rFonts w:hint="eastAsia" w:ascii="宋体" w:hAnsi="宋体" w:cs="宋体"/>
          <w:bCs/>
          <w:color w:val="auto"/>
          <w:kern w:val="10"/>
          <w:szCs w:val="21"/>
          <w:highlight w:val="none"/>
          <w:u w:val="single"/>
        </w:rPr>
        <w:t>（4）报价文件不得由供应商的造价人员和受委托的咨询公司的造价人员混合编审，报价文件封面所盖的造价工程师只能是同一单位人员；</w:t>
      </w:r>
    </w:p>
    <w:p>
      <w:pPr>
        <w:spacing w:line="296" w:lineRule="exact"/>
        <w:rPr>
          <w:rFonts w:ascii="宋体" w:hAnsi="宋体" w:cs="宋体"/>
          <w:color w:val="auto"/>
          <w:sz w:val="20"/>
          <w:szCs w:val="20"/>
          <w:highlight w:val="none"/>
          <w:u w:val="single"/>
        </w:rPr>
      </w:pPr>
      <w:r>
        <w:rPr>
          <w:rFonts w:hint="eastAsia" w:ascii="宋体" w:hAnsi="宋体" w:cs="宋体"/>
          <w:bCs/>
          <w:color w:val="auto"/>
          <w:kern w:val="10"/>
          <w:szCs w:val="21"/>
          <w:highlight w:val="none"/>
          <w:u w:val="single"/>
        </w:rPr>
        <w:t>工程造价咨询人不得同时接受采购人和供应商对同一工程的控制价和报价的编制。</w:t>
      </w:r>
    </w:p>
    <w:p>
      <w:pPr>
        <w:spacing w:line="366" w:lineRule="exact"/>
        <w:jc w:val="center"/>
        <w:rPr>
          <w:rFonts w:ascii="宋体" w:hAnsi="宋体" w:cs="宋体"/>
          <w:b/>
          <w:bCs/>
          <w:color w:val="auto"/>
          <w:sz w:val="28"/>
          <w:szCs w:val="28"/>
          <w:highlight w:val="none"/>
        </w:rPr>
      </w:pPr>
      <w:bookmarkStart w:id="125" w:name="page73"/>
      <w:bookmarkEnd w:id="125"/>
    </w:p>
    <w:p>
      <w:pPr>
        <w:spacing w:line="366" w:lineRule="exact"/>
        <w:jc w:val="center"/>
        <w:rPr>
          <w:rFonts w:ascii="宋体" w:hAnsi="宋体" w:cs="宋体"/>
          <w:b/>
          <w:bCs/>
          <w:color w:val="auto"/>
          <w:sz w:val="28"/>
          <w:szCs w:val="28"/>
          <w:highlight w:val="none"/>
        </w:rPr>
      </w:pPr>
    </w:p>
    <w:p>
      <w:pPr>
        <w:spacing w:line="366" w:lineRule="exact"/>
        <w:jc w:val="center"/>
        <w:rPr>
          <w:rFonts w:ascii="宋体" w:hAnsi="宋体" w:cs="宋体"/>
          <w:b/>
          <w:bCs/>
          <w:color w:val="auto"/>
          <w:sz w:val="28"/>
          <w:szCs w:val="28"/>
          <w:highlight w:val="none"/>
        </w:rPr>
      </w:pPr>
    </w:p>
    <w:p>
      <w:pPr>
        <w:spacing w:line="366" w:lineRule="exact"/>
        <w:jc w:val="center"/>
        <w:rPr>
          <w:rFonts w:ascii="宋体" w:hAns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四、中小企业（小型、微型）、监狱企业、残疾人福利性单位声明函及其相关的充分的证明材料</w:t>
      </w:r>
    </w:p>
    <w:p>
      <w:pPr>
        <w:spacing w:line="169" w:lineRule="exact"/>
        <w:rPr>
          <w:rFonts w:ascii="宋体" w:hAnsi="宋体" w:cs="宋体"/>
          <w:color w:val="auto"/>
          <w:sz w:val="20"/>
          <w:szCs w:val="20"/>
          <w:highlight w:val="none"/>
        </w:rPr>
      </w:pPr>
    </w:p>
    <w:p>
      <w:pPr>
        <w:spacing w:line="366" w:lineRule="exact"/>
        <w:jc w:val="center"/>
        <w:outlineLvl w:val="0"/>
        <w:rPr>
          <w:rFonts w:ascii="宋体" w:hAnsi="宋体" w:cs="宋体"/>
          <w:b/>
          <w:bCs/>
          <w:color w:val="auto"/>
          <w:sz w:val="24"/>
          <w:szCs w:val="24"/>
          <w:highlight w:val="none"/>
        </w:rPr>
      </w:pPr>
      <w:bookmarkStart w:id="126" w:name="_Toc93"/>
      <w:r>
        <w:rPr>
          <w:rFonts w:hint="eastAsia" w:ascii="宋体" w:hAnsi="宋体" w:cs="宋体"/>
          <w:b/>
          <w:bCs/>
          <w:color w:val="auto"/>
          <w:sz w:val="24"/>
          <w:szCs w:val="24"/>
          <w:highlight w:val="none"/>
        </w:rPr>
        <w:t>中小企业声明函</w:t>
      </w:r>
      <w:bookmarkEnd w:id="126"/>
    </w:p>
    <w:p>
      <w:pPr>
        <w:spacing w:line="259" w:lineRule="exact"/>
        <w:rPr>
          <w:rFonts w:ascii="宋体" w:hAnsi="宋体" w:cs="宋体"/>
          <w:color w:val="auto"/>
          <w:sz w:val="24"/>
          <w:szCs w:val="24"/>
          <w:highlight w:val="none"/>
        </w:rPr>
      </w:pPr>
    </w:p>
    <w:p>
      <w:pPr>
        <w:spacing w:line="366" w:lineRule="exact"/>
        <w:jc w:val="center"/>
        <w:outlineLvl w:val="0"/>
        <w:rPr>
          <w:rFonts w:ascii="宋体" w:hAnsi="宋体" w:cs="宋体"/>
          <w:b/>
          <w:bCs/>
          <w:color w:val="auto"/>
          <w:sz w:val="28"/>
          <w:szCs w:val="28"/>
          <w:highlight w:val="none"/>
        </w:rPr>
      </w:pPr>
      <w:bookmarkStart w:id="127" w:name="_Toc13648"/>
      <w:r>
        <w:rPr>
          <w:rFonts w:hint="eastAsia" w:ascii="宋体" w:hAnsi="宋体" w:cs="宋体"/>
          <w:b/>
          <w:bCs/>
          <w:color w:val="auto"/>
          <w:sz w:val="24"/>
          <w:szCs w:val="24"/>
          <w:highlight w:val="none"/>
        </w:rPr>
        <w:t>（非小微企业不用提供）</w:t>
      </w:r>
      <w:bookmarkEnd w:id="127"/>
    </w:p>
    <w:p>
      <w:pPr>
        <w:spacing w:line="288" w:lineRule="exact"/>
        <w:rPr>
          <w:rFonts w:ascii="宋体" w:hAnsi="宋体" w:cs="宋体"/>
          <w:color w:val="auto"/>
          <w:sz w:val="20"/>
          <w:szCs w:val="20"/>
          <w:highlight w:val="none"/>
        </w:rPr>
      </w:pPr>
    </w:p>
    <w:p>
      <w:pPr>
        <w:spacing w:line="342" w:lineRule="exact"/>
        <w:ind w:left="360" w:right="306" w:firstLine="420"/>
        <w:jc w:val="both"/>
        <w:rPr>
          <w:rFonts w:ascii="宋体" w:hAnsi="宋体" w:cs="宋体"/>
          <w:color w:val="auto"/>
          <w:sz w:val="20"/>
          <w:szCs w:val="20"/>
          <w:highlight w:val="none"/>
        </w:rPr>
      </w:pPr>
      <w:r>
        <w:rPr>
          <w:rFonts w:hint="eastAsia" w:ascii="宋体" w:hAnsi="宋体" w:cs="宋体"/>
          <w:color w:val="auto"/>
          <w:szCs w:val="21"/>
          <w:highlight w:val="none"/>
        </w:rPr>
        <w:t>本企业郑重声明，根据《政府采购促进中小企业发展暂行办法》（财库[2011]181 号）的规定，本企业为（填写行业）（请填写：小型、微型）企业。即，本企业同时满足以下条件：</w:t>
      </w:r>
    </w:p>
    <w:p>
      <w:pPr>
        <w:spacing w:line="203" w:lineRule="exact"/>
        <w:rPr>
          <w:rFonts w:ascii="宋体" w:hAnsi="宋体" w:cs="宋体"/>
          <w:color w:val="auto"/>
          <w:sz w:val="20"/>
          <w:szCs w:val="20"/>
          <w:highlight w:val="none"/>
        </w:rPr>
      </w:pPr>
    </w:p>
    <w:p>
      <w:pPr>
        <w:spacing w:line="341" w:lineRule="exact"/>
        <w:ind w:left="360" w:right="346" w:firstLine="420"/>
        <w:jc w:val="both"/>
        <w:rPr>
          <w:rFonts w:ascii="宋体" w:hAnsi="宋体" w:cs="宋体"/>
          <w:color w:val="auto"/>
          <w:sz w:val="20"/>
          <w:szCs w:val="20"/>
          <w:highlight w:val="none"/>
        </w:rPr>
      </w:pPr>
      <w:r>
        <w:rPr>
          <w:rFonts w:hint="eastAsia" w:ascii="宋体" w:hAnsi="宋体" w:cs="宋体"/>
          <w:color w:val="auto"/>
          <w:szCs w:val="21"/>
          <w:highlight w:val="none"/>
        </w:rPr>
        <w:t>1.根据《工业和信息化部、国家统计局、国家发展和改革委员会、财政部关于印发中小企业划型标准规定的通知》（工信部联企业[2011]300 号）规定的划分标准，本企业为______（请填写：小型、微型）企业。</w:t>
      </w:r>
    </w:p>
    <w:p>
      <w:pPr>
        <w:spacing w:line="203" w:lineRule="exact"/>
        <w:rPr>
          <w:rFonts w:ascii="宋体" w:hAnsi="宋体" w:cs="宋体"/>
          <w:color w:val="auto"/>
          <w:sz w:val="20"/>
          <w:szCs w:val="20"/>
          <w:highlight w:val="none"/>
        </w:rPr>
      </w:pPr>
    </w:p>
    <w:p>
      <w:pPr>
        <w:spacing w:line="359" w:lineRule="exact"/>
        <w:ind w:left="360" w:right="266" w:firstLine="420"/>
        <w:jc w:val="both"/>
        <w:rPr>
          <w:rFonts w:ascii="宋体" w:hAnsi="宋体" w:cs="宋体"/>
          <w:color w:val="auto"/>
          <w:sz w:val="20"/>
          <w:szCs w:val="20"/>
          <w:highlight w:val="none"/>
        </w:rPr>
      </w:pPr>
      <w:r>
        <w:rPr>
          <w:rFonts w:hint="eastAsia" w:ascii="宋体" w:hAnsi="宋体" w:cs="宋体"/>
          <w:color w:val="auto"/>
          <w:szCs w:val="21"/>
          <w:highlight w:val="none"/>
        </w:rPr>
        <w:t>2.本企业参加______（采购人）的______（项目名称）______（标项名称）采购活动，所提供的货物为本企业制造的货物，或者由其他______（请填写：小型、微型）企业制造（制造商的中小企业声明函另附）。本项所称货物不包括使用大型企业注册商标的货物及进口货物。</w:t>
      </w:r>
    </w:p>
    <w:p>
      <w:pPr>
        <w:spacing w:line="169"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本企业对上述声明的真实性负责。如有虚假，将依法承担相应责任。</w:t>
      </w:r>
    </w:p>
    <w:p>
      <w:pPr>
        <w:spacing w:line="200" w:lineRule="exact"/>
        <w:rPr>
          <w:rFonts w:ascii="宋体" w:hAnsi="宋体" w:cs="宋体"/>
          <w:color w:val="auto"/>
          <w:sz w:val="20"/>
          <w:szCs w:val="20"/>
          <w:highlight w:val="none"/>
        </w:rPr>
      </w:pPr>
    </w:p>
    <w:p>
      <w:pPr>
        <w:spacing w:line="379"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供应商全称（盖章）：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日期：年月日</w:t>
      </w:r>
    </w:p>
    <w:p>
      <w:pPr>
        <w:spacing w:line="200" w:lineRule="exact"/>
        <w:rPr>
          <w:rFonts w:ascii="宋体" w:hAnsi="宋体" w:cs="宋体"/>
          <w:color w:val="auto"/>
          <w:sz w:val="20"/>
          <w:szCs w:val="20"/>
          <w:highlight w:val="none"/>
        </w:rPr>
      </w:pPr>
    </w:p>
    <w:p>
      <w:pPr>
        <w:spacing w:line="376" w:lineRule="exact"/>
        <w:rPr>
          <w:rFonts w:ascii="宋体" w:hAnsi="宋体" w:cs="宋体"/>
          <w:color w:val="auto"/>
          <w:sz w:val="20"/>
          <w:szCs w:val="20"/>
          <w:highlight w:val="none"/>
        </w:rPr>
      </w:pPr>
    </w:p>
    <w:p>
      <w:pPr>
        <w:ind w:left="840"/>
        <w:rPr>
          <w:rFonts w:ascii="宋体" w:hAnsi="宋体" w:cs="宋体"/>
          <w:color w:val="auto"/>
          <w:sz w:val="20"/>
          <w:szCs w:val="20"/>
          <w:highlight w:val="none"/>
        </w:rPr>
      </w:pPr>
      <w:r>
        <w:rPr>
          <w:rFonts w:hint="eastAsia" w:ascii="宋体" w:hAnsi="宋体" w:cs="宋体"/>
          <w:color w:val="auto"/>
          <w:szCs w:val="21"/>
          <w:highlight w:val="none"/>
        </w:rPr>
        <w:t>说明：</w:t>
      </w:r>
    </w:p>
    <w:p>
      <w:pPr>
        <w:rPr>
          <w:rFonts w:ascii="宋体" w:hAnsi="宋体" w:cs="宋体"/>
          <w:color w:val="auto"/>
          <w:sz w:val="20"/>
          <w:szCs w:val="20"/>
          <w:highlight w:val="none"/>
        </w:rPr>
      </w:pPr>
    </w:p>
    <w:p>
      <w:pPr>
        <w:ind w:left="360"/>
        <w:rPr>
          <w:rFonts w:ascii="宋体" w:hAnsi="宋体" w:cs="宋体"/>
          <w:color w:val="auto"/>
          <w:sz w:val="20"/>
          <w:szCs w:val="20"/>
          <w:highlight w:val="none"/>
          <w:u w:val="single"/>
        </w:rPr>
      </w:pPr>
      <w:r>
        <w:rPr>
          <w:rFonts w:hint="eastAsia" w:ascii="宋体" w:hAnsi="宋体" w:cs="宋体"/>
          <w:color w:val="auto"/>
          <w:szCs w:val="21"/>
          <w:highlight w:val="none"/>
          <w:u w:val="single"/>
        </w:rPr>
        <w:t>1）磋商响应供应商为小型、微型企业的提供此函。</w:t>
      </w:r>
    </w:p>
    <w:p>
      <w:pPr>
        <w:ind w:left="360" w:right="346"/>
        <w:jc w:val="both"/>
        <w:rPr>
          <w:rFonts w:ascii="宋体" w:hAnsi="宋体" w:cs="宋体"/>
          <w:color w:val="auto"/>
          <w:sz w:val="20"/>
          <w:szCs w:val="20"/>
          <w:highlight w:val="none"/>
          <w:u w:val="single"/>
        </w:rPr>
      </w:pPr>
      <w:r>
        <w:rPr>
          <w:rFonts w:hint="eastAsia" w:ascii="宋体" w:hAnsi="宋体" w:cs="宋体"/>
          <w:color w:val="auto"/>
          <w:szCs w:val="21"/>
          <w:highlight w:val="none"/>
          <w:u w:val="single"/>
        </w:rPr>
        <w:t>2）所投标项内的产品如由多个企业制造的，在填写企业类型时，按产品生产企业中规模最大的企业类型填写。</w:t>
      </w:r>
    </w:p>
    <w:p>
      <w:pPr>
        <w:ind w:left="360" w:right="346"/>
        <w:jc w:val="both"/>
        <w:rPr>
          <w:rFonts w:ascii="宋体" w:hAnsi="宋体" w:cs="宋体"/>
          <w:color w:val="auto"/>
          <w:sz w:val="20"/>
          <w:szCs w:val="20"/>
          <w:highlight w:val="none"/>
          <w:u w:val="single"/>
        </w:rPr>
      </w:pPr>
      <w:r>
        <w:rPr>
          <w:rFonts w:hint="eastAsia" w:ascii="宋体" w:hAnsi="宋体" w:cs="宋体"/>
          <w:color w:val="auto"/>
          <w:szCs w:val="21"/>
          <w:highlight w:val="none"/>
          <w:u w:val="single"/>
        </w:rPr>
        <w:t>3）代理商投标，提供磋商响应供应商及产品制造商出具的《中小企业声明函》及其相关的充分的证明材料。</w:t>
      </w:r>
    </w:p>
    <w:p>
      <w:pPr>
        <w:ind w:left="360" w:right="346"/>
        <w:jc w:val="both"/>
        <w:rPr>
          <w:rFonts w:ascii="宋体" w:hAnsi="宋体" w:cs="宋体"/>
          <w:color w:val="auto"/>
          <w:sz w:val="20"/>
          <w:szCs w:val="20"/>
          <w:highlight w:val="none"/>
          <w:u w:val="single"/>
        </w:rPr>
      </w:pPr>
      <w:r>
        <w:rPr>
          <w:rFonts w:hint="eastAsia" w:ascii="宋体" w:hAnsi="宋体" w:cs="宋体"/>
          <w:color w:val="auto"/>
          <w:szCs w:val="21"/>
          <w:highlight w:val="none"/>
          <w:u w:val="single"/>
        </w:rPr>
        <w:t>4）投标产品制造商投标，提供磋商响应供应商出具的《中小企业声明函》及其相关的充分的证明材料。</w:t>
      </w:r>
    </w:p>
    <w:p>
      <w:pPr>
        <w:ind w:left="360"/>
        <w:rPr>
          <w:rFonts w:ascii="宋体" w:hAnsi="宋体" w:cs="宋体"/>
          <w:color w:val="auto"/>
          <w:sz w:val="20"/>
          <w:szCs w:val="20"/>
          <w:highlight w:val="none"/>
          <w:u w:val="single"/>
        </w:rPr>
      </w:pPr>
      <w:r>
        <w:rPr>
          <w:rFonts w:hint="eastAsia" w:ascii="宋体" w:hAnsi="宋体" w:cs="宋体"/>
          <w:color w:val="auto"/>
          <w:szCs w:val="21"/>
          <w:highlight w:val="none"/>
          <w:u w:val="single"/>
        </w:rPr>
        <w:t>5）为浙江省政府采购网正式入库供应商的证明材料。</w:t>
      </w:r>
    </w:p>
    <w:p>
      <w:pPr>
        <w:ind w:left="360" w:right="346"/>
        <w:jc w:val="both"/>
        <w:rPr>
          <w:rFonts w:ascii="宋体" w:hAnsi="宋体" w:cs="宋体"/>
          <w:color w:val="auto"/>
          <w:sz w:val="20"/>
          <w:szCs w:val="20"/>
          <w:highlight w:val="none"/>
        </w:rPr>
      </w:pPr>
      <w:r>
        <w:rPr>
          <w:rFonts w:hint="eastAsia" w:ascii="宋体" w:hAnsi="宋体" w:cs="宋体"/>
          <w:color w:val="auto"/>
          <w:szCs w:val="21"/>
          <w:highlight w:val="none"/>
          <w:u w:val="single"/>
        </w:rPr>
        <w:t>6）证明材料为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28"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158" w:left="1440" w:header="567" w:footer="567" w:gutter="0"/>
          <w:cols w:equalWidth="0" w:num="1">
            <w:col w:w="9026"/>
          </w:cols>
        </w:sectPr>
      </w:pPr>
    </w:p>
    <w:p>
      <w:pPr>
        <w:spacing w:line="1" w:lineRule="exact"/>
        <w:rPr>
          <w:rFonts w:ascii="宋体" w:hAnsi="宋体" w:cs="宋体"/>
          <w:color w:val="auto"/>
          <w:sz w:val="20"/>
          <w:szCs w:val="20"/>
          <w:highlight w:val="none"/>
        </w:rPr>
      </w:pPr>
      <w:bookmarkStart w:id="128" w:name="page74"/>
      <w:bookmarkEnd w:id="128"/>
    </w:p>
    <w:p>
      <w:pPr>
        <w:spacing w:line="366" w:lineRule="exact"/>
        <w:ind w:right="-13"/>
        <w:jc w:val="center"/>
        <w:outlineLvl w:val="0"/>
        <w:rPr>
          <w:rFonts w:ascii="宋体" w:hAnsi="宋体" w:cs="宋体"/>
          <w:color w:val="auto"/>
          <w:sz w:val="24"/>
          <w:szCs w:val="24"/>
          <w:highlight w:val="none"/>
        </w:rPr>
      </w:pPr>
      <w:bookmarkStart w:id="129" w:name="_Toc6166"/>
      <w:r>
        <w:rPr>
          <w:rFonts w:hint="eastAsia" w:ascii="宋体" w:hAnsi="宋体" w:cs="宋体"/>
          <w:b/>
          <w:bCs/>
          <w:color w:val="auto"/>
          <w:sz w:val="24"/>
          <w:szCs w:val="24"/>
          <w:highlight w:val="none"/>
        </w:rPr>
        <w:t>监狱企业声明函</w:t>
      </w:r>
      <w:bookmarkEnd w:id="129"/>
    </w:p>
    <w:p>
      <w:pPr>
        <w:spacing w:line="256" w:lineRule="exact"/>
        <w:rPr>
          <w:rFonts w:ascii="宋体" w:hAnsi="宋体" w:cs="宋体"/>
          <w:color w:val="auto"/>
          <w:sz w:val="20"/>
          <w:szCs w:val="20"/>
          <w:highlight w:val="none"/>
        </w:rPr>
      </w:pPr>
    </w:p>
    <w:p>
      <w:pPr>
        <w:spacing w:line="240" w:lineRule="exact"/>
        <w:ind w:right="-13"/>
        <w:jc w:val="center"/>
        <w:rPr>
          <w:rFonts w:ascii="宋体" w:hAnsi="宋体" w:cs="宋体"/>
          <w:color w:val="auto"/>
          <w:sz w:val="20"/>
          <w:szCs w:val="20"/>
          <w:highlight w:val="none"/>
        </w:rPr>
      </w:pPr>
      <w:r>
        <w:rPr>
          <w:rFonts w:hint="eastAsia" w:ascii="宋体" w:hAnsi="宋体" w:cs="宋体"/>
          <w:b/>
          <w:bCs/>
          <w:color w:val="auto"/>
          <w:szCs w:val="21"/>
          <w:highlight w:val="none"/>
          <w:u w:val="single"/>
        </w:rPr>
        <w:t>【不属于监狱企业的无需填写、递交】</w:t>
      </w:r>
    </w:p>
    <w:p>
      <w:pPr>
        <w:spacing w:line="200" w:lineRule="exact"/>
        <w:rPr>
          <w:rFonts w:ascii="宋体" w:hAnsi="宋体" w:cs="宋体"/>
          <w:color w:val="auto"/>
          <w:sz w:val="20"/>
          <w:szCs w:val="20"/>
          <w:highlight w:val="none"/>
        </w:rPr>
      </w:pPr>
    </w:p>
    <w:p>
      <w:pPr>
        <w:spacing w:line="333" w:lineRule="exact"/>
        <w:rPr>
          <w:rFonts w:ascii="宋体" w:hAnsi="宋体" w:cs="宋体"/>
          <w:color w:val="auto"/>
          <w:sz w:val="20"/>
          <w:szCs w:val="20"/>
          <w:highlight w:val="none"/>
        </w:rPr>
      </w:pPr>
    </w:p>
    <w:p>
      <w:pPr>
        <w:spacing w:line="240" w:lineRule="exact"/>
        <w:ind w:right="6"/>
        <w:jc w:val="center"/>
        <w:rPr>
          <w:rFonts w:ascii="宋体" w:hAnsi="宋体" w:cs="宋体"/>
          <w:color w:val="auto"/>
          <w:sz w:val="20"/>
          <w:szCs w:val="20"/>
          <w:highlight w:val="none"/>
        </w:rPr>
      </w:pPr>
      <w:bookmarkStart w:id="130" w:name="_Toc17834_WPSOffice_Level2"/>
      <w:bookmarkStart w:id="131" w:name="_Toc4951_WPSOffice_Level2"/>
      <w:r>
        <w:rPr>
          <w:rFonts w:hint="eastAsia" w:ascii="宋体" w:hAnsi="宋体" w:cs="宋体"/>
          <w:color w:val="auto"/>
          <w:szCs w:val="21"/>
          <w:highlight w:val="none"/>
        </w:rPr>
        <w:t>本企业郑重声明，根据《关于政府采购支持监狱企业发展有关问题的通知》（财库</w:t>
      </w:r>
      <w:bookmarkEnd w:id="130"/>
      <w:bookmarkEnd w:id="131"/>
    </w:p>
    <w:p>
      <w:pPr>
        <w:spacing w:line="168" w:lineRule="exact"/>
        <w:rPr>
          <w:rFonts w:ascii="宋体" w:hAnsi="宋体" w:cs="宋体"/>
          <w:color w:val="auto"/>
          <w:sz w:val="20"/>
          <w:szCs w:val="20"/>
          <w:highlight w:val="none"/>
        </w:rPr>
      </w:pPr>
    </w:p>
    <w:tbl>
      <w:tblPr>
        <w:tblStyle w:val="19"/>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blPrEx>
          <w:tblCellMar>
            <w:top w:w="0" w:type="dxa"/>
            <w:left w:w="0" w:type="dxa"/>
            <w:bottom w:w="0" w:type="dxa"/>
            <w:right w:w="0" w:type="dxa"/>
          </w:tblCellMar>
        </w:tblPrEx>
        <w:trPr>
          <w:trHeight w:val="240" w:hRule="atLeast"/>
        </w:trPr>
        <w:tc>
          <w:tcPr>
            <w:tcW w:w="6000" w:type="dxa"/>
            <w:gridSpan w:val="5"/>
            <w:vAlign w:val="bottom"/>
          </w:tcPr>
          <w:p>
            <w:pPr>
              <w:spacing w:line="240" w:lineRule="exact"/>
              <w:rPr>
                <w:rFonts w:ascii="宋体" w:hAnsi="宋体" w:cs="宋体"/>
                <w:color w:val="auto"/>
                <w:sz w:val="20"/>
                <w:szCs w:val="20"/>
                <w:highlight w:val="none"/>
              </w:rPr>
            </w:pPr>
            <w:r>
              <w:rPr>
                <w:rFonts w:hint="eastAsia" w:ascii="宋体" w:hAnsi="宋体" w:cs="宋体"/>
                <w:color w:val="auto"/>
                <w:szCs w:val="21"/>
                <w:highlight w:val="none"/>
              </w:rPr>
              <w:t>[2014]68 号）的规定，本企业为监狱企业。</w:t>
            </w:r>
          </w:p>
        </w:tc>
        <w:tc>
          <w:tcPr>
            <w:tcW w:w="100" w:type="dxa"/>
            <w:vAlign w:val="bottom"/>
          </w:tcPr>
          <w:p>
            <w:pPr>
              <w:rPr>
                <w:rFonts w:ascii="宋体" w:hAnsi="宋体" w:cs="宋体"/>
                <w:color w:val="auto"/>
                <w:sz w:val="20"/>
                <w:szCs w:val="20"/>
                <w:highlight w:val="none"/>
              </w:rPr>
            </w:pPr>
          </w:p>
        </w:tc>
        <w:tc>
          <w:tcPr>
            <w:tcW w:w="2220" w:type="dxa"/>
            <w:vAlign w:val="bottom"/>
          </w:tcPr>
          <w:p>
            <w:pPr>
              <w:rPr>
                <w:rFonts w:ascii="宋体" w:hAnsi="宋体" w:cs="宋体"/>
                <w:color w:val="auto"/>
                <w:sz w:val="20"/>
                <w:szCs w:val="20"/>
                <w:highlight w:val="none"/>
              </w:rPr>
            </w:pPr>
          </w:p>
        </w:tc>
      </w:tr>
      <w:tr>
        <w:tblPrEx>
          <w:tblCellMar>
            <w:top w:w="0" w:type="dxa"/>
            <w:left w:w="0" w:type="dxa"/>
            <w:bottom w:w="0" w:type="dxa"/>
            <w:right w:w="0" w:type="dxa"/>
          </w:tblCellMar>
        </w:tblPrEx>
        <w:trPr>
          <w:trHeight w:val="20" w:hRule="atLeast"/>
        </w:trPr>
        <w:tc>
          <w:tcPr>
            <w:tcW w:w="3000" w:type="dxa"/>
            <w:vAlign w:val="bottom"/>
          </w:tcPr>
          <w:p>
            <w:pPr>
              <w:spacing w:line="20" w:lineRule="exact"/>
              <w:rPr>
                <w:rFonts w:ascii="宋体" w:hAnsi="宋体" w:cs="宋体"/>
                <w:color w:val="auto"/>
                <w:sz w:val="2"/>
                <w:szCs w:val="2"/>
                <w:highlight w:val="none"/>
              </w:rPr>
            </w:pPr>
          </w:p>
        </w:tc>
        <w:tc>
          <w:tcPr>
            <w:tcW w:w="780" w:type="dxa"/>
            <w:shd w:val="clear" w:color="auto" w:fill="000000"/>
            <w:vAlign w:val="bottom"/>
          </w:tcPr>
          <w:p>
            <w:pPr>
              <w:spacing w:line="20" w:lineRule="exact"/>
              <w:rPr>
                <w:rFonts w:ascii="宋体" w:hAnsi="宋体" w:cs="宋体"/>
                <w:color w:val="auto"/>
                <w:sz w:val="2"/>
                <w:szCs w:val="2"/>
                <w:highlight w:val="none"/>
              </w:rPr>
            </w:pPr>
          </w:p>
        </w:tc>
        <w:tc>
          <w:tcPr>
            <w:tcW w:w="1060" w:type="dxa"/>
            <w:tcBorders>
              <w:left w:val="single" w:color="auto" w:sz="8" w:space="0"/>
            </w:tcBorders>
            <w:vAlign w:val="bottom"/>
          </w:tcPr>
          <w:p>
            <w:pPr>
              <w:spacing w:line="20" w:lineRule="exact"/>
              <w:rPr>
                <w:rFonts w:ascii="宋体" w:hAnsi="宋体" w:cs="宋体"/>
                <w:color w:val="auto"/>
                <w:sz w:val="2"/>
                <w:szCs w:val="2"/>
                <w:highlight w:val="none"/>
              </w:rPr>
            </w:pPr>
          </w:p>
        </w:tc>
        <w:tc>
          <w:tcPr>
            <w:tcW w:w="320" w:type="dxa"/>
            <w:vAlign w:val="bottom"/>
          </w:tcPr>
          <w:p>
            <w:pPr>
              <w:spacing w:line="20" w:lineRule="exact"/>
              <w:rPr>
                <w:rFonts w:ascii="宋体" w:hAnsi="宋体" w:cs="宋体"/>
                <w:color w:val="auto"/>
                <w:sz w:val="2"/>
                <w:szCs w:val="2"/>
                <w:highlight w:val="none"/>
              </w:rPr>
            </w:pPr>
          </w:p>
        </w:tc>
        <w:tc>
          <w:tcPr>
            <w:tcW w:w="840" w:type="dxa"/>
            <w:vAlign w:val="bottom"/>
          </w:tcPr>
          <w:p>
            <w:pPr>
              <w:spacing w:line="20" w:lineRule="exact"/>
              <w:rPr>
                <w:rFonts w:ascii="宋体" w:hAnsi="宋体" w:cs="宋体"/>
                <w:color w:val="auto"/>
                <w:sz w:val="2"/>
                <w:szCs w:val="2"/>
                <w:highlight w:val="none"/>
              </w:rPr>
            </w:pPr>
          </w:p>
        </w:tc>
        <w:tc>
          <w:tcPr>
            <w:tcW w:w="100" w:type="dxa"/>
            <w:vAlign w:val="bottom"/>
          </w:tcPr>
          <w:p>
            <w:pPr>
              <w:spacing w:line="20" w:lineRule="exact"/>
              <w:rPr>
                <w:rFonts w:ascii="宋体" w:hAnsi="宋体" w:cs="宋体"/>
                <w:color w:val="auto"/>
                <w:sz w:val="2"/>
                <w:szCs w:val="2"/>
                <w:highlight w:val="none"/>
              </w:rPr>
            </w:pPr>
          </w:p>
        </w:tc>
        <w:tc>
          <w:tcPr>
            <w:tcW w:w="2220" w:type="dxa"/>
            <w:vAlign w:val="bottom"/>
          </w:tcPr>
          <w:p>
            <w:pPr>
              <w:spacing w:line="20" w:lineRule="exact"/>
              <w:rPr>
                <w:rFonts w:ascii="宋体" w:hAnsi="宋体" w:cs="宋体"/>
                <w:color w:val="auto"/>
                <w:sz w:val="2"/>
                <w:szCs w:val="2"/>
                <w:highlight w:val="none"/>
              </w:rPr>
            </w:pPr>
          </w:p>
        </w:tc>
      </w:tr>
      <w:tr>
        <w:tblPrEx>
          <w:tblCellMar>
            <w:top w:w="0" w:type="dxa"/>
            <w:left w:w="0" w:type="dxa"/>
            <w:bottom w:w="0" w:type="dxa"/>
            <w:right w:w="0" w:type="dxa"/>
          </w:tblCellMar>
        </w:tblPrEx>
        <w:trPr>
          <w:trHeight w:val="388" w:hRule="atLeast"/>
        </w:trPr>
        <w:tc>
          <w:tcPr>
            <w:tcW w:w="6000" w:type="dxa"/>
            <w:gridSpan w:val="5"/>
            <w:vAlign w:val="bottom"/>
          </w:tcPr>
          <w:p>
            <w:pPr>
              <w:spacing w:line="240" w:lineRule="exact"/>
              <w:ind w:left="420"/>
              <w:rPr>
                <w:rFonts w:ascii="宋体" w:hAnsi="宋体" w:cs="宋体"/>
                <w:color w:val="auto"/>
                <w:sz w:val="20"/>
                <w:szCs w:val="20"/>
                <w:highlight w:val="none"/>
              </w:rPr>
            </w:pPr>
            <w:r>
              <w:rPr>
                <w:rFonts w:hint="eastAsia" w:ascii="宋体" w:hAnsi="宋体" w:cs="宋体"/>
                <w:color w:val="auto"/>
                <w:szCs w:val="21"/>
                <w:highlight w:val="none"/>
              </w:rPr>
              <w:t>根据上述标准，我企业属于监狱企业的理由为：</w:t>
            </w:r>
          </w:p>
        </w:tc>
        <w:tc>
          <w:tcPr>
            <w:tcW w:w="100" w:type="dxa"/>
            <w:vAlign w:val="bottom"/>
          </w:tcPr>
          <w:p>
            <w:pPr>
              <w:rPr>
                <w:rFonts w:ascii="宋体" w:hAnsi="宋体" w:cs="宋体"/>
                <w:color w:val="auto"/>
                <w:sz w:val="24"/>
                <w:szCs w:val="24"/>
                <w:highlight w:val="none"/>
              </w:rPr>
            </w:pPr>
          </w:p>
        </w:tc>
        <w:tc>
          <w:tcPr>
            <w:tcW w:w="2220" w:type="dxa"/>
            <w:vAlign w:val="bottom"/>
          </w:tcPr>
          <w:p>
            <w:pPr>
              <w:spacing w:line="240" w:lineRule="exact"/>
              <w:rPr>
                <w:rFonts w:ascii="宋体" w:hAnsi="宋体" w:cs="宋体"/>
                <w:color w:val="auto"/>
                <w:sz w:val="20"/>
                <w:szCs w:val="20"/>
                <w:highlight w:val="none"/>
              </w:rPr>
            </w:pP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20" w:hRule="atLeast"/>
        </w:trPr>
        <w:tc>
          <w:tcPr>
            <w:tcW w:w="3000" w:type="dxa"/>
            <w:tcBorders>
              <w:right w:val="single" w:color="auto" w:sz="8" w:space="0"/>
            </w:tcBorders>
            <w:vAlign w:val="bottom"/>
          </w:tcPr>
          <w:p>
            <w:pPr>
              <w:spacing w:line="20" w:lineRule="exact"/>
              <w:rPr>
                <w:rFonts w:ascii="宋体" w:hAnsi="宋体" w:cs="宋体"/>
                <w:color w:val="auto"/>
                <w:sz w:val="2"/>
                <w:szCs w:val="2"/>
                <w:highlight w:val="none"/>
              </w:rPr>
            </w:pPr>
          </w:p>
        </w:tc>
        <w:tc>
          <w:tcPr>
            <w:tcW w:w="780" w:type="dxa"/>
            <w:shd w:val="clear" w:color="auto" w:fill="000000"/>
            <w:vAlign w:val="bottom"/>
          </w:tcPr>
          <w:p>
            <w:pPr>
              <w:spacing w:line="20" w:lineRule="exact"/>
              <w:rPr>
                <w:rFonts w:ascii="宋体" w:hAnsi="宋体" w:cs="宋体"/>
                <w:color w:val="auto"/>
                <w:sz w:val="2"/>
                <w:szCs w:val="2"/>
                <w:highlight w:val="none"/>
              </w:rPr>
            </w:pPr>
          </w:p>
        </w:tc>
        <w:tc>
          <w:tcPr>
            <w:tcW w:w="1060" w:type="dxa"/>
            <w:vAlign w:val="bottom"/>
          </w:tcPr>
          <w:p>
            <w:pPr>
              <w:spacing w:line="20" w:lineRule="exact"/>
              <w:rPr>
                <w:rFonts w:ascii="宋体" w:hAnsi="宋体" w:cs="宋体"/>
                <w:color w:val="auto"/>
                <w:sz w:val="2"/>
                <w:szCs w:val="2"/>
                <w:highlight w:val="none"/>
              </w:rPr>
            </w:pPr>
          </w:p>
        </w:tc>
        <w:tc>
          <w:tcPr>
            <w:tcW w:w="320" w:type="dxa"/>
            <w:shd w:val="clear" w:color="auto" w:fill="000000"/>
            <w:vAlign w:val="bottom"/>
          </w:tcPr>
          <w:p>
            <w:pPr>
              <w:spacing w:line="20" w:lineRule="exact"/>
              <w:rPr>
                <w:rFonts w:ascii="宋体" w:hAnsi="宋体" w:cs="宋体"/>
                <w:color w:val="auto"/>
                <w:sz w:val="2"/>
                <w:szCs w:val="2"/>
                <w:highlight w:val="none"/>
              </w:rPr>
            </w:pPr>
          </w:p>
        </w:tc>
        <w:tc>
          <w:tcPr>
            <w:tcW w:w="840" w:type="dxa"/>
            <w:shd w:val="clear" w:color="auto" w:fill="000000"/>
            <w:vAlign w:val="bottom"/>
          </w:tcPr>
          <w:p>
            <w:pPr>
              <w:spacing w:line="20" w:lineRule="exact"/>
              <w:rPr>
                <w:rFonts w:ascii="宋体" w:hAnsi="宋体" w:cs="宋体"/>
                <w:color w:val="auto"/>
                <w:sz w:val="2"/>
                <w:szCs w:val="2"/>
                <w:highlight w:val="none"/>
              </w:rPr>
            </w:pPr>
          </w:p>
        </w:tc>
        <w:tc>
          <w:tcPr>
            <w:tcW w:w="100" w:type="dxa"/>
            <w:shd w:val="clear" w:color="auto" w:fill="000000"/>
            <w:vAlign w:val="bottom"/>
          </w:tcPr>
          <w:p>
            <w:pPr>
              <w:spacing w:line="20" w:lineRule="exact"/>
              <w:rPr>
                <w:rFonts w:ascii="宋体" w:hAnsi="宋体" w:cs="宋体"/>
                <w:color w:val="auto"/>
                <w:sz w:val="2"/>
                <w:szCs w:val="2"/>
                <w:highlight w:val="none"/>
              </w:rPr>
            </w:pPr>
          </w:p>
        </w:tc>
        <w:tc>
          <w:tcPr>
            <w:tcW w:w="2220" w:type="dxa"/>
            <w:vAlign w:val="bottom"/>
          </w:tcPr>
          <w:p>
            <w:pPr>
              <w:spacing w:line="20" w:lineRule="exact"/>
              <w:rPr>
                <w:rFonts w:ascii="宋体" w:hAnsi="宋体" w:cs="宋体"/>
                <w:color w:val="auto"/>
                <w:sz w:val="2"/>
                <w:szCs w:val="2"/>
                <w:highlight w:val="none"/>
              </w:rPr>
            </w:pPr>
          </w:p>
        </w:tc>
      </w:tr>
      <w:tr>
        <w:tblPrEx>
          <w:tblCellMar>
            <w:top w:w="0" w:type="dxa"/>
            <w:left w:w="0" w:type="dxa"/>
            <w:bottom w:w="0" w:type="dxa"/>
            <w:right w:w="0" w:type="dxa"/>
          </w:tblCellMar>
        </w:tblPrEx>
        <w:trPr>
          <w:trHeight w:val="388" w:hRule="atLeast"/>
        </w:trPr>
        <w:tc>
          <w:tcPr>
            <w:tcW w:w="3000" w:type="dxa"/>
            <w:vAlign w:val="bottom"/>
          </w:tcPr>
          <w:p>
            <w:pPr>
              <w:spacing w:line="240" w:lineRule="exact"/>
              <w:ind w:left="420"/>
              <w:rPr>
                <w:rFonts w:ascii="宋体" w:hAnsi="宋体" w:cs="宋体"/>
                <w:color w:val="auto"/>
                <w:sz w:val="20"/>
                <w:szCs w:val="20"/>
                <w:highlight w:val="none"/>
              </w:rPr>
            </w:pPr>
            <w:r>
              <w:rPr>
                <w:rFonts w:hint="eastAsia" w:ascii="宋体" w:hAnsi="宋体" w:cs="宋体"/>
                <w:color w:val="auto"/>
                <w:szCs w:val="21"/>
                <w:highlight w:val="none"/>
              </w:rPr>
              <w:t>本企业为参加（项目名称：</w:t>
            </w:r>
          </w:p>
        </w:tc>
        <w:tc>
          <w:tcPr>
            <w:tcW w:w="780" w:type="dxa"/>
            <w:tcBorders>
              <w:bottom w:val="single" w:color="auto" w:sz="8" w:space="0"/>
            </w:tcBorders>
            <w:vAlign w:val="bottom"/>
          </w:tcPr>
          <w:p>
            <w:pPr>
              <w:rPr>
                <w:rFonts w:ascii="宋体" w:hAnsi="宋体" w:cs="宋体"/>
                <w:color w:val="auto"/>
                <w:sz w:val="24"/>
                <w:szCs w:val="24"/>
                <w:highlight w:val="none"/>
              </w:rPr>
            </w:pPr>
          </w:p>
        </w:tc>
        <w:tc>
          <w:tcPr>
            <w:tcW w:w="1380" w:type="dxa"/>
            <w:gridSpan w:val="2"/>
            <w:vAlign w:val="bottom"/>
          </w:tcPr>
          <w:p>
            <w:pPr>
              <w:spacing w:line="240" w:lineRule="exact"/>
              <w:rPr>
                <w:rFonts w:ascii="宋体" w:hAnsi="宋体" w:cs="宋体"/>
                <w:color w:val="auto"/>
                <w:sz w:val="20"/>
                <w:szCs w:val="20"/>
                <w:highlight w:val="none"/>
              </w:rPr>
            </w:pPr>
            <w:r>
              <w:rPr>
                <w:rFonts w:hint="eastAsia" w:ascii="宋体" w:hAnsi="宋体" w:cs="宋体"/>
                <w:color w:val="auto"/>
                <w:w w:val="92"/>
                <w:szCs w:val="21"/>
                <w:highlight w:val="none"/>
              </w:rPr>
              <w:t>）（项目编号：</w:t>
            </w:r>
          </w:p>
        </w:tc>
        <w:tc>
          <w:tcPr>
            <w:tcW w:w="840" w:type="dxa"/>
            <w:tcBorders>
              <w:bottom w:val="single" w:color="auto" w:sz="8" w:space="0"/>
            </w:tcBorders>
            <w:vAlign w:val="bottom"/>
          </w:tcPr>
          <w:p>
            <w:pPr>
              <w:rPr>
                <w:rFonts w:ascii="宋体" w:hAnsi="宋体" w:cs="宋体"/>
                <w:color w:val="auto"/>
                <w:sz w:val="24"/>
                <w:szCs w:val="24"/>
                <w:highlight w:val="none"/>
              </w:rPr>
            </w:pPr>
          </w:p>
        </w:tc>
        <w:tc>
          <w:tcPr>
            <w:tcW w:w="2320" w:type="dxa"/>
            <w:gridSpan w:val="2"/>
            <w:vAlign w:val="bottom"/>
          </w:tcPr>
          <w:p>
            <w:pPr>
              <w:spacing w:line="240" w:lineRule="exact"/>
              <w:rPr>
                <w:rFonts w:ascii="宋体" w:hAnsi="宋体" w:cs="宋体"/>
                <w:color w:val="auto"/>
                <w:sz w:val="20"/>
                <w:szCs w:val="20"/>
                <w:highlight w:val="none"/>
              </w:rPr>
            </w:pPr>
            <w:r>
              <w:rPr>
                <w:rFonts w:hint="eastAsia" w:ascii="宋体" w:hAnsi="宋体" w:cs="宋体"/>
                <w:color w:val="auto"/>
                <w:w w:val="99"/>
                <w:szCs w:val="21"/>
                <w:highlight w:val="none"/>
              </w:rPr>
              <w:t>）采购活动提供本企业的</w:t>
            </w:r>
          </w:p>
        </w:tc>
      </w:tr>
      <w:tr>
        <w:tblPrEx>
          <w:tblCellMar>
            <w:top w:w="0" w:type="dxa"/>
            <w:left w:w="0" w:type="dxa"/>
            <w:bottom w:w="0" w:type="dxa"/>
            <w:right w:w="0" w:type="dxa"/>
          </w:tblCellMar>
        </w:tblPrEx>
        <w:trPr>
          <w:trHeight w:val="388" w:hRule="atLeast"/>
        </w:trPr>
        <w:tc>
          <w:tcPr>
            <w:tcW w:w="3000" w:type="dxa"/>
            <w:vAlign w:val="bottom"/>
          </w:tcPr>
          <w:p>
            <w:pPr>
              <w:spacing w:line="240" w:lineRule="exact"/>
              <w:rPr>
                <w:rFonts w:ascii="宋体" w:hAnsi="宋体" w:cs="宋体"/>
                <w:color w:val="auto"/>
                <w:sz w:val="20"/>
                <w:szCs w:val="20"/>
                <w:highlight w:val="none"/>
              </w:rPr>
            </w:pPr>
            <w:r>
              <w:rPr>
                <w:rFonts w:hint="eastAsia" w:ascii="宋体" w:hAnsi="宋体" w:cs="宋体"/>
                <w:color w:val="auto"/>
                <w:szCs w:val="21"/>
                <w:highlight w:val="none"/>
              </w:rPr>
              <w:t>产品。</w:t>
            </w:r>
          </w:p>
        </w:tc>
        <w:tc>
          <w:tcPr>
            <w:tcW w:w="780" w:type="dxa"/>
            <w:vAlign w:val="bottom"/>
          </w:tcPr>
          <w:p>
            <w:pPr>
              <w:rPr>
                <w:rFonts w:ascii="宋体" w:hAnsi="宋体" w:cs="宋体"/>
                <w:color w:val="auto"/>
                <w:sz w:val="24"/>
                <w:szCs w:val="24"/>
                <w:highlight w:val="none"/>
              </w:rPr>
            </w:pPr>
          </w:p>
        </w:tc>
        <w:tc>
          <w:tcPr>
            <w:tcW w:w="1060" w:type="dxa"/>
            <w:vAlign w:val="bottom"/>
          </w:tcPr>
          <w:p>
            <w:pPr>
              <w:rPr>
                <w:rFonts w:ascii="宋体" w:hAnsi="宋体" w:cs="宋体"/>
                <w:color w:val="auto"/>
                <w:sz w:val="24"/>
                <w:szCs w:val="24"/>
                <w:highlight w:val="none"/>
              </w:rPr>
            </w:pPr>
          </w:p>
        </w:tc>
        <w:tc>
          <w:tcPr>
            <w:tcW w:w="320" w:type="dxa"/>
            <w:vAlign w:val="bottom"/>
          </w:tcPr>
          <w:p>
            <w:pPr>
              <w:rPr>
                <w:rFonts w:ascii="宋体" w:hAnsi="宋体" w:cs="宋体"/>
                <w:color w:val="auto"/>
                <w:sz w:val="24"/>
                <w:szCs w:val="24"/>
                <w:highlight w:val="none"/>
              </w:rPr>
            </w:pPr>
          </w:p>
        </w:tc>
        <w:tc>
          <w:tcPr>
            <w:tcW w:w="840" w:type="dxa"/>
            <w:vAlign w:val="bottom"/>
          </w:tcPr>
          <w:p>
            <w:pPr>
              <w:rPr>
                <w:rFonts w:ascii="宋体" w:hAnsi="宋体" w:cs="宋体"/>
                <w:color w:val="auto"/>
                <w:sz w:val="24"/>
                <w:szCs w:val="24"/>
                <w:highlight w:val="none"/>
              </w:rPr>
            </w:pPr>
          </w:p>
        </w:tc>
        <w:tc>
          <w:tcPr>
            <w:tcW w:w="100" w:type="dxa"/>
            <w:vAlign w:val="bottom"/>
          </w:tcPr>
          <w:p>
            <w:pPr>
              <w:rPr>
                <w:rFonts w:ascii="宋体" w:hAnsi="宋体" w:cs="宋体"/>
                <w:color w:val="auto"/>
                <w:sz w:val="24"/>
                <w:szCs w:val="24"/>
                <w:highlight w:val="none"/>
              </w:rPr>
            </w:pPr>
          </w:p>
        </w:tc>
        <w:tc>
          <w:tcPr>
            <w:tcW w:w="2220" w:type="dxa"/>
            <w:vAlign w:val="bottom"/>
          </w:tcPr>
          <w:p>
            <w:pPr>
              <w:rPr>
                <w:rFonts w:ascii="宋体" w:hAnsi="宋体" w:cs="宋体"/>
                <w:color w:val="auto"/>
                <w:sz w:val="24"/>
                <w:szCs w:val="24"/>
                <w:highlight w:val="none"/>
              </w:rPr>
            </w:pPr>
          </w:p>
        </w:tc>
      </w:tr>
    </w:tbl>
    <w:p>
      <w:pPr>
        <w:spacing w:line="171"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本企业对上述声明的真实性负责。如有虚假，将依法承担相应责任。</w:t>
      </w:r>
    </w:p>
    <w:p>
      <w:pPr>
        <w:spacing w:line="200" w:lineRule="exact"/>
        <w:rPr>
          <w:rFonts w:ascii="宋体" w:hAnsi="宋体" w:cs="宋体"/>
          <w:color w:val="auto"/>
          <w:sz w:val="20"/>
          <w:szCs w:val="20"/>
          <w:highlight w:val="none"/>
        </w:rPr>
      </w:pPr>
    </w:p>
    <w:p>
      <w:pPr>
        <w:spacing w:line="376"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供应商全称（盖章）：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日期：年月日</w:t>
      </w:r>
    </w:p>
    <w:p>
      <w:pPr>
        <w:spacing w:line="200" w:lineRule="exact"/>
        <w:rPr>
          <w:rFonts w:ascii="宋体" w:hAnsi="宋体" w:cs="宋体"/>
          <w:color w:val="auto"/>
          <w:sz w:val="20"/>
          <w:szCs w:val="20"/>
          <w:highlight w:val="none"/>
        </w:rPr>
      </w:pPr>
    </w:p>
    <w:p>
      <w:pPr>
        <w:spacing w:line="360" w:lineRule="auto"/>
        <w:ind w:left="360" w:right="346" w:firstLine="420"/>
        <w:rPr>
          <w:rFonts w:ascii="宋体" w:hAnsi="宋体" w:cs="宋体"/>
          <w:color w:val="auto"/>
          <w:szCs w:val="21"/>
          <w:highlight w:val="none"/>
        </w:rPr>
      </w:pPr>
    </w:p>
    <w:p>
      <w:pPr>
        <w:spacing w:line="360" w:lineRule="auto"/>
        <w:ind w:left="360" w:right="346" w:firstLine="420"/>
        <w:rPr>
          <w:rFonts w:ascii="宋体" w:hAnsi="宋体" w:cs="宋体"/>
          <w:color w:val="auto"/>
          <w:szCs w:val="21"/>
          <w:highlight w:val="none"/>
          <w:u w:val="single"/>
        </w:rPr>
      </w:pPr>
      <w:r>
        <w:rPr>
          <w:rFonts w:hint="eastAsia" w:ascii="宋体" w:hAnsi="宋体" w:cs="宋体"/>
          <w:color w:val="auto"/>
          <w:szCs w:val="21"/>
          <w:highlight w:val="none"/>
          <w:u w:val="single"/>
        </w:rPr>
        <w:t>监狱企业参加政府采购活动时，应当提供由省级以上监狱管理局、戒毒管理局（含新疆生产建设兵团）出具的属于监狱企业的证明文件。</w:t>
      </w:r>
    </w:p>
    <w:p>
      <w:pPr>
        <w:spacing w:line="360" w:lineRule="auto"/>
        <w:ind w:left="360" w:right="266" w:firstLine="210" w:firstLineChars="100"/>
        <w:jc w:val="both"/>
        <w:rPr>
          <w:rFonts w:ascii="宋体" w:hAnsi="宋体" w:cs="宋体"/>
          <w:color w:val="auto"/>
          <w:sz w:val="20"/>
          <w:szCs w:val="20"/>
          <w:highlight w:val="none"/>
        </w:rPr>
      </w:pPr>
      <w:r>
        <w:rPr>
          <w:rFonts w:hint="eastAsia" w:ascii="宋体" w:hAnsi="宋体" w:cs="宋体"/>
          <w:color w:val="auto"/>
          <w:szCs w:val="21"/>
          <w:highlight w:val="none"/>
          <w:u w:val="singl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66" w:lineRule="exact"/>
        <w:ind w:right="-13"/>
        <w:jc w:val="center"/>
        <w:outlineLvl w:val="0"/>
        <w:rPr>
          <w:rFonts w:ascii="宋体" w:hAnsi="宋体" w:cs="宋体"/>
          <w:b/>
          <w:bCs/>
          <w:color w:val="auto"/>
          <w:sz w:val="24"/>
          <w:szCs w:val="24"/>
          <w:highlight w:val="none"/>
        </w:rPr>
      </w:pPr>
      <w:bookmarkStart w:id="132" w:name="_Toc9302"/>
      <w:r>
        <w:rPr>
          <w:rFonts w:hint="eastAsia" w:ascii="宋体" w:hAnsi="宋体" w:cs="宋体"/>
          <w:b/>
          <w:bCs/>
          <w:color w:val="auto"/>
          <w:sz w:val="24"/>
          <w:szCs w:val="24"/>
          <w:highlight w:val="none"/>
        </w:rPr>
        <w:t>残疾人福利性单位声明函</w:t>
      </w:r>
      <w:bookmarkEnd w:id="132"/>
    </w:p>
    <w:p>
      <w:pPr>
        <w:spacing w:line="203" w:lineRule="exact"/>
        <w:rPr>
          <w:rFonts w:ascii="宋体" w:hAnsi="宋体" w:cs="宋体"/>
          <w:color w:val="auto"/>
          <w:sz w:val="20"/>
          <w:szCs w:val="20"/>
          <w:highlight w:val="none"/>
        </w:rPr>
      </w:pPr>
    </w:p>
    <w:p>
      <w:pPr>
        <w:spacing w:line="240" w:lineRule="exact"/>
        <w:ind w:right="-413"/>
        <w:jc w:val="center"/>
        <w:outlineLvl w:val="1"/>
        <w:rPr>
          <w:rFonts w:ascii="宋体" w:hAnsi="宋体" w:cs="宋体"/>
          <w:color w:val="auto"/>
          <w:sz w:val="20"/>
          <w:szCs w:val="20"/>
          <w:highlight w:val="none"/>
        </w:rPr>
      </w:pPr>
      <w:bookmarkStart w:id="133" w:name="_Toc30098"/>
      <w:bookmarkStart w:id="134" w:name="_Toc1708_WPSOffice_Level2"/>
      <w:bookmarkStart w:id="135" w:name="_Toc20230_WPSOffice_Level2"/>
      <w:r>
        <w:rPr>
          <w:rFonts w:hint="eastAsia" w:ascii="宋体" w:hAnsi="宋体" w:cs="宋体"/>
          <w:color w:val="auto"/>
          <w:szCs w:val="21"/>
          <w:highlight w:val="none"/>
        </w:rPr>
        <w:t>【不属于残疾人福利性单位的无需填写、递交】</w:t>
      </w:r>
      <w:bookmarkEnd w:id="133"/>
      <w:bookmarkEnd w:id="134"/>
      <w:bookmarkEnd w:id="135"/>
    </w:p>
    <w:p>
      <w:pPr>
        <w:spacing w:line="360" w:lineRule="auto"/>
        <w:rPr>
          <w:rFonts w:ascii="宋体" w:hAnsi="宋体" w:cs="宋体"/>
          <w:color w:val="auto"/>
          <w:sz w:val="20"/>
          <w:szCs w:val="20"/>
          <w:highlight w:val="none"/>
        </w:rPr>
      </w:pPr>
    </w:p>
    <w:p>
      <w:pPr>
        <w:spacing w:line="360" w:lineRule="auto"/>
        <w:ind w:right="366" w:firstLine="420" w:firstLineChars="200"/>
        <w:rPr>
          <w:rFonts w:ascii="宋体" w:hAnsi="宋体" w:cs="宋体"/>
          <w:color w:val="auto"/>
          <w:sz w:val="20"/>
          <w:szCs w:val="20"/>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 （采购人名称）</w:t>
      </w:r>
      <w:r>
        <w:rPr>
          <w:rFonts w:hint="eastAsia" w:ascii="宋体" w:hAnsi="宋体" w:cs="宋体"/>
          <w:color w:val="auto"/>
          <w:szCs w:val="21"/>
          <w:highlight w:val="none"/>
        </w:rPr>
        <w:tab/>
      </w:r>
      <w:r>
        <w:rPr>
          <w:rFonts w:hint="eastAsia" w:ascii="宋体" w:hAnsi="宋体" w:cs="宋体"/>
          <w:color w:val="auto"/>
          <w:szCs w:val="21"/>
          <w:highlight w:val="none"/>
        </w:rPr>
        <w:t>单位的</w:t>
      </w:r>
      <w:r>
        <w:rPr>
          <w:rFonts w:hint="eastAsia" w:ascii="宋体" w:hAnsi="宋体" w:cs="宋体"/>
          <w:color w:val="auto"/>
          <w:sz w:val="20"/>
          <w:szCs w:val="20"/>
          <w:highlight w:val="none"/>
        </w:rPr>
        <w:tab/>
      </w:r>
      <w:r>
        <w:rPr>
          <w:rFonts w:hint="eastAsia" w:ascii="宋体" w:hAnsi="宋体" w:cs="宋体"/>
          <w:color w:val="auto"/>
          <w:szCs w:val="21"/>
          <w:highlight w:val="none"/>
        </w:rPr>
        <w:t>（项目名称）</w:t>
      </w:r>
      <w:r>
        <w:rPr>
          <w:rFonts w:hint="eastAsia" w:ascii="宋体" w:hAnsi="宋体" w:cs="宋体"/>
          <w:color w:val="auto"/>
          <w:sz w:val="20"/>
          <w:szCs w:val="20"/>
          <w:highlight w:val="none"/>
        </w:rPr>
        <w:tab/>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rPr>
          <w:rFonts w:ascii="宋体" w:hAnsi="宋体" w:cs="宋体"/>
          <w:color w:val="auto"/>
          <w:sz w:val="20"/>
          <w:szCs w:val="20"/>
          <w:highlight w:val="none"/>
        </w:rPr>
      </w:pP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供应商名称（盖章）：</w:t>
      </w:r>
    </w:p>
    <w:p>
      <w:pPr>
        <w:spacing w:line="79" w:lineRule="exact"/>
        <w:rPr>
          <w:rFonts w:ascii="宋体" w:hAnsi="宋体" w:cs="宋体"/>
          <w:color w:val="auto"/>
          <w:sz w:val="20"/>
          <w:szCs w:val="20"/>
          <w:highlight w:val="none"/>
        </w:rPr>
      </w:pPr>
    </w:p>
    <w:p>
      <w:pPr>
        <w:tabs>
          <w:tab w:val="left" w:pos="1700"/>
          <w:tab w:val="left" w:pos="2120"/>
          <w:tab w:val="left" w:pos="2540"/>
        </w:tabs>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rPr>
        <w:tab/>
      </w:r>
      <w:r>
        <w:rPr>
          <w:rFonts w:hint="eastAsia" w:ascii="宋体" w:hAnsi="宋体" w:cs="宋体"/>
          <w:color w:val="auto"/>
          <w:szCs w:val="21"/>
          <w:highlight w:val="none"/>
        </w:rPr>
        <w:t>年</w:t>
      </w:r>
      <w:r>
        <w:rPr>
          <w:rFonts w:hint="eastAsia" w:ascii="宋体" w:hAnsi="宋体" w:cs="宋体"/>
          <w:color w:val="auto"/>
          <w:szCs w:val="21"/>
          <w:highlight w:val="none"/>
        </w:rPr>
        <w:tab/>
      </w:r>
      <w:r>
        <w:rPr>
          <w:rFonts w:hint="eastAsia" w:ascii="宋体" w:hAnsi="宋体" w:cs="宋体"/>
          <w:color w:val="auto"/>
          <w:szCs w:val="21"/>
          <w:highlight w:val="none"/>
        </w:rPr>
        <w:t>月</w:t>
      </w:r>
      <w:r>
        <w:rPr>
          <w:rFonts w:hint="eastAsia" w:ascii="宋体" w:hAnsi="宋体" w:cs="宋体"/>
          <w:color w:val="auto"/>
          <w:szCs w:val="21"/>
          <w:highlight w:val="none"/>
        </w:rPr>
        <w:tab/>
      </w:r>
      <w:r>
        <w:rPr>
          <w:rFonts w:hint="eastAsia" w:ascii="宋体" w:hAnsi="宋体" w:cs="宋体"/>
          <w:color w:val="auto"/>
          <w:szCs w:val="21"/>
          <w:highlight w:val="none"/>
        </w:rPr>
        <w:t>日</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20" w:lineRule="exact"/>
        <w:ind w:left="360"/>
        <w:rPr>
          <w:rFonts w:ascii="宋体" w:hAnsi="宋体" w:cs="宋体"/>
          <w:color w:val="auto"/>
          <w:szCs w:val="21"/>
          <w:highlight w:val="none"/>
          <w:u w:val="single"/>
        </w:rPr>
      </w:pPr>
      <w:bookmarkStart w:id="136" w:name="page75"/>
      <w:bookmarkEnd w:id="136"/>
      <w:r>
        <w:rPr>
          <w:rFonts w:hint="eastAsia" w:ascii="宋体" w:hAnsi="宋体" w:cs="宋体"/>
          <w:color w:val="auto"/>
          <w:szCs w:val="21"/>
          <w:highlight w:val="none"/>
          <w:u w:val="single"/>
        </w:rPr>
        <w:t>说明：</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1.若磋商响应供应商同时满足以下条件，则属于依法享受政府采购支持政策的残疾人福利性单位，可提供《残疾人福利性单位声明函》，并对声明的真实性负责：</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（一）安置的残疾人占本单位在职职工人数的比例不低于25%（含25%），并且安置的残疾人人数不少于10人（含10人）；</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（二）依法与安置的每位残疾人签订了一年以上（含一年）的劳动合同或服务协议；</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（三）为安置的每位残疾人按月足额缴纳了基本养老保险、基本医疗保险、失业保险、工伤保险和生育保险等社会保险费；</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（四）通过银行等金融机构向安置的每位残疾人，按月支付了不低于单位所在区县适用的经省级人民政府批准的月最低工资标准的工资；</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（五）提供本单位制造的货物、承担的工程或者服务（以下简称产品），或者提供其他残疾人福利性单位制造的货物（不包括使用非残疾人福利性单位注册商标的货物）。</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20" w:lineRule="exact"/>
        <w:ind w:left="360"/>
        <w:rPr>
          <w:rFonts w:ascii="宋体" w:hAnsi="宋体" w:cs="宋体"/>
          <w:color w:val="auto"/>
          <w:sz w:val="28"/>
          <w:szCs w:val="28"/>
          <w:highlight w:val="none"/>
        </w:rPr>
      </w:pPr>
      <w:r>
        <w:rPr>
          <w:rFonts w:hint="eastAsia" w:ascii="宋体" w:hAnsi="宋体" w:cs="宋体"/>
          <w:color w:val="auto"/>
          <w:szCs w:val="21"/>
          <w:highlight w:val="none"/>
          <w:u w:val="single"/>
        </w:rPr>
        <w:t>2.成交供应商为残疾人福利性单位的，《残疾人福利性单位声明函》随中标结果同时公告，接受社会监督。</w:t>
      </w: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sectPr>
          <w:pgSz w:w="11900" w:h="16838"/>
          <w:pgMar w:top="1440" w:right="1440" w:bottom="158" w:left="1440" w:header="567" w:footer="567" w:gutter="0"/>
          <w:cols w:equalWidth="0" w:num="1">
            <w:col w:w="9026"/>
          </w:cols>
        </w:sectPr>
      </w:pPr>
      <w:bookmarkStart w:id="137" w:name="_Toc5942_WPSOffice_Level2"/>
    </w:p>
    <w:p>
      <w:pPr>
        <w:spacing w:line="320" w:lineRule="exact"/>
        <w:ind w:left="360"/>
        <w:rPr>
          <w:rFonts w:ascii="宋体" w:hAnsi="宋体" w:cs="宋体"/>
          <w:color w:val="auto"/>
          <w:sz w:val="20"/>
          <w:szCs w:val="20"/>
          <w:highlight w:val="none"/>
        </w:rPr>
      </w:pPr>
      <w:r>
        <w:rPr>
          <w:rFonts w:hint="eastAsia" w:ascii="宋体" w:hAnsi="宋体" w:cs="宋体"/>
          <w:color w:val="auto"/>
          <w:sz w:val="28"/>
          <w:szCs w:val="28"/>
          <w:highlight w:val="none"/>
        </w:rPr>
        <w:t>商务技术文件封面</w:t>
      </w:r>
      <w:bookmarkEnd w:id="137"/>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38" w:name="_Toc11046_WPSOffice_Level2"/>
      <w:r>
        <w:rPr>
          <w:rFonts w:hint="eastAsia" w:ascii="宋体" w:hAnsi="宋体" w:cs="宋体"/>
          <w:color w:val="auto"/>
          <w:sz w:val="28"/>
          <w:szCs w:val="28"/>
          <w:highlight w:val="none"/>
        </w:rPr>
        <w:t>项目名称：</w:t>
      </w:r>
      <w:bookmarkEnd w:id="138"/>
    </w:p>
    <w:p>
      <w:pPr>
        <w:spacing w:line="20" w:lineRule="exact"/>
        <w:rPr>
          <w:rFonts w:ascii="宋体" w:hAnsi="宋体" w:cs="宋体"/>
          <w:color w:val="auto"/>
          <w:sz w:val="20"/>
          <w:szCs w:val="20"/>
          <w:highlight w:val="none"/>
        </w:rPr>
      </w:pPr>
      <w:r>
        <w:rPr>
          <w:rFonts w:ascii="宋体" w:hAnsi="宋体" w:cs="宋体"/>
          <w:color w:val="auto"/>
          <w:highlight w:val="none"/>
        </w:rPr>
        <w:pict>
          <v:line id="Shape 316" o:spid="_x0000_s1051" o:spt="20" style="position:absolute;left:0pt;margin-left:136.95pt;margin-top:0.05pt;height:0pt;width:287.1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39" w:name="_Toc4594_WPSOffice_Level2"/>
      <w:r>
        <w:rPr>
          <w:rFonts w:hint="eastAsia" w:ascii="宋体" w:hAnsi="宋体" w:cs="宋体"/>
          <w:color w:val="auto"/>
          <w:sz w:val="28"/>
          <w:szCs w:val="28"/>
          <w:highlight w:val="none"/>
        </w:rPr>
        <w:t>项目编号：</w:t>
      </w:r>
      <w:bookmarkEnd w:id="139"/>
    </w:p>
    <w:p>
      <w:pPr>
        <w:spacing w:line="20" w:lineRule="exact"/>
        <w:rPr>
          <w:rFonts w:ascii="宋体" w:hAnsi="宋体" w:cs="宋体"/>
          <w:color w:val="auto"/>
          <w:sz w:val="20"/>
          <w:szCs w:val="20"/>
          <w:highlight w:val="none"/>
        </w:rPr>
      </w:pPr>
      <w:r>
        <w:rPr>
          <w:rFonts w:ascii="宋体" w:hAnsi="宋体" w:cs="宋体"/>
          <w:color w:val="auto"/>
          <w:highlight w:val="none"/>
        </w:rPr>
        <w:pict>
          <v:line id="Shape 317" o:spid="_x0000_s1052" o:spt="20" style="position:absolute;left:0pt;margin-left:136.95pt;margin-top:0.05pt;height:0pt;width:287.1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5"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投 标 文 件</w:t>
      </w:r>
    </w:p>
    <w:p>
      <w:pPr>
        <w:spacing w:line="200" w:lineRule="exact"/>
        <w:rPr>
          <w:rFonts w:ascii="宋体" w:hAnsi="宋体" w:cs="宋体"/>
          <w:color w:val="auto"/>
          <w:sz w:val="20"/>
          <w:szCs w:val="20"/>
          <w:highlight w:val="none"/>
        </w:rPr>
      </w:pPr>
    </w:p>
    <w:p>
      <w:pPr>
        <w:spacing w:line="381"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（商务技术文件）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67"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bookmarkStart w:id="140" w:name="_Toc1319_WPSOffice_Level2"/>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bookmarkEnd w:id="140"/>
    </w:p>
    <w:p>
      <w:pPr>
        <w:spacing w:line="20" w:lineRule="exact"/>
        <w:rPr>
          <w:rFonts w:ascii="宋体" w:hAnsi="宋体" w:cs="宋体"/>
          <w:color w:val="auto"/>
          <w:sz w:val="20"/>
          <w:szCs w:val="20"/>
          <w:highlight w:val="none"/>
        </w:rPr>
      </w:pPr>
      <w:r>
        <w:rPr>
          <w:rFonts w:ascii="宋体" w:hAnsi="宋体" w:cs="宋体"/>
          <w:color w:val="auto"/>
          <w:highlight w:val="none"/>
        </w:rPr>
        <w:pict>
          <v:line id="Shape 318" o:spid="_x0000_s1053" o:spt="20" style="position:absolute;left:0pt;margin-left:112.6pt;margin-top:0.05pt;height:0pt;width:182.05pt;z-index:-1024;mso-width-relative:page;mso-height-relative:page;" filled="t" coordsize="21600,21600" o:allowincell="f">
            <v:path arrowok="t"/>
            <v:fill on="t" focussize="0,0"/>
            <v:stroke weight="1.08pt" joinstyle="miter"/>
            <v:imagedata o:title=""/>
            <o:lock v:ext="edit"/>
          </v:line>
        </w:pic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bookmarkStart w:id="141" w:name="_Toc18029_WPSOffice_Level2"/>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bookmarkEnd w:id="141"/>
    </w:p>
    <w:p>
      <w:pPr>
        <w:spacing w:line="20" w:lineRule="exact"/>
        <w:rPr>
          <w:rFonts w:ascii="宋体" w:hAnsi="宋体" w:cs="宋体"/>
          <w:color w:val="auto"/>
          <w:sz w:val="20"/>
          <w:szCs w:val="20"/>
          <w:highlight w:val="none"/>
        </w:rPr>
      </w:pPr>
      <w:r>
        <w:rPr>
          <w:rFonts w:ascii="宋体" w:hAnsi="宋体" w:cs="宋体"/>
          <w:color w:val="auto"/>
          <w:highlight w:val="none"/>
        </w:rPr>
        <w:pict>
          <v:line id="Shape 319" o:spid="_x0000_s1054" o:spt="20" style="position:absolute;left:0pt;margin-left:168.65pt;margin-top:0.05pt;height:0pt;width:105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bookmarkStart w:id="142" w:name="_Toc15576_WPSOffice_Level2"/>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bookmarkEnd w:id="142"/>
    </w:p>
    <w:p>
      <w:pPr>
        <w:spacing w:line="20" w:lineRule="exact"/>
        <w:rPr>
          <w:rFonts w:ascii="宋体" w:hAnsi="宋体" w:cs="宋体"/>
          <w:color w:val="auto"/>
          <w:sz w:val="20"/>
          <w:szCs w:val="20"/>
          <w:highlight w:val="none"/>
        </w:rPr>
      </w:pPr>
      <w:r>
        <w:rPr>
          <w:rFonts w:ascii="宋体" w:hAnsi="宋体" w:cs="宋体"/>
          <w:color w:val="auto"/>
          <w:highlight w:val="none"/>
        </w:rPr>
        <w:pict>
          <v:line id="Shape 320" o:spid="_x0000_s1055" o:spt="20" style="position:absolute;left:0pt;margin-left:153.85pt;margin-top:0.05pt;height:0pt;width:42.15pt;z-index:-1024;mso-width-relative:page;mso-height-relative:page;" filled="t" coordsize="21600,21600" o:allowincell="f">
            <v:path arrowok="t"/>
            <v:fill on="t" focussize="0,0"/>
            <v:stroke weight="1.08pt" joinstyle="miter"/>
            <v:imagedata o:title=""/>
            <o:lock v:ext="edit"/>
          </v:line>
        </w:pict>
      </w:r>
      <w:r>
        <w:rPr>
          <w:rFonts w:ascii="宋体" w:hAnsi="宋体" w:cs="宋体"/>
          <w:color w:val="auto"/>
          <w:highlight w:val="none"/>
        </w:rPr>
        <w:pict>
          <v:line id="Shape 321" o:spid="_x0000_s1056" o:spt="20" style="position:absolute;left:0pt;margin-left:209.9pt;margin-top:0.05pt;height:0pt;width:21.05pt;z-index:-1024;mso-width-relative:page;mso-height-relative:page;" filled="t" coordsize="21600,21600" o:allowincell="f">
            <v:path arrowok="t"/>
            <v:fill on="t" focussize="0,0"/>
            <v:stroke weight="1.08pt" joinstyle="miter"/>
            <v:imagedata o:title=""/>
            <o:lock v:ext="edit"/>
          </v:line>
        </w:pict>
      </w:r>
      <w:r>
        <w:rPr>
          <w:rFonts w:ascii="宋体" w:hAnsi="宋体" w:cs="宋体"/>
          <w:color w:val="auto"/>
          <w:highlight w:val="none"/>
        </w:rPr>
        <w:pict>
          <v:line id="Shape 322" o:spid="_x0000_s1057" o:spt="20" style="position:absolute;left:0pt;margin-left:244.95pt;margin-top:0.05pt;height:0pt;width:20.9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jc w:val="center"/>
        <w:rPr>
          <w:rFonts w:ascii="宋体" w:hAnsi="宋体" w:cs="宋体"/>
          <w:b/>
          <w:bCs/>
          <w:color w:val="auto"/>
          <w:sz w:val="28"/>
          <w:szCs w:val="28"/>
          <w:highlight w:val="none"/>
        </w:rPr>
      </w:pPr>
      <w:bookmarkStart w:id="143" w:name="_Toc18958_WPSOffice_Level2"/>
      <w:r>
        <w:rPr>
          <w:rFonts w:hint="eastAsia" w:ascii="宋体" w:hAnsi="宋体" w:cs="宋体"/>
          <w:b/>
          <w:bCs/>
          <w:color w:val="auto"/>
          <w:sz w:val="28"/>
          <w:szCs w:val="28"/>
          <w:highlight w:val="none"/>
        </w:rPr>
        <w:t>索   引</w:t>
      </w:r>
      <w:bookmarkEnd w:id="143"/>
    </w:p>
    <w:p>
      <w:pPr>
        <w:jc w:val="center"/>
        <w:rPr>
          <w:rFonts w:ascii="宋体" w:hAnsi="宋体" w:cs="宋体"/>
          <w:b/>
          <w:bCs/>
          <w:color w:val="auto"/>
          <w:sz w:val="28"/>
          <w:szCs w:val="28"/>
          <w:highlight w:val="none"/>
        </w:rPr>
      </w:pPr>
    </w:p>
    <w:p>
      <w:pPr>
        <w:jc w:val="center"/>
        <w:rPr>
          <w:rFonts w:ascii="宋体" w:hAnsi="宋体" w:cs="宋体"/>
          <w:b/>
          <w:bCs/>
          <w:color w:val="auto"/>
          <w:sz w:val="28"/>
          <w:szCs w:val="28"/>
          <w:highlight w:val="none"/>
        </w:rPr>
      </w:pPr>
      <w:bookmarkStart w:id="144" w:name="_Toc13178_WPSOffice_Level2"/>
      <w:r>
        <w:rPr>
          <w:rFonts w:hint="eastAsia" w:ascii="宋体" w:hAnsi="宋体" w:cs="宋体"/>
          <w:b/>
          <w:bCs/>
          <w:color w:val="auto"/>
          <w:sz w:val="28"/>
          <w:szCs w:val="28"/>
          <w:highlight w:val="none"/>
        </w:rPr>
        <w:t>（请磋商响应供应商自行在评分表基础上自拟）</w:t>
      </w:r>
      <w:bookmarkEnd w:id="144"/>
    </w:p>
    <w:p>
      <w:pPr>
        <w:spacing w:line="251" w:lineRule="exact"/>
        <w:rPr>
          <w:rFonts w:ascii="宋体" w:hAnsi="宋体" w:cs="宋体"/>
          <w:color w:val="auto"/>
          <w:sz w:val="20"/>
          <w:szCs w:val="20"/>
          <w:highlight w:val="none"/>
        </w:rPr>
      </w:pPr>
    </w:p>
    <w:p>
      <w:pPr>
        <w:rPr>
          <w:rFonts w:ascii="宋体" w:hAnsi="宋体" w:cs="宋体"/>
          <w:color w:val="auto"/>
          <w:highlight w:val="none"/>
        </w:rPr>
      </w:pPr>
      <w:bookmarkStart w:id="145" w:name="page76"/>
      <w:bookmarkEnd w:id="145"/>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spacing w:line="366" w:lineRule="exact"/>
        <w:rPr>
          <w:rFonts w:ascii="宋体" w:hAnsi="宋体" w:cs="宋体"/>
          <w:b/>
          <w:bCs/>
          <w:color w:val="auto"/>
          <w:sz w:val="28"/>
          <w:szCs w:val="28"/>
          <w:highlight w:val="none"/>
        </w:rPr>
      </w:pPr>
    </w:p>
    <w:p>
      <w:pPr>
        <w:spacing w:line="366" w:lineRule="exact"/>
        <w:rPr>
          <w:rFonts w:ascii="宋体" w:hAns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商务文件</w:t>
      </w: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一、法定代表人资格证明书</w:t>
      </w:r>
    </w:p>
    <w:p>
      <w:pPr>
        <w:pStyle w:val="9"/>
        <w:adjustRightInd w:val="0"/>
        <w:spacing w:before="120" w:after="120" w:line="360" w:lineRule="auto"/>
        <w:ind w:firstLine="480" w:firstLineChars="229"/>
        <w:rPr>
          <w:rFonts w:hAnsi="宋体" w:cs="宋体"/>
          <w:color w:val="auto"/>
          <w:sz w:val="21"/>
          <w:szCs w:val="21"/>
          <w:highlight w:val="none"/>
          <w:u w:val="single"/>
        </w:rPr>
      </w:pPr>
      <w:r>
        <w:rPr>
          <w:rFonts w:hint="eastAsia" w:hAnsi="宋体" w:cs="宋体"/>
          <w:color w:val="auto"/>
          <w:sz w:val="21"/>
          <w:szCs w:val="21"/>
          <w:highlight w:val="none"/>
          <w:u w:val="single"/>
        </w:rPr>
        <w:t xml:space="preserve">（采购人单位名称）：         </w:t>
      </w:r>
    </w:p>
    <w:p>
      <w:pPr>
        <w:pStyle w:val="9"/>
        <w:adjustRightInd w:val="0"/>
        <w:spacing w:before="120" w:after="120"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浙江五石工程咨询有限公司：</w:t>
      </w:r>
    </w:p>
    <w:p>
      <w:pPr>
        <w:pStyle w:val="2"/>
        <w:adjustRightInd w:val="0"/>
        <w:spacing w:line="360" w:lineRule="auto"/>
        <w:ind w:firstLine="420" w:firstLineChars="200"/>
        <w:rPr>
          <w:rFonts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u w:val="single"/>
        </w:rPr>
        <w:t xml:space="preserve">     （姓名）    </w:t>
      </w:r>
      <w:r>
        <w:rPr>
          <w:rFonts w:hint="eastAsia" w:ascii="宋体" w:hAnsi="宋体" w:eastAsia="宋体" w:cs="宋体"/>
          <w:snapToGrid w:val="0"/>
          <w:color w:val="auto"/>
          <w:szCs w:val="21"/>
          <w:highlight w:val="none"/>
        </w:rPr>
        <w:t>系</w:t>
      </w:r>
      <w:r>
        <w:rPr>
          <w:rFonts w:hint="eastAsia" w:ascii="宋体" w:hAnsi="宋体" w:eastAsia="宋体" w:cs="宋体"/>
          <w:snapToGrid w:val="0"/>
          <w:color w:val="auto"/>
          <w:szCs w:val="21"/>
          <w:highlight w:val="none"/>
          <w:u w:val="single"/>
        </w:rPr>
        <w:t xml:space="preserve">  （单位名称）  </w:t>
      </w:r>
      <w:r>
        <w:rPr>
          <w:rFonts w:hint="eastAsia" w:ascii="宋体" w:hAnsi="宋体" w:eastAsia="宋体" w:cs="宋体"/>
          <w:snapToGrid w:val="0"/>
          <w:color w:val="auto"/>
          <w:szCs w:val="21"/>
          <w:highlight w:val="none"/>
        </w:rPr>
        <w:t>的法定代表人，</w:t>
      </w:r>
      <w:r>
        <w:rPr>
          <w:rFonts w:hint="eastAsia" w:ascii="宋体" w:hAnsi="宋体" w:eastAsia="宋体" w:cs="宋体"/>
          <w:snapToGrid w:val="0"/>
          <w:color w:val="auto"/>
          <w:szCs w:val="21"/>
          <w:highlight w:val="none"/>
          <w:u w:val="single"/>
        </w:rPr>
        <w:t xml:space="preserve">   （身份证号）     </w:t>
      </w:r>
      <w:r>
        <w:rPr>
          <w:rFonts w:hint="eastAsia" w:ascii="宋体" w:hAnsi="宋体" w:eastAsia="宋体" w:cs="宋体"/>
          <w:snapToGrid w:val="0"/>
          <w:color w:val="auto"/>
          <w:szCs w:val="21"/>
          <w:highlight w:val="none"/>
        </w:rPr>
        <w:t>。</w:t>
      </w:r>
    </w:p>
    <w:p>
      <w:pPr>
        <w:pStyle w:val="2"/>
        <w:adjustRightInd w:val="0"/>
        <w:spacing w:line="360" w:lineRule="auto"/>
        <w:ind w:firstLine="420" w:firstLineChars="200"/>
        <w:rPr>
          <w:rFonts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特此证明。</w:t>
      </w:r>
    </w:p>
    <w:p>
      <w:pPr>
        <w:pStyle w:val="2"/>
        <w:adjustRightInd w:val="0"/>
        <w:spacing w:line="360" w:lineRule="auto"/>
        <w:ind w:firstLine="420" w:firstLineChars="200"/>
        <w:rPr>
          <w:rFonts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磋商响应供应商：（盖单位公章）</w:t>
      </w:r>
    </w:p>
    <w:p>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日期：</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年</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日</w:t>
      </w:r>
    </w:p>
    <w:p>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附：</w:t>
      </w:r>
    </w:p>
    <w:p>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法定代表人联系方式及身份证复印件</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snapToGrid w:val="0"/>
          <w:color w:val="auto"/>
          <w:szCs w:val="21"/>
          <w:highlight w:val="none"/>
        </w:rPr>
        <w:t>注：法定代表人直接签署响应文件并参加投标的，在响应文件中出具此资格证明书及身份证复印件。</w:t>
      </w:r>
    </w:p>
    <w:p>
      <w:pPr>
        <w:spacing w:line="366" w:lineRule="exact"/>
        <w:jc w:val="center"/>
        <w:rPr>
          <w:rFonts w:ascii="宋体" w:hAnsi="宋体" w:cs="宋体"/>
          <w:b/>
          <w:bCs/>
          <w:color w:val="auto"/>
          <w:sz w:val="28"/>
          <w:szCs w:val="28"/>
          <w:highlight w:val="none"/>
        </w:rPr>
      </w:pPr>
      <w:bookmarkStart w:id="146" w:name="_Toc23739_WPSOffice_Level2"/>
      <w:r>
        <w:rPr>
          <w:rFonts w:hint="eastAsia" w:ascii="宋体" w:hAnsi="宋体" w:cs="宋体"/>
          <w:b/>
          <w:bCs/>
          <w:color w:val="auto"/>
          <w:sz w:val="28"/>
          <w:szCs w:val="28"/>
          <w:highlight w:val="none"/>
        </w:rPr>
        <w:t>法定代表人授权委托书</w:t>
      </w:r>
      <w:bookmarkEnd w:id="146"/>
    </w:p>
    <w:p>
      <w:pPr>
        <w:pStyle w:val="9"/>
        <w:adjustRightInd w:val="0"/>
        <w:spacing w:before="120" w:after="120" w:line="360" w:lineRule="auto"/>
        <w:ind w:firstLine="420" w:firstLineChars="200"/>
        <w:rPr>
          <w:rFonts w:hAnsi="宋体" w:cs="宋体"/>
          <w:color w:val="auto"/>
          <w:sz w:val="21"/>
          <w:szCs w:val="21"/>
          <w:highlight w:val="none"/>
          <w:u w:val="single"/>
        </w:rPr>
      </w:pPr>
      <w:r>
        <w:rPr>
          <w:rFonts w:hint="eastAsia" w:hAnsi="宋体" w:cs="宋体"/>
          <w:color w:val="auto"/>
          <w:sz w:val="21"/>
          <w:szCs w:val="21"/>
          <w:highlight w:val="none"/>
          <w:u w:val="single"/>
        </w:rPr>
        <w:t>（采购人单位名称）：</w:t>
      </w:r>
    </w:p>
    <w:p>
      <w:pPr>
        <w:pStyle w:val="9"/>
        <w:adjustRightInd w:val="0"/>
        <w:spacing w:before="120" w:after="120" w:line="360" w:lineRule="auto"/>
        <w:ind w:firstLine="420" w:firstLineChars="200"/>
        <w:rPr>
          <w:rFonts w:hAnsi="宋体" w:cs="宋体"/>
          <w:color w:val="auto"/>
          <w:sz w:val="21"/>
          <w:szCs w:val="21"/>
          <w:highlight w:val="none"/>
          <w:u w:val="single"/>
        </w:rPr>
      </w:pPr>
      <w:r>
        <w:rPr>
          <w:rFonts w:hint="eastAsia" w:hAnsi="宋体" w:cs="宋体"/>
          <w:color w:val="auto"/>
          <w:sz w:val="21"/>
          <w:szCs w:val="21"/>
          <w:highlight w:val="none"/>
          <w:u w:val="single"/>
        </w:rPr>
        <w:t>浙江五石工程咨询有限公司：</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我以</w:t>
      </w:r>
      <w:r>
        <w:rPr>
          <w:rFonts w:hint="eastAsia" w:hAnsi="宋体" w:cs="宋体"/>
          <w:color w:val="auto"/>
          <w:sz w:val="21"/>
          <w:szCs w:val="21"/>
          <w:highlight w:val="none"/>
          <w:u w:val="single"/>
        </w:rPr>
        <w:t xml:space="preserve">        （磋商响应供应商全称）    </w:t>
      </w:r>
      <w:r>
        <w:rPr>
          <w:rFonts w:hint="eastAsia" w:hAnsi="宋体" w:cs="宋体"/>
          <w:color w:val="auto"/>
          <w:sz w:val="21"/>
          <w:szCs w:val="21"/>
          <w:highlight w:val="none"/>
        </w:rPr>
        <w:t>法定代表人的身份授权</w:t>
      </w:r>
      <w:r>
        <w:rPr>
          <w:rFonts w:hint="eastAsia" w:hAnsi="宋体" w:cs="宋体"/>
          <w:color w:val="auto"/>
          <w:sz w:val="21"/>
          <w:szCs w:val="21"/>
          <w:highlight w:val="none"/>
          <w:u w:val="single"/>
        </w:rPr>
        <w:t>（全权代表姓名）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，为我单位的全权代表，参加贵处组织的</w:t>
      </w:r>
      <w:r>
        <w:rPr>
          <w:rFonts w:hint="eastAsia" w:hAnsi="宋体" w:cs="宋体"/>
          <w:color w:val="auto"/>
          <w:sz w:val="21"/>
          <w:szCs w:val="21"/>
          <w:highlight w:val="none"/>
          <w:u w:val="single"/>
        </w:rPr>
        <w:t xml:space="preserve">  （项目名称） </w:t>
      </w:r>
      <w:r>
        <w:rPr>
          <w:rFonts w:hint="eastAsia" w:hAnsi="宋体" w:cs="宋体"/>
          <w:color w:val="auto"/>
          <w:sz w:val="21"/>
          <w:szCs w:val="21"/>
          <w:highlight w:val="none"/>
        </w:rPr>
        <w:t>（</w:t>
      </w:r>
      <w:r>
        <w:rPr>
          <w:rFonts w:hint="eastAsia" w:hAnsi="宋体" w:cs="宋体"/>
          <w:color w:val="auto"/>
          <w:sz w:val="21"/>
          <w:szCs w:val="21"/>
          <w:highlight w:val="none"/>
          <w:u w:val="single"/>
        </w:rPr>
        <w:t>招标项目编号</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（标项内容）</w:t>
      </w:r>
      <w:r>
        <w:rPr>
          <w:rFonts w:hint="eastAsia" w:hAnsi="宋体" w:cs="宋体"/>
          <w:color w:val="auto"/>
          <w:sz w:val="21"/>
          <w:szCs w:val="21"/>
          <w:highlight w:val="none"/>
        </w:rPr>
        <w:t>的招标，签署本项目相关响应文件并全权处理投标活动中的一切事宜。我单位承认全权代表做出的与本项目招投标活动有关的全部行为。</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磋商响应供应商全称（盖单位公章）：</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法定代表人（签字或盖章）：</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电话：</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日期：</w:t>
      </w:r>
    </w:p>
    <w:p>
      <w:pPr>
        <w:pStyle w:val="9"/>
        <w:spacing w:before="120" w:after="120" w:line="360" w:lineRule="auto"/>
        <w:ind w:firstLine="480"/>
        <w:rPr>
          <w:rFonts w:hAnsi="宋体" w:cs="宋体"/>
          <w:color w:val="auto"/>
          <w:sz w:val="21"/>
          <w:szCs w:val="21"/>
          <w:highlight w:val="none"/>
        </w:rPr>
      </w:pPr>
      <w:r>
        <w:rPr>
          <w:rFonts w:hint="eastAsia" w:hAnsi="宋体" w:cs="宋体"/>
          <w:color w:val="auto"/>
          <w:sz w:val="21"/>
          <w:szCs w:val="21"/>
          <w:highlight w:val="none"/>
        </w:rPr>
        <w:t>附：</w:t>
      </w:r>
    </w:p>
    <w:p>
      <w:pPr>
        <w:pStyle w:val="9"/>
        <w:spacing w:before="120" w:after="120" w:line="360" w:lineRule="auto"/>
        <w:ind w:firstLine="480"/>
        <w:rPr>
          <w:rFonts w:hAnsi="宋体" w:cs="宋体"/>
          <w:color w:val="auto"/>
          <w:sz w:val="21"/>
          <w:szCs w:val="21"/>
          <w:highlight w:val="none"/>
        </w:rPr>
      </w:pPr>
      <w:r>
        <w:rPr>
          <w:rFonts w:hint="eastAsia" w:hAnsi="宋体" w:cs="宋体"/>
          <w:color w:val="auto"/>
          <w:sz w:val="21"/>
          <w:szCs w:val="21"/>
          <w:highlight w:val="none"/>
        </w:rPr>
        <w:t>全权代表姓名：     身份证号码：      职  务：         电  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全权代表身份证复印件：</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注：法定代表人授权其公司员工签署及参加投标的，在响应文件中同时出具法定代表人资格证明书及此授权书，并附身份证复印件。</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响应文件格式中所提到的响应文件签署人是指以上两文件确定的签署人员。</w:t>
      </w:r>
    </w:p>
    <w:p>
      <w:pPr>
        <w:ind w:firstLine="422" w:firstLineChars="200"/>
        <w:rPr>
          <w:rFonts w:ascii="宋体" w:hAnsi="宋体" w:cs="宋体"/>
          <w:color w:val="auto"/>
          <w:sz w:val="20"/>
          <w:szCs w:val="20"/>
          <w:highlight w:val="none"/>
        </w:rPr>
      </w:pPr>
      <w:r>
        <w:rPr>
          <w:rFonts w:hint="eastAsia" w:ascii="宋体" w:hAnsi="宋体" w:cs="宋体"/>
          <w:b/>
          <w:color w:val="auto"/>
          <w:szCs w:val="21"/>
          <w:highlight w:val="none"/>
        </w:rPr>
        <w:t>如参加开标并在开评标过程中签署文件的人员与响应文件签署人不一致，须另行提供授权书。</w:t>
      </w:r>
      <w:bookmarkStart w:id="147" w:name="page77"/>
      <w:bookmarkEnd w:id="147"/>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tabs>
          <w:tab w:val="left" w:pos="3899"/>
        </w:tabs>
        <w:rPr>
          <w:rFonts w:ascii="宋体" w:hAnsi="宋体" w:cs="宋体"/>
          <w:color w:val="auto"/>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cs="宋体"/>
          <w:b/>
          <w:bCs/>
          <w:color w:val="auto"/>
          <w:sz w:val="28"/>
          <w:szCs w:val="28"/>
          <w:highlight w:val="none"/>
        </w:rPr>
      </w:pPr>
      <w:bookmarkStart w:id="148" w:name="page78"/>
      <w:bookmarkEnd w:id="148"/>
      <w:bookmarkStart w:id="149" w:name="_Toc9817_WPSOffice_Level2"/>
      <w:r>
        <w:rPr>
          <w:rFonts w:hint="eastAsia" w:ascii="宋体" w:hAnsi="宋体" w:cs="宋体"/>
          <w:b/>
          <w:bCs/>
          <w:color w:val="auto"/>
          <w:sz w:val="28"/>
          <w:szCs w:val="28"/>
          <w:highlight w:val="none"/>
        </w:rPr>
        <w:t>二、资格审查资料</w:t>
      </w:r>
      <w:bookmarkEnd w:id="149"/>
    </w:p>
    <w:p>
      <w:pPr>
        <w:spacing w:line="33" w:lineRule="exact"/>
        <w:rPr>
          <w:rFonts w:ascii="宋体" w:hAnsi="宋体" w:cs="宋体"/>
          <w:color w:val="auto"/>
          <w:sz w:val="20"/>
          <w:szCs w:val="20"/>
          <w:highlight w:val="none"/>
        </w:rPr>
      </w:pPr>
    </w:p>
    <w:p>
      <w:pPr>
        <w:spacing w:line="258" w:lineRule="exact"/>
        <w:rPr>
          <w:rFonts w:ascii="宋体" w:hAnsi="宋体" w:cs="宋体"/>
          <w:color w:val="auto"/>
          <w:sz w:val="20"/>
          <w:szCs w:val="20"/>
          <w:highlight w:val="none"/>
        </w:rPr>
      </w:pPr>
    </w:p>
    <w:p>
      <w:pPr>
        <w:spacing w:line="360" w:lineRule="auto"/>
        <w:ind w:left="780"/>
        <w:rPr>
          <w:rFonts w:ascii="宋体" w:hAnsi="宋体" w:cs="宋体"/>
          <w:b/>
          <w:bCs/>
          <w:color w:val="auto"/>
          <w:sz w:val="20"/>
          <w:szCs w:val="20"/>
          <w:highlight w:val="none"/>
        </w:rPr>
      </w:pPr>
      <w:r>
        <w:rPr>
          <w:rFonts w:hint="eastAsia" w:ascii="宋体" w:hAnsi="宋体" w:cs="宋体"/>
          <w:b/>
          <w:bCs/>
          <w:color w:val="auto"/>
          <w:szCs w:val="21"/>
          <w:highlight w:val="none"/>
        </w:rPr>
        <w:t>（一）资格审查须知</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1、供应商必须认真填写竞争性磋商文件规定的所有表格，并对其真实性负责，招标人</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有权对其进行调查核实和要求澄清。</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2、资格审查按通过和不通过两种方式进行评定，供应商的资格等方面的要求作为资格</w:t>
      </w:r>
    </w:p>
    <w:p>
      <w:pPr>
        <w:spacing w:line="360" w:lineRule="auto"/>
        <w:ind w:left="360"/>
        <w:rPr>
          <w:rFonts w:ascii="宋体" w:hAnsi="宋体" w:cs="宋体"/>
          <w:color w:val="auto"/>
          <w:szCs w:val="21"/>
          <w:highlight w:val="none"/>
        </w:rPr>
      </w:pPr>
      <w:r>
        <w:rPr>
          <w:rFonts w:hint="eastAsia" w:ascii="宋体" w:hAnsi="宋体" w:cs="宋体"/>
          <w:color w:val="auto"/>
          <w:szCs w:val="21"/>
          <w:highlight w:val="none"/>
        </w:rPr>
        <w:t>审查通过的强制性资格条件，经核实有一项不符合要求，则供应商的资格为不通过，不通过</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的供应商对其响应文件不进行后续评审。</w:t>
      </w:r>
    </w:p>
    <w:p>
      <w:pPr>
        <w:spacing w:line="360" w:lineRule="auto"/>
        <w:ind w:left="780"/>
        <w:rPr>
          <w:rFonts w:ascii="宋体" w:hAnsi="宋体" w:cs="宋体"/>
          <w:b/>
          <w:bCs/>
          <w:color w:val="auto"/>
          <w:sz w:val="20"/>
          <w:szCs w:val="20"/>
          <w:highlight w:val="none"/>
        </w:rPr>
      </w:pPr>
      <w:r>
        <w:rPr>
          <w:rFonts w:hint="eastAsia" w:ascii="宋体" w:hAnsi="宋体" w:cs="宋体"/>
          <w:b/>
          <w:bCs/>
          <w:color w:val="auto"/>
          <w:szCs w:val="21"/>
          <w:highlight w:val="none"/>
        </w:rPr>
        <w:t>（二）资格审查资料格式</w:t>
      </w:r>
    </w:p>
    <w:p>
      <w:pPr>
        <w:spacing w:line="360" w:lineRule="auto"/>
        <w:ind w:left="780"/>
        <w:rPr>
          <w:rFonts w:ascii="宋体" w:hAnsi="宋体" w:cs="宋体"/>
          <w:color w:val="auto"/>
          <w:szCs w:val="21"/>
          <w:highlight w:val="none"/>
        </w:rPr>
      </w:pPr>
      <w:bookmarkStart w:id="150" w:name="_Toc9431"/>
      <w:bookmarkStart w:id="151" w:name="_Toc17625_WPSOffice_Level2"/>
      <w:bookmarkStart w:id="152" w:name="_Toc30302_WPSOffice_Level2"/>
      <w:r>
        <w:rPr>
          <w:rFonts w:hint="eastAsia" w:ascii="宋体" w:hAnsi="宋体" w:cs="宋体"/>
          <w:color w:val="auto"/>
          <w:szCs w:val="21"/>
          <w:highlight w:val="none"/>
        </w:rPr>
        <w:t>附件一 强制性资格条件</w:t>
      </w:r>
      <w:bookmarkEnd w:id="150"/>
      <w:bookmarkEnd w:id="151"/>
      <w:bookmarkEnd w:id="152"/>
    </w:p>
    <w:p>
      <w:pPr>
        <w:spacing w:line="360" w:lineRule="auto"/>
        <w:ind w:left="780"/>
        <w:rPr>
          <w:rFonts w:ascii="宋体" w:hAnsi="宋体" w:cs="宋体"/>
          <w:color w:val="auto"/>
          <w:szCs w:val="21"/>
          <w:highlight w:val="none"/>
        </w:rPr>
      </w:pPr>
      <w:bookmarkStart w:id="153" w:name="_Toc24393"/>
      <w:bookmarkStart w:id="154" w:name="_Toc31807_WPSOffice_Level2"/>
      <w:bookmarkStart w:id="155" w:name="_Toc20100_WPSOffice_Level2"/>
      <w:r>
        <w:rPr>
          <w:rFonts w:hint="eastAsia" w:ascii="宋体" w:hAnsi="宋体" w:cs="宋体"/>
          <w:color w:val="auto"/>
          <w:szCs w:val="21"/>
          <w:highlight w:val="none"/>
        </w:rPr>
        <w:t>附件二 基本资格条件审查资料</w:t>
      </w:r>
      <w:bookmarkEnd w:id="153"/>
      <w:bookmarkEnd w:id="154"/>
      <w:bookmarkEnd w:id="155"/>
    </w:p>
    <w:p>
      <w:pPr>
        <w:spacing w:line="264"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158" w:left="1440" w:header="567" w:footer="567" w:gutter="0"/>
          <w:cols w:equalWidth="0" w:num="1">
            <w:col w:w="9026"/>
          </w:cols>
        </w:sectPr>
      </w:pPr>
    </w:p>
    <w:p>
      <w:pPr>
        <w:spacing w:line="240" w:lineRule="exact"/>
        <w:ind w:left="900"/>
        <w:outlineLvl w:val="0"/>
        <w:rPr>
          <w:rFonts w:ascii="宋体" w:hAnsi="宋体" w:cs="宋体"/>
          <w:b/>
          <w:bCs/>
          <w:color w:val="auto"/>
          <w:sz w:val="20"/>
          <w:szCs w:val="20"/>
          <w:highlight w:val="none"/>
        </w:rPr>
      </w:pPr>
      <w:bookmarkStart w:id="156" w:name="page79"/>
      <w:bookmarkEnd w:id="156"/>
      <w:bookmarkStart w:id="157" w:name="_Toc4344_WPSOffice_Level2"/>
      <w:bookmarkStart w:id="158" w:name="_Toc931"/>
      <w:bookmarkStart w:id="159" w:name="_Toc21048_WPSOffice_Level2"/>
      <w:r>
        <w:rPr>
          <w:rFonts w:hint="eastAsia" w:ascii="宋体" w:hAnsi="宋体" w:cs="宋体"/>
          <w:b/>
          <w:bCs/>
          <w:color w:val="auto"/>
          <w:szCs w:val="21"/>
          <w:highlight w:val="none"/>
        </w:rPr>
        <w:t>附件一：强制性资格条件</w:t>
      </w:r>
      <w:bookmarkEnd w:id="157"/>
      <w:bookmarkEnd w:id="158"/>
      <w:bookmarkEnd w:id="159"/>
    </w:p>
    <w:p>
      <w:pPr>
        <w:spacing w:line="149" w:lineRule="exact"/>
        <w:rPr>
          <w:rFonts w:ascii="宋体" w:hAnsi="宋体" w:cs="宋体"/>
          <w:color w:val="auto"/>
          <w:sz w:val="20"/>
          <w:szCs w:val="20"/>
          <w:highlight w:val="none"/>
        </w:rPr>
      </w:pPr>
    </w:p>
    <w:tbl>
      <w:tblPr>
        <w:tblStyle w:val="19"/>
        <w:tblW w:w="10280" w:type="dxa"/>
        <w:tblInd w:w="0" w:type="dxa"/>
        <w:tblLayout w:type="fixed"/>
        <w:tblCellMar>
          <w:top w:w="0" w:type="dxa"/>
          <w:left w:w="0" w:type="dxa"/>
          <w:bottom w:w="0" w:type="dxa"/>
          <w:right w:w="0" w:type="dxa"/>
        </w:tblCellMar>
      </w:tblPr>
      <w:tblGrid>
        <w:gridCol w:w="650"/>
        <w:gridCol w:w="4300"/>
        <w:gridCol w:w="2690"/>
        <w:gridCol w:w="2280"/>
        <w:gridCol w:w="360"/>
      </w:tblGrid>
      <w:tr>
        <w:tblPrEx>
          <w:tblCellMar>
            <w:top w:w="0" w:type="dxa"/>
            <w:left w:w="0" w:type="dxa"/>
            <w:bottom w:w="0" w:type="dxa"/>
            <w:right w:w="0" w:type="dxa"/>
          </w:tblCellMar>
        </w:tblPrEx>
        <w:trPr>
          <w:trHeight w:val="249" w:hRule="atLeast"/>
        </w:trPr>
        <w:tc>
          <w:tcPr>
            <w:tcW w:w="650" w:type="dxa"/>
            <w:tcBorders>
              <w:top w:val="single" w:color="auto" w:sz="8" w:space="0"/>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top w:val="single" w:color="auto" w:sz="8" w:space="0"/>
              <w:right w:val="single" w:color="auto" w:sz="8" w:space="0"/>
            </w:tcBorders>
            <w:vAlign w:val="center"/>
          </w:tcPr>
          <w:p>
            <w:pPr>
              <w:jc w:val="center"/>
              <w:rPr>
                <w:rFonts w:ascii="宋体" w:hAnsi="宋体" w:cs="宋体"/>
                <w:color w:val="auto"/>
                <w:szCs w:val="21"/>
                <w:highlight w:val="none"/>
              </w:rPr>
            </w:pPr>
          </w:p>
        </w:tc>
        <w:tc>
          <w:tcPr>
            <w:tcW w:w="2690" w:type="dxa"/>
            <w:tcBorders>
              <w:top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供应商对能达到</w:t>
            </w:r>
          </w:p>
        </w:tc>
        <w:tc>
          <w:tcPr>
            <w:tcW w:w="2280" w:type="dxa"/>
            <w:vMerge w:val="restart"/>
            <w:tcBorders>
              <w:top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证明资料附后</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37" w:hRule="atLeast"/>
        </w:trPr>
        <w:tc>
          <w:tcPr>
            <w:tcW w:w="650" w:type="dxa"/>
            <w:vMerge w:val="restart"/>
            <w:tcBorders>
              <w:left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序号</w:t>
            </w:r>
          </w:p>
        </w:tc>
        <w:tc>
          <w:tcPr>
            <w:tcW w:w="430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强制性资格条件</w:t>
            </w:r>
          </w:p>
        </w:tc>
        <w:tc>
          <w:tcPr>
            <w:tcW w:w="269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程度的简述</w:t>
            </w: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37" w:hRule="atLeast"/>
        </w:trPr>
        <w:tc>
          <w:tcPr>
            <w:tcW w:w="650"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continue"/>
            <w:tcBorders>
              <w:right w:val="single" w:color="auto" w:sz="8" w:space="0"/>
            </w:tcBorders>
            <w:vAlign w:val="center"/>
          </w:tcPr>
          <w:p>
            <w:pPr>
              <w:jc w:val="center"/>
              <w:rPr>
                <w:rFonts w:ascii="宋体" w:hAnsi="宋体" w:cs="宋体"/>
                <w:color w:val="auto"/>
                <w:szCs w:val="21"/>
                <w:highlight w:val="none"/>
              </w:rPr>
            </w:pPr>
          </w:p>
        </w:tc>
        <w:tc>
          <w:tcPr>
            <w:tcW w:w="2690" w:type="dxa"/>
            <w:vMerge w:val="continue"/>
            <w:tcBorders>
              <w:right w:val="single" w:color="auto" w:sz="8" w:space="0"/>
            </w:tcBorders>
            <w:vAlign w:val="center"/>
          </w:tcPr>
          <w:p>
            <w:pPr>
              <w:jc w:val="center"/>
              <w:rPr>
                <w:rFonts w:ascii="宋体" w:hAnsi="宋体" w:cs="宋体"/>
                <w:color w:val="auto"/>
                <w:szCs w:val="21"/>
                <w:highlight w:val="none"/>
              </w:rPr>
            </w:pPr>
          </w:p>
        </w:tc>
        <w:tc>
          <w:tcPr>
            <w:tcW w:w="228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（复印件加盖公章）</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37"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right w:val="single" w:color="auto" w:sz="8" w:space="0"/>
            </w:tcBorders>
            <w:vAlign w:val="center"/>
          </w:tcPr>
          <w:p>
            <w:pPr>
              <w:jc w:val="center"/>
              <w:rPr>
                <w:rFonts w:ascii="宋体" w:hAnsi="宋体" w:cs="宋体"/>
                <w:color w:val="auto"/>
                <w:szCs w:val="21"/>
                <w:highlight w:val="none"/>
              </w:rPr>
            </w:pPr>
          </w:p>
        </w:tc>
        <w:tc>
          <w:tcPr>
            <w:tcW w:w="269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（供应商填写）</w:t>
            </w: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34"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right w:val="single" w:color="auto" w:sz="8" w:space="0"/>
            </w:tcBorders>
            <w:vAlign w:val="center"/>
          </w:tcPr>
          <w:p>
            <w:pPr>
              <w:jc w:val="center"/>
              <w:rPr>
                <w:rFonts w:ascii="宋体" w:hAnsi="宋体" w:cs="宋体"/>
                <w:color w:val="auto"/>
                <w:szCs w:val="21"/>
                <w:highlight w:val="none"/>
              </w:rPr>
            </w:pPr>
          </w:p>
        </w:tc>
        <w:tc>
          <w:tcPr>
            <w:tcW w:w="2690" w:type="dxa"/>
            <w:vMerge w:val="continue"/>
            <w:tcBorders>
              <w:right w:val="single" w:color="auto" w:sz="8" w:space="0"/>
            </w:tcBorders>
            <w:vAlign w:val="center"/>
          </w:tcPr>
          <w:p>
            <w:pPr>
              <w:jc w:val="center"/>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454"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b/>
                <w:bCs/>
                <w:color w:val="auto"/>
                <w:szCs w:val="21"/>
                <w:highlight w:val="none"/>
              </w:rPr>
              <w:t>一</w:t>
            </w:r>
          </w:p>
        </w:tc>
        <w:tc>
          <w:tcPr>
            <w:tcW w:w="4300" w:type="dxa"/>
            <w:tcBorders>
              <w:top w:val="single" w:color="auto" w:sz="4" w:space="0"/>
              <w:left w:val="single" w:color="auto" w:sz="4" w:space="0"/>
              <w:bottom w:val="single" w:color="auto" w:sz="4" w:space="0"/>
              <w:right w:val="single" w:color="auto" w:sz="4" w:space="0"/>
            </w:tcBorders>
            <w:vAlign w:val="center"/>
          </w:tcPr>
          <w:p>
            <w:pPr>
              <w:ind w:left="100"/>
              <w:jc w:val="center"/>
              <w:rPr>
                <w:rFonts w:ascii="宋体" w:hAnsi="宋体" w:cs="宋体"/>
                <w:color w:val="auto"/>
                <w:szCs w:val="21"/>
                <w:highlight w:val="none"/>
              </w:rPr>
            </w:pPr>
            <w:r>
              <w:rPr>
                <w:rFonts w:hint="eastAsia" w:ascii="宋体" w:hAnsi="宋体" w:cs="宋体"/>
                <w:b/>
                <w:bCs/>
                <w:color w:val="auto"/>
                <w:szCs w:val="21"/>
                <w:highlight w:val="none"/>
              </w:rPr>
              <w:t>企业资质要求</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360" w:type="dxa"/>
            <w:tcBorders>
              <w:left w:val="single" w:color="auto" w:sz="4" w:space="0"/>
            </w:tcBorders>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212" w:hRule="atLeast"/>
        </w:trPr>
        <w:tc>
          <w:tcPr>
            <w:tcW w:w="650"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300" w:type="dxa"/>
            <w:tcBorders>
              <w:top w:val="single" w:color="auto" w:sz="4" w:space="0"/>
              <w:bottom w:val="single" w:color="auto" w:sz="4" w:space="0"/>
              <w:right w:val="single" w:color="auto" w:sz="8" w:space="0"/>
            </w:tcBorders>
            <w:vAlign w:val="center"/>
          </w:tcPr>
          <w:p>
            <w:pPr>
              <w:ind w:left="100"/>
              <w:jc w:val="both"/>
              <w:rPr>
                <w:rFonts w:ascii="宋体" w:hAnsi="宋体" w:cs="宋体"/>
                <w:color w:val="auto"/>
                <w:szCs w:val="21"/>
                <w:highlight w:val="none"/>
              </w:rPr>
            </w:pPr>
            <w:r>
              <w:rPr>
                <w:rFonts w:hint="eastAsia" w:ascii="宋体" w:hAnsi="宋体" w:cs="宋体"/>
                <w:b/>
                <w:bCs/>
                <w:color w:val="auto"/>
                <w:szCs w:val="21"/>
                <w:highlight w:val="none"/>
              </w:rPr>
              <w:t>具有建设行政主管部门核定的建筑装修装饰工程专业承包贰级及以上资质，或具有房屋建筑工程施工总承包企业三级及以上资质；</w:t>
            </w:r>
          </w:p>
        </w:tc>
        <w:tc>
          <w:tcPr>
            <w:tcW w:w="2690" w:type="dxa"/>
            <w:tcBorders>
              <w:top w:val="single" w:color="auto" w:sz="4" w:space="0"/>
              <w:bottom w:val="single" w:color="auto" w:sz="4" w:space="0"/>
              <w:right w:val="single" w:color="auto" w:sz="8" w:space="0"/>
            </w:tcBorders>
            <w:vAlign w:val="center"/>
          </w:tcPr>
          <w:p>
            <w:pPr>
              <w:jc w:val="center"/>
              <w:rPr>
                <w:rFonts w:ascii="宋体" w:hAnsi="宋体" w:cs="宋体"/>
                <w:color w:val="auto"/>
                <w:szCs w:val="21"/>
                <w:highlight w:val="none"/>
              </w:rPr>
            </w:pPr>
          </w:p>
        </w:tc>
        <w:tc>
          <w:tcPr>
            <w:tcW w:w="2280" w:type="dxa"/>
            <w:tcBorders>
              <w:top w:val="single" w:color="auto" w:sz="4" w:space="0"/>
              <w:bottom w:val="single" w:color="auto" w:sz="4" w:space="0"/>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证书</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15"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3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b/>
                <w:bCs/>
                <w:color w:val="auto"/>
                <w:szCs w:val="21"/>
                <w:highlight w:val="none"/>
              </w:rPr>
              <w:t>企业具有安全生产许可证，且在有效期内</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w:t>
            </w:r>
          </w:p>
        </w:tc>
        <w:tc>
          <w:tcPr>
            <w:tcW w:w="360" w:type="dxa"/>
            <w:tcBorders>
              <w:left w:val="single" w:color="auto" w:sz="4" w:space="0"/>
            </w:tcBorders>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05" w:hRule="atLeast"/>
        </w:trPr>
        <w:tc>
          <w:tcPr>
            <w:tcW w:w="650" w:type="dxa"/>
            <w:tcBorders>
              <w:top w:val="single" w:color="auto" w:sz="4" w:space="0"/>
              <w:left w:val="single" w:color="auto" w:sz="8" w:space="0"/>
              <w:right w:val="single" w:color="auto" w:sz="8" w:space="0"/>
            </w:tcBorders>
            <w:vAlign w:val="center"/>
          </w:tcPr>
          <w:p>
            <w:pPr>
              <w:jc w:val="center"/>
              <w:rPr>
                <w:rFonts w:ascii="宋体" w:hAnsi="宋体" w:cs="宋体"/>
                <w:color w:val="auto"/>
                <w:w w:val="85"/>
                <w:szCs w:val="21"/>
                <w:highlight w:val="none"/>
              </w:rPr>
            </w:pPr>
          </w:p>
          <w:p>
            <w:pPr>
              <w:jc w:val="center"/>
              <w:rPr>
                <w:rFonts w:ascii="宋体" w:hAnsi="宋体" w:cs="宋体"/>
                <w:color w:val="auto"/>
                <w:szCs w:val="21"/>
                <w:highlight w:val="none"/>
              </w:rPr>
            </w:pPr>
            <w:r>
              <w:rPr>
                <w:rFonts w:hint="eastAsia" w:ascii="宋体" w:hAnsi="宋体" w:cs="宋体"/>
                <w:color w:val="auto"/>
                <w:w w:val="85"/>
                <w:szCs w:val="21"/>
                <w:highlight w:val="none"/>
              </w:rPr>
              <w:t>3</w:t>
            </w:r>
          </w:p>
        </w:tc>
        <w:tc>
          <w:tcPr>
            <w:tcW w:w="4300" w:type="dxa"/>
            <w:tcBorders>
              <w:top w:val="single" w:color="auto" w:sz="4" w:space="0"/>
              <w:right w:val="single" w:color="auto" w:sz="8" w:space="0"/>
            </w:tcBorders>
            <w:vAlign w:val="center"/>
          </w:tcPr>
          <w:p>
            <w:pPr>
              <w:ind w:left="100"/>
              <w:jc w:val="center"/>
              <w:rPr>
                <w:rFonts w:ascii="宋体" w:hAnsi="宋体" w:cs="宋体"/>
                <w:color w:val="auto"/>
                <w:szCs w:val="21"/>
                <w:highlight w:val="none"/>
              </w:rPr>
            </w:pPr>
          </w:p>
          <w:p>
            <w:pPr>
              <w:ind w:left="100"/>
              <w:jc w:val="both"/>
              <w:rPr>
                <w:rFonts w:ascii="宋体" w:hAnsi="宋体" w:cs="宋体"/>
                <w:b/>
                <w:bCs/>
                <w:color w:val="auto"/>
                <w:szCs w:val="21"/>
                <w:highlight w:val="none"/>
              </w:rPr>
            </w:pPr>
            <w:r>
              <w:rPr>
                <w:rFonts w:hint="eastAsia" w:ascii="宋体" w:hAnsi="宋体" w:cs="宋体"/>
                <w:b/>
                <w:bCs/>
                <w:color w:val="auto"/>
                <w:szCs w:val="21"/>
                <w:highlight w:val="none"/>
              </w:rPr>
              <w:t>拟派项目经理具有建筑工程专业二级及以上建造师注册证书；</w:t>
            </w:r>
          </w:p>
          <w:p>
            <w:pPr>
              <w:ind w:left="100"/>
              <w:jc w:val="center"/>
              <w:rPr>
                <w:rFonts w:ascii="宋体" w:hAnsi="宋体" w:cs="宋体"/>
                <w:color w:val="auto"/>
                <w:szCs w:val="21"/>
                <w:highlight w:val="none"/>
              </w:rPr>
            </w:pPr>
          </w:p>
        </w:tc>
        <w:tc>
          <w:tcPr>
            <w:tcW w:w="2690" w:type="dxa"/>
            <w:tcBorders>
              <w:top w:val="single" w:color="auto" w:sz="4" w:space="0"/>
              <w:right w:val="single" w:color="auto" w:sz="8" w:space="0"/>
            </w:tcBorders>
            <w:vAlign w:val="center"/>
          </w:tcPr>
          <w:p>
            <w:pPr>
              <w:jc w:val="center"/>
              <w:rPr>
                <w:rFonts w:ascii="宋体" w:hAnsi="宋体" w:cs="宋体"/>
                <w:color w:val="auto"/>
                <w:szCs w:val="21"/>
                <w:highlight w:val="none"/>
              </w:rPr>
            </w:pPr>
          </w:p>
        </w:tc>
        <w:tc>
          <w:tcPr>
            <w:tcW w:w="2280" w:type="dxa"/>
            <w:tcBorders>
              <w:top w:val="single" w:color="auto" w:sz="4" w:space="0"/>
              <w:right w:val="single" w:color="auto" w:sz="8" w:space="0"/>
            </w:tcBorders>
            <w:vAlign w:val="center"/>
          </w:tcPr>
          <w:p>
            <w:pPr>
              <w:jc w:val="center"/>
              <w:rPr>
                <w:rFonts w:ascii="宋体" w:hAnsi="宋体" w:cs="宋体"/>
                <w:color w:val="auto"/>
                <w:szCs w:val="21"/>
                <w:highlight w:val="none"/>
              </w:rPr>
            </w:pPr>
          </w:p>
          <w:p>
            <w:pPr>
              <w:jc w:val="center"/>
              <w:rPr>
                <w:rFonts w:ascii="宋体" w:hAnsi="宋体" w:cs="宋体"/>
                <w:color w:val="auto"/>
                <w:szCs w:val="21"/>
                <w:highlight w:val="none"/>
              </w:rPr>
            </w:pPr>
            <w:r>
              <w:rPr>
                <w:rFonts w:hint="eastAsia" w:ascii="宋体" w:hAnsi="宋体" w:cs="宋体"/>
                <w:color w:val="auto"/>
                <w:szCs w:val="21"/>
                <w:highlight w:val="none"/>
              </w:rPr>
              <w:t>建造师执业注册证书</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6" w:hRule="atLeast"/>
        </w:trPr>
        <w:tc>
          <w:tcPr>
            <w:tcW w:w="650" w:type="dxa"/>
            <w:tcBorders>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69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72" w:hRule="atLeast"/>
        </w:trPr>
        <w:tc>
          <w:tcPr>
            <w:tcW w:w="650" w:type="dxa"/>
            <w:vMerge w:val="restart"/>
            <w:tcBorders>
              <w:left w:val="single" w:color="auto" w:sz="8" w:space="0"/>
              <w:right w:val="single" w:color="auto" w:sz="8" w:space="0"/>
            </w:tcBorders>
            <w:vAlign w:val="center"/>
          </w:tcPr>
          <w:p>
            <w:pPr>
              <w:jc w:val="center"/>
              <w:rPr>
                <w:rFonts w:ascii="宋体" w:hAnsi="宋体" w:cs="宋体"/>
                <w:color w:val="auto"/>
                <w:w w:val="85"/>
                <w:szCs w:val="21"/>
                <w:highlight w:val="none"/>
              </w:rPr>
            </w:pPr>
          </w:p>
          <w:p>
            <w:pPr>
              <w:jc w:val="center"/>
              <w:rPr>
                <w:rFonts w:ascii="宋体" w:hAnsi="宋体" w:cs="宋体"/>
                <w:color w:val="auto"/>
                <w:w w:val="85"/>
                <w:szCs w:val="21"/>
                <w:highlight w:val="none"/>
              </w:rPr>
            </w:pPr>
          </w:p>
          <w:p>
            <w:pPr>
              <w:jc w:val="center"/>
              <w:rPr>
                <w:rFonts w:ascii="宋体" w:hAnsi="宋体" w:cs="宋体"/>
                <w:color w:val="auto"/>
                <w:szCs w:val="21"/>
                <w:highlight w:val="none"/>
              </w:rPr>
            </w:pPr>
            <w:r>
              <w:rPr>
                <w:rFonts w:hint="eastAsia" w:ascii="宋体" w:hAnsi="宋体" w:cs="宋体"/>
                <w:color w:val="auto"/>
                <w:w w:val="85"/>
                <w:szCs w:val="21"/>
                <w:highlight w:val="none"/>
              </w:rPr>
              <w:t>4</w:t>
            </w:r>
          </w:p>
        </w:tc>
        <w:tc>
          <w:tcPr>
            <w:tcW w:w="4300" w:type="dxa"/>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符合《中华人民共和国政府采购法》第二十二条的规定；</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restart"/>
            <w:tcBorders>
              <w:right w:val="single" w:color="auto" w:sz="8" w:space="0"/>
            </w:tcBorders>
            <w:vAlign w:val="center"/>
          </w:tcPr>
          <w:p>
            <w:pPr>
              <w:jc w:val="center"/>
              <w:rPr>
                <w:rFonts w:ascii="宋体" w:hAnsi="宋体" w:cs="宋体"/>
                <w:color w:val="auto"/>
                <w:w w:val="99"/>
                <w:szCs w:val="21"/>
                <w:highlight w:val="none"/>
              </w:rPr>
            </w:pPr>
          </w:p>
          <w:p>
            <w:pPr>
              <w:jc w:val="center"/>
              <w:rPr>
                <w:rFonts w:ascii="宋体" w:hAnsi="宋体" w:cs="宋体"/>
                <w:color w:val="auto"/>
                <w:szCs w:val="21"/>
                <w:highlight w:val="none"/>
              </w:rPr>
            </w:pPr>
            <w:r>
              <w:rPr>
                <w:rFonts w:hint="eastAsia" w:ascii="宋体" w:hAnsi="宋体" w:cs="宋体"/>
                <w:color w:val="auto"/>
                <w:w w:val="99"/>
                <w:szCs w:val="21"/>
                <w:highlight w:val="none"/>
              </w:rPr>
              <w:t>见附件二</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61" w:hRule="atLeast"/>
        </w:trPr>
        <w:tc>
          <w:tcPr>
            <w:tcW w:w="650"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restart"/>
            <w:tcBorders>
              <w:right w:val="single" w:color="auto" w:sz="8" w:space="0"/>
            </w:tcBorders>
            <w:vAlign w:val="center"/>
          </w:tcPr>
          <w:p>
            <w:pPr>
              <w:jc w:val="center"/>
              <w:rPr>
                <w:rFonts w:ascii="宋体" w:hAnsi="宋体" w:cs="宋体"/>
                <w:color w:val="auto"/>
                <w:szCs w:val="21"/>
                <w:highlight w:val="none"/>
              </w:rPr>
            </w:pP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0"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continue"/>
            <w:tcBorders>
              <w:right w:val="single" w:color="auto" w:sz="8" w:space="0"/>
            </w:tcBorders>
            <w:vAlign w:val="center"/>
          </w:tcPr>
          <w:p>
            <w:pPr>
              <w:jc w:val="center"/>
              <w:rPr>
                <w:rFonts w:ascii="宋体" w:hAnsi="宋体" w:cs="宋体"/>
                <w:color w:val="auto"/>
                <w:szCs w:val="21"/>
                <w:highlight w:val="none"/>
              </w:rPr>
            </w:pPr>
          </w:p>
        </w:tc>
        <w:tc>
          <w:tcPr>
            <w:tcW w:w="2690" w:type="dxa"/>
            <w:tcBorders>
              <w:right w:val="single" w:color="auto" w:sz="8" w:space="0"/>
            </w:tcBorders>
            <w:vAlign w:val="center"/>
          </w:tcPr>
          <w:p>
            <w:pPr>
              <w:jc w:val="both"/>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bottom w:val="single" w:color="auto" w:sz="8" w:space="0"/>
              <w:right w:val="single" w:color="auto" w:sz="8" w:space="0"/>
            </w:tcBorders>
            <w:vAlign w:val="center"/>
          </w:tcPr>
          <w:p>
            <w:pPr>
              <w:jc w:val="both"/>
              <w:rPr>
                <w:rFonts w:ascii="宋体" w:hAnsi="宋体" w:cs="宋体"/>
                <w:color w:val="auto"/>
                <w:szCs w:val="21"/>
                <w:highlight w:val="none"/>
              </w:rPr>
            </w:pPr>
          </w:p>
        </w:tc>
        <w:tc>
          <w:tcPr>
            <w:tcW w:w="269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bottom w:val="single" w:color="auto" w:sz="8" w:space="0"/>
              <w:right w:val="single" w:color="auto" w:sz="8" w:space="0"/>
            </w:tcBorders>
            <w:vAlign w:val="center"/>
          </w:tcPr>
          <w:p>
            <w:pPr>
              <w:jc w:val="both"/>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231" w:hRule="atLeast"/>
        </w:trPr>
        <w:tc>
          <w:tcPr>
            <w:tcW w:w="650" w:type="dxa"/>
            <w:vMerge w:val="restart"/>
            <w:tcBorders>
              <w:left w:val="single" w:color="auto" w:sz="8" w:space="0"/>
              <w:right w:val="single" w:color="auto" w:sz="8" w:space="0"/>
            </w:tcBorders>
            <w:vAlign w:val="center"/>
          </w:tcPr>
          <w:p>
            <w:pPr>
              <w:jc w:val="center"/>
              <w:rPr>
                <w:rFonts w:ascii="宋体" w:hAnsi="宋体" w:cs="宋体"/>
                <w:color w:val="auto"/>
                <w:w w:val="85"/>
                <w:szCs w:val="21"/>
                <w:highlight w:val="none"/>
              </w:rPr>
            </w:pPr>
          </w:p>
          <w:p>
            <w:pPr>
              <w:jc w:val="center"/>
              <w:rPr>
                <w:rFonts w:ascii="宋体" w:hAnsi="宋体" w:cs="宋体"/>
                <w:color w:val="auto"/>
                <w:szCs w:val="21"/>
                <w:highlight w:val="none"/>
              </w:rPr>
            </w:pPr>
            <w:r>
              <w:rPr>
                <w:rFonts w:hint="eastAsia" w:ascii="宋体" w:hAnsi="宋体" w:cs="宋体"/>
                <w:color w:val="auto"/>
                <w:w w:val="85"/>
                <w:szCs w:val="21"/>
                <w:highlight w:val="none"/>
              </w:rPr>
              <w:t>5</w:t>
            </w:r>
          </w:p>
        </w:tc>
        <w:tc>
          <w:tcPr>
            <w:tcW w:w="4300" w:type="dxa"/>
            <w:tcBorders>
              <w:right w:val="single" w:color="auto" w:sz="8" w:space="0"/>
            </w:tcBorders>
            <w:vAlign w:val="center"/>
          </w:tcPr>
          <w:p>
            <w:pPr>
              <w:ind w:left="100"/>
              <w:jc w:val="center"/>
              <w:rPr>
                <w:rFonts w:ascii="宋体" w:hAnsi="宋体" w:cs="宋体"/>
                <w:color w:val="auto"/>
                <w:szCs w:val="21"/>
                <w:highlight w:val="none"/>
              </w:rPr>
            </w:pPr>
          </w:p>
          <w:p>
            <w:pPr>
              <w:ind w:left="100"/>
              <w:jc w:val="center"/>
              <w:rPr>
                <w:rFonts w:ascii="宋体" w:hAnsi="宋体" w:cs="宋体"/>
                <w:color w:val="auto"/>
                <w:szCs w:val="21"/>
                <w:highlight w:val="none"/>
              </w:rPr>
            </w:pPr>
            <w:r>
              <w:rPr>
                <w:rFonts w:hint="eastAsia" w:ascii="宋体" w:hAnsi="宋体" w:cs="宋体"/>
                <w:color w:val="auto"/>
                <w:szCs w:val="21"/>
                <w:highlight w:val="none"/>
              </w:rPr>
              <w:t>参加采购活动前三年内，在经营活动中没有重大违法</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restart"/>
            <w:tcBorders>
              <w:right w:val="single" w:color="auto" w:sz="8" w:space="0"/>
            </w:tcBorders>
            <w:vAlign w:val="center"/>
          </w:tcPr>
          <w:p>
            <w:pPr>
              <w:jc w:val="center"/>
              <w:rPr>
                <w:rFonts w:ascii="宋体" w:hAnsi="宋体" w:cs="宋体"/>
                <w:color w:val="auto"/>
                <w:w w:val="99"/>
                <w:szCs w:val="21"/>
                <w:highlight w:val="none"/>
              </w:rPr>
            </w:pPr>
          </w:p>
          <w:p>
            <w:pPr>
              <w:jc w:val="center"/>
              <w:rPr>
                <w:rFonts w:ascii="宋体" w:hAnsi="宋体" w:cs="宋体"/>
                <w:color w:val="auto"/>
                <w:szCs w:val="21"/>
                <w:highlight w:val="none"/>
              </w:rPr>
            </w:pPr>
            <w:r>
              <w:rPr>
                <w:rFonts w:hint="eastAsia" w:ascii="宋体" w:hAnsi="宋体" w:cs="宋体"/>
                <w:color w:val="auto"/>
                <w:w w:val="99"/>
                <w:szCs w:val="21"/>
                <w:highlight w:val="none"/>
              </w:rPr>
              <w:t>内容见承诺书</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restart"/>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记录</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23"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continue"/>
            <w:tcBorders>
              <w:right w:val="single" w:color="auto" w:sz="8" w:space="0"/>
            </w:tcBorders>
            <w:vAlign w:val="center"/>
          </w:tcPr>
          <w:p>
            <w:pPr>
              <w:jc w:val="center"/>
              <w:rPr>
                <w:rFonts w:ascii="宋体" w:hAnsi="宋体" w:cs="宋体"/>
                <w:color w:val="auto"/>
                <w:szCs w:val="21"/>
                <w:highlight w:val="none"/>
              </w:rPr>
            </w:pP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69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229"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供应商未被列入失信被执行人名单、重大税收违法案</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271" w:hRule="atLeast"/>
        </w:trPr>
        <w:tc>
          <w:tcPr>
            <w:tcW w:w="650" w:type="dxa"/>
            <w:vMerge w:val="restart"/>
            <w:tcBorders>
              <w:left w:val="single" w:color="auto" w:sz="8" w:space="0"/>
              <w:right w:val="single" w:color="auto" w:sz="8" w:space="0"/>
            </w:tcBorders>
            <w:vAlign w:val="center"/>
          </w:tcPr>
          <w:p>
            <w:pPr>
              <w:jc w:val="center"/>
              <w:rPr>
                <w:rFonts w:ascii="宋体" w:hAnsi="宋体" w:cs="宋体"/>
                <w:color w:val="auto"/>
                <w:w w:val="85"/>
                <w:szCs w:val="21"/>
                <w:highlight w:val="none"/>
              </w:rPr>
            </w:pPr>
          </w:p>
          <w:p>
            <w:pPr>
              <w:jc w:val="center"/>
              <w:rPr>
                <w:rFonts w:ascii="宋体" w:hAnsi="宋体" w:cs="宋体"/>
                <w:color w:val="auto"/>
                <w:szCs w:val="21"/>
                <w:highlight w:val="none"/>
              </w:rPr>
            </w:pPr>
            <w:r>
              <w:rPr>
                <w:rFonts w:hint="eastAsia" w:ascii="宋体" w:hAnsi="宋体" w:cs="宋体"/>
                <w:color w:val="auto"/>
                <w:w w:val="85"/>
                <w:szCs w:val="21"/>
                <w:highlight w:val="none"/>
              </w:rPr>
              <w:t>6</w:t>
            </w:r>
          </w:p>
        </w:tc>
        <w:tc>
          <w:tcPr>
            <w:tcW w:w="4300" w:type="dxa"/>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w w:val="97"/>
                <w:szCs w:val="21"/>
                <w:highlight w:val="none"/>
              </w:rPr>
              <w:t>件当事人名单、政府采购严重违法失信行为记录名单，</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以采购代理机构开标</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restart"/>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w w:val="95"/>
                <w:szCs w:val="21"/>
                <w:highlight w:val="none"/>
              </w:rPr>
              <w:t>信用信息以信用中国网站（www.creditchina.gov.cn）、</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前网页查询为准</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42"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continue"/>
            <w:tcBorders>
              <w:right w:val="single" w:color="auto" w:sz="8" w:space="0"/>
            </w:tcBorders>
            <w:vAlign w:val="center"/>
          </w:tcPr>
          <w:p>
            <w:pPr>
              <w:jc w:val="center"/>
              <w:rPr>
                <w:rFonts w:ascii="宋体" w:hAnsi="宋体" w:cs="宋体"/>
                <w:color w:val="auto"/>
                <w:szCs w:val="21"/>
                <w:highlight w:val="none"/>
              </w:rPr>
            </w:pP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280" w:hRule="atLeast"/>
        </w:trPr>
        <w:tc>
          <w:tcPr>
            <w:tcW w:w="650" w:type="dxa"/>
            <w:tcBorders>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bottom w:val="single" w:color="auto" w:sz="8" w:space="0"/>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中国政府采购网（www.ccgp.gov.cn）公布为准；</w:t>
            </w:r>
          </w:p>
        </w:tc>
        <w:tc>
          <w:tcPr>
            <w:tcW w:w="269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bl>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3" w:lineRule="exact"/>
        <w:rPr>
          <w:rFonts w:ascii="宋体" w:hAnsi="宋体" w:cs="宋体"/>
          <w:color w:val="auto"/>
          <w:sz w:val="20"/>
          <w:szCs w:val="20"/>
          <w:highlight w:val="none"/>
        </w:rPr>
      </w:pPr>
    </w:p>
    <w:p>
      <w:pPr>
        <w:spacing w:line="255" w:lineRule="exact"/>
        <w:ind w:left="1320"/>
        <w:rPr>
          <w:rFonts w:ascii="宋体" w:hAnsi="宋体" w:cs="宋体"/>
          <w:color w:val="auto"/>
          <w:sz w:val="20"/>
          <w:szCs w:val="20"/>
          <w:highlight w:val="none"/>
        </w:rPr>
      </w:pPr>
      <w:r>
        <w:rPr>
          <w:rFonts w:hint="eastAsia" w:ascii="宋体" w:hAnsi="宋体" w:cs="宋体"/>
          <w:b/>
          <w:bCs/>
          <w:color w:val="auto"/>
          <w:szCs w:val="21"/>
          <w:highlight w:val="none"/>
        </w:rPr>
        <w:t>注：1、证明材料复印件需齐全，不得缺页，否则证明无效，加盖公章。</w:t>
      </w:r>
    </w:p>
    <w:p>
      <w:pPr>
        <w:spacing w:line="156" w:lineRule="exact"/>
        <w:rPr>
          <w:rFonts w:ascii="宋体" w:hAnsi="宋体" w:cs="宋体"/>
          <w:color w:val="auto"/>
          <w:sz w:val="20"/>
          <w:szCs w:val="20"/>
          <w:highlight w:val="none"/>
        </w:rPr>
      </w:pPr>
    </w:p>
    <w:p>
      <w:pPr>
        <w:spacing w:line="255" w:lineRule="exact"/>
        <w:ind w:left="1320"/>
        <w:rPr>
          <w:rFonts w:ascii="宋体" w:hAnsi="宋体" w:cs="宋体"/>
          <w:color w:val="auto"/>
          <w:sz w:val="20"/>
          <w:szCs w:val="20"/>
          <w:highlight w:val="none"/>
        </w:rPr>
      </w:pPr>
      <w:r>
        <w:rPr>
          <w:rFonts w:hint="eastAsia" w:ascii="宋体" w:hAnsi="宋体" w:cs="宋体"/>
          <w:b/>
          <w:bCs/>
          <w:color w:val="auto"/>
          <w:szCs w:val="21"/>
          <w:highlight w:val="none"/>
        </w:rPr>
        <w:t>2、证明材料因具备充分性，与要求相对应，否则由此产生的责任和风险磋商响应供应商承担。</w:t>
      </w:r>
    </w:p>
    <w:p>
      <w:pPr>
        <w:spacing w:line="200" w:lineRule="exact"/>
        <w:rPr>
          <w:rFonts w:ascii="宋体" w:hAnsi="宋体" w:cs="宋体"/>
          <w:color w:val="auto"/>
          <w:sz w:val="20"/>
          <w:szCs w:val="20"/>
          <w:highlight w:val="none"/>
        </w:rPr>
      </w:pPr>
    </w:p>
    <w:p>
      <w:pPr>
        <w:spacing w:line="315" w:lineRule="exact"/>
        <w:rPr>
          <w:rFonts w:ascii="宋体" w:hAnsi="宋体" w:cs="宋体"/>
          <w:color w:val="auto"/>
          <w:sz w:val="20"/>
          <w:szCs w:val="20"/>
          <w:highlight w:val="none"/>
        </w:rPr>
      </w:pPr>
    </w:p>
    <w:p>
      <w:pPr>
        <w:spacing w:line="240" w:lineRule="exact"/>
        <w:ind w:left="90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168" w:lineRule="exact"/>
        <w:rPr>
          <w:rFonts w:ascii="宋体" w:hAnsi="宋体" w:cs="宋体"/>
          <w:color w:val="auto"/>
          <w:sz w:val="20"/>
          <w:szCs w:val="20"/>
          <w:highlight w:val="none"/>
        </w:rPr>
      </w:pPr>
    </w:p>
    <w:p>
      <w:pPr>
        <w:spacing w:line="240" w:lineRule="exact"/>
        <w:ind w:left="900"/>
        <w:rPr>
          <w:rFonts w:ascii="宋体" w:hAnsi="宋体" w:cs="宋体"/>
          <w:color w:val="auto"/>
          <w:sz w:val="20"/>
          <w:szCs w:val="20"/>
          <w:highlight w:val="none"/>
        </w:rPr>
      </w:pPr>
      <w:r>
        <w:rPr>
          <w:rFonts w:hint="eastAsia" w:ascii="宋体" w:hAnsi="宋体" w:cs="宋体"/>
          <w:color w:val="auto"/>
          <w:szCs w:val="21"/>
          <w:highlight w:val="none"/>
        </w:rPr>
        <w:t>响应文件签署人（签字或盖章）：</w:t>
      </w:r>
    </w:p>
    <w:p>
      <w:pPr>
        <w:spacing w:line="168" w:lineRule="exact"/>
        <w:rPr>
          <w:rFonts w:ascii="宋体" w:hAnsi="宋体" w:cs="宋体"/>
          <w:color w:val="auto"/>
          <w:sz w:val="20"/>
          <w:szCs w:val="20"/>
          <w:highlight w:val="none"/>
        </w:rPr>
      </w:pPr>
    </w:p>
    <w:p>
      <w:pPr>
        <w:spacing w:line="240" w:lineRule="exact"/>
        <w:ind w:left="900"/>
        <w:rPr>
          <w:rFonts w:ascii="宋体" w:hAnsi="宋体" w:cs="宋体"/>
          <w:color w:val="auto"/>
          <w:sz w:val="20"/>
          <w:szCs w:val="20"/>
          <w:highlight w:val="none"/>
        </w:rPr>
      </w:pPr>
      <w:r>
        <w:rPr>
          <w:rFonts w:hint="eastAsia" w:ascii="宋体" w:hAnsi="宋体" w:cs="宋体"/>
          <w:color w:val="auto"/>
          <w:szCs w:val="21"/>
          <w:highlight w:val="none"/>
        </w:rPr>
        <w:t>日期：</w:t>
      </w:r>
    </w:p>
    <w:p>
      <w:pPr>
        <w:rPr>
          <w:rFonts w:ascii="宋体" w:hAnsi="宋体" w:cs="宋体"/>
          <w:color w:val="auto"/>
          <w:highlight w:val="none"/>
        </w:rPr>
        <w:sectPr>
          <w:pgSz w:w="11900" w:h="16838"/>
          <w:pgMar w:top="1440" w:right="1106" w:bottom="158" w:left="900" w:header="567" w:footer="567" w:gutter="0"/>
          <w:cols w:equalWidth="0" w:num="1">
            <w:col w:w="9900"/>
          </w:cols>
        </w:sectPr>
      </w:pPr>
    </w:p>
    <w:p>
      <w:pPr>
        <w:spacing w:line="240" w:lineRule="exact"/>
        <w:outlineLvl w:val="0"/>
        <w:rPr>
          <w:rFonts w:ascii="宋体" w:hAnsi="宋体" w:cs="宋体"/>
          <w:b/>
          <w:bCs/>
          <w:color w:val="auto"/>
          <w:sz w:val="20"/>
          <w:szCs w:val="20"/>
          <w:highlight w:val="none"/>
        </w:rPr>
      </w:pPr>
      <w:bookmarkStart w:id="160" w:name="page80"/>
      <w:bookmarkEnd w:id="160"/>
      <w:bookmarkStart w:id="161" w:name="_Toc32408_WPSOffice_Level2"/>
      <w:bookmarkStart w:id="162" w:name="_Toc12285_WPSOffice_Level2"/>
      <w:bookmarkStart w:id="163" w:name="_Toc22070"/>
      <w:r>
        <w:rPr>
          <w:rFonts w:hint="eastAsia" w:ascii="宋体" w:hAnsi="宋体" w:cs="宋体"/>
          <w:b/>
          <w:bCs/>
          <w:color w:val="auto"/>
          <w:szCs w:val="21"/>
          <w:highlight w:val="none"/>
        </w:rPr>
        <w:t>附件二：基本资格条件审查资料</w:t>
      </w:r>
      <w:bookmarkEnd w:id="161"/>
      <w:bookmarkEnd w:id="162"/>
      <w:bookmarkEnd w:id="163"/>
    </w:p>
    <w:p>
      <w:pPr>
        <w:spacing w:line="200" w:lineRule="exact"/>
        <w:rPr>
          <w:rFonts w:ascii="宋体" w:hAnsi="宋体" w:cs="宋体"/>
          <w:color w:val="auto"/>
          <w:sz w:val="20"/>
          <w:szCs w:val="20"/>
          <w:highlight w:val="none"/>
        </w:rPr>
      </w:pPr>
    </w:p>
    <w:p>
      <w:pPr>
        <w:pStyle w:val="2"/>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（1）有效的法人或者其他组织的营业执照等证明文件（复印件加盖公章），自然人的身份证明；</w:t>
      </w:r>
    </w:p>
    <w:p>
      <w:pPr>
        <w:pStyle w:val="2"/>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（2）最近六个月任意一月依法缴纳税收的证明材料；（依法免税的磋商响应供应商，应提供相应文件证明其依法免税）</w:t>
      </w:r>
    </w:p>
    <w:p>
      <w:pPr>
        <w:pStyle w:val="2"/>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（3）最近六个月任意一月依法缴社会保障资金的证明材料；（依法不需要缴纳社会保障资金的磋商响应供应商，应提供相应文件证明其依法不需要缴纳社会保障资金）</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（4）具有履行合同所必需的设备和专业技术能力的承诺函；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 3 年内在经营活动中没有重大违法记录的声明函；</w:t>
      </w:r>
    </w:p>
    <w:p>
      <w:pPr>
        <w:spacing w:line="360" w:lineRule="auto"/>
        <w:rPr>
          <w:rFonts w:ascii="宋体" w:hAnsi="宋体" w:cs="宋体"/>
          <w:color w:val="auto"/>
          <w:sz w:val="20"/>
          <w:szCs w:val="20"/>
          <w:highlight w:val="none"/>
        </w:rPr>
      </w:pPr>
    </w:p>
    <w:p>
      <w:pPr>
        <w:spacing w:line="360" w:lineRule="auto"/>
        <w:ind w:left="360"/>
        <w:jc w:val="center"/>
        <w:rPr>
          <w:rFonts w:ascii="宋体" w:hAnsi="宋体" w:cs="宋体"/>
          <w:b/>
          <w:bCs/>
          <w:color w:val="auto"/>
          <w:sz w:val="28"/>
          <w:szCs w:val="28"/>
          <w:highlight w:val="none"/>
        </w:rPr>
      </w:pPr>
    </w:p>
    <w:p>
      <w:pPr>
        <w:spacing w:line="360" w:lineRule="auto"/>
        <w:ind w:left="360"/>
        <w:jc w:val="center"/>
        <w:rPr>
          <w:rFonts w:ascii="宋体" w:hAnsi="宋体" w:cs="宋体"/>
          <w:b/>
          <w:bCs/>
          <w:color w:val="auto"/>
          <w:sz w:val="28"/>
          <w:szCs w:val="28"/>
          <w:highlight w:val="none"/>
        </w:rPr>
      </w:pPr>
      <w:bookmarkStart w:id="164" w:name="_Toc22411_WPSOffice_Level2"/>
      <w:r>
        <w:rPr>
          <w:rFonts w:hint="eastAsia" w:ascii="宋体" w:hAnsi="宋体" w:cs="宋体"/>
          <w:b/>
          <w:bCs/>
          <w:color w:val="auto"/>
          <w:sz w:val="28"/>
          <w:szCs w:val="28"/>
          <w:highlight w:val="none"/>
        </w:rPr>
        <w:t>具有履行合同所必需的设备和专业技术能力的承诺函</w:t>
      </w:r>
      <w:bookmarkEnd w:id="164"/>
    </w:p>
    <w:p>
      <w:pPr>
        <w:spacing w:line="360" w:lineRule="auto"/>
        <w:rPr>
          <w:rFonts w:ascii="宋体" w:hAnsi="宋体" w:cs="宋体"/>
          <w:color w:val="auto"/>
          <w:sz w:val="20"/>
          <w:szCs w:val="20"/>
          <w:highlight w:val="none"/>
        </w:rPr>
      </w:pP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u w:val="single"/>
        </w:rPr>
        <w:t>（采购人）</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承诺具有履行合同所必需的设备和专业技术能力。如有虚假，采购人可取消我方任何资格（投标/中标/签订合同），我方对此无任何异议。</w:t>
      </w:r>
    </w:p>
    <w:p>
      <w:pPr>
        <w:spacing w:line="360" w:lineRule="auto"/>
        <w:rPr>
          <w:rFonts w:ascii="宋体" w:hAnsi="宋体" w:cs="宋体"/>
          <w:color w:val="auto"/>
          <w:sz w:val="20"/>
          <w:szCs w:val="20"/>
          <w:highlight w:val="none"/>
        </w:rPr>
      </w:pP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特此承诺！</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供应商名称（盖章） ：</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法定代表人或其授权代表（签字或盖章）：</w:t>
      </w:r>
    </w:p>
    <w:p>
      <w:pPr>
        <w:tabs>
          <w:tab w:val="left" w:pos="1920"/>
          <w:tab w:val="left" w:pos="2340"/>
          <w:tab w:val="left" w:pos="2760"/>
        </w:tabs>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 xml:space="preserve">日期：  年  </w:t>
      </w:r>
      <w:r>
        <w:rPr>
          <w:rFonts w:hint="eastAsia" w:ascii="宋体" w:hAnsi="宋体" w:cs="宋体"/>
          <w:color w:val="auto"/>
          <w:szCs w:val="21"/>
          <w:highlight w:val="none"/>
        </w:rPr>
        <w:tab/>
      </w:r>
      <w:r>
        <w:rPr>
          <w:rFonts w:hint="eastAsia" w:ascii="宋体" w:hAnsi="宋体" w:cs="宋体"/>
          <w:color w:val="auto"/>
          <w:szCs w:val="21"/>
          <w:highlight w:val="none"/>
        </w:rPr>
        <w:t>月</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 日</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cs="宋体"/>
          <w:b/>
          <w:bCs/>
          <w:color w:val="auto"/>
          <w:sz w:val="28"/>
          <w:szCs w:val="28"/>
          <w:highlight w:val="none"/>
        </w:rPr>
      </w:pPr>
      <w:bookmarkStart w:id="165" w:name="page81"/>
      <w:bookmarkEnd w:id="165"/>
      <w:bookmarkStart w:id="166" w:name="_Toc16196_WPSOffice_Level2"/>
      <w:r>
        <w:rPr>
          <w:rFonts w:hint="eastAsia" w:ascii="宋体" w:hAnsi="宋体" w:cs="宋体"/>
          <w:b/>
          <w:bCs/>
          <w:color w:val="auto"/>
          <w:sz w:val="28"/>
          <w:szCs w:val="28"/>
          <w:highlight w:val="none"/>
        </w:rPr>
        <w:t>没有重大违法记录承诺函</w:t>
      </w:r>
      <w:bookmarkEnd w:id="166"/>
    </w:p>
    <w:p>
      <w:pPr>
        <w:spacing w:line="375" w:lineRule="exact"/>
        <w:rPr>
          <w:rFonts w:ascii="宋体" w:hAnsi="宋体" w:cs="宋体"/>
          <w:color w:val="auto"/>
          <w:sz w:val="20"/>
          <w:szCs w:val="20"/>
          <w:highlight w:val="none"/>
        </w:rPr>
      </w:pPr>
    </w:p>
    <w:p>
      <w:pPr>
        <w:spacing w:line="360" w:lineRule="auto"/>
        <w:ind w:left="360" w:firstLine="210" w:firstLineChars="100"/>
        <w:rPr>
          <w:rFonts w:ascii="宋体" w:hAnsi="宋体" w:cs="宋体"/>
          <w:color w:val="auto"/>
          <w:sz w:val="20"/>
          <w:szCs w:val="20"/>
          <w:highlight w:val="none"/>
        </w:rPr>
      </w:pPr>
      <w:r>
        <w:rPr>
          <w:rFonts w:hint="eastAsia" w:ascii="宋体" w:hAnsi="宋体" w:cs="宋体"/>
          <w:color w:val="auto"/>
          <w:szCs w:val="21"/>
          <w:highlight w:val="none"/>
          <w:u w:val="single"/>
        </w:rPr>
        <w:t>（采购人）：</w:t>
      </w:r>
    </w:p>
    <w:p>
      <w:pPr>
        <w:spacing w:line="360" w:lineRule="auto"/>
        <w:ind w:right="346" w:firstLine="630" w:firstLineChars="300"/>
        <w:jc w:val="both"/>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w:t>
      </w:r>
      <w:r>
        <w:rPr>
          <w:rFonts w:hint="eastAsia" w:ascii="宋体" w:hAnsi="宋体" w:cs="宋体"/>
          <w:color w:val="auto"/>
          <w:szCs w:val="21"/>
          <w:highlight w:val="none"/>
        </w:rPr>
        <w:t>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right="346" w:firstLine="630" w:firstLineChars="300"/>
        <w:jc w:val="both"/>
        <w:rPr>
          <w:rFonts w:ascii="宋体" w:hAnsi="宋体" w:cs="宋体"/>
          <w:color w:val="auto"/>
          <w:szCs w:val="21"/>
          <w:highlight w:val="none"/>
        </w:rPr>
      </w:pPr>
    </w:p>
    <w:p>
      <w:pPr>
        <w:spacing w:line="360" w:lineRule="auto"/>
        <w:ind w:right="346" w:firstLine="630" w:firstLineChars="300"/>
        <w:jc w:val="both"/>
        <w:rPr>
          <w:rFonts w:ascii="宋体" w:hAnsi="宋体" w:cs="宋体"/>
          <w:color w:val="auto"/>
          <w:szCs w:val="21"/>
          <w:highlight w:val="none"/>
        </w:rPr>
      </w:pP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特此承诺！</w:t>
      </w:r>
    </w:p>
    <w:p>
      <w:pPr>
        <w:spacing w:line="360" w:lineRule="auto"/>
        <w:ind w:left="360"/>
        <w:rPr>
          <w:rFonts w:ascii="宋体" w:hAnsi="宋体" w:cs="宋体"/>
          <w:color w:val="auto"/>
          <w:szCs w:val="21"/>
          <w:highlight w:val="none"/>
        </w:rPr>
      </w:pPr>
    </w:p>
    <w:p>
      <w:pPr>
        <w:spacing w:line="360" w:lineRule="auto"/>
        <w:ind w:left="360"/>
        <w:rPr>
          <w:rFonts w:ascii="宋体" w:hAnsi="宋体" w:cs="宋体"/>
          <w:color w:val="auto"/>
          <w:szCs w:val="21"/>
          <w:highlight w:val="none"/>
        </w:rPr>
      </w:pP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响应文件签署人（签字或盖章）：</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日期：</w:t>
      </w:r>
    </w:p>
    <w:p>
      <w:pPr>
        <w:rPr>
          <w:rFonts w:ascii="宋体" w:hAnsi="宋体" w:cs="宋体"/>
          <w:color w:val="auto"/>
          <w:highlight w:val="none"/>
        </w:rPr>
      </w:pPr>
    </w:p>
    <w:p>
      <w:pPr>
        <w:spacing w:line="366" w:lineRule="exact"/>
        <w:jc w:val="center"/>
        <w:rPr>
          <w:rFonts w:ascii="宋体" w:hAns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三、声明函</w:t>
      </w:r>
    </w:p>
    <w:p>
      <w:pPr>
        <w:spacing w:line="360" w:lineRule="auto"/>
        <w:rPr>
          <w:rFonts w:ascii="宋体" w:hAnsi="宋体" w:cs="宋体"/>
          <w:color w:val="auto"/>
          <w:spacing w:val="-6"/>
          <w:szCs w:val="21"/>
          <w:highlight w:val="none"/>
        </w:rPr>
      </w:pPr>
    </w:p>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浙江五石工程咨询有限公司</w:t>
      </w:r>
      <w:r>
        <w:rPr>
          <w:rFonts w:hint="eastAsia" w:ascii="宋体" w:hAnsi="宋体" w:cs="宋体"/>
          <w:color w:val="auto"/>
          <w:spacing w:val="-6"/>
          <w:szCs w:val="21"/>
          <w:highlight w:val="none"/>
        </w:rPr>
        <w:t>：</w:t>
      </w:r>
    </w:p>
    <w:p>
      <w:pPr>
        <w:spacing w:line="360" w:lineRule="auto"/>
        <w:ind w:firstLine="594" w:firstLineChars="300"/>
        <w:rPr>
          <w:rFonts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（磋商响应供应商名称）系中华人民共和国合法企业，经营地址</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我方愿意参加贵方组织的</w:t>
      </w:r>
      <w:r>
        <w:rPr>
          <w:rFonts w:hint="eastAsia" w:ascii="宋体" w:hAnsi="宋体" w:cs="宋体"/>
          <w:bCs/>
          <w:color w:val="auto"/>
          <w:spacing w:val="-6"/>
          <w:szCs w:val="21"/>
          <w:highlight w:val="none"/>
          <w:u w:val="single"/>
          <w:lang w:eastAsia="zh-CN"/>
        </w:rPr>
        <w:t>实验楼卫生间改造工程</w:t>
      </w:r>
      <w:r>
        <w:rPr>
          <w:rFonts w:hint="eastAsia" w:ascii="宋体" w:hAnsi="宋体" w:cs="宋体"/>
          <w:color w:val="auto"/>
          <w:spacing w:val="-6"/>
          <w:szCs w:val="21"/>
          <w:highlight w:val="none"/>
        </w:rPr>
        <w:t>的磋商响应，为便于贵方公正、择优地确定成交供应商及其磋商响应产品和服务，我方就本次磋商有关事项郑重声明如下：</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1、我方向贵方提交的所有响应文件、资料都是准确的和真实的；</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2、我方不是采购人的附属机构；在获知本项目采购信息后，与采购人聘请的为此项目提供咨询服务的公司及其附属机构没有任何联系。</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3、我方最近三年内的被公开披露或查处的违法违规行为有：</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　</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w:t>
      </w:r>
    </w:p>
    <w:p>
      <w:pPr>
        <w:pStyle w:val="26"/>
        <w:rPr>
          <w:color w:val="auto"/>
          <w:highlight w:val="none"/>
        </w:rPr>
      </w:pP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4、以上事项如有虚假或隐瞒，我方愿意承担一切后果和责任。</w:t>
      </w:r>
    </w:p>
    <w:p>
      <w:pPr>
        <w:pStyle w:val="41"/>
        <w:spacing w:line="360" w:lineRule="auto"/>
        <w:rPr>
          <w:rFonts w:ascii="宋体" w:hAnsi="宋体" w:cs="宋体"/>
          <w:color w:val="auto"/>
          <w:spacing w:val="-6"/>
          <w:sz w:val="21"/>
          <w:szCs w:val="21"/>
          <w:highlight w:val="none"/>
        </w:rPr>
      </w:pPr>
    </w:p>
    <w:p>
      <w:pPr>
        <w:pStyle w:val="41"/>
        <w:spacing w:line="360" w:lineRule="auto"/>
        <w:rPr>
          <w:rFonts w:ascii="宋体" w:hAnsi="宋体" w:cs="宋体"/>
          <w:color w:val="auto"/>
          <w:spacing w:val="-6"/>
          <w:sz w:val="21"/>
          <w:szCs w:val="21"/>
          <w:highlight w:val="none"/>
        </w:rPr>
      </w:pPr>
    </w:p>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 xml:space="preserve">磋商响应供应商名称（盖章）： </w:t>
      </w:r>
    </w:p>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授权代表签字：</w:t>
      </w:r>
    </w:p>
    <w:p>
      <w:pPr>
        <w:spacing w:line="360" w:lineRule="auto"/>
        <w:rPr>
          <w:rFonts w:ascii="宋体" w:hAnsi="宋体" w:cs="宋体"/>
          <w:color w:val="auto"/>
          <w:spacing w:val="-6"/>
          <w:szCs w:val="21"/>
          <w:highlight w:val="none"/>
        </w:rPr>
      </w:pPr>
      <w:r>
        <w:rPr>
          <w:rFonts w:hint="eastAsia" w:ascii="宋体" w:hAnsi="宋体" w:cs="宋体"/>
          <w:bCs/>
          <w:color w:val="auto"/>
          <w:spacing w:val="-6"/>
          <w:szCs w:val="21"/>
          <w:highlight w:val="none"/>
        </w:rPr>
        <w:t>日期：  年  月  日</w:t>
      </w:r>
    </w:p>
    <w:p>
      <w:pPr>
        <w:spacing w:line="200" w:lineRule="exact"/>
        <w:rPr>
          <w:rFonts w:ascii="宋体" w:hAnsi="宋体" w:cs="宋体"/>
          <w:color w:val="auto"/>
          <w:sz w:val="20"/>
          <w:szCs w:val="20"/>
          <w:highlight w:val="none"/>
        </w:rPr>
      </w:pPr>
    </w:p>
    <w:p>
      <w:pPr>
        <w:spacing w:line="366" w:lineRule="exact"/>
        <w:jc w:val="center"/>
        <w:rPr>
          <w:rFonts w:ascii="宋体" w:hAns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四、公司基本情况介绍</w:t>
      </w:r>
    </w:p>
    <w:p>
      <w:pPr>
        <w:spacing w:line="360" w:lineRule="auto"/>
        <w:rPr>
          <w:rFonts w:ascii="宋体" w:hAnsi="宋体" w:cs="宋体"/>
          <w:color w:val="auto"/>
          <w:spacing w:val="-6"/>
          <w:highlight w:val="none"/>
        </w:rPr>
      </w:pPr>
    </w:p>
    <w:tbl>
      <w:tblPr>
        <w:tblStyle w:val="1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28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3801" w:type="dxa"/>
            <w:gridSpan w:val="2"/>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3828"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3801" w:type="dxa"/>
            <w:gridSpan w:val="2"/>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3828"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3801" w:type="dxa"/>
            <w:gridSpan w:val="2"/>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3828"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109" w:type="dxa"/>
            <w:gridSpan w:val="2"/>
            <w:vAlign w:val="center"/>
          </w:tcPr>
          <w:p>
            <w:pPr>
              <w:spacing w:line="360" w:lineRule="auto"/>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109" w:type="dxa"/>
            <w:gridSpan w:val="2"/>
            <w:vAlign w:val="center"/>
          </w:tcPr>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tc>
      </w:tr>
    </w:tbl>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说明：所有响应方都须填写此表，后附企业信用、资质证书；</w:t>
      </w: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响应方全称（加盖公章）：</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全权代表签字：</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日期：</w:t>
      </w:r>
    </w:p>
    <w:p>
      <w:pPr>
        <w:spacing w:line="366" w:lineRule="exact"/>
        <w:jc w:val="center"/>
        <w:rPr>
          <w:rFonts w:ascii="宋体" w:hAns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五、类似业绩证明</w:t>
      </w:r>
    </w:p>
    <w:p>
      <w:pPr>
        <w:pStyle w:val="2"/>
        <w:spacing w:line="360" w:lineRule="auto"/>
        <w:ind w:firstLine="0"/>
        <w:rPr>
          <w:rFonts w:ascii="宋体" w:hAnsi="宋体" w:eastAsia="宋体" w:cs="宋体"/>
          <w:color w:val="auto"/>
          <w:spacing w:val="-6"/>
          <w:szCs w:val="21"/>
          <w:highlight w:val="none"/>
        </w:rPr>
      </w:pPr>
    </w:p>
    <w:p>
      <w:pPr>
        <w:pStyle w:val="15"/>
        <w:spacing w:line="360" w:lineRule="auto"/>
        <w:ind w:left="0" w:firstLine="0" w:firstLineChars="0"/>
        <w:jc w:val="center"/>
        <w:rPr>
          <w:rFonts w:ascii="宋体" w:hAnsi="宋体" w:cs="宋体"/>
          <w:color w:val="auto"/>
          <w:sz w:val="24"/>
          <w:highlight w:val="none"/>
        </w:rPr>
      </w:pPr>
      <w:bookmarkStart w:id="167" w:name="_Toc26073_WPSOffice_Level2"/>
      <w:bookmarkStart w:id="168" w:name="_Toc20880_WPSOffice_Level2"/>
      <w:bookmarkStart w:id="169" w:name="_Toc32559_WPSOffice_Level2"/>
      <w:r>
        <w:rPr>
          <w:rFonts w:hint="eastAsia" w:ascii="宋体" w:hAnsi="宋体" w:cs="宋体"/>
          <w:color w:val="auto"/>
          <w:sz w:val="24"/>
          <w:highlight w:val="none"/>
        </w:rPr>
        <w:t>（提供同类项目合同复印件）</w:t>
      </w:r>
      <w:bookmarkEnd w:id="167"/>
      <w:bookmarkEnd w:id="168"/>
      <w:bookmarkEnd w:id="169"/>
    </w:p>
    <w:tbl>
      <w:tblPr>
        <w:tblStyle w:val="19"/>
        <w:tblW w:w="84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111"/>
        <w:gridCol w:w="2032"/>
        <w:gridCol w:w="1155"/>
        <w:gridCol w:w="1234"/>
        <w:gridCol w:w="1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采购单位名称</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合同金额</w:t>
            </w:r>
          </w:p>
          <w:p>
            <w:pPr>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附件页码</w:t>
            </w: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bl>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响应方全称（加盖公章）：</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全权代表签字：</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日期：</w:t>
      </w:r>
    </w:p>
    <w:p>
      <w:pPr>
        <w:rPr>
          <w:rFonts w:ascii="宋体" w:hAnsi="宋体" w:cs="宋体"/>
          <w:color w:val="auto"/>
          <w:highlight w:val="none"/>
        </w:rPr>
      </w:pPr>
    </w:p>
    <w:p>
      <w:pPr>
        <w:rPr>
          <w:rFonts w:ascii="宋体" w:hAnsi="宋体" w:cs="宋体"/>
          <w:color w:val="auto"/>
          <w:highlight w:val="none"/>
        </w:rPr>
        <w:sectPr>
          <w:pgSz w:w="11900" w:h="16838"/>
          <w:pgMar w:top="1440" w:right="1440" w:bottom="158" w:left="1440" w:header="567" w:footer="567" w:gutter="0"/>
          <w:cols w:equalWidth="0" w:num="1">
            <w:col w:w="9026"/>
          </w:cols>
        </w:sectPr>
      </w:pPr>
    </w:p>
    <w:p>
      <w:pPr>
        <w:ind w:left="363"/>
        <w:rPr>
          <w:rFonts w:ascii="宋体" w:hAnsi="宋体" w:cs="宋体"/>
          <w:b/>
          <w:bCs/>
          <w:color w:val="auto"/>
          <w:sz w:val="28"/>
          <w:szCs w:val="28"/>
          <w:highlight w:val="none"/>
        </w:rPr>
      </w:pPr>
      <w:bookmarkStart w:id="170" w:name="page83"/>
      <w:bookmarkEnd w:id="170"/>
      <w:r>
        <w:rPr>
          <w:rFonts w:hint="eastAsia" w:ascii="宋体" w:hAnsi="宋体" w:cs="宋体"/>
          <w:b/>
          <w:bCs/>
          <w:color w:val="auto"/>
          <w:sz w:val="28"/>
          <w:szCs w:val="28"/>
          <w:highlight w:val="none"/>
        </w:rPr>
        <w:t>技术文件</w:t>
      </w:r>
    </w:p>
    <w:p>
      <w:pPr>
        <w:jc w:val="both"/>
        <w:rPr>
          <w:rFonts w:ascii="宋体" w:hAnsi="宋体" w:cs="宋体"/>
          <w:b/>
          <w:bCs/>
          <w:color w:val="auto"/>
          <w:sz w:val="28"/>
          <w:szCs w:val="28"/>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（2）质量保证措施；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（3）拟投入的主要施工机械设备情况、主要施工机械计划；</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（4）工期承诺、进度控制措施及施工质量控制措施；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（5）投入本项目的工程技术管理人员的专业配置情况；附表三、附表四、附表五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（6）关键工序、复杂环节的相应技术措施；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（7）安全文明施工保证措施；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（8）材料设备进场计划及施工计划情况；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（9）应急处置方案及售后服务；</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（10）主要材料品牌表；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（11）供应商认为需要提供的资料。</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采用文字表述外可附下列图表，图表及格式要求附后，没有图表的可格式自拟。</w:t>
      </w:r>
    </w:p>
    <w:p>
      <w:pPr>
        <w:spacing w:line="360" w:lineRule="auto"/>
        <w:ind w:firstLine="420" w:firstLineChars="200"/>
        <w:outlineLvl w:val="0"/>
        <w:rPr>
          <w:rFonts w:ascii="宋体" w:hAnsi="宋体" w:cs="宋体"/>
          <w:color w:val="auto"/>
          <w:szCs w:val="21"/>
          <w:highlight w:val="none"/>
        </w:rPr>
      </w:pPr>
      <w:bookmarkStart w:id="171" w:name="_Toc12163"/>
      <w:r>
        <w:rPr>
          <w:rFonts w:hint="eastAsia" w:ascii="宋体" w:hAnsi="宋体" w:cs="宋体"/>
          <w:color w:val="auto"/>
          <w:szCs w:val="21"/>
          <w:highlight w:val="none"/>
        </w:rPr>
        <w:t>附表一  拟投入的主要施工设备表</w:t>
      </w:r>
      <w:bookmarkEnd w:id="171"/>
    </w:p>
    <w:p>
      <w:pPr>
        <w:spacing w:line="360" w:lineRule="auto"/>
        <w:ind w:firstLine="420" w:firstLineChars="200"/>
        <w:outlineLvl w:val="0"/>
        <w:rPr>
          <w:rFonts w:ascii="宋体" w:hAnsi="宋体" w:cs="宋体"/>
          <w:color w:val="auto"/>
          <w:szCs w:val="21"/>
          <w:highlight w:val="none"/>
        </w:rPr>
      </w:pPr>
      <w:bookmarkStart w:id="172" w:name="_Toc16569"/>
      <w:r>
        <w:rPr>
          <w:rFonts w:hint="eastAsia" w:ascii="宋体" w:hAnsi="宋体" w:cs="宋体"/>
          <w:color w:val="auto"/>
          <w:szCs w:val="21"/>
          <w:highlight w:val="none"/>
        </w:rPr>
        <w:t>附表二  拟配备的试验和检测仪器设备表</w:t>
      </w:r>
      <w:bookmarkEnd w:id="172"/>
    </w:p>
    <w:p>
      <w:pPr>
        <w:spacing w:line="360" w:lineRule="auto"/>
        <w:ind w:firstLine="420" w:firstLineChars="200"/>
        <w:outlineLvl w:val="0"/>
        <w:rPr>
          <w:rFonts w:ascii="宋体" w:hAnsi="宋体" w:cs="宋体"/>
          <w:color w:val="auto"/>
          <w:szCs w:val="21"/>
          <w:highlight w:val="none"/>
        </w:rPr>
      </w:pPr>
      <w:bookmarkStart w:id="173" w:name="_Toc17712"/>
      <w:r>
        <w:rPr>
          <w:rFonts w:hint="eastAsia" w:ascii="宋体" w:hAnsi="宋体" w:cs="宋体"/>
          <w:color w:val="auto"/>
          <w:szCs w:val="21"/>
          <w:highlight w:val="none"/>
        </w:rPr>
        <w:t>附表三  项目管理班子配备情况表</w:t>
      </w:r>
      <w:bookmarkEnd w:id="173"/>
    </w:p>
    <w:p>
      <w:pPr>
        <w:spacing w:line="360" w:lineRule="auto"/>
        <w:ind w:firstLine="420" w:firstLineChars="200"/>
        <w:outlineLvl w:val="0"/>
        <w:rPr>
          <w:rFonts w:ascii="宋体" w:hAnsi="宋体" w:cs="宋体"/>
          <w:color w:val="auto"/>
          <w:szCs w:val="21"/>
          <w:highlight w:val="none"/>
        </w:rPr>
      </w:pPr>
      <w:bookmarkStart w:id="174" w:name="_Toc8498"/>
      <w:r>
        <w:rPr>
          <w:rFonts w:hint="eastAsia" w:ascii="宋体" w:hAnsi="宋体" w:cs="宋体"/>
          <w:color w:val="auto"/>
          <w:szCs w:val="21"/>
          <w:highlight w:val="none"/>
        </w:rPr>
        <w:t>附表四、项目经理简历表</w:t>
      </w:r>
      <w:bookmarkEnd w:id="174"/>
    </w:p>
    <w:p>
      <w:pPr>
        <w:spacing w:line="360" w:lineRule="auto"/>
        <w:ind w:firstLine="420" w:firstLineChars="200"/>
        <w:outlineLvl w:val="0"/>
        <w:rPr>
          <w:rFonts w:ascii="宋体" w:hAnsi="宋体" w:cs="宋体"/>
          <w:color w:val="auto"/>
          <w:szCs w:val="21"/>
          <w:highlight w:val="none"/>
        </w:rPr>
      </w:pPr>
      <w:bookmarkStart w:id="175" w:name="_Toc23531"/>
      <w:r>
        <w:rPr>
          <w:rFonts w:hint="eastAsia" w:ascii="宋体" w:hAnsi="宋体" w:cs="宋体"/>
          <w:color w:val="auto"/>
          <w:szCs w:val="21"/>
          <w:highlight w:val="none"/>
        </w:rPr>
        <w:t>附表五、技术负责人简历表</w:t>
      </w:r>
      <w:bookmarkEnd w:id="175"/>
    </w:p>
    <w:p>
      <w:pPr>
        <w:spacing w:line="360" w:lineRule="auto"/>
        <w:ind w:firstLine="420" w:firstLineChars="200"/>
        <w:outlineLvl w:val="0"/>
        <w:rPr>
          <w:rFonts w:ascii="宋体" w:hAnsi="宋体" w:cs="宋体"/>
          <w:color w:val="auto"/>
          <w:szCs w:val="21"/>
          <w:highlight w:val="none"/>
        </w:rPr>
      </w:pPr>
      <w:bookmarkStart w:id="176" w:name="_Toc24245"/>
      <w:r>
        <w:rPr>
          <w:rFonts w:hint="eastAsia" w:ascii="宋体" w:hAnsi="宋体" w:cs="宋体"/>
          <w:color w:val="auto"/>
          <w:szCs w:val="21"/>
          <w:highlight w:val="none"/>
        </w:rPr>
        <w:t>附表六、劳动力计划表</w:t>
      </w:r>
      <w:bookmarkEnd w:id="176"/>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158" w:left="1440" w:header="567" w:footer="567" w:gutter="0"/>
          <w:cols w:equalWidth="0" w:num="1">
            <w:col w:w="9026"/>
          </w:cols>
        </w:sectPr>
      </w:pPr>
    </w:p>
    <w:p>
      <w:pPr>
        <w:tabs>
          <w:tab w:val="left" w:pos="720"/>
        </w:tabs>
        <w:spacing w:line="360" w:lineRule="auto"/>
        <w:outlineLvl w:val="0"/>
        <w:rPr>
          <w:rFonts w:ascii="宋体" w:hAnsi="宋体" w:cs="宋体"/>
          <w:b/>
          <w:color w:val="auto"/>
          <w:sz w:val="24"/>
          <w:szCs w:val="24"/>
          <w:highlight w:val="none"/>
        </w:rPr>
      </w:pPr>
      <w:bookmarkStart w:id="177" w:name="page84"/>
      <w:bookmarkEnd w:id="177"/>
      <w:bookmarkStart w:id="178" w:name="_Toc10163_WPSOffice_Level2"/>
      <w:bookmarkStart w:id="179" w:name="_Toc10701_WPSOffice_Level2"/>
      <w:bookmarkStart w:id="180" w:name="_Toc28261_WPSOffice_Level2"/>
      <w:bookmarkStart w:id="181" w:name="_Toc8165"/>
      <w:r>
        <w:rPr>
          <w:rFonts w:hint="eastAsia" w:ascii="宋体" w:hAnsi="宋体" w:cs="宋体"/>
          <w:b/>
          <w:color w:val="auto"/>
          <w:sz w:val="24"/>
          <w:szCs w:val="24"/>
          <w:highlight w:val="none"/>
        </w:rPr>
        <w:t>附表一：拟投入的主要施工设备表</w:t>
      </w:r>
      <w:bookmarkEnd w:id="178"/>
      <w:bookmarkEnd w:id="179"/>
      <w:bookmarkEnd w:id="180"/>
      <w:bookmarkEnd w:id="181"/>
    </w:p>
    <w:tbl>
      <w:tblPr>
        <w:tblStyle w:val="19"/>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5"/>
        <w:gridCol w:w="926"/>
        <w:gridCol w:w="926"/>
        <w:gridCol w:w="926"/>
        <w:gridCol w:w="928"/>
        <w:gridCol w:w="947"/>
        <w:gridCol w:w="928"/>
        <w:gridCol w:w="12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25"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25"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设备</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926"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型号</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926"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26"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国别</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928"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制造</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947"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额定功率（KW）</w:t>
            </w:r>
          </w:p>
        </w:tc>
        <w:tc>
          <w:tcPr>
            <w:tcW w:w="928"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生产</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285"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用于施工部位</w:t>
            </w:r>
          </w:p>
        </w:tc>
        <w:tc>
          <w:tcPr>
            <w:tcW w:w="928"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ascii="宋体" w:hAnsi="宋体" w:cs="宋体"/>
                <w:color w:val="auto"/>
                <w:szCs w:val="21"/>
                <w:highlight w:val="none"/>
              </w:rPr>
            </w:pPr>
          </w:p>
        </w:tc>
        <w:tc>
          <w:tcPr>
            <w:tcW w:w="925"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947"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1285"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ascii="宋体" w:hAnsi="宋体" w:cs="宋体"/>
                <w:color w:val="auto"/>
                <w:szCs w:val="21"/>
                <w:highlight w:val="none"/>
              </w:rPr>
            </w:pPr>
          </w:p>
        </w:tc>
        <w:tc>
          <w:tcPr>
            <w:tcW w:w="925"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947"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1285"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r>
    </w:tbl>
    <w:p>
      <w:pPr>
        <w:tabs>
          <w:tab w:val="left" w:pos="720"/>
        </w:tabs>
        <w:spacing w:line="360" w:lineRule="auto"/>
        <w:rPr>
          <w:rFonts w:ascii="宋体" w:hAnsi="宋体" w:cs="宋体"/>
          <w:b/>
          <w:color w:val="auto"/>
          <w:sz w:val="24"/>
          <w:szCs w:val="24"/>
          <w:highlight w:val="none"/>
        </w:rPr>
      </w:pPr>
    </w:p>
    <w:p>
      <w:pPr>
        <w:tabs>
          <w:tab w:val="left" w:pos="720"/>
        </w:tabs>
        <w:spacing w:line="360" w:lineRule="auto"/>
        <w:outlineLvl w:val="0"/>
        <w:rPr>
          <w:rFonts w:ascii="宋体" w:hAnsi="宋体" w:cs="宋体"/>
          <w:b/>
          <w:color w:val="auto"/>
          <w:sz w:val="24"/>
          <w:szCs w:val="24"/>
          <w:highlight w:val="none"/>
        </w:rPr>
      </w:pPr>
      <w:bookmarkStart w:id="182" w:name="_Toc152042587"/>
      <w:bookmarkStart w:id="183" w:name="_Toc246392156"/>
      <w:bookmarkStart w:id="184" w:name="_Toc1034_WPSOffice_Level2"/>
      <w:bookmarkStart w:id="185" w:name="_Toc179632818"/>
      <w:bookmarkStart w:id="186" w:name="_Toc15617_WPSOffice_Level2"/>
      <w:bookmarkStart w:id="187" w:name="_Toc6235"/>
      <w:bookmarkStart w:id="188" w:name="_Toc152045798"/>
      <w:bookmarkStart w:id="189" w:name="_Toc144974866"/>
      <w:bookmarkStart w:id="190" w:name="_Toc23274_WPSOffice_Level2"/>
      <w:r>
        <w:rPr>
          <w:rFonts w:hint="eastAsia" w:ascii="宋体" w:hAnsi="宋体" w:cs="宋体"/>
          <w:b/>
          <w:color w:val="auto"/>
          <w:sz w:val="24"/>
          <w:szCs w:val="24"/>
          <w:highlight w:val="none"/>
        </w:rPr>
        <w:t>附表二：拟配备的试验和检测仪器设备表</w:t>
      </w:r>
      <w:bookmarkEnd w:id="182"/>
      <w:bookmarkEnd w:id="183"/>
      <w:bookmarkEnd w:id="184"/>
      <w:bookmarkEnd w:id="185"/>
      <w:bookmarkEnd w:id="186"/>
      <w:bookmarkEnd w:id="187"/>
      <w:bookmarkEnd w:id="188"/>
      <w:bookmarkEnd w:id="189"/>
      <w:bookmarkEnd w:id="190"/>
    </w:p>
    <w:tbl>
      <w:tblPr>
        <w:tblStyle w:val="19"/>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52"/>
        <w:gridCol w:w="1062"/>
        <w:gridCol w:w="1144"/>
        <w:gridCol w:w="1045"/>
        <w:gridCol w:w="1039"/>
        <w:gridCol w:w="1221"/>
        <w:gridCol w:w="122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06"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52"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062"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型号</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1144"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045"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国别</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39"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制造</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2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已使用</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台时数</w:t>
            </w:r>
          </w:p>
        </w:tc>
        <w:tc>
          <w:tcPr>
            <w:tcW w:w="1223"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84"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ascii="宋体" w:hAnsi="宋体" w:cs="宋体"/>
                <w:color w:val="auto"/>
                <w:szCs w:val="21"/>
                <w:highlight w:val="none"/>
              </w:rPr>
            </w:pPr>
          </w:p>
        </w:tc>
        <w:tc>
          <w:tcPr>
            <w:tcW w:w="1252" w:type="dxa"/>
            <w:vAlign w:val="center"/>
          </w:tcPr>
          <w:p>
            <w:pPr>
              <w:spacing w:line="240" w:lineRule="atLeast"/>
              <w:jc w:val="center"/>
              <w:rPr>
                <w:rFonts w:ascii="宋体" w:hAnsi="宋体" w:cs="宋体"/>
                <w:color w:val="auto"/>
                <w:szCs w:val="21"/>
                <w:highlight w:val="none"/>
              </w:rPr>
            </w:pPr>
          </w:p>
        </w:tc>
        <w:tc>
          <w:tcPr>
            <w:tcW w:w="1062" w:type="dxa"/>
            <w:vAlign w:val="center"/>
          </w:tcPr>
          <w:p>
            <w:pPr>
              <w:spacing w:line="240" w:lineRule="atLeast"/>
              <w:jc w:val="center"/>
              <w:rPr>
                <w:rFonts w:ascii="宋体" w:hAnsi="宋体" w:cs="宋体"/>
                <w:color w:val="auto"/>
                <w:szCs w:val="21"/>
                <w:highlight w:val="none"/>
              </w:rPr>
            </w:pPr>
          </w:p>
        </w:tc>
        <w:tc>
          <w:tcPr>
            <w:tcW w:w="1144" w:type="dxa"/>
            <w:vAlign w:val="center"/>
          </w:tcPr>
          <w:p>
            <w:pPr>
              <w:spacing w:line="240" w:lineRule="atLeast"/>
              <w:jc w:val="center"/>
              <w:rPr>
                <w:rFonts w:ascii="宋体" w:hAnsi="宋体" w:cs="宋体"/>
                <w:color w:val="auto"/>
                <w:szCs w:val="21"/>
                <w:highlight w:val="none"/>
              </w:rPr>
            </w:pPr>
          </w:p>
        </w:tc>
        <w:tc>
          <w:tcPr>
            <w:tcW w:w="1045" w:type="dxa"/>
            <w:vAlign w:val="center"/>
          </w:tcPr>
          <w:p>
            <w:pPr>
              <w:spacing w:line="240" w:lineRule="atLeast"/>
              <w:jc w:val="center"/>
              <w:rPr>
                <w:rFonts w:ascii="宋体" w:hAnsi="宋体" w:cs="宋体"/>
                <w:color w:val="auto"/>
                <w:szCs w:val="21"/>
                <w:highlight w:val="none"/>
              </w:rPr>
            </w:pPr>
          </w:p>
        </w:tc>
        <w:tc>
          <w:tcPr>
            <w:tcW w:w="1039" w:type="dxa"/>
            <w:vAlign w:val="center"/>
          </w:tcPr>
          <w:p>
            <w:pPr>
              <w:spacing w:line="240" w:lineRule="atLeast"/>
              <w:jc w:val="center"/>
              <w:rPr>
                <w:rFonts w:ascii="宋体" w:hAnsi="宋体" w:cs="宋体"/>
                <w:color w:val="auto"/>
                <w:szCs w:val="21"/>
                <w:highlight w:val="none"/>
              </w:rPr>
            </w:pPr>
          </w:p>
        </w:tc>
        <w:tc>
          <w:tcPr>
            <w:tcW w:w="1221" w:type="dxa"/>
            <w:vAlign w:val="center"/>
          </w:tcPr>
          <w:p>
            <w:pPr>
              <w:spacing w:line="240" w:lineRule="atLeast"/>
              <w:jc w:val="center"/>
              <w:rPr>
                <w:rFonts w:ascii="宋体" w:hAnsi="宋体" w:cs="宋体"/>
                <w:color w:val="auto"/>
                <w:szCs w:val="21"/>
                <w:highlight w:val="none"/>
              </w:rPr>
            </w:pPr>
          </w:p>
        </w:tc>
        <w:tc>
          <w:tcPr>
            <w:tcW w:w="1223" w:type="dxa"/>
            <w:vAlign w:val="center"/>
          </w:tcPr>
          <w:p>
            <w:pPr>
              <w:spacing w:line="240" w:lineRule="atLeast"/>
              <w:jc w:val="center"/>
              <w:rPr>
                <w:rFonts w:ascii="宋体" w:hAnsi="宋体" w:cs="宋体"/>
                <w:color w:val="auto"/>
                <w:szCs w:val="21"/>
                <w:highlight w:val="none"/>
              </w:rPr>
            </w:pPr>
          </w:p>
        </w:tc>
        <w:tc>
          <w:tcPr>
            <w:tcW w:w="784"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ascii="宋体" w:hAnsi="宋体" w:cs="宋体"/>
                <w:color w:val="auto"/>
                <w:szCs w:val="21"/>
                <w:highlight w:val="none"/>
              </w:rPr>
            </w:pPr>
          </w:p>
        </w:tc>
        <w:tc>
          <w:tcPr>
            <w:tcW w:w="1252" w:type="dxa"/>
            <w:vAlign w:val="center"/>
          </w:tcPr>
          <w:p>
            <w:pPr>
              <w:spacing w:line="240" w:lineRule="atLeast"/>
              <w:jc w:val="center"/>
              <w:rPr>
                <w:rFonts w:ascii="宋体" w:hAnsi="宋体" w:cs="宋体"/>
                <w:color w:val="auto"/>
                <w:szCs w:val="21"/>
                <w:highlight w:val="none"/>
              </w:rPr>
            </w:pPr>
          </w:p>
        </w:tc>
        <w:tc>
          <w:tcPr>
            <w:tcW w:w="1062" w:type="dxa"/>
            <w:vAlign w:val="center"/>
          </w:tcPr>
          <w:p>
            <w:pPr>
              <w:spacing w:line="240" w:lineRule="atLeast"/>
              <w:jc w:val="center"/>
              <w:rPr>
                <w:rFonts w:ascii="宋体" w:hAnsi="宋体" w:cs="宋体"/>
                <w:color w:val="auto"/>
                <w:szCs w:val="21"/>
                <w:highlight w:val="none"/>
              </w:rPr>
            </w:pPr>
          </w:p>
        </w:tc>
        <w:tc>
          <w:tcPr>
            <w:tcW w:w="1144" w:type="dxa"/>
            <w:vAlign w:val="center"/>
          </w:tcPr>
          <w:p>
            <w:pPr>
              <w:spacing w:line="240" w:lineRule="atLeast"/>
              <w:jc w:val="center"/>
              <w:rPr>
                <w:rFonts w:ascii="宋体" w:hAnsi="宋体" w:cs="宋体"/>
                <w:color w:val="auto"/>
                <w:szCs w:val="21"/>
                <w:highlight w:val="none"/>
              </w:rPr>
            </w:pPr>
          </w:p>
        </w:tc>
        <w:tc>
          <w:tcPr>
            <w:tcW w:w="1045" w:type="dxa"/>
            <w:vAlign w:val="center"/>
          </w:tcPr>
          <w:p>
            <w:pPr>
              <w:spacing w:line="240" w:lineRule="atLeast"/>
              <w:jc w:val="center"/>
              <w:rPr>
                <w:rFonts w:ascii="宋体" w:hAnsi="宋体" w:cs="宋体"/>
                <w:color w:val="auto"/>
                <w:szCs w:val="21"/>
                <w:highlight w:val="none"/>
              </w:rPr>
            </w:pPr>
          </w:p>
        </w:tc>
        <w:tc>
          <w:tcPr>
            <w:tcW w:w="1039" w:type="dxa"/>
            <w:vAlign w:val="center"/>
          </w:tcPr>
          <w:p>
            <w:pPr>
              <w:spacing w:line="240" w:lineRule="atLeast"/>
              <w:jc w:val="center"/>
              <w:rPr>
                <w:rFonts w:ascii="宋体" w:hAnsi="宋体" w:cs="宋体"/>
                <w:color w:val="auto"/>
                <w:szCs w:val="21"/>
                <w:highlight w:val="none"/>
              </w:rPr>
            </w:pPr>
          </w:p>
        </w:tc>
        <w:tc>
          <w:tcPr>
            <w:tcW w:w="1221" w:type="dxa"/>
            <w:vAlign w:val="center"/>
          </w:tcPr>
          <w:p>
            <w:pPr>
              <w:spacing w:line="240" w:lineRule="atLeast"/>
              <w:jc w:val="center"/>
              <w:rPr>
                <w:rFonts w:ascii="宋体" w:hAnsi="宋体" w:cs="宋体"/>
                <w:color w:val="auto"/>
                <w:szCs w:val="21"/>
                <w:highlight w:val="none"/>
              </w:rPr>
            </w:pPr>
          </w:p>
        </w:tc>
        <w:tc>
          <w:tcPr>
            <w:tcW w:w="1223" w:type="dxa"/>
            <w:vAlign w:val="center"/>
          </w:tcPr>
          <w:p>
            <w:pPr>
              <w:spacing w:line="240" w:lineRule="atLeast"/>
              <w:jc w:val="center"/>
              <w:rPr>
                <w:rFonts w:ascii="宋体" w:hAnsi="宋体" w:cs="宋体"/>
                <w:color w:val="auto"/>
                <w:szCs w:val="21"/>
                <w:highlight w:val="none"/>
              </w:rPr>
            </w:pPr>
          </w:p>
        </w:tc>
        <w:tc>
          <w:tcPr>
            <w:tcW w:w="784"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tcPr>
          <w:p>
            <w:pPr>
              <w:spacing w:line="240" w:lineRule="atLeast"/>
              <w:jc w:val="center"/>
              <w:rPr>
                <w:rFonts w:ascii="宋体" w:hAnsi="宋体" w:cs="宋体"/>
                <w:color w:val="auto"/>
                <w:szCs w:val="21"/>
                <w:highlight w:val="none"/>
              </w:rPr>
            </w:pPr>
          </w:p>
        </w:tc>
        <w:tc>
          <w:tcPr>
            <w:tcW w:w="1252" w:type="dxa"/>
          </w:tcPr>
          <w:p>
            <w:pPr>
              <w:spacing w:line="240" w:lineRule="atLeast"/>
              <w:jc w:val="center"/>
              <w:rPr>
                <w:rFonts w:ascii="宋体" w:hAnsi="宋体" w:cs="宋体"/>
                <w:color w:val="auto"/>
                <w:szCs w:val="21"/>
                <w:highlight w:val="none"/>
              </w:rPr>
            </w:pPr>
          </w:p>
        </w:tc>
        <w:tc>
          <w:tcPr>
            <w:tcW w:w="1062" w:type="dxa"/>
          </w:tcPr>
          <w:p>
            <w:pPr>
              <w:spacing w:line="240" w:lineRule="atLeast"/>
              <w:jc w:val="center"/>
              <w:rPr>
                <w:rFonts w:ascii="宋体" w:hAnsi="宋体" w:cs="宋体"/>
                <w:color w:val="auto"/>
                <w:szCs w:val="21"/>
                <w:highlight w:val="none"/>
              </w:rPr>
            </w:pPr>
          </w:p>
        </w:tc>
        <w:tc>
          <w:tcPr>
            <w:tcW w:w="1144" w:type="dxa"/>
          </w:tcPr>
          <w:p>
            <w:pPr>
              <w:spacing w:line="240" w:lineRule="atLeast"/>
              <w:jc w:val="center"/>
              <w:rPr>
                <w:rFonts w:ascii="宋体" w:hAnsi="宋体" w:cs="宋体"/>
                <w:color w:val="auto"/>
                <w:szCs w:val="21"/>
                <w:highlight w:val="none"/>
              </w:rPr>
            </w:pPr>
          </w:p>
        </w:tc>
        <w:tc>
          <w:tcPr>
            <w:tcW w:w="1045" w:type="dxa"/>
          </w:tcPr>
          <w:p>
            <w:pPr>
              <w:spacing w:line="240" w:lineRule="atLeast"/>
              <w:jc w:val="center"/>
              <w:rPr>
                <w:rFonts w:ascii="宋体" w:hAnsi="宋体" w:cs="宋体"/>
                <w:color w:val="auto"/>
                <w:szCs w:val="21"/>
                <w:highlight w:val="none"/>
              </w:rPr>
            </w:pPr>
          </w:p>
        </w:tc>
        <w:tc>
          <w:tcPr>
            <w:tcW w:w="1039" w:type="dxa"/>
          </w:tcPr>
          <w:p>
            <w:pPr>
              <w:spacing w:line="240" w:lineRule="atLeast"/>
              <w:jc w:val="center"/>
              <w:rPr>
                <w:rFonts w:ascii="宋体" w:hAnsi="宋体" w:cs="宋体"/>
                <w:color w:val="auto"/>
                <w:szCs w:val="21"/>
                <w:highlight w:val="none"/>
              </w:rPr>
            </w:pPr>
          </w:p>
        </w:tc>
        <w:tc>
          <w:tcPr>
            <w:tcW w:w="1221" w:type="dxa"/>
          </w:tcPr>
          <w:p>
            <w:pPr>
              <w:spacing w:line="240" w:lineRule="atLeast"/>
              <w:jc w:val="center"/>
              <w:rPr>
                <w:rFonts w:ascii="宋体" w:hAnsi="宋体" w:cs="宋体"/>
                <w:color w:val="auto"/>
                <w:szCs w:val="21"/>
                <w:highlight w:val="none"/>
              </w:rPr>
            </w:pPr>
          </w:p>
        </w:tc>
        <w:tc>
          <w:tcPr>
            <w:tcW w:w="1223" w:type="dxa"/>
          </w:tcPr>
          <w:p>
            <w:pPr>
              <w:spacing w:line="240" w:lineRule="atLeast"/>
              <w:jc w:val="center"/>
              <w:rPr>
                <w:rFonts w:ascii="宋体" w:hAnsi="宋体" w:cs="宋体"/>
                <w:color w:val="auto"/>
                <w:szCs w:val="21"/>
                <w:highlight w:val="none"/>
              </w:rPr>
            </w:pPr>
          </w:p>
        </w:tc>
        <w:tc>
          <w:tcPr>
            <w:tcW w:w="784" w:type="dxa"/>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tcPr>
          <w:p>
            <w:pPr>
              <w:spacing w:line="240" w:lineRule="atLeast"/>
              <w:jc w:val="center"/>
              <w:rPr>
                <w:rFonts w:ascii="宋体" w:hAnsi="宋体" w:cs="宋体"/>
                <w:color w:val="auto"/>
                <w:szCs w:val="21"/>
                <w:highlight w:val="none"/>
              </w:rPr>
            </w:pPr>
          </w:p>
        </w:tc>
        <w:tc>
          <w:tcPr>
            <w:tcW w:w="1252" w:type="dxa"/>
          </w:tcPr>
          <w:p>
            <w:pPr>
              <w:spacing w:line="240" w:lineRule="atLeast"/>
              <w:jc w:val="center"/>
              <w:rPr>
                <w:rFonts w:ascii="宋体" w:hAnsi="宋体" w:cs="宋体"/>
                <w:color w:val="auto"/>
                <w:szCs w:val="21"/>
                <w:highlight w:val="none"/>
              </w:rPr>
            </w:pPr>
          </w:p>
        </w:tc>
        <w:tc>
          <w:tcPr>
            <w:tcW w:w="1062" w:type="dxa"/>
          </w:tcPr>
          <w:p>
            <w:pPr>
              <w:spacing w:line="240" w:lineRule="atLeast"/>
              <w:jc w:val="center"/>
              <w:rPr>
                <w:rFonts w:ascii="宋体" w:hAnsi="宋体" w:cs="宋体"/>
                <w:color w:val="auto"/>
                <w:szCs w:val="21"/>
                <w:highlight w:val="none"/>
              </w:rPr>
            </w:pPr>
          </w:p>
        </w:tc>
        <w:tc>
          <w:tcPr>
            <w:tcW w:w="1144" w:type="dxa"/>
          </w:tcPr>
          <w:p>
            <w:pPr>
              <w:spacing w:line="240" w:lineRule="atLeast"/>
              <w:jc w:val="center"/>
              <w:rPr>
                <w:rFonts w:ascii="宋体" w:hAnsi="宋体" w:cs="宋体"/>
                <w:color w:val="auto"/>
                <w:szCs w:val="21"/>
                <w:highlight w:val="none"/>
              </w:rPr>
            </w:pPr>
          </w:p>
        </w:tc>
        <w:tc>
          <w:tcPr>
            <w:tcW w:w="1045" w:type="dxa"/>
          </w:tcPr>
          <w:p>
            <w:pPr>
              <w:spacing w:line="240" w:lineRule="atLeast"/>
              <w:jc w:val="center"/>
              <w:rPr>
                <w:rFonts w:ascii="宋体" w:hAnsi="宋体" w:cs="宋体"/>
                <w:color w:val="auto"/>
                <w:szCs w:val="21"/>
                <w:highlight w:val="none"/>
              </w:rPr>
            </w:pPr>
          </w:p>
        </w:tc>
        <w:tc>
          <w:tcPr>
            <w:tcW w:w="1039" w:type="dxa"/>
          </w:tcPr>
          <w:p>
            <w:pPr>
              <w:spacing w:line="240" w:lineRule="atLeast"/>
              <w:jc w:val="center"/>
              <w:rPr>
                <w:rFonts w:ascii="宋体" w:hAnsi="宋体" w:cs="宋体"/>
                <w:color w:val="auto"/>
                <w:szCs w:val="21"/>
                <w:highlight w:val="none"/>
              </w:rPr>
            </w:pPr>
          </w:p>
        </w:tc>
        <w:tc>
          <w:tcPr>
            <w:tcW w:w="1221" w:type="dxa"/>
          </w:tcPr>
          <w:p>
            <w:pPr>
              <w:spacing w:line="240" w:lineRule="atLeast"/>
              <w:jc w:val="center"/>
              <w:rPr>
                <w:rFonts w:ascii="宋体" w:hAnsi="宋体" w:cs="宋体"/>
                <w:color w:val="auto"/>
                <w:szCs w:val="21"/>
                <w:highlight w:val="none"/>
              </w:rPr>
            </w:pPr>
          </w:p>
        </w:tc>
        <w:tc>
          <w:tcPr>
            <w:tcW w:w="1223" w:type="dxa"/>
          </w:tcPr>
          <w:p>
            <w:pPr>
              <w:spacing w:line="240" w:lineRule="atLeast"/>
              <w:jc w:val="center"/>
              <w:rPr>
                <w:rFonts w:ascii="宋体" w:hAnsi="宋体" w:cs="宋体"/>
                <w:color w:val="auto"/>
                <w:szCs w:val="21"/>
                <w:highlight w:val="none"/>
              </w:rPr>
            </w:pPr>
          </w:p>
        </w:tc>
        <w:tc>
          <w:tcPr>
            <w:tcW w:w="784" w:type="dxa"/>
          </w:tcPr>
          <w:p>
            <w:pPr>
              <w:spacing w:line="240" w:lineRule="atLeast"/>
              <w:jc w:val="center"/>
              <w:rPr>
                <w:rFonts w:ascii="宋体" w:hAnsi="宋体" w:cs="宋体"/>
                <w:color w:val="auto"/>
                <w:szCs w:val="21"/>
                <w:highlight w:val="none"/>
              </w:rPr>
            </w:pPr>
          </w:p>
        </w:tc>
      </w:tr>
    </w:tbl>
    <w:p>
      <w:pPr>
        <w:spacing w:line="440" w:lineRule="exact"/>
        <w:rPr>
          <w:rFonts w:ascii="宋体" w:hAnsi="宋体" w:cs="宋体"/>
          <w:color w:val="auto"/>
          <w:sz w:val="20"/>
          <w:highlight w:val="none"/>
        </w:rPr>
      </w:pPr>
    </w:p>
    <w:p>
      <w:pPr>
        <w:tabs>
          <w:tab w:val="left" w:pos="720"/>
        </w:tabs>
        <w:spacing w:line="360" w:lineRule="auto"/>
        <w:outlineLvl w:val="0"/>
        <w:rPr>
          <w:rFonts w:ascii="宋体" w:hAnsi="宋体" w:cs="宋体"/>
          <w:b/>
          <w:color w:val="auto"/>
          <w:sz w:val="24"/>
          <w:szCs w:val="24"/>
          <w:highlight w:val="none"/>
        </w:rPr>
      </w:pPr>
      <w:bookmarkStart w:id="191" w:name="_Toc28889"/>
      <w:bookmarkStart w:id="192" w:name="_Toc13628_WPSOffice_Level2"/>
      <w:bookmarkStart w:id="193" w:name="_Toc26491_WPSOffice_Level2"/>
      <w:bookmarkStart w:id="194" w:name="_Toc23409_WPSOffice_Level2"/>
      <w:r>
        <w:rPr>
          <w:rFonts w:hint="eastAsia" w:ascii="宋体" w:hAnsi="宋体" w:cs="宋体"/>
          <w:b/>
          <w:color w:val="auto"/>
          <w:sz w:val="24"/>
          <w:szCs w:val="24"/>
          <w:highlight w:val="none"/>
        </w:rPr>
        <w:t>附表三、项目管理班子配备情况表</w:t>
      </w:r>
      <w:bookmarkEnd w:id="191"/>
      <w:bookmarkEnd w:id="192"/>
      <w:bookmarkEnd w:id="193"/>
      <w:bookmarkEnd w:id="194"/>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0"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20"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5040" w:type="dxa"/>
            <w:gridSpan w:val="5"/>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上岗资格证明</w:t>
            </w:r>
          </w:p>
        </w:tc>
        <w:tc>
          <w:tcPr>
            <w:tcW w:w="2052"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Pr>
          <w:p>
            <w:pPr>
              <w:spacing w:line="360" w:lineRule="auto"/>
              <w:rPr>
                <w:rFonts w:ascii="宋体" w:hAnsi="宋体" w:cs="宋体"/>
                <w:color w:val="auto"/>
                <w:szCs w:val="21"/>
                <w:highlight w:val="none"/>
              </w:rPr>
            </w:pPr>
          </w:p>
        </w:tc>
        <w:tc>
          <w:tcPr>
            <w:tcW w:w="720" w:type="dxa"/>
            <w:vMerge w:val="continue"/>
          </w:tcPr>
          <w:p>
            <w:pPr>
              <w:spacing w:line="360" w:lineRule="auto"/>
              <w:rPr>
                <w:rFonts w:ascii="宋体" w:hAnsi="宋体" w:cs="宋体"/>
                <w:color w:val="auto"/>
                <w:szCs w:val="21"/>
                <w:highlight w:val="none"/>
              </w:rPr>
            </w:pPr>
          </w:p>
        </w:tc>
        <w:tc>
          <w:tcPr>
            <w:tcW w:w="720" w:type="dxa"/>
            <w:vMerge w:val="continue"/>
          </w:tcPr>
          <w:p>
            <w:pPr>
              <w:spacing w:line="360" w:lineRule="auto"/>
              <w:rPr>
                <w:rFonts w:ascii="宋体" w:hAnsi="宋体" w:cs="宋体"/>
                <w:color w:val="auto"/>
                <w:szCs w:val="21"/>
                <w:highlight w:val="none"/>
              </w:rPr>
            </w:pPr>
          </w:p>
        </w:tc>
        <w:tc>
          <w:tcPr>
            <w:tcW w:w="8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w:t>
            </w:r>
          </w:p>
          <w:p>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8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8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8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4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原服务单位</w:t>
            </w:r>
          </w:p>
        </w:tc>
        <w:tc>
          <w:tcPr>
            <w:tcW w:w="8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项目数</w:t>
            </w:r>
          </w:p>
        </w:tc>
        <w:tc>
          <w:tcPr>
            <w:tcW w:w="116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1488"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163"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1488"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163"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1488"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163"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1488"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163"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9180" w:type="dxa"/>
            <w:gridSpan w:val="10"/>
          </w:tcPr>
          <w:p>
            <w:pPr>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pPr>
        <w:tabs>
          <w:tab w:val="left" w:pos="720"/>
        </w:tabs>
        <w:spacing w:line="360" w:lineRule="auto"/>
        <w:rPr>
          <w:rFonts w:ascii="宋体" w:hAnsi="宋体" w:cs="宋体"/>
          <w:color w:val="auto"/>
          <w:sz w:val="24"/>
          <w:szCs w:val="24"/>
          <w:highlight w:val="none"/>
        </w:rPr>
        <w:sectPr>
          <w:pgSz w:w="11900" w:h="16838"/>
          <w:pgMar w:top="1440" w:right="1440" w:bottom="158" w:left="1440" w:header="567" w:footer="567" w:gutter="0"/>
          <w:cols w:equalWidth="0" w:num="1">
            <w:col w:w="9026"/>
          </w:cols>
        </w:sectPr>
      </w:pPr>
    </w:p>
    <w:p>
      <w:pPr>
        <w:tabs>
          <w:tab w:val="left" w:pos="720"/>
        </w:tabs>
        <w:spacing w:line="360" w:lineRule="auto"/>
        <w:outlineLvl w:val="0"/>
        <w:rPr>
          <w:rFonts w:ascii="宋体" w:hAnsi="宋体" w:cs="宋体"/>
          <w:b/>
          <w:color w:val="auto"/>
          <w:sz w:val="24"/>
          <w:szCs w:val="24"/>
          <w:highlight w:val="none"/>
        </w:rPr>
      </w:pPr>
      <w:bookmarkStart w:id="195" w:name="_Toc22932_WPSOffice_Level2"/>
      <w:bookmarkStart w:id="196" w:name="_Toc9230_WPSOffice_Level2"/>
      <w:bookmarkStart w:id="197" w:name="_Toc32746"/>
      <w:bookmarkStart w:id="198" w:name="_Toc19415_WPSOffice_Level2"/>
      <w:r>
        <w:rPr>
          <w:rFonts w:hint="eastAsia" w:ascii="宋体" w:hAnsi="宋体" w:cs="宋体"/>
          <w:b/>
          <w:color w:val="auto"/>
          <w:sz w:val="24"/>
          <w:szCs w:val="24"/>
          <w:highlight w:val="none"/>
        </w:rPr>
        <w:t>附表四、项目经理简历表</w:t>
      </w:r>
      <w:bookmarkEnd w:id="195"/>
      <w:bookmarkEnd w:id="196"/>
      <w:bookmarkEnd w:id="197"/>
      <w:bookmarkEnd w:id="198"/>
    </w:p>
    <w:tbl>
      <w:tblPr>
        <w:tblStyle w:val="19"/>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80" w:type="dxa"/>
            <w:vAlign w:val="center"/>
          </w:tcPr>
          <w:p>
            <w:pPr>
              <w:spacing w:line="240" w:lineRule="atLeast"/>
              <w:jc w:val="center"/>
              <w:rPr>
                <w:rFonts w:ascii="宋体" w:hAnsi="宋体" w:cs="宋体"/>
                <w:color w:val="auto"/>
                <w:szCs w:val="21"/>
                <w:highlight w:val="none"/>
              </w:rPr>
            </w:pPr>
          </w:p>
        </w:tc>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608" w:type="dxa"/>
            <w:vAlign w:val="center"/>
          </w:tcPr>
          <w:p>
            <w:pPr>
              <w:spacing w:line="240" w:lineRule="atLeast"/>
              <w:jc w:val="center"/>
              <w:rPr>
                <w:rFonts w:ascii="宋体" w:hAnsi="宋体" w:cs="宋体"/>
                <w:color w:val="auto"/>
                <w:szCs w:val="21"/>
                <w:highlight w:val="none"/>
              </w:rPr>
            </w:pPr>
          </w:p>
        </w:tc>
        <w:tc>
          <w:tcPr>
            <w:tcW w:w="148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81"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80" w:type="dxa"/>
            <w:vAlign w:val="center"/>
          </w:tcPr>
          <w:p>
            <w:pPr>
              <w:spacing w:line="240" w:lineRule="atLeast"/>
              <w:jc w:val="center"/>
              <w:rPr>
                <w:rFonts w:ascii="宋体" w:hAnsi="宋体" w:cs="宋体"/>
                <w:color w:val="auto"/>
                <w:szCs w:val="21"/>
                <w:highlight w:val="none"/>
              </w:rPr>
            </w:pPr>
          </w:p>
        </w:tc>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08" w:type="dxa"/>
            <w:vAlign w:val="center"/>
          </w:tcPr>
          <w:p>
            <w:pPr>
              <w:spacing w:line="240" w:lineRule="atLeast"/>
              <w:jc w:val="center"/>
              <w:rPr>
                <w:rFonts w:ascii="宋体" w:hAnsi="宋体" w:cs="宋体"/>
                <w:color w:val="auto"/>
                <w:szCs w:val="21"/>
                <w:highlight w:val="none"/>
              </w:rPr>
            </w:pPr>
          </w:p>
        </w:tc>
        <w:tc>
          <w:tcPr>
            <w:tcW w:w="148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481"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1480" w:type="dxa"/>
            <w:vAlign w:val="center"/>
          </w:tcPr>
          <w:p>
            <w:pPr>
              <w:spacing w:line="240" w:lineRule="atLeast"/>
              <w:jc w:val="center"/>
              <w:rPr>
                <w:rFonts w:ascii="宋体" w:hAnsi="宋体" w:cs="宋体"/>
                <w:color w:val="auto"/>
                <w:szCs w:val="21"/>
                <w:highlight w:val="none"/>
              </w:rPr>
            </w:pPr>
          </w:p>
        </w:tc>
        <w:tc>
          <w:tcPr>
            <w:tcW w:w="3089" w:type="dxa"/>
            <w:gridSpan w:val="2"/>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从事项目经理年限</w:t>
            </w:r>
          </w:p>
        </w:tc>
        <w:tc>
          <w:tcPr>
            <w:tcW w:w="1481"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项目经理资格证书编号</w:t>
            </w:r>
          </w:p>
        </w:tc>
        <w:tc>
          <w:tcPr>
            <w:tcW w:w="6050" w:type="dxa"/>
            <w:gridSpan w:val="4"/>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0" w:type="dxa"/>
            <w:gridSpan w:val="6"/>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1608"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开、竣工日期</w:t>
            </w:r>
          </w:p>
        </w:tc>
        <w:tc>
          <w:tcPr>
            <w:tcW w:w="148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在建或已完</w:t>
            </w:r>
          </w:p>
        </w:tc>
        <w:tc>
          <w:tcPr>
            <w:tcW w:w="148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szCs w:val="28"/>
          <w:highlight w:val="none"/>
        </w:rPr>
      </w:pPr>
      <w:r>
        <w:rPr>
          <w:rFonts w:hint="eastAsia" w:ascii="宋体" w:hAnsi="宋体" w:cs="宋体"/>
          <w:color w:val="auto"/>
          <w:sz w:val="24"/>
          <w:szCs w:val="28"/>
          <w:highlight w:val="none"/>
        </w:rPr>
        <w:t>备注：后附项目经理注册证书、B证、职称证、业绩等</w:t>
      </w:r>
    </w:p>
    <w:p>
      <w:pPr>
        <w:tabs>
          <w:tab w:val="left" w:pos="720"/>
        </w:tabs>
        <w:spacing w:line="360" w:lineRule="auto"/>
        <w:rPr>
          <w:rFonts w:ascii="宋体" w:hAnsi="宋体" w:cs="宋体"/>
          <w:color w:val="auto"/>
          <w:sz w:val="24"/>
          <w:szCs w:val="24"/>
          <w:highlight w:val="none"/>
        </w:rPr>
      </w:pPr>
    </w:p>
    <w:p>
      <w:pPr>
        <w:tabs>
          <w:tab w:val="left" w:pos="720"/>
        </w:tabs>
        <w:spacing w:line="360" w:lineRule="auto"/>
        <w:outlineLvl w:val="0"/>
        <w:rPr>
          <w:rFonts w:ascii="宋体" w:hAnsi="宋体" w:cs="宋体"/>
          <w:b/>
          <w:color w:val="auto"/>
          <w:sz w:val="24"/>
          <w:szCs w:val="24"/>
          <w:highlight w:val="none"/>
        </w:rPr>
      </w:pPr>
      <w:bookmarkStart w:id="199" w:name="_Toc11913"/>
      <w:bookmarkStart w:id="200" w:name="_Toc28183_WPSOffice_Level2"/>
      <w:bookmarkStart w:id="201" w:name="_Toc2242_WPSOffice_Level2"/>
      <w:bookmarkStart w:id="202" w:name="_Toc18370_WPSOffice_Level2"/>
      <w:r>
        <w:rPr>
          <w:rFonts w:hint="eastAsia" w:ascii="宋体" w:hAnsi="宋体" w:cs="宋体"/>
          <w:b/>
          <w:color w:val="auto"/>
          <w:sz w:val="24"/>
          <w:szCs w:val="24"/>
          <w:highlight w:val="none"/>
        </w:rPr>
        <w:t>附表五、技术负责人简历表</w:t>
      </w:r>
      <w:bookmarkEnd w:id="199"/>
      <w:bookmarkEnd w:id="200"/>
      <w:bookmarkEnd w:id="201"/>
      <w:bookmarkEnd w:id="202"/>
    </w:p>
    <w:tbl>
      <w:tblPr>
        <w:tblStyle w:val="19"/>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80" w:type="dxa"/>
            <w:vAlign w:val="center"/>
          </w:tcPr>
          <w:p>
            <w:pPr>
              <w:spacing w:line="240" w:lineRule="exact"/>
              <w:jc w:val="center"/>
              <w:rPr>
                <w:rFonts w:ascii="宋体" w:hAnsi="宋体" w:cs="宋体"/>
                <w:color w:val="auto"/>
                <w:szCs w:val="21"/>
                <w:highlight w:val="none"/>
              </w:rPr>
            </w:pPr>
          </w:p>
        </w:tc>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608" w:type="dxa"/>
            <w:vAlign w:val="center"/>
          </w:tcPr>
          <w:p>
            <w:pPr>
              <w:spacing w:line="240" w:lineRule="exact"/>
              <w:jc w:val="center"/>
              <w:rPr>
                <w:rFonts w:ascii="宋体" w:hAnsi="宋体" w:cs="宋体"/>
                <w:color w:val="auto"/>
                <w:szCs w:val="21"/>
                <w:highlight w:val="none"/>
              </w:rPr>
            </w:pPr>
          </w:p>
        </w:tc>
        <w:tc>
          <w:tcPr>
            <w:tcW w:w="1481"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81" w:type="dxa"/>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80" w:type="dxa"/>
            <w:vAlign w:val="center"/>
          </w:tcPr>
          <w:p>
            <w:pPr>
              <w:spacing w:line="240" w:lineRule="exact"/>
              <w:jc w:val="center"/>
              <w:rPr>
                <w:rFonts w:ascii="宋体" w:hAnsi="宋体" w:cs="宋体"/>
                <w:color w:val="auto"/>
                <w:szCs w:val="21"/>
                <w:highlight w:val="none"/>
              </w:rPr>
            </w:pPr>
          </w:p>
        </w:tc>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08" w:type="dxa"/>
            <w:vAlign w:val="center"/>
          </w:tcPr>
          <w:p>
            <w:pPr>
              <w:spacing w:line="240" w:lineRule="exact"/>
              <w:jc w:val="center"/>
              <w:rPr>
                <w:rFonts w:ascii="宋体" w:hAnsi="宋体" w:cs="宋体"/>
                <w:color w:val="auto"/>
                <w:szCs w:val="21"/>
                <w:highlight w:val="none"/>
              </w:rPr>
            </w:pPr>
          </w:p>
        </w:tc>
        <w:tc>
          <w:tcPr>
            <w:tcW w:w="1481"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481" w:type="dxa"/>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1480" w:type="dxa"/>
            <w:vAlign w:val="center"/>
          </w:tcPr>
          <w:p>
            <w:pPr>
              <w:spacing w:line="240" w:lineRule="exact"/>
              <w:jc w:val="center"/>
              <w:rPr>
                <w:rFonts w:ascii="宋体" w:hAnsi="宋体" w:cs="宋体"/>
                <w:color w:val="auto"/>
                <w:szCs w:val="21"/>
                <w:highlight w:val="none"/>
              </w:rPr>
            </w:pPr>
          </w:p>
        </w:tc>
        <w:tc>
          <w:tcPr>
            <w:tcW w:w="3089" w:type="dxa"/>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从事技术负责人年限</w:t>
            </w:r>
          </w:p>
        </w:tc>
        <w:tc>
          <w:tcPr>
            <w:tcW w:w="1481" w:type="dxa"/>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资格证书名称及编号</w:t>
            </w:r>
          </w:p>
        </w:tc>
        <w:tc>
          <w:tcPr>
            <w:tcW w:w="6050" w:type="dxa"/>
            <w:gridSpan w:val="4"/>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10" w:type="dxa"/>
            <w:gridSpan w:val="6"/>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1608"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开、竣工日期</w:t>
            </w:r>
          </w:p>
        </w:tc>
        <w:tc>
          <w:tcPr>
            <w:tcW w:w="1481"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在建或已完</w:t>
            </w:r>
          </w:p>
        </w:tc>
        <w:tc>
          <w:tcPr>
            <w:tcW w:w="1481"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bl>
    <w:p>
      <w:pPr>
        <w:spacing w:line="360" w:lineRule="auto"/>
        <w:jc w:val="center"/>
        <w:rPr>
          <w:rFonts w:ascii="宋体" w:hAnsi="宋体" w:cs="宋体"/>
          <w:b/>
          <w:bCs/>
          <w:color w:val="auto"/>
          <w:szCs w:val="28"/>
          <w:highlight w:val="none"/>
        </w:rPr>
      </w:pPr>
    </w:p>
    <w:p>
      <w:pPr>
        <w:spacing w:line="360" w:lineRule="auto"/>
        <w:jc w:val="center"/>
        <w:rPr>
          <w:rFonts w:ascii="宋体" w:hAnsi="宋体" w:cs="宋体"/>
          <w:b/>
          <w:bCs/>
          <w:color w:val="auto"/>
          <w:szCs w:val="28"/>
          <w:highlight w:val="none"/>
        </w:rPr>
      </w:pPr>
    </w:p>
    <w:p>
      <w:pPr>
        <w:tabs>
          <w:tab w:val="left" w:pos="720"/>
        </w:tabs>
        <w:spacing w:line="360" w:lineRule="auto"/>
        <w:rPr>
          <w:rFonts w:ascii="宋体" w:hAnsi="宋体" w:cs="宋体"/>
          <w:b/>
          <w:color w:val="auto"/>
          <w:sz w:val="24"/>
          <w:szCs w:val="24"/>
          <w:highlight w:val="none"/>
        </w:rPr>
        <w:sectPr>
          <w:pgSz w:w="11900" w:h="16838"/>
          <w:pgMar w:top="1440" w:right="1440" w:bottom="158" w:left="1440" w:header="567" w:footer="567" w:gutter="0"/>
          <w:cols w:equalWidth="0" w:num="1">
            <w:col w:w="9026"/>
          </w:cols>
        </w:sectPr>
      </w:pPr>
      <w:bookmarkStart w:id="203" w:name="_Toc179632819"/>
      <w:bookmarkStart w:id="204" w:name="_Toc144974867"/>
      <w:bookmarkStart w:id="205" w:name="_Toc152042588"/>
      <w:bookmarkStart w:id="206" w:name="_Toc28662_WPSOffice_Level2"/>
      <w:bookmarkStart w:id="207" w:name="_Toc246392157"/>
      <w:bookmarkStart w:id="208" w:name="_Toc152045799"/>
    </w:p>
    <w:p>
      <w:pPr>
        <w:tabs>
          <w:tab w:val="left" w:pos="720"/>
        </w:tabs>
        <w:spacing w:line="360" w:lineRule="auto"/>
        <w:outlineLvl w:val="0"/>
        <w:rPr>
          <w:rFonts w:ascii="宋体" w:hAnsi="宋体" w:cs="宋体"/>
          <w:b/>
          <w:color w:val="auto"/>
          <w:sz w:val="24"/>
          <w:szCs w:val="24"/>
          <w:highlight w:val="none"/>
        </w:rPr>
      </w:pPr>
      <w:bookmarkStart w:id="209" w:name="_Toc17278_WPSOffice_Level2"/>
      <w:bookmarkStart w:id="210" w:name="_Toc24589_WPSOffice_Level2"/>
      <w:bookmarkStart w:id="211" w:name="_Toc24300"/>
      <w:r>
        <w:rPr>
          <w:rFonts w:hint="eastAsia" w:ascii="宋体" w:hAnsi="宋体" w:cs="宋体"/>
          <w:b/>
          <w:color w:val="auto"/>
          <w:sz w:val="24"/>
          <w:szCs w:val="24"/>
          <w:highlight w:val="none"/>
        </w:rPr>
        <w:t>附表六：劳动力计划表</w:t>
      </w:r>
      <w:bookmarkEnd w:id="203"/>
      <w:bookmarkEnd w:id="204"/>
      <w:bookmarkEnd w:id="205"/>
      <w:bookmarkEnd w:id="206"/>
      <w:bookmarkEnd w:id="207"/>
      <w:bookmarkEnd w:id="208"/>
      <w:bookmarkEnd w:id="209"/>
      <w:bookmarkEnd w:id="210"/>
      <w:bookmarkEnd w:id="211"/>
    </w:p>
    <w:p>
      <w:pPr>
        <w:spacing w:line="440" w:lineRule="exact"/>
        <w:ind w:right="41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bookmarkStart w:id="212" w:name="_Toc13766_WPSOffice_Level2"/>
      <w:bookmarkStart w:id="213" w:name="_Toc10130_WPSOffice_Level2"/>
      <w:bookmarkStart w:id="214" w:name="_Toc3046_WPSOffice_Level2"/>
      <w:r>
        <w:rPr>
          <w:rFonts w:hint="eastAsia" w:ascii="宋体" w:hAnsi="宋体" w:cs="宋体"/>
          <w:color w:val="auto"/>
          <w:sz w:val="24"/>
          <w:szCs w:val="24"/>
          <w:highlight w:val="none"/>
        </w:rPr>
        <w:t>单位：人</w:t>
      </w:r>
      <w:bookmarkEnd w:id="212"/>
      <w:bookmarkEnd w:id="213"/>
      <w:bookmarkEnd w:id="214"/>
    </w:p>
    <w:tbl>
      <w:tblPr>
        <w:tblStyle w:val="1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49"/>
        <w:gridCol w:w="1234"/>
        <w:gridCol w:w="1234"/>
        <w:gridCol w:w="953"/>
        <w:gridCol w:w="1234"/>
        <w:gridCol w:w="1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8061" w:type="dxa"/>
            <w:gridSpan w:val="7"/>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ascii="宋体" w:hAnsi="宋体" w:cs="宋体"/>
                <w:color w:val="auto"/>
                <w:szCs w:val="21"/>
                <w:highlight w:val="none"/>
              </w:rPr>
            </w:pPr>
          </w:p>
        </w:tc>
        <w:tc>
          <w:tcPr>
            <w:tcW w:w="949"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953"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23"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ascii="宋体" w:hAnsi="宋体" w:cs="宋体"/>
                <w:color w:val="auto"/>
                <w:szCs w:val="21"/>
                <w:highlight w:val="none"/>
              </w:rPr>
            </w:pPr>
          </w:p>
        </w:tc>
        <w:tc>
          <w:tcPr>
            <w:tcW w:w="949"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953"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23"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spacing w:line="440" w:lineRule="exact"/>
              <w:jc w:val="center"/>
              <w:rPr>
                <w:rFonts w:ascii="宋体" w:hAnsi="宋体" w:cs="宋体"/>
                <w:color w:val="auto"/>
                <w:szCs w:val="21"/>
                <w:highlight w:val="none"/>
              </w:rPr>
            </w:pPr>
          </w:p>
        </w:tc>
        <w:tc>
          <w:tcPr>
            <w:tcW w:w="949"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953"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23"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spacing w:line="440" w:lineRule="exact"/>
              <w:jc w:val="center"/>
              <w:rPr>
                <w:rFonts w:ascii="宋体" w:hAnsi="宋体" w:cs="宋体"/>
                <w:color w:val="auto"/>
                <w:szCs w:val="21"/>
                <w:highlight w:val="none"/>
              </w:rPr>
            </w:pPr>
          </w:p>
        </w:tc>
        <w:tc>
          <w:tcPr>
            <w:tcW w:w="949"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953"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23"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spacing w:line="440" w:lineRule="exact"/>
              <w:jc w:val="center"/>
              <w:rPr>
                <w:rFonts w:ascii="宋体" w:hAnsi="宋体" w:cs="宋体"/>
                <w:color w:val="auto"/>
                <w:szCs w:val="21"/>
                <w:highlight w:val="none"/>
              </w:rPr>
            </w:pPr>
          </w:p>
        </w:tc>
        <w:tc>
          <w:tcPr>
            <w:tcW w:w="949"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953"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23" w:type="dxa"/>
          </w:tcPr>
          <w:p>
            <w:pPr>
              <w:spacing w:line="440" w:lineRule="exact"/>
              <w:jc w:val="center"/>
              <w:rPr>
                <w:rFonts w:ascii="宋体" w:hAnsi="宋体" w:cs="宋体"/>
                <w:color w:val="auto"/>
                <w:szCs w:val="21"/>
                <w:highlight w:val="none"/>
              </w:rPr>
            </w:pPr>
          </w:p>
        </w:tc>
      </w:tr>
    </w:tbl>
    <w:p>
      <w:pPr>
        <w:tabs>
          <w:tab w:val="left" w:pos="720"/>
        </w:tabs>
        <w:spacing w:line="360" w:lineRule="auto"/>
        <w:rPr>
          <w:rFonts w:ascii="宋体" w:hAnsi="宋体" w:cs="宋体"/>
          <w:b/>
          <w:color w:val="auto"/>
          <w:sz w:val="24"/>
          <w:szCs w:val="24"/>
          <w:highlight w:val="none"/>
        </w:rPr>
      </w:pPr>
      <w:bookmarkStart w:id="215" w:name="_Toc246392158"/>
      <w:bookmarkStart w:id="216" w:name="_Toc179632820"/>
      <w:bookmarkStart w:id="217" w:name="_Toc152045800"/>
      <w:bookmarkStart w:id="218" w:name="_Toc152042589"/>
      <w:bookmarkStart w:id="219" w:name="_Toc144974868"/>
    </w:p>
    <w:p>
      <w:pPr>
        <w:tabs>
          <w:tab w:val="left" w:pos="720"/>
        </w:tabs>
        <w:spacing w:line="360" w:lineRule="auto"/>
        <w:rPr>
          <w:rFonts w:ascii="宋体" w:hAnsi="宋体" w:cs="宋体"/>
          <w:b/>
          <w:color w:val="auto"/>
          <w:sz w:val="24"/>
          <w:szCs w:val="24"/>
          <w:highlight w:val="none"/>
        </w:rPr>
      </w:pPr>
    </w:p>
    <w:p>
      <w:pPr>
        <w:tabs>
          <w:tab w:val="left" w:pos="720"/>
        </w:tabs>
        <w:spacing w:line="360" w:lineRule="auto"/>
        <w:outlineLvl w:val="0"/>
        <w:rPr>
          <w:rFonts w:ascii="宋体" w:hAnsi="宋体" w:cs="宋体"/>
          <w:b/>
          <w:color w:val="auto"/>
          <w:sz w:val="24"/>
          <w:szCs w:val="24"/>
          <w:highlight w:val="none"/>
        </w:rPr>
      </w:pPr>
      <w:bookmarkStart w:id="220" w:name="_Toc5832_WPSOffice_Level2"/>
      <w:bookmarkStart w:id="221" w:name="_Toc27123"/>
      <w:bookmarkStart w:id="222" w:name="_Toc28001_WPSOffice_Level2"/>
      <w:bookmarkStart w:id="223" w:name="_Toc21163_WPSOffice_Level2"/>
      <w:r>
        <w:rPr>
          <w:rFonts w:hint="eastAsia" w:ascii="宋体" w:hAnsi="宋体" w:cs="宋体"/>
          <w:b/>
          <w:color w:val="auto"/>
          <w:sz w:val="24"/>
          <w:szCs w:val="24"/>
          <w:highlight w:val="none"/>
        </w:rPr>
        <w:t>附表七：计划开、竣工日期和施工进度网络图</w:t>
      </w:r>
      <w:bookmarkEnd w:id="215"/>
      <w:bookmarkEnd w:id="216"/>
      <w:bookmarkEnd w:id="217"/>
      <w:bookmarkEnd w:id="218"/>
      <w:bookmarkEnd w:id="219"/>
      <w:bookmarkEnd w:id="220"/>
      <w:bookmarkEnd w:id="221"/>
      <w:bookmarkEnd w:id="222"/>
      <w:bookmarkEnd w:id="223"/>
    </w:p>
    <w:p>
      <w:pPr>
        <w:spacing w:line="360" w:lineRule="auto"/>
        <w:rPr>
          <w:rFonts w:ascii="宋体" w:hAnsi="宋体" w:cs="宋体"/>
          <w:color w:val="auto"/>
          <w:szCs w:val="21"/>
          <w:highlight w:val="none"/>
        </w:rPr>
      </w:pPr>
      <w:r>
        <w:rPr>
          <w:rFonts w:hint="eastAsia" w:ascii="宋体" w:hAnsi="宋体" w:cs="宋体"/>
          <w:color w:val="auto"/>
          <w:szCs w:val="21"/>
          <w:highlight w:val="none"/>
        </w:rPr>
        <w:t>1. 磋商响应供应商应递交施工进度网络图或施工进度表，说明按磋商文件要求的计划工期进行施工的各个关键日期。</w:t>
      </w:r>
    </w:p>
    <w:p>
      <w:pPr>
        <w:spacing w:line="360" w:lineRule="auto"/>
        <w:rPr>
          <w:rFonts w:ascii="宋体" w:hAnsi="宋体" w:cs="宋体"/>
          <w:color w:val="auto"/>
          <w:sz w:val="20"/>
          <w:szCs w:val="20"/>
          <w:highlight w:val="none"/>
        </w:rPr>
      </w:pPr>
      <w:r>
        <w:rPr>
          <w:rFonts w:hint="eastAsia" w:ascii="宋体" w:hAnsi="宋体" w:cs="宋体"/>
          <w:color w:val="auto"/>
          <w:szCs w:val="21"/>
          <w:highlight w:val="none"/>
        </w:rPr>
        <w:t>2. 施工进度表可采用网络图（或横道图）表示。</w:t>
      </w:r>
    </w:p>
    <w:p>
      <w:pPr>
        <w:pStyle w:val="4"/>
        <w:rPr>
          <w:rFonts w:ascii="宋体" w:hAnsi="宋体" w:cs="宋体"/>
          <w:color w:val="auto"/>
          <w:sz w:val="24"/>
          <w:szCs w:val="24"/>
          <w:highlight w:val="none"/>
        </w:rPr>
        <w:sectPr>
          <w:pgSz w:w="11900" w:h="16838"/>
          <w:pgMar w:top="1440" w:right="1440" w:bottom="158" w:left="1440" w:header="567" w:footer="567" w:gutter="0"/>
          <w:cols w:equalWidth="0" w:num="1">
            <w:col w:w="9026"/>
          </w:cols>
        </w:sectPr>
      </w:pPr>
      <w:bookmarkStart w:id="224" w:name="page85"/>
      <w:bookmarkEnd w:id="224"/>
      <w:bookmarkStart w:id="225" w:name="_Toc24058_WPSOffice_Level2"/>
    </w:p>
    <w:p>
      <w:pPr>
        <w:pStyle w:val="4"/>
        <w:rPr>
          <w:rFonts w:ascii="宋体" w:hAnsi="宋体" w:cs="宋体"/>
          <w:color w:val="auto"/>
          <w:sz w:val="24"/>
          <w:szCs w:val="24"/>
          <w:highlight w:val="none"/>
        </w:rPr>
      </w:pPr>
      <w:bookmarkStart w:id="226" w:name="_Toc29745_WPSOffice_Level2"/>
      <w:bookmarkStart w:id="227" w:name="_Toc16761"/>
      <w:bookmarkStart w:id="228" w:name="_Toc27471_WPSOffice_Level2"/>
      <w:r>
        <w:rPr>
          <w:rFonts w:hint="eastAsia" w:ascii="宋体" w:hAnsi="宋体" w:cs="宋体"/>
          <w:color w:val="auto"/>
          <w:sz w:val="24"/>
          <w:szCs w:val="24"/>
          <w:highlight w:val="none"/>
        </w:rPr>
        <w:t>附件八：工程主要材料选材表</w:t>
      </w:r>
      <w:bookmarkEnd w:id="225"/>
      <w:bookmarkEnd w:id="226"/>
      <w:bookmarkEnd w:id="227"/>
      <w:bookmarkEnd w:id="228"/>
    </w:p>
    <w:tbl>
      <w:tblPr>
        <w:tblStyle w:val="19"/>
        <w:tblW w:w="8528" w:type="dxa"/>
        <w:tblInd w:w="0" w:type="dxa"/>
        <w:tblLayout w:type="fixed"/>
        <w:tblCellMar>
          <w:top w:w="0" w:type="dxa"/>
          <w:left w:w="108" w:type="dxa"/>
          <w:bottom w:w="0" w:type="dxa"/>
          <w:right w:w="108" w:type="dxa"/>
        </w:tblCellMar>
      </w:tblPr>
      <w:tblGrid>
        <w:gridCol w:w="907"/>
        <w:gridCol w:w="2569"/>
        <w:gridCol w:w="5052"/>
      </w:tblGrid>
      <w:tr>
        <w:tblPrEx>
          <w:tblCellMar>
            <w:top w:w="0" w:type="dxa"/>
            <w:left w:w="108" w:type="dxa"/>
            <w:bottom w:w="0" w:type="dxa"/>
            <w:right w:w="108" w:type="dxa"/>
          </w:tblCellMar>
        </w:tblPrEx>
        <w:trPr>
          <w:trHeight w:val="735" w:hRule="atLeast"/>
        </w:trPr>
        <w:tc>
          <w:tcPr>
            <w:tcW w:w="9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2569" w:type="dxa"/>
            <w:tcBorders>
              <w:top w:val="single" w:color="000000" w:sz="4" w:space="0"/>
              <w:left w:val="nil"/>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材料名称</w:t>
            </w:r>
          </w:p>
        </w:tc>
        <w:tc>
          <w:tcPr>
            <w:tcW w:w="5052" w:type="dxa"/>
            <w:tcBorders>
              <w:top w:val="single" w:color="000000" w:sz="4" w:space="0"/>
              <w:left w:val="nil"/>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选用品牌</w:t>
            </w: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2569" w:type="dxa"/>
            <w:tcBorders>
              <w:top w:val="nil"/>
              <w:left w:val="nil"/>
              <w:bottom w:val="single" w:color="000000" w:sz="4" w:space="0"/>
              <w:right w:val="single" w:color="000000" w:sz="4" w:space="0"/>
            </w:tcBorders>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2569" w:type="dxa"/>
            <w:tcBorders>
              <w:top w:val="nil"/>
              <w:left w:val="nil"/>
              <w:bottom w:val="single" w:color="000000" w:sz="4" w:space="0"/>
              <w:right w:val="single" w:color="000000" w:sz="4" w:space="0"/>
            </w:tcBorders>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11</w:t>
            </w:r>
          </w:p>
        </w:tc>
        <w:tc>
          <w:tcPr>
            <w:tcW w:w="2569" w:type="dxa"/>
            <w:tcBorders>
              <w:top w:val="nil"/>
              <w:left w:val="nil"/>
              <w:bottom w:val="single" w:color="000000" w:sz="4" w:space="0"/>
              <w:right w:val="single" w:color="000000" w:sz="4" w:space="0"/>
            </w:tcBorders>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bl>
    <w:p>
      <w:pPr>
        <w:tabs>
          <w:tab w:val="center" w:pos="4510"/>
        </w:tabs>
        <w:rPr>
          <w:rFonts w:ascii="宋体" w:hAnsi="宋体" w:cs="宋体"/>
          <w:color w:val="auto"/>
          <w:highlight w:val="none"/>
        </w:rPr>
        <w:sectPr>
          <w:pgSz w:w="11900" w:h="16838"/>
          <w:pgMar w:top="1440" w:right="1440" w:bottom="158" w:left="1440" w:header="567" w:footer="567" w:gutter="0"/>
          <w:cols w:equalWidth="0" w:num="1">
            <w:col w:w="9026"/>
          </w:cols>
        </w:sectPr>
      </w:pPr>
    </w:p>
    <w:p>
      <w:pPr>
        <w:tabs>
          <w:tab w:val="left" w:pos="300"/>
        </w:tabs>
        <w:spacing w:line="366" w:lineRule="exact"/>
        <w:jc w:val="center"/>
        <w:outlineLvl w:val="0"/>
        <w:rPr>
          <w:rFonts w:ascii="宋体" w:hAnsi="宋体" w:cs="宋体"/>
          <w:color w:val="auto"/>
          <w:sz w:val="20"/>
          <w:szCs w:val="20"/>
          <w:highlight w:val="none"/>
        </w:rPr>
      </w:pPr>
      <w:bookmarkStart w:id="229" w:name="page89"/>
      <w:bookmarkEnd w:id="229"/>
      <w:bookmarkStart w:id="230" w:name="page88"/>
      <w:bookmarkEnd w:id="230"/>
      <w:bookmarkStart w:id="231" w:name="_Toc14818_WPSOffice_Level1"/>
      <w:bookmarkStart w:id="232" w:name="_Toc10630"/>
      <w:r>
        <w:rPr>
          <w:rFonts w:hint="eastAsia" w:ascii="宋体" w:hAnsi="宋体" w:cs="宋体"/>
          <w:b/>
          <w:bCs/>
          <w:color w:val="auto"/>
          <w:sz w:val="32"/>
          <w:szCs w:val="32"/>
          <w:highlight w:val="none"/>
        </w:rPr>
        <w:t>第七章  评审办法</w:t>
      </w:r>
      <w:bookmarkEnd w:id="231"/>
      <w:bookmarkEnd w:id="232"/>
    </w:p>
    <w:p>
      <w:pPr>
        <w:spacing w:line="256" w:lineRule="exact"/>
        <w:rPr>
          <w:rFonts w:ascii="宋体" w:hAnsi="宋体" w:cs="宋体"/>
          <w:color w:val="auto"/>
          <w:sz w:val="20"/>
          <w:szCs w:val="20"/>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本评审办法遵照《中华人民共和国政府采购法》、《政府采购竞争性磋商采购方式管理暂行办法》等有关规定，并结合本项目的具体情况制定。</w:t>
      </w:r>
    </w:p>
    <w:p>
      <w:pPr>
        <w:spacing w:line="360" w:lineRule="auto"/>
        <w:ind w:firstLine="422" w:firstLineChars="200"/>
        <w:outlineLvl w:val="1"/>
        <w:rPr>
          <w:rFonts w:ascii="宋体" w:hAnsi="宋体" w:cs="宋体"/>
          <w:color w:val="auto"/>
          <w:szCs w:val="21"/>
          <w:highlight w:val="none"/>
        </w:rPr>
      </w:pPr>
      <w:bookmarkStart w:id="233" w:name="_Toc23603"/>
      <w:bookmarkStart w:id="234" w:name="_Toc22038_WPSOffice_Level2"/>
      <w:bookmarkStart w:id="235" w:name="_Toc23288_WPSOffice_Level2"/>
      <w:r>
        <w:rPr>
          <w:rFonts w:hint="eastAsia" w:ascii="宋体" w:hAnsi="宋体" w:cs="宋体"/>
          <w:b/>
          <w:bCs/>
          <w:color w:val="auto"/>
          <w:szCs w:val="21"/>
          <w:highlight w:val="none"/>
        </w:rPr>
        <w:t>一、总则</w:t>
      </w:r>
      <w:bookmarkEnd w:id="233"/>
      <w:bookmarkEnd w:id="234"/>
      <w:bookmarkEnd w:id="23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磋商小组成员应当按照客观、公正、审慎的原则，根据磋商文件规定的评审程序、评审方法和评审标准进行独立评审。对落标人，磋商小组不作任何落标解释。</w:t>
      </w:r>
    </w:p>
    <w:p>
      <w:pPr>
        <w:spacing w:line="360" w:lineRule="auto"/>
        <w:ind w:firstLine="422" w:firstLineChars="200"/>
        <w:outlineLvl w:val="1"/>
        <w:rPr>
          <w:rFonts w:ascii="宋体" w:hAnsi="宋体" w:cs="宋体"/>
          <w:color w:val="auto"/>
          <w:szCs w:val="21"/>
          <w:highlight w:val="none"/>
        </w:rPr>
      </w:pPr>
      <w:bookmarkStart w:id="236" w:name="_Toc8091"/>
      <w:bookmarkStart w:id="237" w:name="_Toc17659_WPSOffice_Level2"/>
      <w:bookmarkStart w:id="238" w:name="_Toc31748_WPSOffice_Level2"/>
      <w:r>
        <w:rPr>
          <w:rFonts w:hint="eastAsia" w:ascii="宋体" w:hAnsi="宋体" w:cs="宋体"/>
          <w:b/>
          <w:bCs/>
          <w:color w:val="auto"/>
          <w:szCs w:val="21"/>
          <w:highlight w:val="none"/>
        </w:rPr>
        <w:t>二、评审组织</w:t>
      </w:r>
      <w:bookmarkEnd w:id="236"/>
      <w:bookmarkEnd w:id="237"/>
      <w:bookmarkEnd w:id="238"/>
    </w:p>
    <w:p>
      <w:pPr>
        <w:spacing w:line="360" w:lineRule="auto"/>
        <w:ind w:right="246" w:firstLine="420" w:firstLineChars="200"/>
        <w:rPr>
          <w:rFonts w:ascii="宋体" w:hAnsi="宋体" w:cs="宋体"/>
          <w:color w:val="auto"/>
          <w:szCs w:val="21"/>
          <w:highlight w:val="none"/>
        </w:rPr>
      </w:pPr>
      <w:r>
        <w:rPr>
          <w:rFonts w:hint="eastAsia" w:ascii="宋体" w:hAnsi="宋体" w:cs="宋体"/>
          <w:color w:val="auto"/>
          <w:szCs w:val="21"/>
          <w:highlight w:val="none"/>
        </w:rPr>
        <w:t>评审工作由采购单位依法组建的磋商小组负责。磋商小组负责审标、询标、评审等工作，并向采购人提出评审意见和评审报告。</w:t>
      </w:r>
    </w:p>
    <w:p>
      <w:pPr>
        <w:spacing w:line="360" w:lineRule="auto"/>
        <w:ind w:firstLine="420" w:firstLineChars="200"/>
        <w:outlineLvl w:val="1"/>
        <w:rPr>
          <w:rFonts w:ascii="宋体" w:hAnsi="宋体" w:cs="宋体"/>
          <w:color w:val="auto"/>
          <w:szCs w:val="21"/>
          <w:highlight w:val="none"/>
        </w:rPr>
      </w:pPr>
      <w:bookmarkStart w:id="239" w:name="_Toc12108"/>
      <w:bookmarkStart w:id="240" w:name="_Toc5074_WPSOffice_Level2"/>
      <w:bookmarkStart w:id="241" w:name="_Toc15257_WPSOffice_Level2"/>
      <w:r>
        <w:rPr>
          <w:rFonts w:hint="eastAsia" w:ascii="宋体" w:hAnsi="宋体" w:cs="宋体"/>
          <w:color w:val="auto"/>
          <w:szCs w:val="21"/>
          <w:highlight w:val="none"/>
        </w:rPr>
        <w:t>三、</w:t>
      </w:r>
      <w:r>
        <w:rPr>
          <w:rFonts w:hint="eastAsia" w:ascii="宋体" w:hAnsi="宋体" w:cs="宋体"/>
          <w:b/>
          <w:bCs/>
          <w:color w:val="auto"/>
          <w:szCs w:val="21"/>
          <w:highlight w:val="none"/>
        </w:rPr>
        <w:t>评标程序</w:t>
      </w:r>
      <w:bookmarkEnd w:id="239"/>
      <w:bookmarkEnd w:id="240"/>
      <w:bookmarkEnd w:id="24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程序如下：</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rFonts w:ascii="宋体" w:hAnsi="宋体" w:cs="宋体"/>
          <w:color w:val="auto"/>
          <w:sz w:val="20"/>
          <w:szCs w:val="20"/>
          <w:highlight w:val="none"/>
        </w:rPr>
      </w:pPr>
      <w:r>
        <w:rPr>
          <w:rFonts w:hint="eastAsia" w:ascii="宋体" w:hAnsi="宋体" w:cs="宋体"/>
          <w:color w:val="auto"/>
          <w:szCs w:val="21"/>
          <w:highlight w:val="none"/>
        </w:rPr>
        <w:t>按供应商提交响应文件的先后顺序当众拆封、清点响应文件（包括正本、副本）数量，将拆封后的响应文件由现场工作人员护送至指定的评审地点。对不符合装订要求的响应文件，由现场工作人员退还供应商代表。</w:t>
      </w:r>
    </w:p>
    <w:p>
      <w:pPr>
        <w:spacing w:line="360" w:lineRule="auto"/>
        <w:ind w:right="346" w:firstLine="420" w:firstLineChars="200"/>
        <w:jc w:val="both"/>
        <w:rPr>
          <w:rFonts w:ascii="宋体" w:hAnsi="宋体" w:cs="宋体"/>
          <w:color w:val="auto"/>
          <w:sz w:val="20"/>
          <w:szCs w:val="20"/>
          <w:highlight w:val="none"/>
        </w:rPr>
      </w:pPr>
      <w:r>
        <w:rPr>
          <w:rFonts w:hint="eastAsia" w:ascii="宋体" w:hAnsi="宋体" w:cs="宋体"/>
          <w:color w:val="auto"/>
          <w:szCs w:val="21"/>
          <w:highlight w:val="none"/>
        </w:rPr>
        <w:t>商务技术评审结束后，主持人宣告评审无效供应商名称及理由并签字确认；进行二次报价填写。统一收取最终报价。评审结束后，主持人公布中标候选供应商名单，及采购人最终确定中标供应商名单的时间和公告方式等。</w:t>
      </w:r>
    </w:p>
    <w:p>
      <w:pPr>
        <w:spacing w:line="360" w:lineRule="auto"/>
        <w:ind w:firstLine="422" w:firstLineChars="200"/>
        <w:outlineLvl w:val="1"/>
        <w:rPr>
          <w:rFonts w:ascii="宋体" w:hAnsi="宋体" w:cs="宋体"/>
          <w:color w:val="auto"/>
          <w:szCs w:val="21"/>
          <w:highlight w:val="none"/>
        </w:rPr>
      </w:pPr>
      <w:bookmarkStart w:id="242" w:name="_Toc6442_WPSOffice_Level2"/>
      <w:bookmarkStart w:id="243" w:name="_Toc8536_WPSOffice_Level2"/>
      <w:bookmarkStart w:id="244" w:name="_Toc28145"/>
      <w:bookmarkStart w:id="245" w:name="_Toc13962"/>
      <w:bookmarkStart w:id="246" w:name="_Toc7316_WPSOffice_Level2"/>
      <w:bookmarkStart w:id="247" w:name="_Toc9788_WPSOffice_Level2"/>
      <w:r>
        <w:rPr>
          <w:rFonts w:hint="eastAsia" w:ascii="宋体" w:hAnsi="宋体" w:cs="宋体"/>
          <w:b/>
          <w:bCs/>
          <w:color w:val="auto"/>
          <w:szCs w:val="21"/>
          <w:highlight w:val="none"/>
        </w:rPr>
        <w:t>四、磋商要求</w:t>
      </w:r>
      <w:bookmarkEnd w:id="242"/>
      <w:bookmarkEnd w:id="243"/>
      <w:bookmarkEnd w:id="24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将按竞争性磋商有关规定与供应商进行封闭式磋商，磋商的内容包括（但不限于）磋商响应供应商的报价、合同条款响应情况、技术方案的可行性、承诺的后期服务等。磋商响应供应商有义务对磋商小组就响应文件中不明确的条款进行澄清，磋商响应供应商在磋商时可以对其响应文件进行补充或调整，在磋商结束前，磋商响应供应商应对其澄清、补充、调整的相关内容以书面方式进行最终确认，形成最终承诺书。磋商小组对磋商响应供应商的磋商最多不超过 3 轮。在磋商过程中，采购人及磋商小组有权变更相关要求，不对因此而受影响的磋商响应供应商承担责任。磋商中如有实质性变动，磋商小组将用书面形式通知参加磋商的磋商响应供应商。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2、磋商小组将要求所有参加磋商的磋商响应供应商按磋商小组提出的要求并在规定时间内分别进行最终报价，各磋商响应供应商在规定时间之后的报价将被视为无效。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3、磋商结束后，磋商小组应当要求所有实质性响应的供应商在规定时间内提交最后报价，提交最后报价的供应商一般不得少于 3 家。</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sectPr>
          <w:pgSz w:w="11900" w:h="16838"/>
          <w:pgMar w:top="1440" w:right="1440" w:bottom="365" w:left="1440" w:header="567" w:footer="567" w:gutter="0"/>
          <w:cols w:equalWidth="0" w:num="1">
            <w:col w:w="9026"/>
          </w:cols>
        </w:sectPr>
      </w:pPr>
    </w:p>
    <w:p>
      <w:pPr>
        <w:spacing w:line="360" w:lineRule="auto"/>
        <w:ind w:firstLine="420" w:firstLineChars="200"/>
        <w:rPr>
          <w:rFonts w:ascii="宋体" w:hAnsi="宋体" w:cs="宋体"/>
          <w:color w:val="auto"/>
          <w:szCs w:val="21"/>
          <w:highlight w:val="none"/>
        </w:rPr>
      </w:pPr>
      <w:bookmarkStart w:id="248" w:name="page90"/>
      <w:bookmarkEnd w:id="24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4、最后报价是供应商响应文件的有效组成部分。符合《政府采购竞争性磋商采购方式管理暂行办法》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第三条第四项情形的，提交最后报价的供应商可以为 2 家。</w:t>
      </w:r>
    </w:p>
    <w:p>
      <w:pPr>
        <w:spacing w:line="360" w:lineRule="auto"/>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五、评审细则</w:t>
      </w:r>
      <w:bookmarkEnd w:id="245"/>
      <w:bookmarkEnd w:id="246"/>
      <w:bookmarkEnd w:id="24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评标采用综合评分法，磋商小组从最终投标报价、磋商响应供应商的综合实力、业绩、技术方案、服务承诺、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等方面进行评审。磋商小组根据评审情况，对各磋商响应供应商的商务报价方面在分值范围内进行统一打分，对各投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标人的商务方面在分值范围内进行统一打分，对各磋商响应供应商的技术方面在分值范围内进行独立打分。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每个供应商最终得分=报价分+商务技术分</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1、报价分</w:t>
      </w:r>
      <w:r>
        <w:rPr>
          <w:rFonts w:hint="eastAsia" w:ascii="宋体" w:hAnsi="宋体" w:cs="宋体"/>
          <w:b/>
          <w:bCs/>
          <w:color w:val="auto"/>
          <w:szCs w:val="21"/>
          <w:highlight w:val="none"/>
        </w:rPr>
        <w:tab/>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35</w:t>
      </w:r>
      <w:r>
        <w:rPr>
          <w:rFonts w:hint="eastAsia" w:ascii="宋体" w:hAnsi="宋体" w:cs="宋体"/>
          <w:b/>
          <w:bCs/>
          <w:color w:val="auto"/>
          <w:szCs w:val="21"/>
          <w:highlight w:val="none"/>
        </w:rPr>
        <w:t>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报价评分将在有效供应商范围内进行，最高得</w:t>
      </w: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分最低得0 分（小数点后保留二位小数，第三位四舍五入）。满足竞争性磋商文件要求且最后报价最低的磋商报价为磋商基准价，供应商的价格分统一按照下列公式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计算：磋商报价得分=（磋商基准价/最后磋商报价）×价格权值×100。</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2、商务技术分（</w:t>
      </w:r>
      <w:r>
        <w:rPr>
          <w:rFonts w:hint="eastAsia" w:ascii="宋体" w:hAnsi="宋体" w:cs="宋体"/>
          <w:b/>
          <w:bCs/>
          <w:color w:val="auto"/>
          <w:szCs w:val="21"/>
          <w:highlight w:val="none"/>
          <w:lang w:val="en-US" w:eastAsia="zh-CN"/>
        </w:rPr>
        <w:t>65</w:t>
      </w:r>
      <w:r>
        <w:rPr>
          <w:rFonts w:hint="eastAsia" w:ascii="宋体" w:hAnsi="宋体" w:cs="宋体"/>
          <w:b/>
          <w:bCs/>
          <w:color w:val="auto"/>
          <w:szCs w:val="21"/>
          <w:highlight w:val="none"/>
        </w:rPr>
        <w:t>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由评标专家负责对响应文件的商务技术部分采用记名方式各自评分。如发现某个单项的评分超出了规定的分值范围的，则该张评分表无效。此项评分为：所有评标专家的有效评分的算术平均值（保留小数 2 位）。</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0"/>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评审因素</w:t>
            </w:r>
          </w:p>
        </w:tc>
        <w:tc>
          <w:tcPr>
            <w:tcW w:w="750" w:type="dxa"/>
            <w:vAlign w:val="center"/>
          </w:tcPr>
          <w:p>
            <w:pPr>
              <w:widowControl w:val="0"/>
              <w:jc w:val="both"/>
              <w:rPr>
                <w:rFonts w:ascii="宋体" w:hAnsi="宋体" w:cs="宋体"/>
                <w:b/>
                <w:color w:val="auto"/>
                <w:spacing w:val="-6"/>
                <w:szCs w:val="21"/>
                <w:highlight w:val="none"/>
              </w:rPr>
            </w:pPr>
            <w:r>
              <w:rPr>
                <w:rFonts w:hint="eastAsia" w:ascii="宋体" w:hAnsi="宋体" w:cs="宋体"/>
                <w:b/>
                <w:color w:val="auto"/>
                <w:spacing w:val="-6"/>
                <w:szCs w:val="21"/>
                <w:highlight w:val="none"/>
              </w:rPr>
              <w:t>分值</w:t>
            </w:r>
          </w:p>
        </w:tc>
        <w:tc>
          <w:tcPr>
            <w:tcW w:w="7683" w:type="dxa"/>
            <w:vAlign w:val="center"/>
          </w:tcPr>
          <w:p>
            <w:pPr>
              <w:pStyle w:val="42"/>
              <w:widowControl w:val="0"/>
              <w:spacing w:line="240"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5" w:type="dxa"/>
            <w:gridSpan w:val="3"/>
            <w:vAlign w:val="center"/>
          </w:tcPr>
          <w:p>
            <w:pPr>
              <w:pStyle w:val="42"/>
              <w:widowControl w:val="0"/>
              <w:spacing w:line="240" w:lineRule="auto"/>
              <w:rPr>
                <w:rFonts w:ascii="宋体" w:hAnsi="宋体" w:eastAsia="宋体" w:cs="宋体"/>
                <w:color w:val="auto"/>
                <w:spacing w:val="-6"/>
                <w:sz w:val="21"/>
                <w:szCs w:val="21"/>
                <w:highlight w:val="none"/>
              </w:rPr>
            </w:pPr>
            <w:r>
              <w:rPr>
                <w:rFonts w:hint="eastAsia" w:ascii="宋体" w:hAnsi="宋体" w:eastAsia="宋体" w:cs="宋体"/>
                <w:b/>
                <w:bCs/>
                <w:color w:val="auto"/>
                <w:spacing w:val="-6"/>
                <w:kern w:val="2"/>
                <w:sz w:val="21"/>
                <w:szCs w:val="21"/>
                <w:highlight w:val="none"/>
              </w:rPr>
              <w:t>价格分</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spacing w:val="-6"/>
                <w:sz w:val="21"/>
                <w:szCs w:val="21"/>
                <w:highlight w:val="none"/>
                <w:lang w:val="en-US" w:eastAsia="zh-CN"/>
              </w:rPr>
              <w:t>35</w:t>
            </w:r>
            <w:r>
              <w:rPr>
                <w:rFonts w:hint="eastAsia" w:ascii="宋体" w:hAnsi="宋体" w:eastAsia="宋体" w:cs="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pStyle w:val="2"/>
              <w:widowControl w:val="0"/>
              <w:spacing w:line="240" w:lineRule="auto"/>
              <w:ind w:firstLine="0"/>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投标报价</w:t>
            </w:r>
          </w:p>
        </w:tc>
        <w:tc>
          <w:tcPr>
            <w:tcW w:w="750" w:type="dxa"/>
            <w:vAlign w:val="center"/>
          </w:tcPr>
          <w:p>
            <w:pPr>
              <w:widowControl w:val="0"/>
              <w:jc w:val="center"/>
              <w:rPr>
                <w:rFonts w:hint="default" w:ascii="宋体" w:hAnsi="宋体" w:cs="宋体"/>
                <w:color w:val="auto"/>
                <w:spacing w:val="-6"/>
                <w:szCs w:val="21"/>
                <w:highlight w:val="none"/>
                <w:lang w:val="en-US"/>
              </w:rPr>
            </w:pPr>
            <w:r>
              <w:rPr>
                <w:rFonts w:hint="eastAsia" w:ascii="宋体" w:hAnsi="宋体" w:cs="宋体"/>
                <w:color w:val="auto"/>
                <w:spacing w:val="-6"/>
                <w:szCs w:val="21"/>
                <w:highlight w:val="none"/>
                <w:lang w:val="en-US" w:eastAsia="zh-CN"/>
              </w:rPr>
              <w:t>35</w:t>
            </w:r>
          </w:p>
        </w:tc>
        <w:tc>
          <w:tcPr>
            <w:tcW w:w="7683" w:type="dxa"/>
            <w:vAlign w:val="center"/>
          </w:tcPr>
          <w:p>
            <w:pPr>
              <w:widowControl w:val="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评标基准价=满足磋商文件要求且投标价最低的投标报价为评标基准价。</w:t>
            </w:r>
          </w:p>
          <w:p>
            <w:pPr>
              <w:widowControl w:val="0"/>
              <w:jc w:val="both"/>
              <w:rPr>
                <w:rFonts w:ascii="宋体" w:hAnsi="宋体" w:cs="宋体"/>
                <w:color w:val="auto"/>
                <w:szCs w:val="21"/>
                <w:highlight w:val="none"/>
              </w:rPr>
            </w:pPr>
            <w:r>
              <w:rPr>
                <w:rFonts w:hint="eastAsia" w:ascii="宋体" w:hAnsi="宋体" w:cs="宋体"/>
                <w:color w:val="auto"/>
                <w:szCs w:val="21"/>
                <w:highlight w:val="none"/>
              </w:rPr>
              <w:t>得分：投标价为基准价的，得满分</w:t>
            </w: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分，其他投标报价得分计算公式如下：</w:t>
            </w:r>
          </w:p>
          <w:p>
            <w:pPr>
              <w:widowControl w:val="0"/>
              <w:jc w:val="both"/>
              <w:rPr>
                <w:rFonts w:ascii="宋体" w:hAnsi="宋体" w:cs="宋体"/>
                <w:color w:val="auto"/>
                <w:szCs w:val="21"/>
                <w:highlight w:val="none"/>
              </w:rPr>
            </w:pPr>
            <w:r>
              <w:rPr>
                <w:rFonts w:hint="eastAsia" w:ascii="宋体" w:hAnsi="宋体" w:cs="宋体"/>
                <w:color w:val="auto"/>
                <w:szCs w:val="21"/>
                <w:highlight w:val="none"/>
              </w:rPr>
              <w:t>投标报价得分=（评标基准价/投标报价）×</w:t>
            </w: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%×100</w:t>
            </w:r>
          </w:p>
          <w:p>
            <w:pPr>
              <w:widowControl w:val="0"/>
              <w:jc w:val="both"/>
              <w:rPr>
                <w:rFonts w:ascii="宋体" w:hAnsi="宋体" w:cs="宋体"/>
                <w:color w:val="auto"/>
                <w:szCs w:val="21"/>
                <w:highlight w:val="none"/>
              </w:rPr>
            </w:pPr>
            <w:r>
              <w:rPr>
                <w:rFonts w:hint="eastAsia" w:ascii="宋体" w:hAnsi="宋体" w:cs="宋体"/>
                <w:color w:val="auto"/>
                <w:szCs w:val="21"/>
                <w:highlight w:val="none"/>
              </w:rPr>
              <w:t>（经评标委员会审核，投标商所投产品若有缺项，所缺部分将加上其他投标商所投产品同类部分中的最高价格作为其投标报价打分的依据）。</w:t>
            </w:r>
          </w:p>
          <w:p>
            <w:pPr>
              <w:widowControl w:val="0"/>
              <w:adjustRightInd w:val="0"/>
              <w:snapToGrid w:val="0"/>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司法部关于政府采购支持监狱企业发展有关问题的通知》（财库[2014]68号）规定要求，评标委员会对提供有效认定材料的小微企业及监狱企业给予6%的价格扣除后，计算各磋商响应供应商价格分，其中：</w:t>
            </w:r>
          </w:p>
          <w:p>
            <w:pPr>
              <w:widowControl w:val="0"/>
              <w:adjustRightInd w:val="0"/>
              <w:snapToGrid w:val="0"/>
              <w:ind w:firstLine="422" w:firstLineChars="200"/>
              <w:jc w:val="both"/>
              <w:rPr>
                <w:rFonts w:ascii="宋体" w:hAnsi="宋体" w:cs="宋体"/>
                <w:color w:val="auto"/>
                <w:szCs w:val="21"/>
                <w:highlight w:val="none"/>
              </w:rPr>
            </w:pPr>
            <w:r>
              <w:rPr>
                <w:rFonts w:hint="eastAsia" w:ascii="宋体" w:hAnsi="宋体" w:cs="宋体"/>
                <w:b/>
                <w:color w:val="auto"/>
                <w:szCs w:val="21"/>
                <w:highlight w:val="none"/>
              </w:rPr>
              <w:t>a.中小企业划分标准根据《政府采购促进中小企业发展暂行办法》（财库[2011]181号）文件确定，参加政府采购活动的中小企业应当根据划分标准如实填写财库[2011]181号文件附件格式的《中小企业声明函》供评标委员会认定；b.监狱企业参加政府采购活动时，应当提供由省级以上监狱管理局、戒毒管理局（含新疆生产建设兵团）出具的属于监狱企业的证明文件供评标委员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5" w:type="dxa"/>
            <w:gridSpan w:val="3"/>
            <w:vAlign w:val="center"/>
          </w:tcPr>
          <w:p>
            <w:pPr>
              <w:pStyle w:val="42"/>
              <w:widowControl w:val="0"/>
              <w:spacing w:line="240"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商务分（</w:t>
            </w:r>
            <w:r>
              <w:rPr>
                <w:rFonts w:hint="eastAsia" w:ascii="宋体" w:hAnsi="宋体" w:eastAsia="宋体" w:cs="宋体"/>
                <w:b/>
                <w:color w:val="auto"/>
                <w:spacing w:val="-6"/>
                <w:sz w:val="21"/>
                <w:szCs w:val="21"/>
                <w:highlight w:val="none"/>
                <w:lang w:val="en-US" w:eastAsia="zh-CN"/>
              </w:rPr>
              <w:t>10</w:t>
            </w:r>
            <w:r>
              <w:rPr>
                <w:rFonts w:hint="eastAsia" w:ascii="宋体" w:hAnsi="宋体" w:eastAsia="宋体" w:cs="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772" w:type="dxa"/>
            <w:vMerge w:val="restart"/>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企业的资信、业绩</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3</w:t>
            </w:r>
          </w:p>
        </w:tc>
        <w:tc>
          <w:tcPr>
            <w:tcW w:w="7683" w:type="dxa"/>
            <w:vAlign w:val="center"/>
          </w:tcPr>
          <w:p>
            <w:pPr>
              <w:widowControl w:val="0"/>
              <w:rPr>
                <w:rFonts w:ascii="宋体" w:hAnsi="宋体" w:cs="宋体"/>
                <w:color w:val="auto"/>
                <w:szCs w:val="21"/>
                <w:highlight w:val="none"/>
              </w:rPr>
            </w:pPr>
            <w:r>
              <w:rPr>
                <w:rFonts w:hint="eastAsia" w:ascii="宋体" w:hAnsi="宋体" w:cs="宋体"/>
                <w:color w:val="auto"/>
                <w:szCs w:val="21"/>
                <w:highlight w:val="none"/>
              </w:rPr>
              <w:t>供应商自2017年1月1日</w:t>
            </w:r>
            <w:r>
              <w:rPr>
                <w:rFonts w:hint="eastAsia" w:ascii="宋体" w:hAnsi="宋体" w:cs="宋体"/>
                <w:color w:val="auto"/>
                <w:spacing w:val="-6"/>
                <w:szCs w:val="21"/>
                <w:highlight w:val="none"/>
              </w:rPr>
              <w:t>【以竣（交）工验收资料时间为准】</w:t>
            </w:r>
            <w:r>
              <w:rPr>
                <w:rFonts w:hint="eastAsia" w:ascii="宋体" w:hAnsi="宋体" w:cs="宋体"/>
                <w:color w:val="auto"/>
                <w:szCs w:val="21"/>
                <w:highlight w:val="none"/>
              </w:rPr>
              <w:t>以来承担过同类项目施工业绩，一项工程得0.5分，最高得3分。证明材料：须同时出具中标通知书、施工合同复印件及竣工验收报告复印件（加盖公章），三者缺一不可，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772" w:type="dxa"/>
            <w:vMerge w:val="continue"/>
            <w:vAlign w:val="center"/>
          </w:tcPr>
          <w:p>
            <w:pPr>
              <w:widowControl w:val="0"/>
              <w:jc w:val="center"/>
              <w:rPr>
                <w:rFonts w:ascii="宋体" w:hAnsi="宋体" w:cs="宋体"/>
                <w:color w:val="auto"/>
                <w:szCs w:val="21"/>
                <w:highlight w:val="none"/>
              </w:rPr>
            </w:pPr>
          </w:p>
        </w:tc>
        <w:tc>
          <w:tcPr>
            <w:tcW w:w="750"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3</w:t>
            </w:r>
          </w:p>
        </w:tc>
        <w:tc>
          <w:tcPr>
            <w:tcW w:w="7683" w:type="dxa"/>
            <w:vAlign w:val="center"/>
          </w:tcPr>
          <w:p>
            <w:pPr>
              <w:widowControl w:val="0"/>
              <w:rPr>
                <w:rFonts w:ascii="宋体" w:hAnsi="宋体" w:cs="宋体"/>
                <w:color w:val="auto"/>
                <w:szCs w:val="21"/>
                <w:highlight w:val="none"/>
              </w:rPr>
            </w:pPr>
            <w:r>
              <w:rPr>
                <w:rFonts w:hint="eastAsia" w:ascii="宋体" w:hAnsi="宋体" w:cs="宋体"/>
                <w:color w:val="auto"/>
                <w:szCs w:val="21"/>
                <w:highlight w:val="none"/>
              </w:rPr>
              <w:t>供应商具有有效ISO质量管理体系认证、环境管理体系认证、职业健康安全管理体系，每个得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772" w:type="dxa"/>
            <w:vMerge w:val="continue"/>
            <w:vAlign w:val="center"/>
          </w:tcPr>
          <w:p>
            <w:pPr>
              <w:widowControl w:val="0"/>
              <w:jc w:val="center"/>
              <w:rPr>
                <w:rFonts w:ascii="宋体" w:hAnsi="宋体" w:cs="宋体"/>
                <w:color w:val="auto"/>
                <w:szCs w:val="21"/>
                <w:highlight w:val="none"/>
              </w:rPr>
            </w:pPr>
          </w:p>
        </w:tc>
        <w:tc>
          <w:tcPr>
            <w:tcW w:w="750"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2</w:t>
            </w:r>
          </w:p>
        </w:tc>
        <w:tc>
          <w:tcPr>
            <w:tcW w:w="7683" w:type="dxa"/>
            <w:vAlign w:val="center"/>
          </w:tcPr>
          <w:p>
            <w:pPr>
              <w:widowControl w:val="0"/>
              <w:rPr>
                <w:rFonts w:ascii="宋体" w:hAnsi="宋体" w:cs="宋体"/>
                <w:color w:val="auto"/>
                <w:szCs w:val="21"/>
                <w:highlight w:val="none"/>
              </w:rPr>
            </w:pPr>
            <w:r>
              <w:rPr>
                <w:rFonts w:hint="eastAsia" w:ascii="宋体" w:hAnsi="宋体" w:cs="宋体"/>
                <w:color w:val="auto"/>
                <w:spacing w:val="-6"/>
                <w:szCs w:val="21"/>
                <w:highlight w:val="none"/>
              </w:rPr>
              <w:t>供应商的信用等级为AAA级的得</w:t>
            </w:r>
            <w:r>
              <w:rPr>
                <w:rFonts w:hint="eastAsia" w:ascii="宋体" w:hAnsi="宋体" w:cs="宋体"/>
                <w:color w:val="auto"/>
                <w:spacing w:val="-6"/>
                <w:szCs w:val="21"/>
                <w:highlight w:val="none"/>
                <w:lang w:val="en-US" w:eastAsia="zh-CN"/>
              </w:rPr>
              <w:t>2</w:t>
            </w:r>
            <w:r>
              <w:rPr>
                <w:rFonts w:hint="eastAsia" w:ascii="宋体" w:hAnsi="宋体" w:cs="宋体"/>
                <w:color w:val="auto"/>
                <w:spacing w:val="-6"/>
                <w:szCs w:val="21"/>
                <w:highlight w:val="none"/>
              </w:rPr>
              <w:t>分，</w:t>
            </w:r>
            <w:r>
              <w:rPr>
                <w:rFonts w:hint="eastAsia" w:ascii="宋体" w:hAnsi="宋体" w:cs="宋体"/>
                <w:color w:val="auto"/>
                <w:spacing w:val="-6"/>
                <w:szCs w:val="21"/>
                <w:highlight w:val="none"/>
                <w:lang w:val="en-US" w:eastAsia="zh-CN"/>
              </w:rPr>
              <w:t>AA级的得1分，</w:t>
            </w:r>
            <w:r>
              <w:rPr>
                <w:rFonts w:hint="eastAsia" w:ascii="宋体" w:hAnsi="宋体" w:cs="宋体"/>
                <w:color w:val="auto"/>
                <w:spacing w:val="-6"/>
                <w:szCs w:val="21"/>
                <w:highlight w:val="none"/>
              </w:rPr>
              <w:t>其余不得分。以响应文件中所附信用等级报告证书复印件或信用等级荣誉奖状为评分依据。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项目经理</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2</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项目经理自2017年1月1日【以竣（交）工验收资料时间为准】以来，以项目负责人身份完成过类似工程业绩。每个业绩得0.5分，最多得2分。</w:t>
            </w:r>
            <w:r>
              <w:rPr>
                <w:rFonts w:hint="eastAsia" w:ascii="宋体" w:hAnsi="宋体" w:cs="宋体"/>
                <w:color w:val="auto"/>
                <w:szCs w:val="21"/>
                <w:highlight w:val="none"/>
              </w:rPr>
              <w:t>证明材料：须同时出具中标通知书、施工合同复印件及竣工验收报告复印件（加盖公章），三者缺一不可，未提供或提供资料不完整的均不得分。（原件备查）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205" w:type="dxa"/>
            <w:gridSpan w:val="3"/>
            <w:vAlign w:val="center"/>
          </w:tcPr>
          <w:p>
            <w:pPr>
              <w:widowControl w:val="0"/>
              <w:jc w:val="center"/>
              <w:rPr>
                <w:rFonts w:ascii="宋体" w:hAnsi="宋体" w:cs="宋体"/>
                <w:color w:val="auto"/>
                <w:spacing w:val="-6"/>
                <w:szCs w:val="21"/>
                <w:highlight w:val="none"/>
              </w:rPr>
            </w:pPr>
            <w:r>
              <w:rPr>
                <w:rFonts w:hint="eastAsia" w:ascii="宋体" w:hAnsi="宋体" w:cs="宋体"/>
                <w:b/>
                <w:color w:val="auto"/>
                <w:spacing w:val="-6"/>
                <w:szCs w:val="21"/>
                <w:highlight w:val="none"/>
              </w:rPr>
              <w:t>技术分（</w:t>
            </w:r>
            <w:r>
              <w:rPr>
                <w:rFonts w:hint="eastAsia" w:ascii="宋体" w:hAnsi="宋体" w:cs="宋体"/>
                <w:b/>
                <w:color w:val="auto"/>
                <w:spacing w:val="-6"/>
                <w:szCs w:val="21"/>
                <w:highlight w:val="none"/>
                <w:lang w:val="en-US" w:eastAsia="zh-CN"/>
              </w:rPr>
              <w:t>55</w:t>
            </w:r>
            <w:r>
              <w:rPr>
                <w:rFonts w:hint="eastAsia" w:ascii="宋体" w:hAnsi="宋体" w:cs="宋体"/>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施工方案</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5</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供应商提出的施工方案，包括针对本工程项目实施的重点、难点和解决方案等方面。最高得5分，其余酌情扣分。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zCs w:val="21"/>
                <w:highlight w:val="none"/>
              </w:rPr>
              <w:t>施工总平面布置情况</w:t>
            </w:r>
          </w:p>
        </w:tc>
        <w:tc>
          <w:tcPr>
            <w:tcW w:w="750"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5</w:t>
            </w:r>
          </w:p>
        </w:tc>
        <w:tc>
          <w:tcPr>
            <w:tcW w:w="7683" w:type="dxa"/>
            <w:vAlign w:val="center"/>
          </w:tcPr>
          <w:p>
            <w:pPr>
              <w:widowControl w:val="0"/>
              <w:jc w:val="both"/>
              <w:rPr>
                <w:rFonts w:ascii="宋体" w:hAnsi="宋体" w:cs="宋体"/>
                <w:color w:val="auto"/>
                <w:szCs w:val="21"/>
                <w:highlight w:val="none"/>
              </w:rPr>
            </w:pPr>
            <w:r>
              <w:rPr>
                <w:rFonts w:hint="eastAsia" w:ascii="宋体" w:hAnsi="宋体" w:cs="宋体"/>
                <w:color w:val="auto"/>
                <w:szCs w:val="21"/>
                <w:highlight w:val="none"/>
              </w:rPr>
              <w:t>是否符合施工现场实际情况，施工总平面安排科学合理，符合本项目施工实际要求。根据材料堆场、施工通道的安排和施工人员住宿安排计划的科学性、合理性进行打分。最高得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zCs w:val="21"/>
                <w:highlight w:val="none"/>
              </w:rPr>
            </w:pPr>
            <w:r>
              <w:rPr>
                <w:rFonts w:hint="eastAsia" w:ascii="宋体" w:hAnsi="宋体" w:cs="宋体"/>
                <w:color w:val="auto"/>
                <w:szCs w:val="21"/>
                <w:highlight w:val="none"/>
              </w:rPr>
              <w:t>安全文明施工保证</w:t>
            </w:r>
          </w:p>
        </w:tc>
        <w:tc>
          <w:tcPr>
            <w:tcW w:w="750"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5</w:t>
            </w:r>
          </w:p>
        </w:tc>
        <w:tc>
          <w:tcPr>
            <w:tcW w:w="7683" w:type="dxa"/>
            <w:vAlign w:val="center"/>
          </w:tcPr>
          <w:p>
            <w:pPr>
              <w:widowControl w:val="0"/>
              <w:jc w:val="both"/>
              <w:rPr>
                <w:rFonts w:ascii="宋体" w:hAnsi="宋体" w:cs="宋体"/>
                <w:color w:val="auto"/>
                <w:szCs w:val="21"/>
                <w:highlight w:val="none"/>
              </w:rPr>
            </w:pPr>
            <w:r>
              <w:rPr>
                <w:rFonts w:hint="eastAsia" w:ascii="宋体" w:hAnsi="宋体" w:cs="宋体"/>
                <w:color w:val="auto"/>
                <w:szCs w:val="21"/>
                <w:highlight w:val="none"/>
              </w:rPr>
              <w:t>安全、文明施工等的保证措施是否科学、合理流动、到位。最高得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施工机械设备投入</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5</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施工机具和检验仪器的投入是否能够满足工程质量和进度的要求，</w:t>
            </w:r>
            <w:r>
              <w:rPr>
                <w:rFonts w:hint="eastAsia" w:ascii="宋体" w:hAnsi="宋体" w:cs="宋体"/>
                <w:color w:val="auto"/>
                <w:szCs w:val="21"/>
                <w:highlight w:val="none"/>
              </w:rPr>
              <w:t>最高得5分，其余酌情扣分。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工期承诺、进度控制措施及施工质量控制措施</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5</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工期承诺有利于采购人及项目的实施，进度控制措施具有针对性和可行性，施工质量的控制措施科学、合理。</w:t>
            </w:r>
            <w:r>
              <w:rPr>
                <w:rFonts w:hint="eastAsia" w:ascii="宋体" w:hAnsi="宋体" w:cs="宋体"/>
                <w:color w:val="auto"/>
                <w:szCs w:val="21"/>
                <w:highlight w:val="none"/>
              </w:rPr>
              <w:t>最高得5分，其余酌情扣分。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zCs w:val="21"/>
                <w:highlight w:val="none"/>
              </w:rPr>
              <w:t>材料设备进场计划及施工计划情况</w:t>
            </w:r>
          </w:p>
        </w:tc>
        <w:tc>
          <w:tcPr>
            <w:tcW w:w="750"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5</w:t>
            </w:r>
          </w:p>
        </w:tc>
        <w:tc>
          <w:tcPr>
            <w:tcW w:w="7683" w:type="dxa"/>
            <w:vAlign w:val="center"/>
          </w:tcPr>
          <w:p>
            <w:pPr>
              <w:widowControl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具有详细的材料设备进场计划且计划周密，材料数量、质量控制，时间安排合理，满足施工需要。最高得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72" w:type="dxa"/>
            <w:vAlign w:val="center"/>
          </w:tcPr>
          <w:p>
            <w:pPr>
              <w:widowControl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样品分</w:t>
            </w:r>
          </w:p>
        </w:tc>
        <w:tc>
          <w:tcPr>
            <w:tcW w:w="750" w:type="dxa"/>
            <w:vAlign w:val="center"/>
          </w:tcPr>
          <w:p>
            <w:pPr>
              <w:widowControl w:val="0"/>
              <w:jc w:val="center"/>
              <w:rPr>
                <w:rFonts w:hint="default"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10</w:t>
            </w:r>
            <w:bookmarkStart w:id="252" w:name="_GoBack"/>
            <w:bookmarkEnd w:id="252"/>
          </w:p>
        </w:tc>
        <w:tc>
          <w:tcPr>
            <w:tcW w:w="7683" w:type="dxa"/>
            <w:vAlign w:val="center"/>
          </w:tcPr>
          <w:p>
            <w:pPr>
              <w:widowControl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根据投标人提供的样品情况进行打分，包括样品和项目的符合程度、制作工艺、等内容进行打分。未提供样品的本项不得分。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投入本项目的技术力量</w:t>
            </w:r>
            <w:r>
              <w:rPr>
                <w:rFonts w:hint="eastAsia" w:ascii="宋体" w:hAnsi="宋体" w:cs="宋体"/>
                <w:color w:val="auto"/>
                <w:szCs w:val="21"/>
                <w:highlight w:val="none"/>
              </w:rPr>
              <w:t>是否能满足工程的需要</w:t>
            </w:r>
          </w:p>
        </w:tc>
        <w:tc>
          <w:tcPr>
            <w:tcW w:w="750" w:type="dxa"/>
            <w:vAlign w:val="center"/>
          </w:tcPr>
          <w:p>
            <w:pPr>
              <w:widowControl w:val="0"/>
              <w:jc w:val="center"/>
              <w:rPr>
                <w:rFonts w:hint="default"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10</w:t>
            </w:r>
          </w:p>
        </w:tc>
        <w:tc>
          <w:tcPr>
            <w:tcW w:w="7683" w:type="dxa"/>
            <w:vAlign w:val="center"/>
          </w:tcPr>
          <w:p>
            <w:pPr>
              <w:widowControl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1.拟投入本工程管理人员岗位配置、专业配置的满足性及管理人员的专业能力（从管理人员的经验、职称、所学专业进行评估，酌情打分）。（</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pPr>
              <w:widowControl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2.派驻现场的工程施工人员的配置情况：本项由专家根据各供应商提供的人员配置数量、结构、内部管理制度以及如何满足本工程的施工的要求的描述分档酌情打分。（</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应急处置方案及售后服务</w:t>
            </w:r>
          </w:p>
        </w:tc>
        <w:tc>
          <w:tcPr>
            <w:tcW w:w="750"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5</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具备完善的售后技术支持和服务体系设计，能够提供服务标准、服务流程、服务内容。提供应急预案，并承诺紧急的响应时间。</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分，其余酌情扣分。</w:t>
            </w:r>
          </w:p>
        </w:tc>
      </w:tr>
    </w:tbl>
    <w:p>
      <w:pPr>
        <w:spacing w:line="1" w:lineRule="exact"/>
        <w:rPr>
          <w:rFonts w:ascii="宋体" w:hAnsi="宋体" w:cs="宋体"/>
          <w:color w:val="auto"/>
          <w:sz w:val="20"/>
          <w:szCs w:val="20"/>
          <w:highlight w:val="none"/>
        </w:rPr>
      </w:pPr>
      <w:bookmarkStart w:id="249" w:name="page92"/>
      <w:bookmarkEnd w:id="249"/>
    </w:p>
    <w:p>
      <w:pPr>
        <w:spacing w:line="360" w:lineRule="auto"/>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五、成交办法</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采购人将根据磋商小组提交的评审报告及推荐的成交候选人，按有关规定确定成交供应商。</w:t>
      </w:r>
    </w:p>
    <w:p>
      <w:pPr>
        <w:spacing w:line="360" w:lineRule="auto"/>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六、定标</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（1）定标由招标人负责。</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（2）决标按照原国家发展计划委员会等七部委30号令的有关规定，确定成交供应商。</w:t>
      </w:r>
    </w:p>
    <w:p>
      <w:pPr>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rPr>
        <w:t>（3）</w:t>
      </w:r>
      <w:r>
        <w:rPr>
          <w:rFonts w:hint="eastAsia" w:ascii="宋体" w:hAnsi="宋体" w:cs="宋体"/>
          <w:b/>
          <w:bCs/>
          <w:color w:val="auto"/>
          <w:szCs w:val="21"/>
          <w:highlight w:val="none"/>
          <w:u w:val="single"/>
        </w:rPr>
        <w:t>如发生投诉争议等情况时，经查实中标候选人存在违法、违规行为，不符合中标条件，且该行为在</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评标时是无法发现和确认的，招标人可以在其他中标侯选人中按照推荐的排序确定成交供应商。</w:t>
      </w:r>
    </w:p>
    <w:p>
      <w:pPr>
        <w:spacing w:line="360" w:lineRule="auto"/>
        <w:ind w:firstLine="420" w:firstLineChars="200"/>
        <w:rPr>
          <w:rFonts w:ascii="宋体" w:hAnsi="宋体" w:cs="宋体"/>
          <w:b/>
          <w:bCs/>
          <w:color w:val="auto"/>
          <w:sz w:val="30"/>
          <w:szCs w:val="30"/>
          <w:highlight w:val="none"/>
        </w:rPr>
      </w:pPr>
      <w:r>
        <w:rPr>
          <w:rFonts w:hint="eastAsia" w:ascii="宋体" w:hAnsi="宋体" w:cs="宋体"/>
          <w:color w:val="auto"/>
          <w:szCs w:val="21"/>
          <w:highlight w:val="none"/>
        </w:rPr>
        <w:t>（4）当所有中标候选人经查实都存在违法、违规行为时，将重新依法组织招标。</w:t>
      </w:r>
      <w:bookmarkStart w:id="250" w:name="page93"/>
      <w:bookmarkEnd w:id="250"/>
      <w:bookmarkStart w:id="251" w:name="page94"/>
      <w:bookmarkEnd w:id="251"/>
    </w:p>
    <w:sectPr>
      <w:pgSz w:w="11906" w:h="16840"/>
      <w:pgMar w:top="1440" w:right="1080" w:bottom="1440" w:left="1080" w:header="567" w:footer="567" w:gutter="0"/>
      <w:cols w:equalWidth="0" w:num="1">
        <w:col w:w="13978"/>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60"/>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w:r>
    <w:r>
      <w:pict>
        <v:shape id="图片 1" o:spid="_x0000_s2050"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7" o:spid="_x0000_s2051"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3" o:spid="_x0000_s2052"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4" o:spid="_x0000_s2053"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5" o:spid="_x0000_s2054"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 o:spid="_x0000_s2055"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_x0000_s2056" o:spid="_x0000_s2056"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60"/>
      <w:jc w:val="center"/>
    </w:pPr>
    <w:r>
      <w:pict>
        <v:shape id="_x0000_s2057" o:spid="_x0000_s2057"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w:t>
                </w:r>
              </w:p>
            </w:txbxContent>
          </v:textbox>
        </v:shape>
      </w:pict>
    </w:r>
    <w:r>
      <w:pict>
        <v:rect id="文本框 21" o:spid="_x0000_s2058" o:spt="1" style="position:absolute;left:0pt;margin-left:422.65pt;margin-top:-0.7pt;height:12.35pt;width:47.95pt;mso-position-horizontal-relative:margin;z-index:1024;mso-width-relative:page;mso-height-relative:page;" filled="f" stroked="f" coordsize="21600,21600">
          <v:path/>
          <v:fill on="f" focussize="0,0"/>
          <v:stroke on="f"/>
          <v:imagedata o:title=""/>
          <o:lock v:ext="edit"/>
          <v:textbox inset="0mm,0mm,0mm,0mm">
            <w:txbxContent>
              <w:p>
                <w:pPr>
                  <w:pStyle w:val="12"/>
                </w:pPr>
              </w:p>
            </w:txbxContent>
          </v:textbox>
        </v:rect>
      </w:pict>
    </w:r>
    <w:r>
      <w:pict>
        <v:shape id="图片 19" o:spid="_x0000_s2059"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0" o:spid="_x0000_s2060"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1" o:spid="_x0000_s2061"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2" o:spid="_x0000_s2062"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3" o:spid="_x0000_s2063"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4" o:spid="_x0000_s2064"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5" o:spid="_x0000_s2065"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p>
  <w:p>
    <w:pPr>
      <w:pStyle w:val="12"/>
      <w:ind w:right="560"/>
      <w:jc w:val="center"/>
    </w:pPr>
    <w:r>
      <w:pict>
        <v:shape id="图片 6" o:spid="_x0000_s2066" o:spt="75" type="#_x0000_t75" style="position:absolute;left:0pt;margin-left:399pt;margin-top:790.3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7" o:spid="_x0000_s2067"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81</w:t>
    </w:r>
    <w:r>
      <w:rPr>
        <w:rStyle w:val="23"/>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b/>
        <w:bCs/>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5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96D"/>
    <w:rsid w:val="0002511E"/>
    <w:rsid w:val="00060EB2"/>
    <w:rsid w:val="000838A3"/>
    <w:rsid w:val="000844BA"/>
    <w:rsid w:val="000A1C20"/>
    <w:rsid w:val="00105E81"/>
    <w:rsid w:val="00170469"/>
    <w:rsid w:val="002C0277"/>
    <w:rsid w:val="002C3C72"/>
    <w:rsid w:val="0035271A"/>
    <w:rsid w:val="003670EF"/>
    <w:rsid w:val="003A0DFB"/>
    <w:rsid w:val="0050229A"/>
    <w:rsid w:val="00513927"/>
    <w:rsid w:val="005A3A14"/>
    <w:rsid w:val="005B4382"/>
    <w:rsid w:val="006738E1"/>
    <w:rsid w:val="006D2B30"/>
    <w:rsid w:val="00776C7B"/>
    <w:rsid w:val="007C396D"/>
    <w:rsid w:val="007E4312"/>
    <w:rsid w:val="008059DA"/>
    <w:rsid w:val="00875D57"/>
    <w:rsid w:val="008858B9"/>
    <w:rsid w:val="008C1FB2"/>
    <w:rsid w:val="008E13B6"/>
    <w:rsid w:val="008E549F"/>
    <w:rsid w:val="00937E58"/>
    <w:rsid w:val="009C3469"/>
    <w:rsid w:val="009E23C3"/>
    <w:rsid w:val="00A07492"/>
    <w:rsid w:val="00A4750C"/>
    <w:rsid w:val="00B04D28"/>
    <w:rsid w:val="00B60F75"/>
    <w:rsid w:val="00BF1F37"/>
    <w:rsid w:val="00C3434F"/>
    <w:rsid w:val="00CF47B7"/>
    <w:rsid w:val="00D27BC0"/>
    <w:rsid w:val="00D62534"/>
    <w:rsid w:val="00DC2442"/>
    <w:rsid w:val="00DD48E8"/>
    <w:rsid w:val="00E628F1"/>
    <w:rsid w:val="00E9619C"/>
    <w:rsid w:val="00EB4736"/>
    <w:rsid w:val="00EB4D15"/>
    <w:rsid w:val="00EE6CA1"/>
    <w:rsid w:val="00F363BC"/>
    <w:rsid w:val="00F77243"/>
    <w:rsid w:val="00FE5FBB"/>
    <w:rsid w:val="01DF3F89"/>
    <w:rsid w:val="03000F96"/>
    <w:rsid w:val="03223869"/>
    <w:rsid w:val="04634121"/>
    <w:rsid w:val="04747B5D"/>
    <w:rsid w:val="04F74647"/>
    <w:rsid w:val="0577178A"/>
    <w:rsid w:val="05E81F60"/>
    <w:rsid w:val="05F5029F"/>
    <w:rsid w:val="06AC07B0"/>
    <w:rsid w:val="06C32363"/>
    <w:rsid w:val="092D0ADC"/>
    <w:rsid w:val="098B217B"/>
    <w:rsid w:val="09EA50AF"/>
    <w:rsid w:val="0A2119D5"/>
    <w:rsid w:val="0C28271A"/>
    <w:rsid w:val="0D9214F7"/>
    <w:rsid w:val="0DD6312C"/>
    <w:rsid w:val="0E753BA5"/>
    <w:rsid w:val="0ED90966"/>
    <w:rsid w:val="0EFC6EE1"/>
    <w:rsid w:val="0F6B751D"/>
    <w:rsid w:val="113F0361"/>
    <w:rsid w:val="12980354"/>
    <w:rsid w:val="12E6405A"/>
    <w:rsid w:val="13D947C3"/>
    <w:rsid w:val="13FA1E85"/>
    <w:rsid w:val="14563D9A"/>
    <w:rsid w:val="157A40BB"/>
    <w:rsid w:val="15A460B7"/>
    <w:rsid w:val="1706343C"/>
    <w:rsid w:val="17984DC4"/>
    <w:rsid w:val="18887FCB"/>
    <w:rsid w:val="188C2004"/>
    <w:rsid w:val="18F71FC9"/>
    <w:rsid w:val="191F4290"/>
    <w:rsid w:val="198525A6"/>
    <w:rsid w:val="1A3A3D43"/>
    <w:rsid w:val="1A72109A"/>
    <w:rsid w:val="1AE92DEB"/>
    <w:rsid w:val="1B8D77CA"/>
    <w:rsid w:val="1B986626"/>
    <w:rsid w:val="1D307ADB"/>
    <w:rsid w:val="1D9D6C8F"/>
    <w:rsid w:val="1E9E37E9"/>
    <w:rsid w:val="1EE4407B"/>
    <w:rsid w:val="20E96158"/>
    <w:rsid w:val="229A21DB"/>
    <w:rsid w:val="25662B53"/>
    <w:rsid w:val="258F4041"/>
    <w:rsid w:val="25E9474B"/>
    <w:rsid w:val="2624006D"/>
    <w:rsid w:val="26AA1972"/>
    <w:rsid w:val="27973992"/>
    <w:rsid w:val="279C3BB6"/>
    <w:rsid w:val="281B4985"/>
    <w:rsid w:val="288E34E1"/>
    <w:rsid w:val="2A5507CB"/>
    <w:rsid w:val="2A655C1B"/>
    <w:rsid w:val="2A69625D"/>
    <w:rsid w:val="2A901B7A"/>
    <w:rsid w:val="2AB77FBD"/>
    <w:rsid w:val="2AE83444"/>
    <w:rsid w:val="2B6355D3"/>
    <w:rsid w:val="2D601EA8"/>
    <w:rsid w:val="2D9C1424"/>
    <w:rsid w:val="2DEC77F2"/>
    <w:rsid w:val="2E443874"/>
    <w:rsid w:val="2E582CD2"/>
    <w:rsid w:val="2E755B7E"/>
    <w:rsid w:val="2EE37D33"/>
    <w:rsid w:val="2F4C17B1"/>
    <w:rsid w:val="2F9F17AF"/>
    <w:rsid w:val="2FD72A51"/>
    <w:rsid w:val="31E14838"/>
    <w:rsid w:val="31ED4076"/>
    <w:rsid w:val="33361AFC"/>
    <w:rsid w:val="3349347A"/>
    <w:rsid w:val="33921610"/>
    <w:rsid w:val="3396625A"/>
    <w:rsid w:val="34721153"/>
    <w:rsid w:val="351C51A6"/>
    <w:rsid w:val="35432363"/>
    <w:rsid w:val="35D511FF"/>
    <w:rsid w:val="366266F0"/>
    <w:rsid w:val="36BC2F02"/>
    <w:rsid w:val="36BF1A76"/>
    <w:rsid w:val="376974BF"/>
    <w:rsid w:val="37984A0E"/>
    <w:rsid w:val="38083044"/>
    <w:rsid w:val="386715DA"/>
    <w:rsid w:val="39B32605"/>
    <w:rsid w:val="3A4D46F0"/>
    <w:rsid w:val="3BAE63B7"/>
    <w:rsid w:val="3E09440C"/>
    <w:rsid w:val="3E6863F2"/>
    <w:rsid w:val="42510DFB"/>
    <w:rsid w:val="428C1178"/>
    <w:rsid w:val="42D85C3D"/>
    <w:rsid w:val="43AA4F04"/>
    <w:rsid w:val="444E6204"/>
    <w:rsid w:val="45E54783"/>
    <w:rsid w:val="46452504"/>
    <w:rsid w:val="466B2E7C"/>
    <w:rsid w:val="46ED2BFC"/>
    <w:rsid w:val="47064BE6"/>
    <w:rsid w:val="47CE768E"/>
    <w:rsid w:val="49441023"/>
    <w:rsid w:val="494F22A3"/>
    <w:rsid w:val="4AEC502C"/>
    <w:rsid w:val="4B8360BD"/>
    <w:rsid w:val="4C1762DA"/>
    <w:rsid w:val="4C323F07"/>
    <w:rsid w:val="4CB71F12"/>
    <w:rsid w:val="4CC912B8"/>
    <w:rsid w:val="4CD522CF"/>
    <w:rsid w:val="4D441D56"/>
    <w:rsid w:val="4D76400F"/>
    <w:rsid w:val="4D856959"/>
    <w:rsid w:val="4DA40455"/>
    <w:rsid w:val="4E6E5D15"/>
    <w:rsid w:val="4F770F67"/>
    <w:rsid w:val="4FAD3830"/>
    <w:rsid w:val="50CC4992"/>
    <w:rsid w:val="52206C84"/>
    <w:rsid w:val="52500F7E"/>
    <w:rsid w:val="532E7C6F"/>
    <w:rsid w:val="53A1157D"/>
    <w:rsid w:val="53A6176B"/>
    <w:rsid w:val="543A778D"/>
    <w:rsid w:val="54632850"/>
    <w:rsid w:val="552C72C6"/>
    <w:rsid w:val="5561017E"/>
    <w:rsid w:val="583F07AF"/>
    <w:rsid w:val="58413ABE"/>
    <w:rsid w:val="585C7053"/>
    <w:rsid w:val="58AC43C5"/>
    <w:rsid w:val="58B14BDE"/>
    <w:rsid w:val="5A205324"/>
    <w:rsid w:val="5A9B0D5E"/>
    <w:rsid w:val="5B1B1562"/>
    <w:rsid w:val="5B437B7A"/>
    <w:rsid w:val="5C0D36FF"/>
    <w:rsid w:val="5DBD1DD1"/>
    <w:rsid w:val="5EB41072"/>
    <w:rsid w:val="5EB60667"/>
    <w:rsid w:val="5F246482"/>
    <w:rsid w:val="5F4E2B3F"/>
    <w:rsid w:val="60A36904"/>
    <w:rsid w:val="60B166B7"/>
    <w:rsid w:val="61E40E5A"/>
    <w:rsid w:val="61FA1703"/>
    <w:rsid w:val="62C94278"/>
    <w:rsid w:val="63405725"/>
    <w:rsid w:val="63937684"/>
    <w:rsid w:val="63B77350"/>
    <w:rsid w:val="63EE196A"/>
    <w:rsid w:val="654620A6"/>
    <w:rsid w:val="660B7EE6"/>
    <w:rsid w:val="66221ACF"/>
    <w:rsid w:val="669A0B9A"/>
    <w:rsid w:val="669B02D9"/>
    <w:rsid w:val="67103379"/>
    <w:rsid w:val="6746686E"/>
    <w:rsid w:val="67681C9B"/>
    <w:rsid w:val="67C12663"/>
    <w:rsid w:val="67FC7A6D"/>
    <w:rsid w:val="691150EA"/>
    <w:rsid w:val="69FE1C24"/>
    <w:rsid w:val="6A1C5564"/>
    <w:rsid w:val="6A403F45"/>
    <w:rsid w:val="6AC30EDA"/>
    <w:rsid w:val="6B440543"/>
    <w:rsid w:val="6D773141"/>
    <w:rsid w:val="6DB53060"/>
    <w:rsid w:val="6E10377E"/>
    <w:rsid w:val="6E1E6E89"/>
    <w:rsid w:val="6E701503"/>
    <w:rsid w:val="707E4E4E"/>
    <w:rsid w:val="713D21F7"/>
    <w:rsid w:val="727406DE"/>
    <w:rsid w:val="734062D0"/>
    <w:rsid w:val="734D0F87"/>
    <w:rsid w:val="73FE0B3F"/>
    <w:rsid w:val="742D7A09"/>
    <w:rsid w:val="744644B2"/>
    <w:rsid w:val="762E73B2"/>
    <w:rsid w:val="76A257A0"/>
    <w:rsid w:val="770937D3"/>
    <w:rsid w:val="775A4029"/>
    <w:rsid w:val="78280894"/>
    <w:rsid w:val="78770E8B"/>
    <w:rsid w:val="7928629E"/>
    <w:rsid w:val="79CB166E"/>
    <w:rsid w:val="79D055D3"/>
    <w:rsid w:val="79EE1F34"/>
    <w:rsid w:val="7A73499A"/>
    <w:rsid w:val="7CF02BF0"/>
    <w:rsid w:val="7D363173"/>
    <w:rsid w:val="7D7536D2"/>
    <w:rsid w:val="7DE44769"/>
    <w:rsid w:val="7E7A5C10"/>
    <w:rsid w:val="7E8E5F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qFormat="1" w:unhideWhenUsed="0"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name="Table Web 2"/>
    <w:lsdException w:unhideWhenUsed="0" w:uiPriority="99" w:name="Table Web 3"/>
    <w:lsdException w:qFormat="1" w:unhideWhenUsed="0" w:uiPriority="99" w:name="Balloon Text"/>
    <w:lsdException w:qFormat="1" w:uiPriority="99" w:semiHidden="0" w:name="Table Grid" w:locked="1"/>
    <w:lsdException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kern w:val="44"/>
      <w:sz w:val="44"/>
    </w:rPr>
  </w:style>
  <w:style w:type="paragraph" w:styleId="4">
    <w:name w:val="heading 2"/>
    <w:basedOn w:val="1"/>
    <w:next w:val="1"/>
    <w:link w:val="30"/>
    <w:qFormat/>
    <w:uiPriority w:val="99"/>
    <w:pPr>
      <w:keepNext/>
      <w:keepLines/>
      <w:spacing w:before="260" w:after="260" w:line="360" w:lineRule="auto"/>
      <w:outlineLvl w:val="1"/>
    </w:pPr>
    <w:rPr>
      <w:rFonts w:ascii="Arial" w:hAnsi="Arial"/>
      <w:b/>
      <w:sz w:val="32"/>
    </w:rPr>
  </w:style>
  <w:style w:type="paragraph" w:styleId="5">
    <w:name w:val="heading 3"/>
    <w:basedOn w:val="1"/>
    <w:next w:val="1"/>
    <w:link w:val="31"/>
    <w:qFormat/>
    <w:uiPriority w:val="99"/>
    <w:pPr>
      <w:keepNext/>
      <w:keepLines/>
      <w:spacing w:before="260" w:after="260" w:line="416" w:lineRule="auto"/>
      <w:outlineLvl w:val="2"/>
    </w:pPr>
    <w:rPr>
      <w:b/>
      <w:bCs/>
      <w:sz w:val="32"/>
      <w:szCs w:val="32"/>
    </w:rPr>
  </w:style>
  <w:style w:type="paragraph" w:styleId="6">
    <w:name w:val="heading 4"/>
    <w:basedOn w:val="1"/>
    <w:next w:val="1"/>
    <w:link w:val="32"/>
    <w:qFormat/>
    <w:uiPriority w:val="9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34"/>
    <w:qFormat/>
    <w:uiPriority w:val="99"/>
    <w:pPr>
      <w:spacing w:line="480" w:lineRule="atLeast"/>
      <w:ind w:firstLine="570"/>
    </w:pPr>
    <w:rPr>
      <w:rFonts w:ascii="黑体" w:eastAsia="黑体"/>
    </w:rPr>
  </w:style>
  <w:style w:type="paragraph" w:styleId="7">
    <w:name w:val="annotation text"/>
    <w:basedOn w:val="1"/>
    <w:semiHidden/>
    <w:unhideWhenUsed/>
    <w:qFormat/>
    <w:uiPriority w:val="99"/>
    <w:pPr>
      <w:jc w:val="left"/>
    </w:pPr>
  </w:style>
  <w:style w:type="paragraph" w:styleId="8">
    <w:name w:val="Body Text"/>
    <w:basedOn w:val="1"/>
    <w:link w:val="33"/>
    <w:qFormat/>
    <w:uiPriority w:val="99"/>
    <w:rPr>
      <w:rFonts w:ascii="?????" w:hAnsi="?????"/>
      <w:b/>
      <w:spacing w:val="-8"/>
      <w:sz w:val="44"/>
      <w:szCs w:val="20"/>
    </w:rPr>
  </w:style>
  <w:style w:type="paragraph" w:styleId="9">
    <w:name w:val="Plain Text"/>
    <w:basedOn w:val="1"/>
    <w:link w:val="35"/>
    <w:qFormat/>
    <w:uiPriority w:val="99"/>
    <w:pPr>
      <w:spacing w:beforeLines="50" w:afterLines="50" w:line="400" w:lineRule="atLeast"/>
    </w:pPr>
    <w:rPr>
      <w:rFonts w:ascii="宋体" w:hAnsi="Courier New"/>
      <w:sz w:val="24"/>
    </w:rPr>
  </w:style>
  <w:style w:type="paragraph" w:styleId="10">
    <w:name w:val="Date"/>
    <w:basedOn w:val="1"/>
    <w:next w:val="1"/>
    <w:link w:val="36"/>
    <w:qFormat/>
    <w:uiPriority w:val="99"/>
    <w:pPr>
      <w:adjustRightInd w:val="0"/>
      <w:jc w:val="right"/>
      <w:textAlignment w:val="baseline"/>
    </w:pPr>
    <w:rPr>
      <w:rFonts w:eastAsia="仿宋_GB2312"/>
      <w:b/>
    </w:rPr>
  </w:style>
  <w:style w:type="paragraph" w:styleId="11">
    <w:name w:val="Balloon Text"/>
    <w:basedOn w:val="1"/>
    <w:link w:val="37"/>
    <w:semiHidden/>
    <w:qFormat/>
    <w:uiPriority w:val="99"/>
    <w:rPr>
      <w:sz w:val="18"/>
      <w:szCs w:val="18"/>
    </w:rPr>
  </w:style>
  <w:style w:type="paragraph" w:styleId="12">
    <w:name w:val="footer"/>
    <w:basedOn w:val="1"/>
    <w:link w:val="38"/>
    <w:qFormat/>
    <w:uiPriority w:val="99"/>
    <w:pPr>
      <w:tabs>
        <w:tab w:val="center" w:pos="4153"/>
        <w:tab w:val="right" w:pos="8306"/>
      </w:tabs>
      <w:snapToGrid w:val="0"/>
    </w:pPr>
    <w:rPr>
      <w:sz w:val="18"/>
      <w:szCs w:val="18"/>
    </w:rPr>
  </w:style>
  <w:style w:type="paragraph" w:styleId="13">
    <w:name w:val="header"/>
    <w:basedOn w:val="1"/>
    <w:link w:val="39"/>
    <w:qFormat/>
    <w:uiPriority w:val="99"/>
    <w:pPr>
      <w:tabs>
        <w:tab w:val="center" w:pos="4153"/>
        <w:tab w:val="right" w:pos="8306"/>
      </w:tabs>
      <w:snapToGrid w:val="0"/>
      <w:jc w:val="center"/>
    </w:pPr>
    <w:rPr>
      <w:sz w:val="18"/>
      <w:szCs w:val="18"/>
    </w:rPr>
  </w:style>
  <w:style w:type="paragraph" w:styleId="14">
    <w:name w:val="toc 1"/>
    <w:basedOn w:val="1"/>
    <w:next w:val="1"/>
    <w:qFormat/>
    <w:uiPriority w:val="99"/>
    <w:pPr>
      <w:tabs>
        <w:tab w:val="right" w:leader="dot" w:pos="9072"/>
      </w:tabs>
      <w:spacing w:before="120" w:after="120" w:line="360" w:lineRule="auto"/>
    </w:pPr>
    <w:rPr>
      <w:rFonts w:ascii="Calibri" w:hAnsi="Calibri"/>
      <w:b/>
      <w:bCs/>
      <w:caps/>
      <w:sz w:val="20"/>
    </w:rPr>
  </w:style>
  <w:style w:type="paragraph" w:styleId="15">
    <w:name w:val="List"/>
    <w:basedOn w:val="1"/>
    <w:qFormat/>
    <w:uiPriority w:val="99"/>
    <w:pPr>
      <w:ind w:left="200" w:hanging="200" w:hangingChars="200"/>
    </w:pPr>
  </w:style>
  <w:style w:type="paragraph" w:styleId="16">
    <w:name w:val="footnote text"/>
    <w:basedOn w:val="1"/>
    <w:link w:val="40"/>
    <w:semiHidden/>
    <w:qFormat/>
    <w:uiPriority w:val="99"/>
    <w:pPr>
      <w:snapToGrid w:val="0"/>
    </w:pPr>
    <w:rPr>
      <w:sz w:val="18"/>
    </w:rPr>
  </w:style>
  <w:style w:type="paragraph" w:styleId="17">
    <w:name w:val="toc 2"/>
    <w:basedOn w:val="1"/>
    <w:next w:val="1"/>
    <w:qFormat/>
    <w:uiPriority w:val="99"/>
    <w:pPr>
      <w:tabs>
        <w:tab w:val="right" w:leader="dot" w:pos="9060"/>
      </w:tabs>
      <w:spacing w:line="400" w:lineRule="exact"/>
      <w:ind w:left="280" w:right="148" w:rightChars="53"/>
    </w:pPr>
    <w:rPr>
      <w:rFonts w:ascii="仿宋" w:hAnsi="仿宋" w:eastAsia="仿宋"/>
      <w:b/>
      <w:smallCaps/>
      <w:sz w:val="24"/>
      <w:szCs w:val="24"/>
    </w:rPr>
  </w:style>
  <w:style w:type="paragraph" w:styleId="18">
    <w:name w:val="Normal (Web)"/>
    <w:basedOn w:val="1"/>
    <w:qFormat/>
    <w:uiPriority w:val="99"/>
    <w:pPr>
      <w:spacing w:before="100" w:beforeAutospacing="1" w:after="100" w:afterAutospacing="1"/>
    </w:pPr>
    <w:rPr>
      <w:rFonts w:ascii="宋体" w:hAnsi="宋体"/>
      <w:sz w:val="24"/>
      <w:szCs w:val="24"/>
    </w:rPr>
  </w:style>
  <w:style w:type="table" w:styleId="20">
    <w:name w:val="Table Grid"/>
    <w:basedOn w:val="19"/>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0"/>
    <w:rPr>
      <w:b/>
    </w:rPr>
  </w:style>
  <w:style w:type="character" w:styleId="23">
    <w:name w:val="page number"/>
    <w:qFormat/>
    <w:uiPriority w:val="99"/>
    <w:rPr>
      <w:rFonts w:cs="Times New Roman"/>
    </w:rPr>
  </w:style>
  <w:style w:type="character" w:styleId="24">
    <w:name w:val="Hyperlink"/>
    <w:qFormat/>
    <w:uiPriority w:val="99"/>
    <w:rPr>
      <w:rFonts w:cs="Times New Roman"/>
      <w:color w:val="0000FF"/>
      <w:u w:val="single"/>
    </w:rPr>
  </w:style>
  <w:style w:type="character" w:styleId="25">
    <w:name w:val="footnote reference"/>
    <w:semiHidden/>
    <w:qFormat/>
    <w:uiPriority w:val="99"/>
    <w:rPr>
      <w:rFonts w:cs="Times New Roman"/>
      <w:vertAlign w:val="superscript"/>
    </w:rPr>
  </w:style>
  <w:style w:type="paragraph" w:customStyle="1" w:styleId="26">
    <w:name w:val="Default"/>
    <w:next w:val="27"/>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9">
    <w:name w:val="标题 1 字符"/>
    <w:link w:val="3"/>
    <w:qFormat/>
    <w:uiPriority w:val="9"/>
    <w:rPr>
      <w:b/>
      <w:bCs/>
      <w:kern w:val="44"/>
      <w:sz w:val="44"/>
      <w:szCs w:val="44"/>
    </w:rPr>
  </w:style>
  <w:style w:type="character" w:customStyle="1" w:styleId="30">
    <w:name w:val="标题 2 字符"/>
    <w:link w:val="4"/>
    <w:semiHidden/>
    <w:qFormat/>
    <w:uiPriority w:val="9"/>
    <w:rPr>
      <w:rFonts w:ascii="Cambria" w:hAnsi="Cambria" w:eastAsia="宋体" w:cs="Times New Roman"/>
      <w:b/>
      <w:bCs/>
      <w:kern w:val="0"/>
      <w:sz w:val="32"/>
      <w:szCs w:val="32"/>
    </w:rPr>
  </w:style>
  <w:style w:type="character" w:customStyle="1" w:styleId="31">
    <w:name w:val="标题 3 字符"/>
    <w:link w:val="5"/>
    <w:semiHidden/>
    <w:qFormat/>
    <w:uiPriority w:val="9"/>
    <w:rPr>
      <w:b/>
      <w:bCs/>
      <w:kern w:val="0"/>
      <w:sz w:val="32"/>
      <w:szCs w:val="32"/>
    </w:rPr>
  </w:style>
  <w:style w:type="character" w:customStyle="1" w:styleId="32">
    <w:name w:val="标题 4 字符"/>
    <w:link w:val="6"/>
    <w:semiHidden/>
    <w:qFormat/>
    <w:uiPriority w:val="9"/>
    <w:rPr>
      <w:rFonts w:ascii="Cambria" w:hAnsi="Cambria" w:eastAsia="宋体" w:cs="Times New Roman"/>
      <w:b/>
      <w:bCs/>
      <w:kern w:val="0"/>
      <w:sz w:val="28"/>
      <w:szCs w:val="28"/>
    </w:rPr>
  </w:style>
  <w:style w:type="character" w:customStyle="1" w:styleId="33">
    <w:name w:val="正文文本 字符"/>
    <w:link w:val="8"/>
    <w:semiHidden/>
    <w:qFormat/>
    <w:uiPriority w:val="99"/>
    <w:rPr>
      <w:kern w:val="0"/>
      <w:sz w:val="22"/>
    </w:rPr>
  </w:style>
  <w:style w:type="character" w:customStyle="1" w:styleId="34">
    <w:name w:val="正文文本缩进 字符"/>
    <w:link w:val="2"/>
    <w:semiHidden/>
    <w:qFormat/>
    <w:uiPriority w:val="99"/>
    <w:rPr>
      <w:kern w:val="0"/>
      <w:sz w:val="22"/>
    </w:rPr>
  </w:style>
  <w:style w:type="character" w:customStyle="1" w:styleId="35">
    <w:name w:val="纯文本 字符"/>
    <w:link w:val="9"/>
    <w:semiHidden/>
    <w:qFormat/>
    <w:uiPriority w:val="99"/>
    <w:rPr>
      <w:rFonts w:ascii="宋体" w:hAnsi="Courier New"/>
      <w:kern w:val="0"/>
      <w:szCs w:val="21"/>
    </w:rPr>
  </w:style>
  <w:style w:type="character" w:customStyle="1" w:styleId="36">
    <w:name w:val="日期 字符"/>
    <w:link w:val="10"/>
    <w:semiHidden/>
    <w:qFormat/>
    <w:uiPriority w:val="99"/>
    <w:rPr>
      <w:kern w:val="0"/>
      <w:sz w:val="22"/>
    </w:rPr>
  </w:style>
  <w:style w:type="character" w:customStyle="1" w:styleId="37">
    <w:name w:val="批注框文本 字符"/>
    <w:link w:val="11"/>
    <w:semiHidden/>
    <w:qFormat/>
    <w:locked/>
    <w:uiPriority w:val="99"/>
    <w:rPr>
      <w:rFonts w:eastAsia="宋体" w:cs="Times New Roman"/>
      <w:sz w:val="18"/>
      <w:szCs w:val="18"/>
    </w:rPr>
  </w:style>
  <w:style w:type="character" w:customStyle="1" w:styleId="38">
    <w:name w:val="页脚 字符"/>
    <w:link w:val="12"/>
    <w:semiHidden/>
    <w:qFormat/>
    <w:uiPriority w:val="99"/>
    <w:rPr>
      <w:kern w:val="0"/>
      <w:sz w:val="18"/>
      <w:szCs w:val="18"/>
    </w:rPr>
  </w:style>
  <w:style w:type="character" w:customStyle="1" w:styleId="39">
    <w:name w:val="页眉 字符"/>
    <w:link w:val="13"/>
    <w:qFormat/>
    <w:locked/>
    <w:uiPriority w:val="99"/>
    <w:rPr>
      <w:rFonts w:eastAsia="宋体" w:cs="Times New Roman"/>
      <w:sz w:val="18"/>
      <w:szCs w:val="18"/>
    </w:rPr>
  </w:style>
  <w:style w:type="character" w:customStyle="1" w:styleId="40">
    <w:name w:val="脚注文本 字符"/>
    <w:link w:val="16"/>
    <w:semiHidden/>
    <w:qFormat/>
    <w:uiPriority w:val="99"/>
    <w:rPr>
      <w:kern w:val="0"/>
      <w:sz w:val="18"/>
      <w:szCs w:val="18"/>
    </w:rPr>
  </w:style>
  <w:style w:type="paragraph" w:customStyle="1" w:styleId="41">
    <w:name w:val="默认段落字体 Para Char Char Char Char Char Char Char Char Char1 Char Char Char Char"/>
    <w:basedOn w:val="1"/>
    <w:qFormat/>
    <w:uiPriority w:val="99"/>
    <w:rPr>
      <w:rFonts w:ascii="Tahoma" w:hAnsi="Tahoma"/>
      <w:sz w:val="24"/>
      <w:szCs w:val="20"/>
    </w:rPr>
  </w:style>
  <w:style w:type="paragraph" w:customStyle="1" w:styleId="42">
    <w:name w:val="表内文字"/>
    <w:basedOn w:val="1"/>
    <w:qFormat/>
    <w:uiPriority w:val="99"/>
    <w:pPr>
      <w:tabs>
        <w:tab w:val="left" w:pos="1418"/>
      </w:tabs>
      <w:spacing w:line="360" w:lineRule="auto"/>
      <w:jc w:val="center"/>
    </w:pPr>
    <w:rPr>
      <w:rFonts w:ascii="仿宋_GB2312" w:eastAsia="仿宋_GB2312"/>
      <w:spacing w:val="-20"/>
      <w:sz w:val="24"/>
    </w:rPr>
  </w:style>
  <w:style w:type="paragraph" w:customStyle="1" w:styleId="43">
    <w:name w:val="正文2"/>
    <w:basedOn w:val="1"/>
    <w:qFormat/>
    <w:uiPriority w:val="99"/>
    <w:pPr>
      <w:spacing w:before="156" w:line="360" w:lineRule="auto"/>
      <w:ind w:firstLine="510" w:firstLineChars="200"/>
    </w:pPr>
    <w:rPr>
      <w:sz w:val="24"/>
    </w:rPr>
  </w:style>
  <w:style w:type="paragraph" w:customStyle="1" w:styleId="44">
    <w:name w:val="样式 样式1 + 首行缩进:  2 字符"/>
    <w:basedOn w:val="1"/>
    <w:qFormat/>
    <w:uiPriority w:val="99"/>
    <w:pPr>
      <w:spacing w:line="360" w:lineRule="exact"/>
      <w:ind w:firstLine="420" w:firstLineChars="200"/>
    </w:pPr>
    <w:rPr>
      <w:rFonts w:ascii="Arial" w:hAnsi="Arial"/>
    </w:rPr>
  </w:style>
  <w:style w:type="character" w:customStyle="1" w:styleId="45">
    <w:name w:val="font01"/>
    <w:qFormat/>
    <w:uiPriority w:val="99"/>
    <w:rPr>
      <w:rFonts w:ascii="微软雅黑" w:hAnsi="微软雅黑" w:eastAsia="微软雅黑" w:cs="微软雅黑"/>
      <w:b/>
      <w:color w:val="000000"/>
      <w:sz w:val="22"/>
      <w:szCs w:val="22"/>
      <w:u w:val="none"/>
    </w:rPr>
  </w:style>
  <w:style w:type="paragraph" w:customStyle="1" w:styleId="46">
    <w:name w:val="_Style 5"/>
    <w:basedOn w:val="3"/>
    <w:next w:val="1"/>
    <w:qFormat/>
    <w:uiPriority w:val="99"/>
    <w:pPr>
      <w:spacing w:before="480" w:line="276" w:lineRule="auto"/>
      <w:outlineLvl w:val="9"/>
    </w:pPr>
    <w:rPr>
      <w:rFonts w:ascii="Cambria" w:hAnsi="Cambria"/>
      <w:color w:val="365F91"/>
      <w:kern w:val="0"/>
      <w:sz w:val="28"/>
      <w:szCs w:val="28"/>
    </w:rPr>
  </w:style>
  <w:style w:type="character" w:customStyle="1" w:styleId="47">
    <w:name w:val="font11"/>
    <w:qFormat/>
    <w:uiPriority w:val="99"/>
    <w:rPr>
      <w:rFonts w:ascii="Arial" w:hAnsi="Arial" w:cs="Arial"/>
      <w:color w:val="000000"/>
      <w:sz w:val="22"/>
      <w:szCs w:val="22"/>
      <w:u w:val="none"/>
    </w:rPr>
  </w:style>
  <w:style w:type="paragraph" w:styleId="48">
    <w:name w:val="List Paragraph"/>
    <w:basedOn w:val="1"/>
    <w:qFormat/>
    <w:uiPriority w:val="99"/>
    <w:pPr>
      <w:ind w:firstLine="420" w:firstLineChars="200"/>
    </w:pPr>
    <w:rPr>
      <w:szCs w:val="20"/>
    </w:rPr>
  </w:style>
  <w:style w:type="paragraph" w:customStyle="1" w:styleId="49">
    <w:name w:val="样式 纯文本 + 首行缩进:  2 字符 Char Char Char Char Char Char Char Char Char Char Char Char Char Char Char Char Char Char Char Char Char Char Char Char"/>
    <w:basedOn w:val="9"/>
    <w:qFormat/>
    <w:uiPriority w:val="99"/>
    <w:pPr>
      <w:spacing w:beforeLines="0" w:afterLines="0" w:line="360" w:lineRule="auto"/>
    </w:pPr>
    <w:rPr>
      <w:rFonts w:eastAsia="仿宋_GB2312" w:cs="Arial"/>
      <w:sz w:val="28"/>
      <w:szCs w:val="20"/>
    </w:rPr>
  </w:style>
  <w:style w:type="paragraph" w:customStyle="1" w:styleId="50">
    <w:name w:val="内文正文"/>
    <w:basedOn w:val="9"/>
    <w:qFormat/>
    <w:uiPriority w:val="99"/>
    <w:pPr>
      <w:adjustRightInd w:val="0"/>
      <w:snapToGrid w:val="0"/>
      <w:spacing w:line="400" w:lineRule="exact"/>
      <w:ind w:firstLine="200" w:firstLineChars="200"/>
    </w:pPr>
    <w:rPr>
      <w:rFonts w:ascii="Arial" w:hAnsi="Arial"/>
      <w:color w:val="000000"/>
      <w:szCs w:val="21"/>
    </w:rPr>
  </w:style>
  <w:style w:type="paragraph" w:customStyle="1" w:styleId="51">
    <w:name w:val="WPSOffice手动目录 1"/>
    <w:qFormat/>
    <w:uiPriority w:val="99"/>
    <w:rPr>
      <w:rFonts w:ascii="Times New Roman" w:hAnsi="Times New Roman" w:eastAsia="宋体" w:cs="Times New Roman"/>
      <w:lang w:val="en-US" w:eastAsia="zh-CN" w:bidi="ar-SA"/>
    </w:rPr>
  </w:style>
  <w:style w:type="paragraph" w:customStyle="1" w:styleId="52">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53">
    <w:name w:val="样式1"/>
    <w:basedOn w:val="1"/>
    <w:qFormat/>
    <w:uiPriority w:val="99"/>
    <w:pPr>
      <w:spacing w:line="360" w:lineRule="exact"/>
      <w:ind w:firstLine="200" w:firstLineChars="200"/>
    </w:pPr>
    <w:rPr>
      <w:rFonts w:ascii="Arial" w:hAnsi="Arial"/>
    </w:rPr>
  </w:style>
  <w:style w:type="paragraph" w:customStyle="1" w:styleId="54">
    <w:name w:val="Blockquote"/>
    <w:basedOn w:val="1"/>
    <w:qFormat/>
    <w:uiPriority w:val="0"/>
    <w:pPr>
      <w:autoSpaceDE w:val="0"/>
      <w:autoSpaceDN w:val="0"/>
      <w:adjustRightInd w:val="0"/>
      <w:spacing w:before="100" w:after="100"/>
      <w:ind w:left="360" w:right="360"/>
    </w:pPr>
    <w:rPr>
      <w:sz w:val="24"/>
      <w:szCs w:val="20"/>
    </w:rPr>
  </w:style>
  <w:style w:type="paragraph" w:customStyle="1" w:styleId="5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56">
    <w:name w:val="样式 标题 3 + (中文) 黑体 小四 非加粗 段前: 7.8 磅 段后: 0 磅 行距: 固定值 20 磅"/>
    <w:basedOn w:val="5"/>
    <w:next w:val="1"/>
    <w:qFormat/>
    <w:uiPriority w:val="0"/>
    <w:pPr>
      <w:keepNext w:val="0"/>
      <w:keepLines w:val="0"/>
      <w:numPr>
        <w:ilvl w:val="0"/>
        <w:numId w:val="1"/>
      </w:numPr>
      <w:spacing w:before="0" w:after="0" w:line="400" w:lineRule="exact"/>
    </w:pPr>
    <w:rPr>
      <w:rFonts w:eastAsia="黑体" w:cs="宋体"/>
      <w:bCs w:val="0"/>
      <w:sz w:val="24"/>
      <w:szCs w:val="20"/>
    </w:rPr>
  </w:style>
  <w:style w:type="paragraph" w:customStyle="1" w:styleId="5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9356</Words>
  <Characters>53335</Characters>
  <Lines>444</Lines>
  <Paragraphs>125</Paragraphs>
  <TotalTime>8</TotalTime>
  <ScaleCrop>false</ScaleCrop>
  <LinksUpToDate>false</LinksUpToDate>
  <CharactersWithSpaces>62566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2018-09-12T17:59:00Z</dcterms:created>
  <dc:creator>Windows User</dc:creator>
  <cp:lastModifiedBy>繁华终易逝</cp:lastModifiedBy>
  <cp:lastPrinted>2019-06-24T02:28:00Z</cp:lastPrinted>
  <dcterms:modified xsi:type="dcterms:W3CDTF">2020-08-10T15:29:13Z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