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kern w:val="0"/>
        </w:rPr>
      </w:pPr>
      <w:r>
        <w:rPr>
          <w:rFonts w:hint="eastAsia"/>
          <w:kern w:val="0"/>
        </w:rPr>
        <w:t>工程清单编制说明</w:t>
      </w:r>
    </w:p>
    <w:p>
      <w:pPr>
        <w:spacing w:line="360" w:lineRule="auto"/>
        <w:rPr>
          <w:rFonts w:ascii="宋体" w:hAnsi="宋体"/>
          <w:b/>
          <w:bCs/>
          <w:sz w:val="24"/>
        </w:rPr>
      </w:pPr>
      <w:r>
        <w:rPr>
          <w:rFonts w:hint="eastAsia" w:ascii="宋体" w:hAnsi="宋体"/>
          <w:b/>
          <w:bCs/>
          <w:sz w:val="24"/>
        </w:rPr>
        <w:t>一、工程概况：见招标文件</w:t>
      </w:r>
    </w:p>
    <w:p>
      <w:pPr>
        <w:spacing w:line="360" w:lineRule="auto"/>
        <w:rPr>
          <w:rFonts w:ascii="宋体" w:hAnsi="宋体"/>
          <w:b/>
          <w:bCs/>
          <w:sz w:val="24"/>
        </w:rPr>
      </w:pPr>
      <w:r>
        <w:rPr>
          <w:rFonts w:hint="eastAsia" w:ascii="宋体" w:hAnsi="宋体"/>
          <w:b/>
          <w:bCs/>
          <w:sz w:val="24"/>
        </w:rPr>
        <w:t>二、工程量清单编制依据：</w:t>
      </w:r>
    </w:p>
    <w:p>
      <w:pPr>
        <w:numPr>
          <w:ilvl w:val="0"/>
          <w:numId w:val="1"/>
        </w:numPr>
        <w:autoSpaceDE w:val="0"/>
        <w:autoSpaceDN w:val="0"/>
        <w:adjustRightInd w:val="0"/>
        <w:spacing w:line="360" w:lineRule="auto"/>
        <w:rPr>
          <w:rFonts w:ascii="宋体" w:hAnsi="宋体"/>
          <w:sz w:val="24"/>
        </w:rPr>
      </w:pPr>
      <w:r>
        <w:rPr>
          <w:rFonts w:hint="eastAsia" w:ascii="宋体" w:hAnsi="宋体"/>
          <w:sz w:val="24"/>
        </w:rPr>
        <w:t>《建设工程工程量清单计价规范》（GB50500-2013）；</w:t>
      </w:r>
    </w:p>
    <w:p>
      <w:pPr>
        <w:numPr>
          <w:ilvl w:val="0"/>
          <w:numId w:val="1"/>
        </w:numPr>
        <w:autoSpaceDE w:val="0"/>
        <w:autoSpaceDN w:val="0"/>
        <w:adjustRightInd w:val="0"/>
        <w:spacing w:line="360" w:lineRule="auto"/>
        <w:rPr>
          <w:rFonts w:ascii="宋体" w:hAnsi="宋体"/>
          <w:sz w:val="24"/>
        </w:rPr>
      </w:pPr>
      <w:r>
        <w:rPr>
          <w:rFonts w:hint="eastAsia" w:ascii="宋体" w:hAnsi="宋体"/>
          <w:sz w:val="24"/>
        </w:rPr>
        <w:t>《浙江省建筑工程预算定额（201</w:t>
      </w:r>
      <w:r>
        <w:rPr>
          <w:rFonts w:ascii="宋体" w:hAnsi="宋体"/>
          <w:sz w:val="24"/>
        </w:rPr>
        <w:t>8</w:t>
      </w:r>
      <w:r>
        <w:rPr>
          <w:rFonts w:hint="eastAsia" w:ascii="宋体" w:hAnsi="宋体"/>
          <w:sz w:val="24"/>
        </w:rPr>
        <w:t>版）》；</w:t>
      </w:r>
    </w:p>
    <w:p>
      <w:pPr>
        <w:numPr>
          <w:ilvl w:val="0"/>
          <w:numId w:val="1"/>
        </w:numPr>
        <w:autoSpaceDE w:val="0"/>
        <w:autoSpaceDN w:val="0"/>
        <w:adjustRightInd w:val="0"/>
        <w:spacing w:line="360" w:lineRule="auto"/>
        <w:rPr>
          <w:rFonts w:ascii="宋体" w:hAnsi="宋体"/>
          <w:sz w:val="24"/>
        </w:rPr>
      </w:pPr>
      <w:r>
        <w:rPr>
          <w:rFonts w:hint="eastAsia" w:ascii="宋体" w:hAnsi="宋体"/>
          <w:sz w:val="24"/>
        </w:rPr>
        <w:t>《浙江省安装工程预算定额（201</w:t>
      </w:r>
      <w:r>
        <w:rPr>
          <w:rFonts w:ascii="宋体" w:hAnsi="宋体"/>
          <w:sz w:val="24"/>
        </w:rPr>
        <w:t>8</w:t>
      </w:r>
      <w:r>
        <w:rPr>
          <w:rFonts w:hint="eastAsia" w:ascii="宋体" w:hAnsi="宋体"/>
          <w:sz w:val="24"/>
        </w:rPr>
        <w:t>版）》；</w:t>
      </w:r>
    </w:p>
    <w:p>
      <w:pPr>
        <w:numPr>
          <w:ilvl w:val="0"/>
          <w:numId w:val="1"/>
        </w:numPr>
        <w:autoSpaceDE w:val="0"/>
        <w:autoSpaceDN w:val="0"/>
        <w:adjustRightInd w:val="0"/>
        <w:spacing w:line="360" w:lineRule="auto"/>
        <w:rPr>
          <w:rFonts w:ascii="宋体" w:hAnsi="宋体"/>
          <w:sz w:val="24"/>
        </w:rPr>
      </w:pPr>
      <w:r>
        <w:rPr>
          <w:rFonts w:hint="eastAsia" w:ascii="宋体" w:hAnsi="宋体"/>
          <w:sz w:val="24"/>
        </w:rPr>
        <w:t>《浙江省建设工程施工取费定额（201</w:t>
      </w:r>
      <w:r>
        <w:rPr>
          <w:rFonts w:ascii="宋体" w:hAnsi="宋体"/>
          <w:sz w:val="24"/>
        </w:rPr>
        <w:t>8</w:t>
      </w:r>
      <w:r>
        <w:rPr>
          <w:rFonts w:hint="eastAsia" w:ascii="宋体" w:hAnsi="宋体"/>
          <w:sz w:val="24"/>
        </w:rPr>
        <w:t>版）》；</w:t>
      </w:r>
    </w:p>
    <w:p>
      <w:pPr>
        <w:numPr>
          <w:ilvl w:val="0"/>
          <w:numId w:val="1"/>
        </w:numPr>
        <w:autoSpaceDE w:val="0"/>
        <w:autoSpaceDN w:val="0"/>
        <w:adjustRightInd w:val="0"/>
        <w:spacing w:line="360" w:lineRule="auto"/>
        <w:rPr>
          <w:rFonts w:ascii="宋体" w:hAnsi="宋体"/>
          <w:sz w:val="24"/>
        </w:rPr>
      </w:pPr>
      <w:r>
        <w:rPr>
          <w:rFonts w:hint="eastAsia" w:ascii="宋体" w:hAnsi="宋体"/>
          <w:sz w:val="24"/>
        </w:rPr>
        <w:t>《浙江省建设工程计价规则（201</w:t>
      </w:r>
      <w:r>
        <w:rPr>
          <w:rFonts w:ascii="宋体" w:hAnsi="宋体"/>
          <w:sz w:val="24"/>
        </w:rPr>
        <w:t>8</w:t>
      </w:r>
      <w:r>
        <w:rPr>
          <w:rFonts w:hint="eastAsia" w:ascii="宋体" w:hAnsi="宋体"/>
          <w:sz w:val="24"/>
        </w:rPr>
        <w:t>版）》；</w:t>
      </w:r>
    </w:p>
    <w:p>
      <w:pPr>
        <w:numPr>
          <w:ilvl w:val="0"/>
          <w:numId w:val="1"/>
        </w:numPr>
        <w:autoSpaceDE w:val="0"/>
        <w:autoSpaceDN w:val="0"/>
        <w:adjustRightInd w:val="0"/>
        <w:spacing w:line="360" w:lineRule="auto"/>
        <w:rPr>
          <w:rFonts w:ascii="宋体" w:hAnsi="宋体"/>
          <w:sz w:val="24"/>
        </w:rPr>
      </w:pPr>
      <w:r>
        <w:rPr>
          <w:rFonts w:hint="eastAsia" w:ascii="宋体" w:hAnsi="宋体"/>
          <w:sz w:val="24"/>
        </w:rPr>
        <w:t>《浙江省施工机械台班费用参考单价（201</w:t>
      </w:r>
      <w:r>
        <w:rPr>
          <w:rFonts w:ascii="宋体" w:hAnsi="宋体"/>
          <w:sz w:val="24"/>
        </w:rPr>
        <w:t>8</w:t>
      </w:r>
      <w:r>
        <w:rPr>
          <w:rFonts w:hint="eastAsia" w:ascii="宋体" w:hAnsi="宋体"/>
          <w:sz w:val="24"/>
        </w:rPr>
        <w:t>版）》；</w:t>
      </w:r>
    </w:p>
    <w:p>
      <w:pPr>
        <w:numPr>
          <w:ilvl w:val="0"/>
          <w:numId w:val="1"/>
        </w:numPr>
        <w:autoSpaceDE w:val="0"/>
        <w:autoSpaceDN w:val="0"/>
        <w:adjustRightInd w:val="0"/>
        <w:spacing w:line="360" w:lineRule="auto"/>
        <w:rPr>
          <w:rFonts w:ascii="宋体" w:hAnsi="宋体"/>
          <w:sz w:val="24"/>
        </w:rPr>
      </w:pPr>
      <w:r>
        <w:rPr>
          <w:rFonts w:hint="eastAsia" w:ascii="宋体" w:hAnsi="宋体"/>
          <w:sz w:val="24"/>
        </w:rPr>
        <w:t>房屋建筑与装饰工程工程量清单计算规范（GB50854-2013）；</w:t>
      </w:r>
    </w:p>
    <w:p>
      <w:pPr>
        <w:numPr>
          <w:ilvl w:val="0"/>
          <w:numId w:val="1"/>
        </w:numPr>
        <w:autoSpaceDE w:val="0"/>
        <w:autoSpaceDN w:val="0"/>
        <w:adjustRightInd w:val="0"/>
        <w:spacing w:line="360" w:lineRule="auto"/>
        <w:rPr>
          <w:rFonts w:ascii="宋体" w:hAnsi="宋体"/>
          <w:sz w:val="24"/>
        </w:rPr>
      </w:pPr>
      <w:r>
        <w:rPr>
          <w:rFonts w:hint="eastAsia" w:ascii="宋体" w:hAnsi="宋体"/>
          <w:sz w:val="24"/>
        </w:rPr>
        <w:t>通用安装工程工程量计算规范（GB50856-2013）；</w:t>
      </w:r>
    </w:p>
    <w:p>
      <w:pPr>
        <w:numPr>
          <w:ilvl w:val="0"/>
          <w:numId w:val="1"/>
        </w:numPr>
        <w:autoSpaceDE w:val="0"/>
        <w:autoSpaceDN w:val="0"/>
        <w:adjustRightInd w:val="0"/>
        <w:spacing w:line="360" w:lineRule="auto"/>
        <w:rPr>
          <w:rFonts w:ascii="宋体" w:hAnsi="宋体"/>
          <w:sz w:val="24"/>
        </w:rPr>
      </w:pPr>
      <w:r>
        <w:rPr>
          <w:rFonts w:hint="eastAsia" w:ascii="宋体" w:hAnsi="宋体"/>
          <w:sz w:val="24"/>
        </w:rPr>
        <w:t>浙建站计【2013】63号《关于印发建设工程工程量清单计价规范（2013）浙江省补充规定的通知》及相关附件；</w:t>
      </w:r>
    </w:p>
    <w:p>
      <w:pPr>
        <w:numPr>
          <w:ilvl w:val="0"/>
          <w:numId w:val="1"/>
        </w:numPr>
        <w:autoSpaceDE w:val="0"/>
        <w:autoSpaceDN w:val="0"/>
        <w:adjustRightInd w:val="0"/>
        <w:spacing w:line="360" w:lineRule="auto"/>
        <w:rPr>
          <w:rFonts w:ascii="宋体" w:hAnsi="宋体"/>
          <w:sz w:val="24"/>
        </w:rPr>
      </w:pPr>
      <w:r>
        <w:rPr>
          <w:rFonts w:hint="eastAsia" w:ascii="宋体" w:hAnsi="宋体"/>
          <w:sz w:val="24"/>
        </w:rPr>
        <w:t>《关于建筑业实施营改增后浙江省建设工程计价规则调整的通知》（建建发〔2016〕144号）；</w:t>
      </w:r>
    </w:p>
    <w:p>
      <w:pPr>
        <w:numPr>
          <w:ilvl w:val="0"/>
          <w:numId w:val="1"/>
        </w:numPr>
        <w:autoSpaceDE w:val="0"/>
        <w:autoSpaceDN w:val="0"/>
        <w:adjustRightInd w:val="0"/>
        <w:spacing w:line="360" w:lineRule="auto"/>
        <w:rPr>
          <w:rFonts w:ascii="宋体" w:hAnsi="宋体"/>
          <w:sz w:val="24"/>
        </w:rPr>
      </w:pPr>
      <w:r>
        <w:rPr>
          <w:rFonts w:hint="eastAsia" w:ascii="宋体" w:hAnsi="宋体"/>
          <w:sz w:val="24"/>
        </w:rPr>
        <w:t>《关于发布营改增后浙江省建设工程施工取费费率调整的通知》（浙建站定〔2016〕23号）；</w:t>
      </w:r>
    </w:p>
    <w:p>
      <w:pPr>
        <w:numPr>
          <w:ilvl w:val="0"/>
          <w:numId w:val="1"/>
        </w:numPr>
        <w:autoSpaceDE w:val="0"/>
        <w:autoSpaceDN w:val="0"/>
        <w:adjustRightInd w:val="0"/>
        <w:spacing w:line="360" w:lineRule="auto"/>
        <w:rPr>
          <w:rFonts w:ascii="宋体" w:hAnsi="宋体"/>
          <w:sz w:val="24"/>
        </w:rPr>
      </w:pPr>
      <w:r>
        <w:rPr>
          <w:rFonts w:hint="eastAsia" w:ascii="宋体" w:hAnsi="宋体"/>
          <w:sz w:val="24"/>
        </w:rPr>
        <w:t>《关于营改增后浙江省建设工程材料价格信息发布工程调整的通知》（浙站信（2016）25号）；</w:t>
      </w:r>
    </w:p>
    <w:p>
      <w:pPr>
        <w:numPr>
          <w:ilvl w:val="0"/>
          <w:numId w:val="1"/>
        </w:numPr>
        <w:autoSpaceDE w:val="0"/>
        <w:autoSpaceDN w:val="0"/>
        <w:adjustRightInd w:val="0"/>
        <w:spacing w:line="360" w:lineRule="auto"/>
        <w:rPr>
          <w:rFonts w:ascii="宋体" w:hAnsi="宋体"/>
          <w:sz w:val="24"/>
        </w:rPr>
      </w:pPr>
      <w:r>
        <w:rPr>
          <w:rFonts w:hint="eastAsia" w:ascii="宋体" w:hAnsi="宋体"/>
          <w:sz w:val="24"/>
        </w:rPr>
        <w:t>住房城乡建设部办公厅关于做好建筑业营改增建设工程计价依据调整准备工作的通知（建办标【2016】4号文）；</w:t>
      </w:r>
    </w:p>
    <w:p>
      <w:pPr>
        <w:numPr>
          <w:ilvl w:val="0"/>
          <w:numId w:val="1"/>
        </w:numPr>
        <w:autoSpaceDE w:val="0"/>
        <w:autoSpaceDN w:val="0"/>
        <w:adjustRightInd w:val="0"/>
        <w:spacing w:line="360" w:lineRule="auto"/>
        <w:rPr>
          <w:rFonts w:ascii="宋体" w:hAnsi="宋体"/>
          <w:sz w:val="24"/>
        </w:rPr>
      </w:pPr>
      <w:r>
        <w:rPr>
          <w:rFonts w:hint="eastAsia" w:ascii="宋体" w:hAnsi="宋体"/>
          <w:sz w:val="24"/>
        </w:rPr>
        <w:t>温州市住建委转发关于建筑业实施营改增后浙江省建设工程计价规则、施工取费费率及工程材料价格信息发布调整的通知(温州住建发【2016】87号文)；</w:t>
      </w:r>
    </w:p>
    <w:p>
      <w:pPr>
        <w:numPr>
          <w:ilvl w:val="0"/>
          <w:numId w:val="1"/>
        </w:numPr>
        <w:autoSpaceDE w:val="0"/>
        <w:autoSpaceDN w:val="0"/>
        <w:adjustRightInd w:val="0"/>
        <w:spacing w:line="360" w:lineRule="auto"/>
        <w:rPr>
          <w:rFonts w:ascii="宋体" w:hAnsi="宋体"/>
          <w:sz w:val="24"/>
        </w:rPr>
      </w:pPr>
      <w:r>
        <w:rPr>
          <w:rFonts w:hint="eastAsia" w:ascii="宋体" w:hAnsi="宋体"/>
          <w:sz w:val="24"/>
          <w:lang w:val="en-US" w:eastAsia="zh-CN"/>
        </w:rPr>
        <w:t>浙</w:t>
      </w:r>
      <w:r>
        <w:rPr>
          <w:rFonts w:hint="eastAsia" w:ascii="宋体" w:hAnsi="宋体"/>
          <w:sz w:val="24"/>
        </w:rPr>
        <w:t>建建发[201</w:t>
      </w:r>
      <w:r>
        <w:rPr>
          <w:rFonts w:hint="eastAsia" w:ascii="宋体" w:hAnsi="宋体"/>
          <w:sz w:val="24"/>
          <w:lang w:val="en-US" w:eastAsia="zh-CN"/>
        </w:rPr>
        <w:t>9</w:t>
      </w:r>
      <w:r>
        <w:rPr>
          <w:rFonts w:hint="eastAsia" w:ascii="宋体" w:hAnsi="宋体"/>
          <w:sz w:val="24"/>
        </w:rPr>
        <w:t>]</w:t>
      </w:r>
      <w:r>
        <w:rPr>
          <w:rFonts w:hint="eastAsia" w:ascii="宋体" w:hAnsi="宋体"/>
          <w:sz w:val="24"/>
          <w:lang w:val="en-US" w:eastAsia="zh-CN"/>
        </w:rPr>
        <w:t>92</w:t>
      </w:r>
      <w:r>
        <w:rPr>
          <w:rFonts w:hint="eastAsia" w:ascii="宋体" w:hAnsi="宋体"/>
          <w:sz w:val="24"/>
        </w:rPr>
        <w:t>号 《关于增值税调整后我省建设工程计价规则有关增值税税率及</w:t>
      </w:r>
      <w:r>
        <w:rPr>
          <w:rFonts w:hint="eastAsia" w:ascii="宋体" w:hAnsi="宋体"/>
          <w:sz w:val="24"/>
          <w:lang w:val="en-US" w:eastAsia="zh-CN"/>
        </w:rPr>
        <w:t>有关</w:t>
      </w:r>
      <w:r>
        <w:rPr>
          <w:rFonts w:hint="eastAsia" w:ascii="宋体" w:hAnsi="宋体"/>
          <w:sz w:val="24"/>
        </w:rPr>
        <w:t>计价调整的通知》；</w:t>
      </w:r>
    </w:p>
    <w:p>
      <w:pPr>
        <w:numPr>
          <w:ilvl w:val="0"/>
          <w:numId w:val="1"/>
        </w:numPr>
        <w:autoSpaceDE w:val="0"/>
        <w:autoSpaceDN w:val="0"/>
        <w:adjustRightInd w:val="0"/>
        <w:spacing w:line="360" w:lineRule="auto"/>
        <w:rPr>
          <w:rFonts w:ascii="宋体" w:hAnsi="宋体"/>
          <w:sz w:val="24"/>
        </w:rPr>
      </w:pPr>
      <w:r>
        <w:rPr>
          <w:rFonts w:hint="eastAsia" w:ascii="宋体" w:hAnsi="宋体"/>
          <w:sz w:val="24"/>
        </w:rPr>
        <w:t>《财政部税务总局关于调整增值税税率的通知》（财税[2018]32号）；</w:t>
      </w:r>
    </w:p>
    <w:p>
      <w:pPr>
        <w:numPr>
          <w:ilvl w:val="0"/>
          <w:numId w:val="1"/>
        </w:numPr>
        <w:autoSpaceDE w:val="0"/>
        <w:autoSpaceDN w:val="0"/>
        <w:adjustRightInd w:val="0"/>
        <w:spacing w:line="360" w:lineRule="auto"/>
        <w:rPr>
          <w:rFonts w:ascii="宋体" w:hAnsi="宋体"/>
          <w:sz w:val="24"/>
        </w:rPr>
      </w:pPr>
      <w:r>
        <w:rPr>
          <w:rFonts w:hint="eastAsia" w:ascii="宋体" w:hAnsi="宋体"/>
          <w:sz w:val="24"/>
        </w:rPr>
        <w:t>工程造价有关的省市文件；</w:t>
      </w:r>
    </w:p>
    <w:p>
      <w:pPr>
        <w:numPr>
          <w:ilvl w:val="0"/>
          <w:numId w:val="1"/>
        </w:numPr>
        <w:autoSpaceDE w:val="0"/>
        <w:autoSpaceDN w:val="0"/>
        <w:adjustRightInd w:val="0"/>
        <w:spacing w:line="360" w:lineRule="auto"/>
        <w:rPr>
          <w:rFonts w:ascii="宋体" w:hAnsi="宋体"/>
          <w:sz w:val="24"/>
        </w:rPr>
      </w:pPr>
      <w:r>
        <w:rPr>
          <w:rFonts w:hint="eastAsia" w:ascii="宋体" w:hAnsi="宋体"/>
          <w:sz w:val="24"/>
        </w:rPr>
        <w:t>本工程施工图纸；</w:t>
      </w:r>
    </w:p>
    <w:p>
      <w:pPr>
        <w:numPr>
          <w:ilvl w:val="0"/>
          <w:numId w:val="1"/>
        </w:numPr>
        <w:autoSpaceDE w:val="0"/>
        <w:autoSpaceDN w:val="0"/>
        <w:adjustRightInd w:val="0"/>
        <w:spacing w:line="360" w:lineRule="auto"/>
        <w:rPr>
          <w:rFonts w:ascii="宋体" w:hAnsi="宋体"/>
          <w:sz w:val="24"/>
        </w:rPr>
      </w:pPr>
      <w:r>
        <w:rPr>
          <w:rFonts w:hint="eastAsia" w:ascii="宋体" w:hAnsi="宋体"/>
          <w:sz w:val="24"/>
        </w:rPr>
        <w:t>本工程信息价按温州信息价20</w:t>
      </w:r>
      <w:r>
        <w:rPr>
          <w:rFonts w:hint="eastAsia" w:ascii="宋体" w:hAnsi="宋体"/>
          <w:sz w:val="24"/>
          <w:lang w:val="en-US" w:eastAsia="zh-CN"/>
        </w:rPr>
        <w:t>20</w:t>
      </w:r>
      <w:r>
        <w:rPr>
          <w:rFonts w:hint="eastAsia" w:ascii="宋体" w:hAnsi="宋体"/>
          <w:sz w:val="24"/>
        </w:rPr>
        <w:t>年</w:t>
      </w:r>
      <w:r>
        <w:rPr>
          <w:rFonts w:hint="eastAsia" w:ascii="宋体" w:hAnsi="宋体"/>
          <w:sz w:val="24"/>
          <w:lang w:val="en-US" w:eastAsia="zh-CN"/>
        </w:rPr>
        <w:t>5</w:t>
      </w:r>
      <w:r>
        <w:rPr>
          <w:rFonts w:hint="eastAsia" w:ascii="宋体" w:hAnsi="宋体"/>
          <w:sz w:val="24"/>
        </w:rPr>
        <w:t>月版；</w:t>
      </w:r>
    </w:p>
    <w:p>
      <w:pPr>
        <w:spacing w:line="360" w:lineRule="auto"/>
        <w:rPr>
          <w:rFonts w:ascii="宋体" w:hAnsi="宋体"/>
          <w:b/>
          <w:bCs/>
          <w:sz w:val="24"/>
        </w:rPr>
      </w:pPr>
      <w:r>
        <w:rPr>
          <w:rFonts w:hint="eastAsia" w:ascii="宋体" w:hAnsi="宋体"/>
          <w:b/>
          <w:bCs/>
          <w:sz w:val="24"/>
        </w:rPr>
        <w:t>三、清单编制说明：</w:t>
      </w:r>
    </w:p>
    <w:p>
      <w:pPr>
        <w:spacing w:line="360" w:lineRule="auto"/>
        <w:rPr>
          <w:rFonts w:ascii="宋体" w:hAnsi="宋体"/>
          <w:b/>
          <w:bCs/>
          <w:sz w:val="24"/>
        </w:rPr>
      </w:pPr>
      <w:r>
        <w:rPr>
          <w:rFonts w:hint="eastAsia" w:ascii="宋体" w:hAnsi="宋体"/>
          <w:b/>
          <w:bCs/>
          <w:sz w:val="24"/>
        </w:rPr>
        <w:t>（一）通用说明</w:t>
      </w:r>
    </w:p>
    <w:p>
      <w:pPr>
        <w:numPr>
          <w:ilvl w:val="0"/>
          <w:numId w:val="1"/>
        </w:numPr>
        <w:autoSpaceDE w:val="0"/>
        <w:autoSpaceDN w:val="0"/>
        <w:adjustRightInd w:val="0"/>
        <w:spacing w:line="360" w:lineRule="auto"/>
        <w:rPr>
          <w:rFonts w:ascii="宋体" w:hAnsi="宋体"/>
          <w:sz w:val="24"/>
        </w:rPr>
      </w:pPr>
      <w:r>
        <w:rPr>
          <w:rFonts w:hint="eastAsia" w:ascii="宋体" w:hAnsi="宋体"/>
          <w:sz w:val="24"/>
        </w:rPr>
        <w:t>本清单项目特征描述与设计描述做法不同时以本清单描述为准，本清单没有具体描述的工作内容和做法均按《GB50500-2013》规范和设计要求计入。</w:t>
      </w:r>
    </w:p>
    <w:p>
      <w:pPr>
        <w:numPr>
          <w:ilvl w:val="0"/>
          <w:numId w:val="1"/>
        </w:numPr>
        <w:autoSpaceDE w:val="0"/>
        <w:autoSpaceDN w:val="0"/>
        <w:adjustRightInd w:val="0"/>
        <w:spacing w:line="360" w:lineRule="auto"/>
        <w:rPr>
          <w:rFonts w:ascii="宋体" w:hAnsi="宋体"/>
          <w:sz w:val="24"/>
        </w:rPr>
      </w:pPr>
      <w:r>
        <w:rPr>
          <w:rFonts w:hint="eastAsia" w:ascii="宋体" w:hAnsi="宋体"/>
          <w:sz w:val="24"/>
        </w:rPr>
        <w:t>本说明不做为施工的最后依据，具体施工时，由建设单位、施工单位、设计单位、监理单位及有关主管单位经过会审后方可施工。</w:t>
      </w:r>
    </w:p>
    <w:p>
      <w:pPr>
        <w:numPr>
          <w:ilvl w:val="0"/>
          <w:numId w:val="1"/>
        </w:numPr>
        <w:autoSpaceDE w:val="0"/>
        <w:autoSpaceDN w:val="0"/>
        <w:adjustRightInd w:val="0"/>
        <w:spacing w:line="360" w:lineRule="auto"/>
        <w:rPr>
          <w:rFonts w:ascii="宋体" w:hAnsi="宋体"/>
          <w:sz w:val="24"/>
        </w:rPr>
      </w:pPr>
      <w:r>
        <w:rPr>
          <w:rFonts w:hint="eastAsia" w:ascii="宋体" w:hAnsi="宋体"/>
          <w:sz w:val="24"/>
        </w:rPr>
        <w:t>对于本工程的个别节点做法，本清单只描述了主要要素，投标单位需根据设计图纸全面考虑并包含在工程量清单综合单价内。</w:t>
      </w:r>
    </w:p>
    <w:p>
      <w:pPr>
        <w:numPr>
          <w:ilvl w:val="0"/>
          <w:numId w:val="1"/>
        </w:numPr>
        <w:autoSpaceDE w:val="0"/>
        <w:autoSpaceDN w:val="0"/>
        <w:adjustRightInd w:val="0"/>
        <w:spacing w:line="360" w:lineRule="auto"/>
        <w:rPr>
          <w:rFonts w:ascii="宋体" w:hAnsi="宋体"/>
          <w:sz w:val="24"/>
        </w:rPr>
      </w:pPr>
      <w:r>
        <w:rPr>
          <w:rFonts w:hint="eastAsia" w:ascii="宋体" w:hAnsi="宋体"/>
          <w:sz w:val="24"/>
        </w:rPr>
        <w:t>除清单中注明用途外的预埋铁件，未单列的均包含在其所依附的主要项目内，合并在该项综合单价中报价。</w:t>
      </w:r>
    </w:p>
    <w:p>
      <w:pPr>
        <w:numPr>
          <w:ilvl w:val="0"/>
          <w:numId w:val="1"/>
        </w:numPr>
        <w:autoSpaceDE w:val="0"/>
        <w:autoSpaceDN w:val="0"/>
        <w:adjustRightInd w:val="0"/>
        <w:spacing w:line="360" w:lineRule="auto"/>
        <w:rPr>
          <w:rFonts w:ascii="宋体" w:hAnsi="宋体"/>
          <w:sz w:val="24"/>
        </w:rPr>
      </w:pPr>
      <w:r>
        <w:rPr>
          <w:rFonts w:hint="eastAsia" w:ascii="宋体" w:hAnsi="宋体"/>
          <w:sz w:val="24"/>
        </w:rPr>
        <w:t>清单中项目特征如有描述不清处请各投标单位应结合施工图纸报价，综合单价应包括完成该项目所需的所有费用。</w:t>
      </w:r>
    </w:p>
    <w:p>
      <w:pPr>
        <w:numPr>
          <w:ilvl w:val="0"/>
          <w:numId w:val="1"/>
        </w:numPr>
        <w:autoSpaceDE w:val="0"/>
        <w:autoSpaceDN w:val="0"/>
        <w:adjustRightInd w:val="0"/>
        <w:spacing w:line="360" w:lineRule="auto"/>
        <w:rPr>
          <w:rFonts w:ascii="宋体" w:hAnsi="宋体"/>
          <w:sz w:val="24"/>
        </w:rPr>
      </w:pPr>
      <w:r>
        <w:rPr>
          <w:rFonts w:hint="eastAsia" w:ascii="宋体" w:hAnsi="宋体"/>
          <w:sz w:val="24"/>
        </w:rPr>
        <w:t>清单中未列出的措施费项目，施工单位根据图纸结合施工现场在其他施工技术措施费综合考虑，</w:t>
      </w:r>
      <w:r>
        <w:rPr>
          <w:rFonts w:hint="eastAsia" w:ascii="宋体" w:cs="宋体"/>
          <w:color w:val="000000"/>
          <w:sz w:val="24"/>
        </w:rPr>
        <w:t>今后不做调整。</w:t>
      </w:r>
    </w:p>
    <w:p>
      <w:pPr>
        <w:numPr>
          <w:ilvl w:val="0"/>
          <w:numId w:val="1"/>
        </w:numPr>
        <w:autoSpaceDE w:val="0"/>
        <w:autoSpaceDN w:val="0"/>
        <w:adjustRightInd w:val="0"/>
        <w:spacing w:line="360" w:lineRule="auto"/>
        <w:rPr>
          <w:rFonts w:ascii="宋体" w:hAnsi="宋体"/>
          <w:sz w:val="24"/>
        </w:rPr>
      </w:pPr>
      <w:r>
        <w:rPr>
          <w:rFonts w:hint="eastAsia" w:ascii="宋体" w:hAnsi="宋体"/>
          <w:sz w:val="24"/>
        </w:rPr>
        <w:t>本工程牵涉到的拆除、搬运、清理、地面保护、窗户及周边设施保护等费用，由投标单位自行踏勘施工现场，自行报价，今后不做调整。</w:t>
      </w:r>
    </w:p>
    <w:p>
      <w:pPr>
        <w:numPr>
          <w:ilvl w:val="0"/>
          <w:numId w:val="1"/>
        </w:numPr>
        <w:autoSpaceDE w:val="0"/>
        <w:autoSpaceDN w:val="0"/>
        <w:adjustRightInd w:val="0"/>
        <w:spacing w:line="360" w:lineRule="auto"/>
        <w:rPr>
          <w:rFonts w:ascii="宋体" w:hAnsi="宋体"/>
          <w:sz w:val="24"/>
        </w:rPr>
      </w:pPr>
      <w:r>
        <w:rPr>
          <w:rFonts w:hint="eastAsia" w:ascii="宋体" w:hAnsi="宋体"/>
          <w:sz w:val="24"/>
        </w:rPr>
        <w:t>抹灰中存在的挡水线、滴水线、分格线、护角等施工规范要求的内容，投标报价时应综合考虑在相应的抹灰造价中。</w:t>
      </w:r>
    </w:p>
    <w:p>
      <w:pPr>
        <w:numPr>
          <w:ilvl w:val="0"/>
          <w:numId w:val="1"/>
        </w:numPr>
        <w:autoSpaceDE w:val="0"/>
        <w:autoSpaceDN w:val="0"/>
        <w:adjustRightInd w:val="0"/>
        <w:spacing w:line="360" w:lineRule="auto"/>
        <w:rPr>
          <w:rFonts w:ascii="宋体" w:hAnsi="宋体"/>
          <w:sz w:val="24"/>
        </w:rPr>
      </w:pPr>
      <w:r>
        <w:rPr>
          <w:rFonts w:hint="eastAsia" w:ascii="宋体" w:hAnsi="宋体"/>
          <w:sz w:val="24"/>
        </w:rPr>
        <w:t>分部分项工程量清单中的工程量是按实物净量计算的，一切损耗均应在投标报价内。</w:t>
      </w:r>
    </w:p>
    <w:p>
      <w:pPr>
        <w:numPr>
          <w:ilvl w:val="0"/>
          <w:numId w:val="1"/>
        </w:numPr>
        <w:autoSpaceDE w:val="0"/>
        <w:autoSpaceDN w:val="0"/>
        <w:adjustRightInd w:val="0"/>
        <w:spacing w:line="360" w:lineRule="auto"/>
        <w:rPr>
          <w:rFonts w:ascii="宋体" w:hAnsi="宋体"/>
          <w:sz w:val="24"/>
        </w:rPr>
      </w:pPr>
      <w:r>
        <w:rPr>
          <w:rFonts w:hint="eastAsia" w:ascii="宋体" w:hAnsi="宋体"/>
          <w:sz w:val="24"/>
          <w:lang w:val="en-US" w:eastAsia="zh-CN"/>
        </w:rPr>
        <w:t>工程暂列金按9000元计入。</w:t>
      </w:r>
    </w:p>
    <w:p>
      <w:pPr>
        <w:spacing w:line="360" w:lineRule="auto"/>
        <w:rPr>
          <w:rFonts w:hint="eastAsia" w:ascii="宋体" w:hAnsi="宋体"/>
          <w:sz w:val="24"/>
          <w:lang w:val="en-US" w:eastAsia="zh-CN"/>
        </w:rPr>
      </w:pPr>
      <w:r>
        <w:rPr>
          <w:rFonts w:hint="eastAsia" w:ascii="宋体" w:hAnsi="宋体"/>
          <w:b/>
          <w:bCs/>
          <w:sz w:val="24"/>
          <w:lang w:eastAsia="zh-CN"/>
        </w:rPr>
        <w:t>（二）统一部分</w:t>
      </w:r>
    </w:p>
    <w:p>
      <w:pPr>
        <w:numPr>
          <w:ilvl w:val="0"/>
          <w:numId w:val="1"/>
        </w:numPr>
        <w:autoSpaceDE w:val="0"/>
        <w:autoSpaceDN w:val="0"/>
        <w:adjustRightInd w:val="0"/>
        <w:spacing w:line="360" w:lineRule="auto"/>
        <w:rPr>
          <w:rFonts w:hint="eastAsia" w:ascii="宋体" w:hAnsi="宋体"/>
          <w:sz w:val="24"/>
          <w:lang w:val="en-US" w:eastAsia="zh-CN"/>
        </w:rPr>
      </w:pPr>
      <w:r>
        <w:rPr>
          <w:rFonts w:hint="eastAsia" w:ascii="宋体" w:hAnsi="宋体"/>
          <w:sz w:val="24"/>
          <w:lang w:val="en-US" w:eastAsia="zh-CN"/>
        </w:rPr>
        <w:t>新建砌体墙材质暂按混凝土实心砖计入。</w:t>
      </w:r>
    </w:p>
    <w:p>
      <w:pPr>
        <w:numPr>
          <w:ilvl w:val="0"/>
          <w:numId w:val="1"/>
        </w:numPr>
        <w:autoSpaceDE w:val="0"/>
        <w:autoSpaceDN w:val="0"/>
        <w:adjustRightInd w:val="0"/>
        <w:spacing w:line="360" w:lineRule="auto"/>
        <w:rPr>
          <w:rFonts w:hint="eastAsia" w:ascii="宋体" w:hAnsi="宋体"/>
          <w:sz w:val="24"/>
          <w:lang w:val="en-US" w:eastAsia="zh-CN"/>
        </w:rPr>
      </w:pPr>
      <w:r>
        <w:rPr>
          <w:rFonts w:hint="eastAsia" w:ascii="宋体" w:hAnsi="宋体"/>
          <w:sz w:val="24"/>
          <w:lang w:val="en-US" w:eastAsia="zh-CN"/>
        </w:rPr>
        <w:t>新建墙体暂按M7.5水泥砂浆砌筑计入。</w:t>
      </w:r>
    </w:p>
    <w:p>
      <w:pPr>
        <w:numPr>
          <w:ilvl w:val="0"/>
          <w:numId w:val="1"/>
        </w:numPr>
        <w:autoSpaceDE w:val="0"/>
        <w:autoSpaceDN w:val="0"/>
        <w:adjustRightInd w:val="0"/>
        <w:spacing w:line="360" w:lineRule="auto"/>
        <w:rPr>
          <w:rFonts w:hint="eastAsia" w:ascii="宋体" w:hAnsi="宋体"/>
          <w:sz w:val="24"/>
          <w:lang w:val="en-US" w:eastAsia="zh-CN"/>
        </w:rPr>
      </w:pPr>
      <w:r>
        <w:rPr>
          <w:rFonts w:hint="eastAsia" w:ascii="宋体" w:hAnsi="宋体"/>
          <w:sz w:val="24"/>
          <w:lang w:val="en-US" w:eastAsia="zh-CN"/>
        </w:rPr>
        <w:t>水磨石地面厚度暂按15厚计入。</w:t>
      </w:r>
    </w:p>
    <w:p>
      <w:pPr>
        <w:numPr>
          <w:ilvl w:val="0"/>
          <w:numId w:val="1"/>
        </w:numPr>
        <w:autoSpaceDE w:val="0"/>
        <w:autoSpaceDN w:val="0"/>
        <w:adjustRightInd w:val="0"/>
        <w:spacing w:line="360" w:lineRule="auto"/>
        <w:rPr>
          <w:rFonts w:hint="eastAsia" w:ascii="宋体" w:hAnsi="宋体"/>
          <w:sz w:val="24"/>
          <w:lang w:val="en-US" w:eastAsia="zh-CN"/>
        </w:rPr>
      </w:pPr>
      <w:r>
        <w:rPr>
          <w:rFonts w:hint="eastAsia" w:ascii="宋体" w:hAnsi="宋体"/>
          <w:sz w:val="24"/>
          <w:lang w:val="en-US" w:eastAsia="zh-CN"/>
        </w:rPr>
        <w:t>厨房墙面防水暂按1.5厚I型聚氨酯防水涂料计入。</w:t>
      </w:r>
    </w:p>
    <w:p>
      <w:pPr>
        <w:numPr>
          <w:ilvl w:val="0"/>
          <w:numId w:val="1"/>
        </w:numPr>
        <w:autoSpaceDE w:val="0"/>
        <w:autoSpaceDN w:val="0"/>
        <w:adjustRightInd w:val="0"/>
        <w:spacing w:line="360" w:lineRule="auto"/>
        <w:rPr>
          <w:rFonts w:hint="default" w:ascii="宋体" w:hAnsi="宋体"/>
          <w:sz w:val="24"/>
          <w:lang w:val="en-US" w:eastAsia="zh-CN"/>
        </w:rPr>
      </w:pPr>
      <w:r>
        <w:rPr>
          <w:rFonts w:hint="eastAsia" w:ascii="宋体" w:hAnsi="宋体"/>
          <w:sz w:val="24"/>
          <w:lang w:val="en-US" w:eastAsia="zh-CN"/>
        </w:rPr>
        <w:t>花岗岩火烧板暂按30厚芝麻黑计入。</w:t>
      </w:r>
    </w:p>
    <w:p>
      <w:pPr>
        <w:numPr>
          <w:ilvl w:val="0"/>
          <w:numId w:val="1"/>
        </w:numPr>
        <w:autoSpaceDE w:val="0"/>
        <w:autoSpaceDN w:val="0"/>
        <w:adjustRightInd w:val="0"/>
        <w:spacing w:line="360" w:lineRule="auto"/>
        <w:rPr>
          <w:rFonts w:hint="default" w:ascii="宋体" w:hAnsi="宋体"/>
          <w:sz w:val="24"/>
          <w:lang w:val="en-US" w:eastAsia="zh-CN"/>
        </w:rPr>
      </w:pPr>
      <w:r>
        <w:rPr>
          <w:rFonts w:hint="eastAsia" w:ascii="宋体" w:hAnsi="宋体"/>
          <w:sz w:val="24"/>
          <w:lang w:val="en-US" w:eastAsia="zh-CN"/>
        </w:rPr>
        <w:t>设备及电视机等暂不计入。</w:t>
      </w:r>
    </w:p>
    <w:p>
      <w:pPr>
        <w:numPr>
          <w:ilvl w:val="0"/>
          <w:numId w:val="1"/>
        </w:numPr>
        <w:autoSpaceDE w:val="0"/>
        <w:autoSpaceDN w:val="0"/>
        <w:adjustRightInd w:val="0"/>
        <w:spacing w:line="360" w:lineRule="auto"/>
        <w:rPr>
          <w:rFonts w:hint="default" w:ascii="宋体" w:hAnsi="宋体"/>
          <w:sz w:val="24"/>
          <w:lang w:val="en-US" w:eastAsia="zh-CN"/>
        </w:rPr>
      </w:pPr>
      <w:r>
        <w:rPr>
          <w:rFonts w:hint="eastAsia" w:ascii="宋体" w:hAnsi="宋体"/>
          <w:sz w:val="24"/>
          <w:lang w:val="en-US" w:eastAsia="zh-CN"/>
        </w:rPr>
        <w:t>弱电机房墙面暂按乳胶漆计入。</w:t>
      </w:r>
    </w:p>
    <w:p>
      <w:pPr>
        <w:numPr>
          <w:ilvl w:val="0"/>
          <w:numId w:val="1"/>
        </w:numPr>
        <w:autoSpaceDE w:val="0"/>
        <w:autoSpaceDN w:val="0"/>
        <w:adjustRightInd w:val="0"/>
        <w:spacing w:line="360" w:lineRule="auto"/>
        <w:rPr>
          <w:rFonts w:hint="default" w:ascii="宋体" w:hAnsi="宋体"/>
          <w:sz w:val="24"/>
          <w:lang w:val="en-US" w:eastAsia="zh-CN"/>
        </w:rPr>
      </w:pPr>
      <w:r>
        <w:rPr>
          <w:rFonts w:hint="eastAsia" w:ascii="宋体" w:hAnsi="宋体"/>
          <w:sz w:val="24"/>
          <w:lang w:val="en-US" w:eastAsia="zh-CN"/>
        </w:rPr>
        <w:t>吧台旁房间墙面暂按瓷砖面计入，做法同厨房。</w:t>
      </w:r>
    </w:p>
    <w:p>
      <w:pPr>
        <w:numPr>
          <w:ilvl w:val="0"/>
          <w:numId w:val="1"/>
        </w:numPr>
        <w:autoSpaceDE w:val="0"/>
        <w:autoSpaceDN w:val="0"/>
        <w:adjustRightInd w:val="0"/>
        <w:spacing w:line="360" w:lineRule="auto"/>
        <w:rPr>
          <w:rFonts w:hint="default" w:ascii="宋体" w:hAnsi="宋体"/>
          <w:sz w:val="24"/>
          <w:lang w:val="en-US" w:eastAsia="zh-CN"/>
        </w:rPr>
      </w:pPr>
      <w:r>
        <w:rPr>
          <w:rFonts w:hint="eastAsia" w:ascii="宋体" w:hAnsi="宋体"/>
          <w:sz w:val="24"/>
          <w:lang w:val="en-US" w:eastAsia="zh-CN"/>
        </w:rPr>
        <w:t>厨房外门洞高度暂按2100计入。</w:t>
      </w:r>
    </w:p>
    <w:p>
      <w:pPr>
        <w:spacing w:line="440" w:lineRule="exact"/>
        <w:jc w:val="center"/>
        <w:rPr>
          <w:rFonts w:hint="eastAsia" w:ascii="宋体" w:hAnsi="宋体"/>
          <w:b/>
          <w:bCs/>
          <w:sz w:val="24"/>
        </w:rPr>
      </w:pPr>
      <w:r>
        <w:rPr>
          <w:rFonts w:hint="eastAsia" w:ascii="宋体" w:hAnsi="宋体"/>
          <w:b/>
          <w:bCs/>
          <w:sz w:val="24"/>
          <w:lang w:eastAsia="zh-CN"/>
        </w:rPr>
        <w:t>【安装</w:t>
      </w:r>
      <w:r>
        <w:rPr>
          <w:rFonts w:hint="eastAsia" w:ascii="宋体" w:hAnsi="宋体"/>
          <w:b/>
          <w:bCs/>
          <w:sz w:val="24"/>
        </w:rPr>
        <w:t>品牌表】</w:t>
      </w:r>
    </w:p>
    <w:p>
      <w:pPr>
        <w:spacing w:line="440" w:lineRule="exact"/>
        <w:jc w:val="center"/>
        <w:rPr>
          <w:rFonts w:hint="eastAsia" w:ascii="宋体" w:hAnsi="宋体"/>
          <w:b/>
          <w:bCs/>
          <w:sz w:val="24"/>
        </w:rPr>
      </w:pPr>
      <w:r>
        <w:rPr>
          <w:rFonts w:hint="eastAsia" w:ascii="宋体" w:hAnsi="宋体"/>
          <w:b/>
          <w:bCs/>
          <w:sz w:val="24"/>
        </w:rPr>
        <w:t>（采用同档次或高于推荐档次品牌，仅供报价使用）</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5"/>
        <w:gridCol w:w="3680"/>
        <w:gridCol w:w="3542"/>
        <w:gridCol w:w="12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4" w:hRule="atLeast"/>
          <w:jc w:val="center"/>
        </w:trPr>
        <w:tc>
          <w:tcPr>
            <w:tcW w:w="705" w:type="dxa"/>
            <w:noWrap w:val="0"/>
            <w:vAlign w:val="center"/>
          </w:tcPr>
          <w:p>
            <w:pPr>
              <w:spacing w:line="480" w:lineRule="exact"/>
              <w:jc w:val="center"/>
              <w:rPr>
                <w:rFonts w:hint="eastAsia" w:ascii="宋体" w:hAnsi="宋体"/>
                <w:bCs/>
                <w:sz w:val="24"/>
              </w:rPr>
            </w:pPr>
            <w:r>
              <w:rPr>
                <w:rFonts w:hint="eastAsia" w:ascii="宋体" w:hAnsi="宋体"/>
                <w:bCs/>
                <w:sz w:val="24"/>
              </w:rPr>
              <w:t>序号</w:t>
            </w:r>
          </w:p>
        </w:tc>
        <w:tc>
          <w:tcPr>
            <w:tcW w:w="3680" w:type="dxa"/>
            <w:noWrap w:val="0"/>
            <w:vAlign w:val="center"/>
          </w:tcPr>
          <w:p>
            <w:pPr>
              <w:spacing w:line="480" w:lineRule="exact"/>
              <w:jc w:val="center"/>
              <w:rPr>
                <w:rFonts w:hint="eastAsia" w:ascii="宋体" w:hAnsi="宋体"/>
                <w:bCs/>
                <w:sz w:val="24"/>
              </w:rPr>
            </w:pPr>
            <w:r>
              <w:rPr>
                <w:rFonts w:hint="eastAsia" w:ascii="宋体" w:hAnsi="宋体"/>
                <w:bCs/>
                <w:sz w:val="24"/>
              </w:rPr>
              <w:t>材料名称</w:t>
            </w:r>
          </w:p>
        </w:tc>
        <w:tc>
          <w:tcPr>
            <w:tcW w:w="3542" w:type="dxa"/>
            <w:noWrap w:val="0"/>
            <w:vAlign w:val="center"/>
          </w:tcPr>
          <w:p>
            <w:pPr>
              <w:spacing w:line="480" w:lineRule="exact"/>
              <w:jc w:val="center"/>
              <w:rPr>
                <w:rFonts w:hint="eastAsia" w:ascii="宋体" w:hAnsi="宋体"/>
                <w:bCs/>
                <w:sz w:val="24"/>
              </w:rPr>
            </w:pPr>
            <w:r>
              <w:rPr>
                <w:rFonts w:hint="eastAsia" w:ascii="宋体" w:hAnsi="宋体"/>
                <w:bCs/>
                <w:sz w:val="24"/>
              </w:rPr>
              <w:t>品牌推荐</w:t>
            </w:r>
          </w:p>
        </w:tc>
        <w:tc>
          <w:tcPr>
            <w:tcW w:w="1233" w:type="dxa"/>
            <w:noWrap w:val="0"/>
            <w:vAlign w:val="center"/>
          </w:tcPr>
          <w:p>
            <w:pPr>
              <w:spacing w:line="480" w:lineRule="exact"/>
              <w:jc w:val="center"/>
              <w:rPr>
                <w:rFonts w:hint="eastAsia" w:ascii="宋体" w:hAnsi="宋体"/>
                <w:bCs/>
                <w:sz w:val="24"/>
              </w:rPr>
            </w:pPr>
            <w:r>
              <w:rPr>
                <w:rFonts w:hint="eastAsia" w:ascii="宋体" w:hAnsi="宋体"/>
                <w:bCs/>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4" w:hRule="atLeast"/>
          <w:jc w:val="center"/>
        </w:trPr>
        <w:tc>
          <w:tcPr>
            <w:tcW w:w="705" w:type="dxa"/>
            <w:noWrap w:val="0"/>
            <w:vAlign w:val="center"/>
          </w:tcPr>
          <w:p>
            <w:pPr>
              <w:spacing w:line="480" w:lineRule="exact"/>
              <w:jc w:val="center"/>
              <w:rPr>
                <w:rFonts w:hint="eastAsia" w:ascii="宋体" w:hAnsi="宋体"/>
                <w:bCs/>
                <w:sz w:val="24"/>
              </w:rPr>
            </w:pPr>
            <w:r>
              <w:rPr>
                <w:rFonts w:hint="eastAsia" w:ascii="宋体" w:hAnsi="宋体"/>
                <w:bCs/>
                <w:sz w:val="24"/>
              </w:rPr>
              <w:t>1</w:t>
            </w:r>
          </w:p>
        </w:tc>
        <w:tc>
          <w:tcPr>
            <w:tcW w:w="3680" w:type="dxa"/>
            <w:noWrap w:val="0"/>
            <w:vAlign w:val="center"/>
          </w:tcPr>
          <w:p>
            <w:pPr>
              <w:spacing w:line="480" w:lineRule="exact"/>
              <w:jc w:val="center"/>
              <w:rPr>
                <w:rFonts w:hint="eastAsia" w:ascii="宋体" w:hAnsi="宋体"/>
                <w:bCs/>
                <w:sz w:val="24"/>
              </w:rPr>
            </w:pPr>
            <w:r>
              <w:rPr>
                <w:rFonts w:hint="eastAsia" w:ascii="宋体" w:hAnsi="宋体"/>
                <w:bCs/>
                <w:sz w:val="24"/>
              </w:rPr>
              <w:t>镀锌钢管</w:t>
            </w:r>
          </w:p>
        </w:tc>
        <w:tc>
          <w:tcPr>
            <w:tcW w:w="3542" w:type="dxa"/>
            <w:noWrap w:val="0"/>
            <w:vAlign w:val="center"/>
          </w:tcPr>
          <w:p>
            <w:pPr>
              <w:spacing w:line="480" w:lineRule="exact"/>
              <w:jc w:val="center"/>
              <w:rPr>
                <w:rFonts w:hint="eastAsia" w:ascii="宋体" w:hAnsi="宋体"/>
                <w:bCs/>
                <w:sz w:val="24"/>
              </w:rPr>
            </w:pPr>
            <w:r>
              <w:rPr>
                <w:rFonts w:hint="eastAsia" w:ascii="宋体" w:hAnsi="宋体"/>
                <w:bCs/>
                <w:sz w:val="24"/>
              </w:rPr>
              <w:t>金洲、</w:t>
            </w:r>
            <w:r>
              <w:rPr>
                <w:rFonts w:hint="eastAsia"/>
                <w:sz w:val="24"/>
                <w:szCs w:val="24"/>
                <w:lang w:val="zh-CN"/>
              </w:rPr>
              <w:t>增洲</w:t>
            </w:r>
            <w:r>
              <w:rPr>
                <w:rFonts w:hint="eastAsia" w:ascii="宋体" w:hAnsi="宋体"/>
                <w:bCs/>
                <w:sz w:val="24"/>
              </w:rPr>
              <w:t>、银河</w:t>
            </w:r>
          </w:p>
        </w:tc>
        <w:tc>
          <w:tcPr>
            <w:tcW w:w="1233" w:type="dxa"/>
            <w:noWrap w:val="0"/>
            <w:vAlign w:val="center"/>
          </w:tcPr>
          <w:p>
            <w:pPr>
              <w:spacing w:line="480" w:lineRule="exact"/>
              <w:jc w:val="center"/>
              <w:rPr>
                <w:rFonts w:hint="eastAsia" w:ascii="宋体" w:hAnsi="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05" w:type="dxa"/>
            <w:noWrap w:val="0"/>
            <w:vAlign w:val="center"/>
          </w:tcPr>
          <w:p>
            <w:pPr>
              <w:spacing w:line="480" w:lineRule="exact"/>
              <w:jc w:val="center"/>
              <w:rPr>
                <w:rFonts w:hint="eastAsia" w:ascii="宋体" w:hAnsi="宋体"/>
                <w:bCs/>
                <w:sz w:val="24"/>
              </w:rPr>
            </w:pPr>
            <w:r>
              <w:rPr>
                <w:rFonts w:hint="eastAsia" w:ascii="宋体" w:hAnsi="宋体"/>
                <w:bCs/>
                <w:sz w:val="24"/>
              </w:rPr>
              <w:t>2</w:t>
            </w:r>
          </w:p>
        </w:tc>
        <w:tc>
          <w:tcPr>
            <w:tcW w:w="3680" w:type="dxa"/>
            <w:noWrap w:val="0"/>
            <w:vAlign w:val="center"/>
          </w:tcPr>
          <w:p>
            <w:pPr>
              <w:spacing w:line="480" w:lineRule="exact"/>
              <w:jc w:val="center"/>
              <w:rPr>
                <w:rFonts w:hint="default" w:ascii="宋体" w:hAnsi="宋体" w:eastAsia="宋体"/>
                <w:bCs/>
                <w:sz w:val="24"/>
                <w:lang w:val="en-US" w:eastAsia="zh-CN"/>
              </w:rPr>
            </w:pPr>
            <w:r>
              <w:rPr>
                <w:rFonts w:hint="eastAsia" w:ascii="宋体" w:hAnsi="宋体"/>
                <w:bCs/>
                <w:sz w:val="24"/>
                <w:lang w:val="en-US" w:eastAsia="zh-CN"/>
              </w:rPr>
              <w:t>JDG</w:t>
            </w:r>
            <w:r>
              <w:rPr>
                <w:rFonts w:hint="eastAsia" w:ascii="宋体" w:hAnsi="宋体"/>
                <w:bCs/>
                <w:sz w:val="24"/>
              </w:rPr>
              <w:t>管</w:t>
            </w:r>
          </w:p>
        </w:tc>
        <w:tc>
          <w:tcPr>
            <w:tcW w:w="3542" w:type="dxa"/>
            <w:noWrap w:val="0"/>
            <w:vAlign w:val="center"/>
          </w:tcPr>
          <w:p>
            <w:pPr>
              <w:spacing w:line="480" w:lineRule="exact"/>
              <w:jc w:val="center"/>
              <w:rPr>
                <w:rFonts w:hint="eastAsia" w:ascii="宋体" w:hAnsi="宋体"/>
                <w:bCs/>
                <w:sz w:val="24"/>
              </w:rPr>
            </w:pPr>
            <w:r>
              <w:rPr>
                <w:rFonts w:hint="eastAsia"/>
                <w:sz w:val="24"/>
                <w:szCs w:val="24"/>
                <w:lang w:val="en-US" w:eastAsia="zh-CN"/>
              </w:rPr>
              <w:t>鹏创、正通、盛宝</w:t>
            </w:r>
          </w:p>
        </w:tc>
        <w:tc>
          <w:tcPr>
            <w:tcW w:w="1233" w:type="dxa"/>
            <w:noWrap w:val="0"/>
            <w:vAlign w:val="center"/>
          </w:tcPr>
          <w:p>
            <w:pPr>
              <w:spacing w:line="440" w:lineRule="exact"/>
              <w:jc w:val="center"/>
              <w:rPr>
                <w:rFonts w:ascii="宋体" w:cs="宋体"/>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4" w:hRule="atLeast"/>
          <w:jc w:val="center"/>
        </w:trPr>
        <w:tc>
          <w:tcPr>
            <w:tcW w:w="705" w:type="dxa"/>
            <w:noWrap w:val="0"/>
            <w:vAlign w:val="center"/>
          </w:tcPr>
          <w:p>
            <w:pPr>
              <w:spacing w:line="480" w:lineRule="exact"/>
              <w:jc w:val="center"/>
              <w:rPr>
                <w:rFonts w:hint="eastAsia" w:ascii="宋体" w:hAnsi="宋体"/>
                <w:bCs/>
                <w:sz w:val="24"/>
              </w:rPr>
            </w:pPr>
            <w:r>
              <w:rPr>
                <w:rFonts w:hint="eastAsia" w:ascii="宋体" w:hAnsi="宋体"/>
                <w:bCs/>
                <w:sz w:val="24"/>
                <w:lang w:val="en-US" w:eastAsia="zh-CN"/>
              </w:rPr>
              <w:t>3</w:t>
            </w:r>
          </w:p>
        </w:tc>
        <w:tc>
          <w:tcPr>
            <w:tcW w:w="3680" w:type="dxa"/>
            <w:noWrap w:val="0"/>
            <w:vAlign w:val="center"/>
          </w:tcPr>
          <w:p>
            <w:pPr>
              <w:spacing w:line="480" w:lineRule="exact"/>
              <w:jc w:val="center"/>
              <w:rPr>
                <w:rFonts w:hint="eastAsia" w:ascii="宋体" w:hAnsi="宋体"/>
                <w:bCs/>
                <w:sz w:val="24"/>
              </w:rPr>
            </w:pPr>
            <w:r>
              <w:rPr>
                <w:rFonts w:hint="eastAsia" w:ascii="宋体" w:hAnsi="宋体"/>
                <w:bCs/>
                <w:sz w:val="24"/>
              </w:rPr>
              <w:t>电缆</w:t>
            </w:r>
            <w:r>
              <w:rPr>
                <w:rFonts w:hint="eastAsia" w:ascii="宋体" w:hAnsi="宋体"/>
                <w:bCs/>
                <w:sz w:val="24"/>
                <w:lang w:eastAsia="zh-CN"/>
              </w:rPr>
              <w:t>、</w:t>
            </w:r>
            <w:r>
              <w:rPr>
                <w:rFonts w:hint="eastAsia" w:ascii="宋体" w:hAnsi="宋体"/>
                <w:bCs/>
                <w:sz w:val="24"/>
              </w:rPr>
              <w:t>电线</w:t>
            </w:r>
          </w:p>
        </w:tc>
        <w:tc>
          <w:tcPr>
            <w:tcW w:w="3542" w:type="dxa"/>
            <w:noWrap w:val="0"/>
            <w:vAlign w:val="center"/>
          </w:tcPr>
          <w:p>
            <w:pPr>
              <w:spacing w:line="480" w:lineRule="exact"/>
              <w:jc w:val="center"/>
              <w:rPr>
                <w:rFonts w:hint="eastAsia" w:ascii="宋体" w:hAnsi="宋体"/>
                <w:bCs/>
                <w:sz w:val="24"/>
              </w:rPr>
            </w:pPr>
            <w:r>
              <w:rPr>
                <w:rFonts w:hint="eastAsia"/>
                <w:sz w:val="24"/>
                <w:szCs w:val="24"/>
                <w:lang w:val="zh-CN"/>
              </w:rPr>
              <w:t>上海浦东、上海远翅、瓯美</w:t>
            </w:r>
          </w:p>
        </w:tc>
        <w:tc>
          <w:tcPr>
            <w:tcW w:w="1233" w:type="dxa"/>
            <w:noWrap w:val="0"/>
            <w:vAlign w:val="center"/>
          </w:tcPr>
          <w:p>
            <w:pPr>
              <w:spacing w:line="440" w:lineRule="exact"/>
              <w:jc w:val="center"/>
              <w:rPr>
                <w:rFonts w:ascii="宋体" w:cs="宋体"/>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4" w:hRule="atLeast"/>
          <w:jc w:val="center"/>
        </w:trPr>
        <w:tc>
          <w:tcPr>
            <w:tcW w:w="705" w:type="dxa"/>
            <w:noWrap w:val="0"/>
            <w:vAlign w:val="center"/>
          </w:tcPr>
          <w:p>
            <w:pPr>
              <w:spacing w:line="480" w:lineRule="exact"/>
              <w:jc w:val="center"/>
              <w:rPr>
                <w:rFonts w:hint="eastAsia" w:ascii="宋体" w:hAnsi="宋体"/>
                <w:bCs/>
                <w:sz w:val="24"/>
              </w:rPr>
            </w:pPr>
            <w:r>
              <w:rPr>
                <w:rFonts w:hint="eastAsia" w:ascii="宋体" w:hAnsi="宋体"/>
                <w:bCs/>
                <w:sz w:val="24"/>
                <w:lang w:val="en-US" w:eastAsia="zh-CN"/>
              </w:rPr>
              <w:t>4</w:t>
            </w:r>
          </w:p>
        </w:tc>
        <w:tc>
          <w:tcPr>
            <w:tcW w:w="3680" w:type="dxa"/>
            <w:noWrap w:val="0"/>
            <w:vAlign w:val="center"/>
          </w:tcPr>
          <w:p>
            <w:pPr>
              <w:spacing w:line="480" w:lineRule="exact"/>
              <w:jc w:val="center"/>
              <w:rPr>
                <w:rFonts w:hint="eastAsia" w:ascii="宋体" w:hAnsi="宋体"/>
                <w:bCs/>
                <w:sz w:val="24"/>
              </w:rPr>
            </w:pPr>
            <w:r>
              <w:rPr>
                <w:rFonts w:hint="eastAsia" w:ascii="宋体" w:hAnsi="宋体"/>
                <w:bCs/>
                <w:sz w:val="24"/>
              </w:rPr>
              <w:t>普通灯具</w:t>
            </w:r>
          </w:p>
        </w:tc>
        <w:tc>
          <w:tcPr>
            <w:tcW w:w="3542" w:type="dxa"/>
            <w:noWrap w:val="0"/>
            <w:vAlign w:val="center"/>
          </w:tcPr>
          <w:p>
            <w:pPr>
              <w:spacing w:line="480" w:lineRule="exact"/>
              <w:jc w:val="center"/>
              <w:rPr>
                <w:rFonts w:hint="eastAsia" w:ascii="宋体" w:hAnsi="宋体"/>
                <w:bCs/>
                <w:sz w:val="24"/>
              </w:rPr>
            </w:pPr>
            <w:r>
              <w:rPr>
                <w:rFonts w:hint="eastAsia" w:ascii="宋体" w:hAnsi="宋体"/>
                <w:bCs/>
                <w:sz w:val="24"/>
              </w:rPr>
              <w:t>欧普、鸿雁、</w:t>
            </w:r>
            <w:r>
              <w:rPr>
                <w:rFonts w:hint="eastAsia" w:ascii="宋体" w:hAnsi="宋体"/>
                <w:sz w:val="24"/>
              </w:rPr>
              <w:t>雷士</w:t>
            </w:r>
          </w:p>
        </w:tc>
        <w:tc>
          <w:tcPr>
            <w:tcW w:w="1233" w:type="dxa"/>
            <w:noWrap w:val="0"/>
            <w:vAlign w:val="center"/>
          </w:tcPr>
          <w:p>
            <w:pPr>
              <w:spacing w:line="440" w:lineRule="exact"/>
              <w:jc w:val="center"/>
              <w:rPr>
                <w:rFonts w:ascii="宋体" w:cs="宋体"/>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4" w:hRule="atLeast"/>
          <w:jc w:val="center"/>
        </w:trPr>
        <w:tc>
          <w:tcPr>
            <w:tcW w:w="705" w:type="dxa"/>
            <w:noWrap w:val="0"/>
            <w:vAlign w:val="center"/>
          </w:tcPr>
          <w:p>
            <w:pPr>
              <w:spacing w:line="480" w:lineRule="exact"/>
              <w:jc w:val="center"/>
              <w:rPr>
                <w:rFonts w:hint="eastAsia" w:ascii="宋体" w:hAnsi="宋体"/>
                <w:bCs/>
                <w:sz w:val="24"/>
              </w:rPr>
            </w:pPr>
            <w:r>
              <w:rPr>
                <w:rFonts w:hint="eastAsia" w:ascii="宋体" w:hAnsi="宋体"/>
                <w:bCs/>
                <w:sz w:val="24"/>
                <w:lang w:val="en-US" w:eastAsia="zh-CN"/>
              </w:rPr>
              <w:t>5</w:t>
            </w:r>
          </w:p>
        </w:tc>
        <w:tc>
          <w:tcPr>
            <w:tcW w:w="3680" w:type="dxa"/>
            <w:noWrap w:val="0"/>
            <w:vAlign w:val="center"/>
          </w:tcPr>
          <w:p>
            <w:pPr>
              <w:spacing w:line="480" w:lineRule="exact"/>
              <w:jc w:val="center"/>
              <w:rPr>
                <w:rFonts w:hint="eastAsia" w:ascii="宋体" w:hAnsi="宋体"/>
                <w:bCs/>
                <w:sz w:val="24"/>
              </w:rPr>
            </w:pPr>
            <w:r>
              <w:rPr>
                <w:rFonts w:hint="eastAsia" w:ascii="宋体" w:hAnsi="宋体"/>
                <w:bCs/>
                <w:sz w:val="24"/>
              </w:rPr>
              <w:t>开关、插座</w:t>
            </w:r>
          </w:p>
        </w:tc>
        <w:tc>
          <w:tcPr>
            <w:tcW w:w="3542" w:type="dxa"/>
            <w:noWrap w:val="0"/>
            <w:vAlign w:val="center"/>
          </w:tcPr>
          <w:p>
            <w:pPr>
              <w:spacing w:line="480" w:lineRule="exact"/>
              <w:jc w:val="center"/>
              <w:rPr>
                <w:rFonts w:hint="eastAsia" w:ascii="宋体" w:hAnsi="宋体"/>
                <w:bCs/>
                <w:sz w:val="24"/>
              </w:rPr>
            </w:pPr>
            <w:r>
              <w:rPr>
                <w:rFonts w:hint="eastAsia" w:ascii="宋体" w:hAnsi="宋体"/>
                <w:bCs/>
                <w:sz w:val="24"/>
              </w:rPr>
              <w:t>利尔、泰力、正泰</w:t>
            </w:r>
          </w:p>
        </w:tc>
        <w:tc>
          <w:tcPr>
            <w:tcW w:w="1233" w:type="dxa"/>
            <w:noWrap w:val="0"/>
            <w:vAlign w:val="center"/>
          </w:tcPr>
          <w:p>
            <w:pPr>
              <w:spacing w:line="440" w:lineRule="exact"/>
              <w:jc w:val="center"/>
              <w:rPr>
                <w:rFonts w:ascii="宋体" w:cs="宋体"/>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4" w:hRule="atLeast"/>
          <w:jc w:val="center"/>
        </w:trPr>
        <w:tc>
          <w:tcPr>
            <w:tcW w:w="705" w:type="dxa"/>
            <w:noWrap w:val="0"/>
            <w:vAlign w:val="center"/>
          </w:tcPr>
          <w:p>
            <w:pPr>
              <w:spacing w:line="480" w:lineRule="exact"/>
              <w:jc w:val="center"/>
              <w:rPr>
                <w:rFonts w:hint="eastAsia" w:ascii="宋体" w:hAnsi="宋体"/>
                <w:bCs/>
                <w:sz w:val="24"/>
              </w:rPr>
            </w:pPr>
            <w:r>
              <w:rPr>
                <w:rFonts w:hint="eastAsia" w:ascii="宋体" w:hAnsi="宋体"/>
                <w:bCs/>
                <w:sz w:val="24"/>
                <w:lang w:val="en-US" w:eastAsia="zh-CN"/>
              </w:rPr>
              <w:t>6</w:t>
            </w:r>
          </w:p>
        </w:tc>
        <w:tc>
          <w:tcPr>
            <w:tcW w:w="3680" w:type="dxa"/>
            <w:noWrap w:val="0"/>
            <w:vAlign w:val="center"/>
          </w:tcPr>
          <w:p>
            <w:pPr>
              <w:spacing w:line="480" w:lineRule="exact"/>
              <w:jc w:val="center"/>
              <w:rPr>
                <w:rFonts w:hint="eastAsia" w:ascii="宋体" w:hAnsi="宋体"/>
                <w:bCs/>
                <w:sz w:val="24"/>
              </w:rPr>
            </w:pPr>
            <w:r>
              <w:rPr>
                <w:rFonts w:hint="eastAsia" w:ascii="宋体" w:hAnsi="宋体"/>
                <w:bCs/>
                <w:sz w:val="24"/>
              </w:rPr>
              <w:t>配电箱</w:t>
            </w:r>
            <w:r>
              <w:rPr>
                <w:rFonts w:hint="eastAsia" w:ascii="宋体" w:hAnsi="宋体"/>
                <w:bCs/>
                <w:sz w:val="24"/>
                <w:lang w:eastAsia="zh-CN"/>
              </w:rPr>
              <w:t>内元器件</w:t>
            </w:r>
          </w:p>
        </w:tc>
        <w:tc>
          <w:tcPr>
            <w:tcW w:w="3542" w:type="dxa"/>
            <w:noWrap w:val="0"/>
            <w:vAlign w:val="center"/>
          </w:tcPr>
          <w:p>
            <w:pPr>
              <w:spacing w:line="480" w:lineRule="exact"/>
              <w:jc w:val="center"/>
              <w:rPr>
                <w:rFonts w:hint="eastAsia" w:ascii="宋体" w:hAnsi="宋体"/>
                <w:bCs/>
                <w:sz w:val="24"/>
              </w:rPr>
            </w:pPr>
            <w:r>
              <w:rPr>
                <w:rFonts w:hint="eastAsia" w:ascii="宋体" w:hAnsi="宋体"/>
                <w:bCs/>
                <w:sz w:val="24"/>
              </w:rPr>
              <w:t>正泰、德力西、施耐德</w:t>
            </w:r>
          </w:p>
        </w:tc>
        <w:tc>
          <w:tcPr>
            <w:tcW w:w="1233" w:type="dxa"/>
            <w:noWrap w:val="0"/>
            <w:vAlign w:val="center"/>
          </w:tcPr>
          <w:p>
            <w:pPr>
              <w:spacing w:line="440" w:lineRule="exact"/>
              <w:jc w:val="center"/>
              <w:rPr>
                <w:rFonts w:ascii="宋体" w:cs="宋体"/>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4" w:hRule="atLeast"/>
          <w:jc w:val="center"/>
        </w:trPr>
        <w:tc>
          <w:tcPr>
            <w:tcW w:w="705" w:type="dxa"/>
            <w:noWrap w:val="0"/>
            <w:vAlign w:val="center"/>
          </w:tcPr>
          <w:p>
            <w:pPr>
              <w:spacing w:line="480" w:lineRule="exact"/>
              <w:jc w:val="center"/>
              <w:rPr>
                <w:rFonts w:hint="eastAsia" w:ascii="宋体" w:hAnsi="宋体"/>
                <w:bCs/>
                <w:sz w:val="24"/>
                <w:lang w:val="en-US" w:eastAsia="zh-CN"/>
              </w:rPr>
            </w:pPr>
          </w:p>
        </w:tc>
        <w:tc>
          <w:tcPr>
            <w:tcW w:w="3680" w:type="dxa"/>
            <w:noWrap w:val="0"/>
            <w:vAlign w:val="center"/>
          </w:tcPr>
          <w:p>
            <w:pPr>
              <w:spacing w:line="480" w:lineRule="exact"/>
              <w:jc w:val="center"/>
              <w:rPr>
                <w:rFonts w:hint="eastAsia" w:ascii="宋体" w:hAnsi="宋体"/>
                <w:bCs/>
                <w:sz w:val="24"/>
              </w:rPr>
            </w:pPr>
          </w:p>
        </w:tc>
        <w:tc>
          <w:tcPr>
            <w:tcW w:w="3542" w:type="dxa"/>
            <w:noWrap w:val="0"/>
            <w:vAlign w:val="center"/>
          </w:tcPr>
          <w:p>
            <w:pPr>
              <w:spacing w:line="480" w:lineRule="exact"/>
              <w:jc w:val="center"/>
              <w:rPr>
                <w:rFonts w:hint="eastAsia"/>
                <w:sz w:val="24"/>
                <w:szCs w:val="24"/>
                <w:lang w:val="zh-CN"/>
              </w:rPr>
            </w:pPr>
          </w:p>
        </w:tc>
        <w:tc>
          <w:tcPr>
            <w:tcW w:w="1233" w:type="dxa"/>
            <w:noWrap w:val="0"/>
            <w:vAlign w:val="center"/>
          </w:tcPr>
          <w:p>
            <w:pPr>
              <w:spacing w:line="440" w:lineRule="exact"/>
              <w:jc w:val="center"/>
              <w:rPr>
                <w:rFonts w:ascii="宋体" w:cs="宋体"/>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4" w:hRule="atLeast"/>
          <w:jc w:val="center"/>
        </w:trPr>
        <w:tc>
          <w:tcPr>
            <w:tcW w:w="705" w:type="dxa"/>
            <w:noWrap w:val="0"/>
            <w:vAlign w:val="center"/>
          </w:tcPr>
          <w:p>
            <w:pPr>
              <w:spacing w:line="480" w:lineRule="exact"/>
              <w:jc w:val="center"/>
              <w:rPr>
                <w:rFonts w:hint="eastAsia" w:ascii="宋体" w:hAnsi="宋体"/>
                <w:bCs/>
                <w:sz w:val="24"/>
                <w:lang w:val="en-US" w:eastAsia="zh-CN"/>
              </w:rPr>
            </w:pPr>
          </w:p>
        </w:tc>
        <w:tc>
          <w:tcPr>
            <w:tcW w:w="3680" w:type="dxa"/>
            <w:noWrap w:val="0"/>
            <w:vAlign w:val="center"/>
          </w:tcPr>
          <w:p>
            <w:pPr>
              <w:spacing w:line="480" w:lineRule="exact"/>
              <w:jc w:val="center"/>
              <w:rPr>
                <w:rFonts w:hint="eastAsia" w:ascii="宋体" w:hAnsi="宋体"/>
                <w:bCs/>
                <w:sz w:val="24"/>
              </w:rPr>
            </w:pPr>
          </w:p>
        </w:tc>
        <w:tc>
          <w:tcPr>
            <w:tcW w:w="3542" w:type="dxa"/>
            <w:noWrap w:val="0"/>
            <w:vAlign w:val="center"/>
          </w:tcPr>
          <w:p>
            <w:pPr>
              <w:spacing w:line="480" w:lineRule="exact"/>
              <w:jc w:val="center"/>
              <w:rPr>
                <w:rFonts w:hint="eastAsia"/>
                <w:sz w:val="24"/>
                <w:szCs w:val="24"/>
                <w:lang w:val="zh-CN"/>
              </w:rPr>
            </w:pPr>
          </w:p>
        </w:tc>
        <w:tc>
          <w:tcPr>
            <w:tcW w:w="1233" w:type="dxa"/>
            <w:noWrap w:val="0"/>
            <w:vAlign w:val="center"/>
          </w:tcPr>
          <w:p>
            <w:pPr>
              <w:spacing w:line="440" w:lineRule="exact"/>
              <w:jc w:val="center"/>
              <w:rPr>
                <w:rFonts w:ascii="宋体" w:cs="宋体"/>
                <w:kern w:val="0"/>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4" w:hRule="atLeast"/>
          <w:jc w:val="center"/>
        </w:trPr>
        <w:tc>
          <w:tcPr>
            <w:tcW w:w="705" w:type="dxa"/>
            <w:noWrap w:val="0"/>
            <w:vAlign w:val="center"/>
          </w:tcPr>
          <w:p>
            <w:pPr>
              <w:spacing w:line="480" w:lineRule="exact"/>
              <w:jc w:val="center"/>
              <w:rPr>
                <w:rFonts w:hint="eastAsia" w:ascii="宋体" w:hAnsi="宋体"/>
                <w:bCs/>
                <w:sz w:val="24"/>
                <w:lang w:val="en-US" w:eastAsia="zh-CN"/>
              </w:rPr>
            </w:pPr>
          </w:p>
        </w:tc>
        <w:tc>
          <w:tcPr>
            <w:tcW w:w="3680" w:type="dxa"/>
            <w:noWrap w:val="0"/>
            <w:vAlign w:val="center"/>
          </w:tcPr>
          <w:p>
            <w:pPr>
              <w:spacing w:line="480" w:lineRule="exact"/>
              <w:jc w:val="center"/>
              <w:rPr>
                <w:rFonts w:hint="eastAsia" w:ascii="宋体" w:hAnsi="宋体"/>
                <w:bCs/>
                <w:sz w:val="24"/>
              </w:rPr>
            </w:pPr>
          </w:p>
        </w:tc>
        <w:tc>
          <w:tcPr>
            <w:tcW w:w="3542" w:type="dxa"/>
            <w:noWrap w:val="0"/>
            <w:vAlign w:val="center"/>
          </w:tcPr>
          <w:p>
            <w:pPr>
              <w:spacing w:line="480" w:lineRule="exact"/>
              <w:jc w:val="center"/>
              <w:rPr>
                <w:rFonts w:hint="eastAsia"/>
                <w:sz w:val="24"/>
                <w:szCs w:val="24"/>
                <w:lang w:val="zh-CN"/>
              </w:rPr>
            </w:pPr>
          </w:p>
        </w:tc>
        <w:tc>
          <w:tcPr>
            <w:tcW w:w="1233" w:type="dxa"/>
            <w:noWrap w:val="0"/>
            <w:vAlign w:val="center"/>
          </w:tcPr>
          <w:p>
            <w:pPr>
              <w:spacing w:line="440" w:lineRule="exact"/>
              <w:jc w:val="center"/>
              <w:rPr>
                <w:rFonts w:ascii="宋体" w:cs="宋体"/>
                <w:kern w:val="0"/>
                <w:sz w:val="22"/>
              </w:rPr>
            </w:pPr>
          </w:p>
        </w:tc>
      </w:tr>
    </w:tbl>
    <w:p>
      <w:pPr>
        <w:numPr>
          <w:numId w:val="0"/>
        </w:numPr>
        <w:autoSpaceDE w:val="0"/>
        <w:autoSpaceDN w:val="0"/>
        <w:adjustRightInd w:val="0"/>
        <w:spacing w:line="360" w:lineRule="auto"/>
        <w:ind w:leftChars="0"/>
        <w:rPr>
          <w:rFonts w:hint="default" w:ascii="宋体" w:hAnsi="宋体"/>
          <w:sz w:val="24"/>
          <w:lang w:val="en-US"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A54D68"/>
    <w:multiLevelType w:val="multilevel"/>
    <w:tmpl w:val="0CA54D68"/>
    <w:lvl w:ilvl="0" w:tentative="0">
      <w:start w:val="1"/>
      <w:numFmt w:val="decimal"/>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113153"/>
    <w:rsid w:val="0C430D70"/>
    <w:rsid w:val="18DE0602"/>
    <w:rsid w:val="3C7D7143"/>
    <w:rsid w:val="4D3124DE"/>
    <w:rsid w:val="669D242D"/>
    <w:rsid w:val="6AA44E0C"/>
    <w:rsid w:val="74CA42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Title"/>
    <w:basedOn w:val="1"/>
    <w:next w:val="1"/>
    <w:qFormat/>
    <w:uiPriority w:val="0"/>
    <w:pPr>
      <w:spacing w:before="240" w:after="60"/>
      <w:jc w:val="center"/>
      <w:outlineLvl w:val="0"/>
    </w:pPr>
    <w:rPr>
      <w:rFonts w:ascii="Cambria" w:hAnsi="Cambria" w:eastAsia="宋体" w:cs="Times New Roman"/>
      <w:b/>
      <w:bCs/>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257</TotalTime>
  <ScaleCrop>false</ScaleCrop>
  <LinksUpToDate>false</LinksUpToDate>
  <CharactersWithSpaces>0</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2020-06-19T08:22:00Z</dcterms:created>
  <dc:creator>Administrator</dc:creator>
  <cp:lastModifiedBy>略略略。</cp:lastModifiedBy>
  <dcterms:modified xsi:type="dcterms:W3CDTF">2020-07-23T08:02:21Z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