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采购需求</w:t>
      </w: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4"/>
        <w:tblW w:w="0" w:type="auto"/>
        <w:jc w:val="center"/>
        <w:tblLayout w:type="fixed"/>
        <w:tblCellMar>
          <w:top w:w="0" w:type="dxa"/>
          <w:left w:w="108" w:type="dxa"/>
          <w:bottom w:w="0" w:type="dxa"/>
          <w:right w:w="108" w:type="dxa"/>
        </w:tblCellMar>
      </w:tblPr>
      <w:tblGrid>
        <w:gridCol w:w="1038"/>
        <w:gridCol w:w="3059"/>
        <w:gridCol w:w="1701"/>
        <w:gridCol w:w="1403"/>
        <w:gridCol w:w="2125"/>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单年预估预算金额(元)</w:t>
            </w:r>
          </w:p>
        </w:tc>
        <w:tc>
          <w:tcPr>
            <w:tcW w:w="212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温州肯恩大学学校小型车辆定点维修服务</w:t>
            </w:r>
          </w:p>
        </w:tc>
        <w:tc>
          <w:tcPr>
            <w:tcW w:w="1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ascii="宋体" w:hAnsi="宋体" w:cs="宋体"/>
                <w:color w:val="auto"/>
                <w:sz w:val="22"/>
                <w:szCs w:val="22"/>
                <w:highlight w:val="none"/>
              </w:rPr>
            </w:pPr>
            <w:r>
              <w:rPr>
                <w:rFonts w:hint="eastAsia" w:ascii="宋体" w:hAnsi="宋体" w:cs="宋体"/>
                <w:bCs/>
                <w:color w:val="auto"/>
                <w:kern w:val="0"/>
                <w:sz w:val="22"/>
                <w:highlight w:val="none"/>
              </w:rPr>
              <w:t>入围2家</w:t>
            </w:r>
          </w:p>
        </w:tc>
        <w:tc>
          <w:tcPr>
            <w:tcW w:w="140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150000.00</w:t>
            </w:r>
          </w:p>
        </w:tc>
        <w:tc>
          <w:tcPr>
            <w:tcW w:w="212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olor w:val="auto"/>
                <w:sz w:val="22"/>
                <w:szCs w:val="22"/>
                <w:highlight w:val="none"/>
              </w:rPr>
            </w:pPr>
            <w:r>
              <w:rPr>
                <w:rFonts w:hint="eastAsia" w:ascii="宋体" w:hAnsi="宋体"/>
                <w:color w:val="auto"/>
                <w:sz w:val="22"/>
                <w:szCs w:val="22"/>
                <w:highlight w:val="none"/>
              </w:rPr>
              <w:t>付款方式</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olor w:val="auto"/>
                <w:sz w:val="22"/>
                <w:szCs w:val="22"/>
                <w:highlight w:val="none"/>
              </w:rPr>
            </w:pPr>
            <w:r>
              <w:rPr>
                <w:rFonts w:hint="eastAsia" w:ascii="宋体" w:hAnsi="宋体" w:cs="宋体"/>
                <w:color w:val="auto"/>
                <w:sz w:val="22"/>
                <w:szCs w:val="22"/>
                <w:highlight w:val="none"/>
              </w:rPr>
              <w:t>结算方式：按次支付维修费用。一次性维修金额在1000元以上，送修单位委托第三方（中国人民财产保险股份有限公司温州分公司）核价确定。一次性维修金额在1000元以下（含1000元）的维修价格==市场价×（1-优惠率），优惠率根据中标供应商申报的市场价承诺优惠率，市场价按中标单位提供的近期同类发票或合同或收据等证明材料经业主单位核实确定。</w:t>
            </w:r>
            <w:r>
              <w:rPr>
                <w:rFonts w:ascii="宋体" w:hAnsi="宋体"/>
                <w:color w:val="auto"/>
                <w:sz w:val="22"/>
                <w:szCs w:val="22"/>
                <w:highlight w:val="none"/>
              </w:rPr>
              <w:t>结算时，维修企业提供双方当事人签字认可的有关维修资料，经审核无误后，通常采取银行对公转账的方式付款结算。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color w:val="auto"/>
                <w:sz w:val="22"/>
                <w:szCs w:val="22"/>
                <w:highlight w:val="none"/>
              </w:rPr>
            </w:pPr>
            <w:r>
              <w:rPr>
                <w:rFonts w:hint="eastAsia" w:ascii="宋体" w:hAnsi="宋体"/>
                <w:color w:val="auto"/>
                <w:sz w:val="22"/>
                <w:szCs w:val="22"/>
                <w:highlight w:val="none"/>
              </w:rPr>
              <w:t>续签条款</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rPr>
                <w:rFonts w:hint="eastAsia" w:ascii="宋体" w:hAnsi="宋体"/>
                <w:color w:val="auto"/>
                <w:sz w:val="22"/>
                <w:szCs w:val="22"/>
                <w:highlight w:val="none"/>
              </w:rPr>
            </w:pPr>
            <w:r>
              <w:rPr>
                <w:rFonts w:ascii="宋体" w:hAnsi="宋体"/>
                <w:color w:val="auto"/>
                <w:sz w:val="22"/>
                <w:szCs w:val="22"/>
                <w:highlight w:val="none"/>
              </w:rPr>
              <w:t>本次车辆定点维修服务合同期限采取</w:t>
            </w:r>
            <w:r>
              <w:rPr>
                <w:rFonts w:hint="eastAsia" w:ascii="宋体" w:hAnsi="宋体"/>
                <w:color w:val="auto"/>
                <w:sz w:val="22"/>
                <w:szCs w:val="22"/>
                <w:highlight w:val="none"/>
              </w:rPr>
              <w:t>“1+1”模式</w:t>
            </w:r>
            <w:r>
              <w:rPr>
                <w:rFonts w:ascii="宋体" w:hAnsi="宋体"/>
                <w:color w:val="auto"/>
                <w:sz w:val="22"/>
                <w:szCs w:val="22"/>
                <w:highlight w:val="none"/>
              </w:rPr>
              <w:t>，合同期限为合同签订之</w:t>
            </w:r>
            <w:r>
              <w:rPr>
                <w:rFonts w:hint="eastAsia" w:ascii="宋体" w:hAnsi="宋体"/>
                <w:color w:val="auto"/>
                <w:sz w:val="22"/>
                <w:szCs w:val="22"/>
                <w:highlight w:val="none"/>
              </w:rPr>
              <w:t>日起 1 年</w:t>
            </w:r>
            <w:r>
              <w:rPr>
                <w:rFonts w:ascii="宋体" w:hAnsi="宋体"/>
                <w:color w:val="auto"/>
                <w:sz w:val="22"/>
                <w:szCs w:val="22"/>
                <w:highlight w:val="none"/>
              </w:rPr>
              <w:t>，合同期满后，根据</w:t>
            </w:r>
            <w:r>
              <w:rPr>
                <w:rFonts w:hint="eastAsia" w:ascii="宋体" w:hAnsi="宋体"/>
                <w:color w:val="auto"/>
                <w:sz w:val="22"/>
                <w:szCs w:val="22"/>
                <w:highlight w:val="none"/>
              </w:rPr>
              <w:t>维修</w:t>
            </w:r>
            <w:r>
              <w:rPr>
                <w:rFonts w:ascii="宋体" w:hAnsi="宋体"/>
                <w:color w:val="auto"/>
                <w:sz w:val="22"/>
                <w:szCs w:val="22"/>
                <w:highlight w:val="none"/>
              </w:rPr>
              <w:t>企业的服务情况，采购人可重新招标，也可与</w:t>
            </w:r>
            <w:r>
              <w:rPr>
                <w:rFonts w:hint="eastAsia" w:ascii="宋体" w:hAnsi="宋体"/>
                <w:color w:val="auto"/>
                <w:sz w:val="22"/>
                <w:szCs w:val="22"/>
                <w:highlight w:val="none"/>
              </w:rPr>
              <w:t>维修</w:t>
            </w:r>
            <w:r>
              <w:rPr>
                <w:rFonts w:ascii="宋体" w:hAnsi="宋体"/>
                <w:color w:val="auto"/>
                <w:sz w:val="22"/>
                <w:szCs w:val="22"/>
                <w:highlight w:val="none"/>
              </w:rPr>
              <w:t xml:space="preserve">企业续签 </w:t>
            </w:r>
            <w:r>
              <w:rPr>
                <w:rFonts w:hint="eastAsia" w:ascii="宋体" w:hAnsi="宋体"/>
                <w:color w:val="auto"/>
                <w:sz w:val="22"/>
                <w:szCs w:val="22"/>
                <w:highlight w:val="none"/>
              </w:rPr>
              <w:t>1</w:t>
            </w:r>
            <w:r>
              <w:rPr>
                <w:rFonts w:ascii="宋体" w:hAnsi="宋体"/>
                <w:color w:val="auto"/>
                <w:sz w:val="22"/>
                <w:szCs w:val="22"/>
                <w:highlight w:val="none"/>
              </w:rPr>
              <w:t>年合同。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olor w:val="auto"/>
                <w:sz w:val="22"/>
                <w:szCs w:val="22"/>
                <w:highlight w:val="none"/>
              </w:rPr>
            </w:pPr>
            <w:r>
              <w:rPr>
                <w:rFonts w:hint="eastAsia" w:ascii="宋体" w:hAnsi="宋体"/>
                <w:color w:val="auto"/>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 车辆整车修理或总成修理质量保证期为车辆行驶 2 万公里或者 100 日以上；二级维护质量保证期为车辆行驶 5000 公里或者 30 日以上；一级维护、小修及专项修理质量保证期为车辆行驶 2000 公里或者 10 日以上。 </w:t>
            </w:r>
          </w:p>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质保期从修理完毕，最终验收合格之日开始计算。除非采购人另有要求，质保期内的服务均为免费上门服务。 </w:t>
            </w:r>
          </w:p>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质保期内出现货物的质量问题，中标人应该在收到业主维修通知后 6 小时内安排维修，并应在 2 日内免费更换或修复。</w:t>
            </w:r>
          </w:p>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质保期内，与维修相关的所有费用由中标人负责。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olor w:val="auto"/>
                <w:sz w:val="22"/>
                <w:szCs w:val="22"/>
                <w:highlight w:val="none"/>
              </w:rPr>
            </w:pPr>
            <w:r>
              <w:rPr>
                <w:rFonts w:hint="eastAsia" w:ascii="宋体" w:hAnsi="宋体"/>
                <w:color w:val="auto"/>
                <w:sz w:val="22"/>
                <w:szCs w:val="22"/>
                <w:highlight w:val="none"/>
              </w:rPr>
              <w:t>交货时间及地点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（1）交货时间：车辆整车大修时间不超过 10 天，总成大修不超过 5 天；小修需在两天内完成；</w:t>
            </w:r>
          </w:p>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（2）交货地点：采购单位指定地点。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olor w:val="auto"/>
                <w:sz w:val="22"/>
                <w:szCs w:val="22"/>
                <w:highlight w:val="none"/>
              </w:rPr>
            </w:pPr>
            <w:r>
              <w:rPr>
                <w:rFonts w:hint="eastAsia" w:ascii="宋体" w:hAnsi="宋体"/>
                <w:color w:val="auto"/>
                <w:sz w:val="22"/>
                <w:szCs w:val="22"/>
                <w:highlight w:val="none"/>
              </w:rPr>
              <w:t>其他要求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入围供应商必须遵守温财采〔2013〕851号《温州市机关事业单位公务用车维修管理办法》办法，如政府部门、本校对涉及车辆维修相关事项另有规定的，从其规定。</w:t>
            </w:r>
          </w:p>
        </w:tc>
      </w:tr>
    </w:tbl>
    <w:p>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温州肯恩大学车辆的整车修理、总成修理、整车各级维护、小修、更换轮胎、修补轮胎；维修救援和专项修理工作等内容</w:t>
            </w:r>
          </w:p>
          <w:p>
            <w:pPr>
              <w:spacing w:line="400" w:lineRule="exact"/>
              <w:outlineLvl w:val="0"/>
              <w:rPr>
                <w:rFonts w:ascii="宋体" w:hAnsi="宋体"/>
                <w:color w:val="auto"/>
                <w:sz w:val="22"/>
                <w:szCs w:val="22"/>
                <w:highlight w:val="none"/>
              </w:rPr>
            </w:pPr>
            <w:r>
              <w:rPr>
                <w:rFonts w:ascii="宋体" w:hAnsi="宋体"/>
                <w:b/>
                <w:color w:val="auto"/>
                <w:sz w:val="22"/>
                <w:szCs w:val="22"/>
                <w:highlight w:val="none"/>
              </w:rPr>
              <w:t>服务要求</w:t>
            </w:r>
          </w:p>
          <w:p>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提供上门维修服务、紧急维修服务，</w:t>
            </w:r>
            <w:r>
              <w:rPr>
                <w:rFonts w:hint="eastAsia" w:ascii="宋体" w:hAnsi="宋体"/>
                <w:color w:val="auto"/>
                <w:sz w:val="22"/>
                <w:szCs w:val="22"/>
                <w:highlight w:val="none"/>
              </w:rPr>
              <w:t>温州市</w:t>
            </w:r>
            <w:r>
              <w:rPr>
                <w:rFonts w:ascii="宋体" w:hAnsi="宋体"/>
                <w:color w:val="auto"/>
                <w:sz w:val="22"/>
                <w:szCs w:val="22"/>
                <w:highlight w:val="none"/>
              </w:rPr>
              <w:t>范围内，维修响应到达时间不得超过</w:t>
            </w:r>
            <w:r>
              <w:rPr>
                <w:rFonts w:hint="eastAsia" w:ascii="宋体" w:hAnsi="宋体"/>
                <w:color w:val="auto"/>
                <w:sz w:val="22"/>
                <w:szCs w:val="22"/>
                <w:highlight w:val="none"/>
              </w:rPr>
              <w:t>2</w:t>
            </w:r>
            <w:r>
              <w:rPr>
                <w:rFonts w:ascii="宋体" w:hAnsi="宋体"/>
                <w:color w:val="auto"/>
                <w:sz w:val="22"/>
                <w:szCs w:val="22"/>
                <w:highlight w:val="none"/>
              </w:rPr>
              <w:t>小时；</w:t>
            </w:r>
          </w:p>
          <w:p>
            <w:pPr>
              <w:spacing w:line="400" w:lineRule="exact"/>
              <w:ind w:firstLine="385" w:firstLineChars="175"/>
              <w:rPr>
                <w:rFonts w:hint="eastAsia"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故障车辆30公里以内免费拖车；</w:t>
            </w:r>
          </w:p>
          <w:p>
            <w:pPr>
              <w:spacing w:line="400" w:lineRule="exact"/>
              <w:ind w:right="100" w:firstLine="420"/>
              <w:rPr>
                <w:rFonts w:ascii="宋体" w:hAnsi="宋体"/>
                <w:color w:val="auto"/>
                <w:sz w:val="22"/>
                <w:szCs w:val="22"/>
                <w:highlight w:val="none"/>
              </w:rPr>
            </w:pPr>
            <w:r>
              <w:rPr>
                <w:rFonts w:ascii="宋体" w:hAnsi="宋体"/>
                <w:color w:val="auto"/>
                <w:sz w:val="22"/>
                <w:szCs w:val="22"/>
                <w:highlight w:val="none"/>
              </w:rPr>
              <w:t>3.因</w:t>
            </w:r>
            <w:r>
              <w:rPr>
                <w:rFonts w:hint="eastAsia" w:ascii="宋体" w:hAnsi="宋体"/>
                <w:color w:val="auto"/>
                <w:sz w:val="22"/>
                <w:szCs w:val="22"/>
                <w:highlight w:val="none"/>
              </w:rPr>
              <w:t>人民医院</w:t>
            </w:r>
            <w:r>
              <w:rPr>
                <w:rFonts w:ascii="宋体" w:hAnsi="宋体"/>
                <w:color w:val="auto"/>
                <w:sz w:val="22"/>
                <w:szCs w:val="22"/>
                <w:highlight w:val="none"/>
              </w:rPr>
              <w:t>任务特殊，维修企业应优先为</w:t>
            </w:r>
            <w:r>
              <w:rPr>
                <w:rFonts w:hint="eastAsia" w:ascii="宋体" w:hAnsi="宋体"/>
                <w:color w:val="auto"/>
                <w:sz w:val="22"/>
                <w:szCs w:val="22"/>
                <w:highlight w:val="none"/>
              </w:rPr>
              <w:t>本</w:t>
            </w:r>
            <w:r>
              <w:rPr>
                <w:rFonts w:ascii="宋体" w:hAnsi="宋体"/>
                <w:color w:val="auto"/>
                <w:sz w:val="22"/>
                <w:szCs w:val="22"/>
                <w:highlight w:val="none"/>
              </w:rPr>
              <w:t>单位提供车辆维修服务；</w:t>
            </w:r>
          </w:p>
          <w:p>
            <w:pPr>
              <w:spacing w:line="400" w:lineRule="exact"/>
              <w:ind w:firstLine="385" w:firstLineChars="175"/>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维修企业有义务对采购人单位的驾驶人员进行相关的维修知识讲解和培</w:t>
            </w:r>
          </w:p>
          <w:p>
            <w:pPr>
              <w:spacing w:line="400" w:lineRule="exact"/>
              <w:rPr>
                <w:rFonts w:ascii="宋体" w:hAnsi="宋体"/>
                <w:color w:val="auto"/>
                <w:sz w:val="22"/>
                <w:szCs w:val="22"/>
                <w:highlight w:val="none"/>
              </w:rPr>
            </w:pPr>
            <w:r>
              <w:rPr>
                <w:rFonts w:ascii="宋体" w:hAnsi="宋体"/>
                <w:color w:val="auto"/>
                <w:sz w:val="22"/>
                <w:szCs w:val="22"/>
                <w:highlight w:val="none"/>
              </w:rPr>
              <w:t>训；</w:t>
            </w:r>
          </w:p>
          <w:p>
            <w:pPr>
              <w:spacing w:line="400" w:lineRule="exact"/>
              <w:ind w:firstLine="385" w:firstLineChars="175"/>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.维修企业非经采购人书面同意不得将送修车辆转送其他企业维修；</w:t>
            </w:r>
          </w:p>
          <w:p>
            <w:pPr>
              <w:spacing w:line="400" w:lineRule="exact"/>
              <w:ind w:firstLine="385" w:firstLineChars="175"/>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维修车辆拆换的旧零部件，应根据采购人要求退回采购人处或交由维修</w:t>
            </w:r>
          </w:p>
          <w:p>
            <w:pPr>
              <w:spacing w:line="400" w:lineRule="exact"/>
              <w:rPr>
                <w:rFonts w:ascii="宋体" w:hAnsi="宋体"/>
                <w:color w:val="auto"/>
                <w:sz w:val="22"/>
                <w:szCs w:val="22"/>
                <w:highlight w:val="none"/>
              </w:rPr>
            </w:pPr>
            <w:r>
              <w:rPr>
                <w:rFonts w:ascii="宋体" w:hAnsi="宋体"/>
                <w:color w:val="auto"/>
                <w:sz w:val="22"/>
                <w:szCs w:val="22"/>
                <w:highlight w:val="none"/>
              </w:rPr>
              <w:t>企业自行处置；</w:t>
            </w:r>
          </w:p>
          <w:p>
            <w:pPr>
              <w:spacing w:line="400" w:lineRule="exact"/>
              <w:ind w:left="420" w:leftChars="200"/>
              <w:rPr>
                <w:rFonts w:ascii="宋体" w:hAnsi="宋体"/>
                <w:color w:val="auto"/>
                <w:sz w:val="22"/>
                <w:szCs w:val="22"/>
                <w:highlight w:val="none"/>
              </w:rPr>
            </w:pPr>
            <w:r>
              <w:rPr>
                <w:rFonts w:hint="eastAsia" w:ascii="宋体" w:hAnsi="宋体"/>
                <w:color w:val="auto"/>
                <w:sz w:val="22"/>
                <w:szCs w:val="22"/>
                <w:highlight w:val="none"/>
              </w:rPr>
              <w:t>7.</w:t>
            </w:r>
            <w:r>
              <w:rPr>
                <w:rFonts w:ascii="宋体" w:hAnsi="宋体"/>
                <w:color w:val="auto"/>
                <w:sz w:val="22"/>
                <w:szCs w:val="22"/>
                <w:highlight w:val="none"/>
              </w:rPr>
              <w:t>维修企业严禁以试驾、检验修理质量等各种原因，擅自将采购人车辆驶离</w:t>
            </w:r>
          </w:p>
          <w:p>
            <w:pPr>
              <w:spacing w:line="400" w:lineRule="exact"/>
              <w:rPr>
                <w:rFonts w:ascii="宋体" w:hAnsi="宋体"/>
                <w:color w:val="auto"/>
                <w:sz w:val="22"/>
                <w:szCs w:val="22"/>
                <w:highlight w:val="none"/>
              </w:rPr>
            </w:pPr>
            <w:r>
              <w:rPr>
                <w:rFonts w:ascii="宋体" w:hAnsi="宋体"/>
                <w:color w:val="auto"/>
                <w:sz w:val="22"/>
                <w:szCs w:val="22"/>
                <w:highlight w:val="none"/>
              </w:rPr>
              <w:t>修理场所；</w:t>
            </w:r>
          </w:p>
          <w:p>
            <w:pPr>
              <w:spacing w:line="400" w:lineRule="exact"/>
              <w:ind w:left="420" w:leftChars="200"/>
              <w:rPr>
                <w:rFonts w:ascii="宋体" w:hAnsi="宋体"/>
                <w:color w:val="auto"/>
                <w:sz w:val="22"/>
                <w:szCs w:val="22"/>
                <w:highlight w:val="none"/>
              </w:rPr>
            </w:pPr>
            <w:r>
              <w:rPr>
                <w:rFonts w:hint="eastAsia" w:ascii="宋体" w:hAnsi="宋体"/>
                <w:color w:val="auto"/>
                <w:sz w:val="22"/>
                <w:szCs w:val="22"/>
                <w:highlight w:val="none"/>
              </w:rPr>
              <w:t>8.</w:t>
            </w:r>
            <w:r>
              <w:rPr>
                <w:rFonts w:ascii="宋体" w:hAnsi="宋体"/>
                <w:color w:val="auto"/>
                <w:sz w:val="22"/>
                <w:szCs w:val="22"/>
                <w:highlight w:val="none"/>
              </w:rPr>
              <w:t>在车辆维修过程中，维修企业严禁以任何名义出现虚增项目、少修多收、</w:t>
            </w:r>
          </w:p>
          <w:p>
            <w:pPr>
              <w:spacing w:line="400" w:lineRule="exact"/>
              <w:rPr>
                <w:rFonts w:ascii="宋体" w:hAnsi="宋体"/>
                <w:color w:val="auto"/>
                <w:sz w:val="22"/>
                <w:szCs w:val="22"/>
                <w:highlight w:val="none"/>
              </w:rPr>
            </w:pPr>
            <w:r>
              <w:rPr>
                <w:rFonts w:ascii="宋体" w:hAnsi="宋体"/>
                <w:color w:val="auto"/>
                <w:sz w:val="22"/>
                <w:szCs w:val="22"/>
                <w:highlight w:val="none"/>
              </w:rPr>
              <w:t>巧立名目、多摊工时、虚开发票、弄虚作假等行为。</w:t>
            </w:r>
          </w:p>
          <w:p>
            <w:pPr>
              <w:spacing w:line="400" w:lineRule="exact"/>
              <w:rPr>
                <w:rFonts w:ascii="宋体" w:hAnsi="宋体"/>
                <w:b/>
                <w:color w:val="auto"/>
                <w:sz w:val="22"/>
                <w:szCs w:val="22"/>
                <w:highlight w:val="none"/>
              </w:rPr>
            </w:pPr>
            <w:r>
              <w:rPr>
                <w:rFonts w:ascii="宋体" w:hAnsi="宋体"/>
                <w:b/>
                <w:color w:val="auto"/>
                <w:sz w:val="22"/>
                <w:szCs w:val="22"/>
                <w:highlight w:val="none"/>
              </w:rPr>
              <w:t>质量要求</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1.所采用的零部件、配件等材料，必须有合法的进货渠道，必须使用原厂件；更换的附油、轮胎等必须使用主流品牌，符合国家或部颁标准以及汽车维修相关标准，不得使用假冒伪劣产品或以次充好；</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2.被修车辆达不到规定的质量标准和技术要求的，返修不得再次计价收费。车辆竣工出厂执行质量保证期制度，不能低于中华人民共和国交通部所颁布的《机动车维修管理规定》标准；</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3.责任保障期限及车辆质量保障按照国家有关部门颁布的最新标准执行。在质量保证期内，因车辆维修质量问题给采购人或第三方造成的一切经济损失及法律责任，由定点维修企业自行负责；</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4.车辆返修率要控制在5%以内，并建立汽车维修档案，认真记录车辆维修情况；</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5.维修中发现其他故障，维修企业有义务主动告知</w:t>
            </w:r>
            <w:r>
              <w:rPr>
                <w:rFonts w:hint="eastAsia" w:ascii="宋体" w:hAnsi="宋体"/>
                <w:color w:val="auto"/>
                <w:sz w:val="22"/>
                <w:szCs w:val="22"/>
                <w:highlight w:val="none"/>
              </w:rPr>
              <w:t>采购人</w:t>
            </w:r>
            <w:r>
              <w:rPr>
                <w:rFonts w:ascii="宋体" w:hAnsi="宋体"/>
                <w:color w:val="auto"/>
                <w:sz w:val="22"/>
                <w:szCs w:val="22"/>
                <w:highlight w:val="none"/>
              </w:rPr>
              <w:t>，若须增加维修项目或延长维修时间，应书面通知采购人并经采购人同意。</w:t>
            </w:r>
          </w:p>
          <w:p>
            <w:pPr>
              <w:spacing w:line="400"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违约责任</w:t>
            </w:r>
          </w:p>
          <w:p>
            <w:pPr>
              <w:spacing w:line="40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 经双方协商</w:t>
            </w:r>
            <w:r>
              <w:rPr>
                <w:rFonts w:ascii="宋体" w:hAnsi="宋体"/>
                <w:color w:val="auto"/>
                <w:sz w:val="22"/>
                <w:szCs w:val="22"/>
                <w:highlight w:val="none"/>
              </w:rPr>
              <w:t>一致并另行签订《补充协议》，可变更或解除本合同。</w:t>
            </w:r>
          </w:p>
          <w:p>
            <w:pPr>
              <w:spacing w:line="40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．在合同有效期内，采购人有权不定期对</w:t>
            </w:r>
            <w:r>
              <w:rPr>
                <w:rFonts w:hint="eastAsia" w:ascii="宋体" w:hAnsi="宋体"/>
                <w:color w:val="auto"/>
                <w:sz w:val="22"/>
                <w:szCs w:val="22"/>
                <w:highlight w:val="none"/>
              </w:rPr>
              <w:t>维修</w:t>
            </w:r>
            <w:r>
              <w:rPr>
                <w:rFonts w:ascii="宋体" w:hAnsi="宋体"/>
                <w:color w:val="auto"/>
                <w:sz w:val="22"/>
                <w:szCs w:val="22"/>
                <w:highlight w:val="none"/>
              </w:rPr>
              <w:t>企业履约情况进行监督检查，如发现</w:t>
            </w:r>
            <w:r>
              <w:rPr>
                <w:rFonts w:hint="eastAsia" w:ascii="宋体" w:hAnsi="宋体"/>
                <w:color w:val="auto"/>
                <w:sz w:val="22"/>
                <w:szCs w:val="22"/>
                <w:highlight w:val="none"/>
              </w:rPr>
              <w:t>维修</w:t>
            </w:r>
            <w:r>
              <w:rPr>
                <w:rFonts w:ascii="宋体" w:hAnsi="宋体"/>
                <w:color w:val="auto"/>
                <w:sz w:val="22"/>
                <w:szCs w:val="22"/>
                <w:highlight w:val="none"/>
              </w:rPr>
              <w:t>企业有虚增项目、多修多收、巧立名目、多摊工时、虚开发票、弄虚作假等行为的，第一次给予警告；第二次，</w:t>
            </w:r>
            <w:r>
              <w:rPr>
                <w:rFonts w:hint="eastAsia" w:ascii="宋体" w:hAnsi="宋体"/>
                <w:color w:val="auto"/>
                <w:sz w:val="22"/>
                <w:szCs w:val="22"/>
                <w:highlight w:val="none"/>
              </w:rPr>
              <w:t>采购</w:t>
            </w:r>
            <w:r>
              <w:rPr>
                <w:rFonts w:ascii="宋体" w:hAnsi="宋体"/>
                <w:color w:val="auto"/>
                <w:sz w:val="22"/>
                <w:szCs w:val="22"/>
                <w:highlight w:val="none"/>
              </w:rPr>
              <w:t>人有权单方取消</w:t>
            </w:r>
            <w:r>
              <w:rPr>
                <w:rFonts w:hint="eastAsia" w:ascii="宋体" w:hAnsi="宋体"/>
                <w:color w:val="auto"/>
                <w:sz w:val="22"/>
                <w:szCs w:val="22"/>
                <w:highlight w:val="none"/>
              </w:rPr>
              <w:t>维修</w:t>
            </w:r>
            <w:r>
              <w:rPr>
                <w:rFonts w:ascii="宋体" w:hAnsi="宋体"/>
                <w:color w:val="auto"/>
                <w:sz w:val="22"/>
                <w:szCs w:val="22"/>
                <w:highlight w:val="none"/>
              </w:rPr>
              <w:t>企业定点维修供应商资格，并将</w:t>
            </w:r>
            <w:r>
              <w:rPr>
                <w:rFonts w:hint="eastAsia" w:ascii="宋体" w:hAnsi="宋体"/>
                <w:color w:val="auto"/>
                <w:sz w:val="22"/>
                <w:szCs w:val="22"/>
                <w:highlight w:val="none"/>
              </w:rPr>
              <w:t>维修</w:t>
            </w:r>
            <w:r>
              <w:rPr>
                <w:rFonts w:ascii="宋体" w:hAnsi="宋体"/>
                <w:color w:val="auto"/>
                <w:sz w:val="22"/>
                <w:szCs w:val="22"/>
                <w:highlight w:val="none"/>
              </w:rPr>
              <w:t>企业违法违规行为通报当地行政主管部门，同时，</w:t>
            </w:r>
            <w:r>
              <w:rPr>
                <w:rFonts w:hint="eastAsia" w:ascii="宋体" w:hAnsi="宋体"/>
                <w:color w:val="auto"/>
                <w:sz w:val="22"/>
                <w:szCs w:val="22"/>
                <w:highlight w:val="none"/>
              </w:rPr>
              <w:t>维修</w:t>
            </w:r>
            <w:r>
              <w:rPr>
                <w:rFonts w:ascii="宋体" w:hAnsi="宋体"/>
                <w:color w:val="auto"/>
                <w:sz w:val="22"/>
                <w:szCs w:val="22"/>
                <w:highlight w:val="none"/>
              </w:rPr>
              <w:t>企业应向</w:t>
            </w:r>
            <w:r>
              <w:rPr>
                <w:rFonts w:hint="eastAsia" w:ascii="宋体" w:hAnsi="宋体"/>
                <w:color w:val="auto"/>
                <w:sz w:val="22"/>
                <w:szCs w:val="22"/>
                <w:highlight w:val="none"/>
              </w:rPr>
              <w:t>采购</w:t>
            </w:r>
            <w:r>
              <w:rPr>
                <w:rFonts w:ascii="宋体" w:hAnsi="宋体"/>
                <w:color w:val="auto"/>
                <w:sz w:val="22"/>
                <w:szCs w:val="22"/>
                <w:highlight w:val="none"/>
              </w:rPr>
              <w:t>人支付违约金 2万元；涉嫌犯罪的，依法移交司法机关处理。</w:t>
            </w:r>
          </w:p>
          <w:p>
            <w:pPr>
              <w:pStyle w:val="2"/>
              <w:ind w:left="0" w:leftChars="0" w:firstLine="0" w:firstLineChars="0"/>
              <w:rPr>
                <w:rFonts w:hint="eastAsia"/>
                <w:color w:val="auto"/>
                <w:sz w:val="22"/>
                <w:szCs w:val="22"/>
                <w:highlight w:val="none"/>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1941"/>
    <w:rsid w:val="63996315"/>
    <w:rsid w:val="74B2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2020-10-30T00:48:31Z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