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p>
    <w:p>
      <w:pPr>
        <w:adjustRightInd/>
        <w:spacing w:line="360" w:lineRule="auto"/>
        <w:rPr>
          <w:rFonts w:hint="eastAsia" w:ascii="仿宋" w:hAnsi="仿宋" w:eastAsia="仿宋" w:cs="仿宋_GB2312"/>
          <w:b/>
          <w:color w:val="000000"/>
          <w:sz w:val="44"/>
          <w:szCs w:val="44"/>
        </w:rPr>
      </w:pPr>
    </w:p>
    <w:p>
      <w:pPr>
        <w:spacing w:line="360" w:lineRule="auto"/>
        <w:jc w:val="center"/>
        <w:rPr>
          <w:rFonts w:hint="default" w:ascii="仿宋" w:hAnsi="仿宋" w:eastAsia="仿宋" w:cs="仿宋_GB2312"/>
          <w:b/>
          <w:color w:val="auto"/>
          <w:sz w:val="32"/>
          <w:szCs w:val="32"/>
          <w:lang w:val="en-US"/>
        </w:rPr>
      </w:pPr>
      <w:r>
        <w:rPr>
          <w:rFonts w:hint="eastAsia" w:ascii="仿宋" w:hAnsi="仿宋" w:eastAsia="仿宋" w:cs="仿宋_GB2312"/>
          <w:b/>
          <w:color w:val="auto"/>
          <w:sz w:val="44"/>
          <w:szCs w:val="44"/>
          <w:lang w:val="en-US" w:eastAsia="zh-CN"/>
        </w:rPr>
        <w:t>绍兴市柯桥区林场有限公司兰亭森林公园配套声光电设备采购项目</w:t>
      </w:r>
    </w:p>
    <w:p>
      <w:pPr>
        <w:snapToGrid w:val="0"/>
        <w:spacing w:line="360" w:lineRule="auto"/>
        <w:jc w:val="center"/>
        <w:rPr>
          <w:rFonts w:hint="eastAsia" w:ascii="仿宋" w:hAnsi="仿宋" w:eastAsia="仿宋" w:cs="仿宋_GB2312"/>
          <w:color w:val="auto"/>
          <w:sz w:val="30"/>
          <w:szCs w:val="30"/>
        </w:rPr>
      </w:pPr>
      <w:r>
        <w:rPr>
          <w:rFonts w:hint="eastAsia" w:ascii="仿宋" w:hAnsi="仿宋" w:eastAsia="仿宋" w:cs="仿宋_GB2312"/>
          <w:color w:val="auto"/>
          <w:sz w:val="30"/>
          <w:szCs w:val="30"/>
        </w:rPr>
        <w:t>项目编号:绍柯企{2023}1192号</w:t>
      </w:r>
    </w:p>
    <w:p>
      <w:pPr>
        <w:spacing w:line="360" w:lineRule="auto"/>
        <w:jc w:val="center"/>
        <w:rPr>
          <w:rFonts w:hint="eastAsia" w:ascii="仿宋" w:hAnsi="仿宋" w:eastAsia="仿宋" w:cs="仿宋_GB2312"/>
          <w:b/>
          <w:color w:val="0000FF"/>
          <w:sz w:val="44"/>
          <w:szCs w:val="44"/>
        </w:rPr>
      </w:pPr>
    </w:p>
    <w:p>
      <w:pPr>
        <w:spacing w:line="360" w:lineRule="auto"/>
        <w:jc w:val="center"/>
        <w:rPr>
          <w:rFonts w:hint="eastAsia"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napToGrid w:val="0"/>
        <w:spacing w:line="360" w:lineRule="auto"/>
        <w:ind w:firstLine="1600" w:firstLineChars="5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采购单位：</w:t>
      </w:r>
      <w:r>
        <w:rPr>
          <w:rFonts w:hint="eastAsia" w:ascii="仿宋" w:hAnsi="仿宋" w:eastAsia="仿宋" w:cs="仿宋_GB2312"/>
          <w:color w:val="auto"/>
          <w:sz w:val="32"/>
          <w:szCs w:val="32"/>
          <w:lang w:eastAsia="zh-CN"/>
        </w:rPr>
        <w:t>绍兴市柯桥区林场有限公司</w:t>
      </w:r>
    </w:p>
    <w:p>
      <w:pPr>
        <w:spacing w:line="360" w:lineRule="auto"/>
        <w:ind w:firstLine="1600" w:firstLineChars="500"/>
        <w:rPr>
          <w:rFonts w:hint="eastAsia" w:ascii="仿宋" w:hAnsi="仿宋" w:eastAsia="仿宋" w:cs="仿宋_GB2312"/>
          <w:bCs/>
          <w:color w:val="auto"/>
          <w:sz w:val="32"/>
          <w:szCs w:val="32"/>
        </w:rPr>
      </w:pPr>
      <w:r>
        <w:rPr>
          <w:rFonts w:hint="eastAsia" w:ascii="仿宋" w:hAnsi="仿宋" w:eastAsia="仿宋" w:cs="仿宋_GB2312"/>
          <w:bCs/>
          <w:color w:val="auto"/>
          <w:sz w:val="32"/>
          <w:szCs w:val="32"/>
        </w:rPr>
        <w:t>采购代理机构：华诚工程咨询集团有限公司</w:t>
      </w:r>
    </w:p>
    <w:p>
      <w:pPr>
        <w:snapToGrid w:val="0"/>
        <w:spacing w:line="36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val="en-US" w:eastAsia="zh-CN"/>
        </w:rPr>
        <w:t>2023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日</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rPr>
      </w:pPr>
      <w:r>
        <w:rPr>
          <w:rFonts w:hint="eastAsia" w:ascii="仿宋" w:hAnsi="仿宋" w:eastAsia="仿宋"/>
          <w:color w:val="auto"/>
          <w:sz w:val="24"/>
          <w:szCs w:val="28"/>
          <w:u w:val="single"/>
          <w:lang w:eastAsia="zh-CN"/>
        </w:rPr>
        <w:t>绍兴市柯桥区林场有限公司兰亭森林公园配套声光电设备采购项目</w:t>
      </w:r>
      <w:r>
        <w:rPr>
          <w:rFonts w:hint="eastAsia" w:ascii="仿宋" w:hAnsi="仿宋" w:eastAsia="仿宋"/>
          <w:color w:val="auto"/>
          <w:sz w:val="24"/>
          <w:szCs w:val="28"/>
        </w:rPr>
        <w:t>招标项目的潜在投标人应在</w:t>
      </w:r>
      <w:r>
        <w:rPr>
          <w:rFonts w:hint="eastAsia" w:ascii="仿宋" w:hAnsi="仿宋" w:eastAsia="仿宋"/>
          <w:color w:val="auto"/>
          <w:sz w:val="24"/>
          <w:szCs w:val="28"/>
          <w:u w:val="single"/>
        </w:rPr>
        <w:t>政采云系统在线</w:t>
      </w:r>
      <w:r>
        <w:rPr>
          <w:rFonts w:hint="eastAsia" w:ascii="仿宋" w:hAnsi="仿宋" w:eastAsia="仿宋"/>
          <w:color w:val="auto"/>
          <w:sz w:val="24"/>
          <w:szCs w:val="28"/>
        </w:rPr>
        <w:t>获取招标文件，并于</w:t>
      </w:r>
      <w:r>
        <w:rPr>
          <w:rFonts w:hint="eastAsia" w:ascii="仿宋" w:hAnsi="仿宋" w:eastAsia="仿宋"/>
          <w:color w:val="auto"/>
          <w:sz w:val="24"/>
          <w:szCs w:val="28"/>
          <w:u w:val="single"/>
          <w:lang w:val="en-US" w:eastAsia="zh-CN"/>
        </w:rPr>
        <w:t>2023</w:t>
      </w:r>
      <w:r>
        <w:rPr>
          <w:rFonts w:hint="eastAsia" w:ascii="仿宋" w:hAnsi="仿宋" w:eastAsia="仿宋"/>
          <w:bCs/>
          <w:color w:val="auto"/>
          <w:sz w:val="24"/>
          <w:szCs w:val="28"/>
          <w:u w:val="single"/>
        </w:rPr>
        <w:t>年</w:t>
      </w:r>
      <w:r>
        <w:rPr>
          <w:rFonts w:hint="eastAsia" w:ascii="仿宋" w:hAnsi="仿宋" w:eastAsia="仿宋"/>
          <w:bCs/>
          <w:color w:val="auto"/>
          <w:sz w:val="24"/>
          <w:szCs w:val="28"/>
          <w:u w:val="single"/>
          <w:lang w:val="en-US" w:eastAsia="zh-CN"/>
        </w:rPr>
        <w:t>11</w:t>
      </w:r>
      <w:r>
        <w:rPr>
          <w:rFonts w:hint="eastAsia" w:ascii="仿宋" w:hAnsi="仿宋" w:eastAsia="仿宋"/>
          <w:bCs/>
          <w:color w:val="auto"/>
          <w:sz w:val="24"/>
          <w:szCs w:val="28"/>
          <w:u w:val="single"/>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u w:val="single"/>
        </w:rPr>
        <w:t>日</w:t>
      </w:r>
      <w:r>
        <w:rPr>
          <w:rFonts w:hint="eastAsia" w:ascii="仿宋" w:hAnsi="仿宋" w:eastAsia="仿宋"/>
          <w:bCs/>
          <w:color w:val="auto"/>
          <w:sz w:val="24"/>
          <w:szCs w:val="28"/>
          <w:u w:val="single"/>
          <w:lang w:val="en-US" w:eastAsia="zh-CN"/>
        </w:rPr>
        <w:t>14</w:t>
      </w:r>
      <w:r>
        <w:rPr>
          <w:rFonts w:hint="eastAsia" w:ascii="仿宋" w:hAnsi="仿宋" w:eastAsia="仿宋"/>
          <w:bCs/>
          <w:color w:val="auto"/>
          <w:sz w:val="24"/>
          <w:szCs w:val="28"/>
          <w:u w:val="single"/>
        </w:rPr>
        <w:t>点</w:t>
      </w:r>
      <w:r>
        <w:rPr>
          <w:rFonts w:hint="eastAsia" w:ascii="仿宋" w:hAnsi="仿宋" w:eastAsia="仿宋"/>
          <w:bCs/>
          <w:color w:val="auto"/>
          <w:sz w:val="24"/>
          <w:szCs w:val="28"/>
          <w:u w:val="single"/>
          <w:lang w:val="en-US" w:eastAsia="zh-CN"/>
        </w:rPr>
        <w:t>30</w:t>
      </w:r>
      <w:r>
        <w:rPr>
          <w:rFonts w:hint="eastAsia" w:ascii="仿宋" w:hAnsi="仿宋" w:eastAsia="仿宋"/>
          <w:bCs/>
          <w:color w:val="auto"/>
          <w:sz w:val="24"/>
          <w:szCs w:val="28"/>
          <w:u w:val="single"/>
        </w:rPr>
        <w:t>分（</w:t>
      </w:r>
      <w:r>
        <w:rPr>
          <w:rFonts w:hint="eastAsia" w:ascii="仿宋" w:hAnsi="仿宋" w:eastAsia="仿宋"/>
          <w:bCs/>
          <w:color w:val="auto"/>
          <w:sz w:val="24"/>
          <w:szCs w:val="28"/>
        </w:rPr>
        <w:t>北京时间）前递交投标</w:t>
      </w:r>
      <w:r>
        <w:rPr>
          <w:rFonts w:ascii="仿宋" w:hAnsi="仿宋" w:eastAsia="仿宋"/>
          <w:bCs/>
          <w:color w:val="auto"/>
          <w:sz w:val="24"/>
          <w:szCs w:val="28"/>
        </w:rPr>
        <w:t>文件</w:t>
      </w:r>
      <w:r>
        <w:rPr>
          <w:rFonts w:hint="eastAsia" w:ascii="仿宋" w:hAnsi="仿宋" w:eastAsia="仿宋"/>
          <w:color w:val="auto"/>
          <w:sz w:val="24"/>
          <w:szCs w:val="28"/>
        </w:rPr>
        <w:t>。</w:t>
      </w:r>
    </w:p>
    <w:p>
      <w:pPr>
        <w:rPr>
          <w:color w:val="auto"/>
          <w:sz w:val="24"/>
          <w:szCs w:val="28"/>
        </w:rPr>
      </w:pPr>
    </w:p>
    <w:p>
      <w:pPr>
        <w:pStyle w:val="3"/>
        <w:numPr>
          <w:ilvl w:val="0"/>
          <w:numId w:val="0"/>
        </w:numPr>
        <w:rPr>
          <w:rFonts w:ascii="黑体" w:hAnsi="黑体" w:cs="宋体"/>
          <w:color w:val="auto"/>
          <w:sz w:val="24"/>
          <w:szCs w:val="28"/>
        </w:rPr>
      </w:pPr>
      <w:bookmarkStart w:id="11" w:name="_Toc35393621"/>
      <w:bookmarkStart w:id="12" w:name="_Toc28359002"/>
      <w:bookmarkStart w:id="13" w:name="_Toc28359079"/>
      <w:bookmarkStart w:id="14" w:name="_Toc35393790"/>
      <w:bookmarkStart w:id="15" w:name="_Hlk24379207"/>
      <w:r>
        <w:rPr>
          <w:rFonts w:hint="eastAsia" w:ascii="黑体" w:hAnsi="黑体" w:cs="宋体"/>
          <w:color w:val="auto"/>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color w:val="auto"/>
          <w:sz w:val="24"/>
          <w:szCs w:val="28"/>
        </w:rPr>
      </w:pPr>
      <w:r>
        <w:rPr>
          <w:rFonts w:hint="eastAsia" w:ascii="仿宋" w:hAnsi="仿宋" w:eastAsia="仿宋"/>
          <w:color w:val="auto"/>
          <w:sz w:val="24"/>
          <w:szCs w:val="28"/>
        </w:rPr>
        <w:t>项目编号：绍柯企{2023}1192号</w:t>
      </w:r>
    </w:p>
    <w:p>
      <w:pPr>
        <w:spacing w:line="360" w:lineRule="auto"/>
        <w:ind w:left="420" w:leftChars="200"/>
        <w:jc w:val="left"/>
        <w:rPr>
          <w:rFonts w:ascii="仿宋" w:hAnsi="仿宋" w:eastAsia="仿宋"/>
          <w:sz w:val="24"/>
          <w:szCs w:val="28"/>
        </w:rPr>
      </w:pPr>
      <w:r>
        <w:rPr>
          <w:rFonts w:hint="eastAsia" w:ascii="仿宋" w:hAnsi="仿宋" w:eastAsia="仿宋"/>
          <w:color w:val="auto"/>
          <w:sz w:val="24"/>
          <w:szCs w:val="28"/>
        </w:rPr>
        <w:t>项目名称：绍兴市柯桥区林场有限公司兰亭森林公园配套声光电设备采购项目</w:t>
      </w:r>
    </w:p>
    <w:p>
      <w:pPr>
        <w:spacing w:line="360" w:lineRule="auto"/>
        <w:ind w:left="420" w:leftChars="200"/>
        <w:jc w:val="left"/>
        <w:rPr>
          <w:rFonts w:hint="eastAsia" w:ascii="仿宋" w:hAnsi="仿宋" w:eastAsia="仿宋"/>
          <w:color w:val="auto"/>
          <w:sz w:val="24"/>
          <w:szCs w:val="28"/>
          <w:lang w:val="en-US" w:eastAsia="zh-CN"/>
        </w:rPr>
      </w:pPr>
      <w:r>
        <w:rPr>
          <w:rFonts w:hint="eastAsia" w:ascii="仿宋" w:hAnsi="仿宋" w:eastAsia="仿宋"/>
          <w:sz w:val="24"/>
          <w:szCs w:val="28"/>
        </w:rPr>
        <w:t>预算金额（元）：</w:t>
      </w:r>
      <w:r>
        <w:rPr>
          <w:rFonts w:hint="eastAsia" w:ascii="仿宋" w:hAnsi="仿宋" w:eastAsia="仿宋"/>
          <w:color w:val="auto"/>
          <w:sz w:val="24"/>
          <w:szCs w:val="28"/>
        </w:rPr>
        <w:t xml:space="preserve"> </w:t>
      </w:r>
      <w:r>
        <w:rPr>
          <w:rFonts w:hint="eastAsia" w:ascii="仿宋" w:hAnsi="仿宋" w:eastAsia="仿宋"/>
          <w:color w:val="auto"/>
          <w:sz w:val="24"/>
          <w:szCs w:val="28"/>
          <w:lang w:val="en-US" w:eastAsia="zh-CN"/>
        </w:rPr>
        <w:t>3130363元</w:t>
      </w:r>
    </w:p>
    <w:p>
      <w:pPr>
        <w:spacing w:line="360" w:lineRule="auto"/>
        <w:ind w:left="420" w:leftChars="200"/>
        <w:jc w:val="left"/>
        <w:rPr>
          <w:rFonts w:ascii="仿宋" w:hAnsi="仿宋" w:eastAsia="仿宋"/>
          <w:color w:val="auto"/>
          <w:sz w:val="24"/>
          <w:szCs w:val="28"/>
        </w:rPr>
      </w:pPr>
      <w:r>
        <w:rPr>
          <w:rFonts w:hint="eastAsia" w:ascii="仿宋" w:hAnsi="仿宋" w:eastAsia="仿宋"/>
          <w:color w:val="auto"/>
          <w:sz w:val="24"/>
          <w:szCs w:val="28"/>
        </w:rPr>
        <w:t xml:space="preserve">最高限价（元）： </w:t>
      </w:r>
      <w:r>
        <w:rPr>
          <w:rFonts w:hint="eastAsia" w:ascii="仿宋" w:hAnsi="仿宋" w:eastAsia="仿宋"/>
          <w:color w:val="auto"/>
          <w:sz w:val="24"/>
          <w:szCs w:val="28"/>
          <w:lang w:val="en-US" w:eastAsia="zh-CN"/>
        </w:rPr>
        <w:t>3130363元</w:t>
      </w:r>
      <w:r>
        <w:rPr>
          <w:rFonts w:ascii="仿宋" w:hAnsi="仿宋" w:eastAsia="仿宋"/>
          <w:color w:val="auto"/>
          <w:sz w:val="24"/>
          <w:szCs w:val="28"/>
        </w:rPr>
        <w:t xml:space="preserve"> </w:t>
      </w:r>
    </w:p>
    <w:p>
      <w:pPr>
        <w:spacing w:line="360" w:lineRule="auto"/>
        <w:ind w:left="420" w:leftChars="200"/>
        <w:jc w:val="left"/>
        <w:rPr>
          <w:rFonts w:hint="eastAsia" w:ascii="仿宋" w:hAnsi="仿宋" w:eastAsia="仿宋"/>
          <w:b/>
          <w:color w:val="0000FF"/>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hint="eastAsia" w:ascii="仿宋" w:hAnsi="仿宋" w:eastAsia="仿宋"/>
          <w:color w:val="0000FF"/>
          <w:sz w:val="24"/>
          <w:szCs w:val="28"/>
        </w:rPr>
      </w:pPr>
      <w:r>
        <w:rPr>
          <w:rFonts w:hint="eastAsia" w:ascii="仿宋" w:hAnsi="仿宋" w:eastAsia="仿宋"/>
          <w:sz w:val="24"/>
          <w:szCs w:val="28"/>
        </w:rPr>
        <w:t>标项一：</w:t>
      </w:r>
    </w:p>
    <w:p>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标项名称：绍兴市柯桥区林场有限公司兰亭森林公园配套声光电设备采购项目</w:t>
      </w:r>
    </w:p>
    <w:p>
      <w:pPr>
        <w:spacing w:line="360" w:lineRule="auto"/>
        <w:ind w:left="420" w:leftChars="200"/>
        <w:jc w:val="left"/>
        <w:rPr>
          <w:rFonts w:hint="eastAsia" w:ascii="仿宋" w:hAnsi="仿宋" w:eastAsia="仿宋"/>
          <w:color w:val="auto"/>
          <w:sz w:val="24"/>
          <w:szCs w:val="28"/>
          <w:lang w:eastAsia="zh-CN"/>
        </w:rPr>
      </w:pPr>
      <w:r>
        <w:rPr>
          <w:rFonts w:hint="eastAsia" w:ascii="仿宋" w:hAnsi="仿宋" w:eastAsia="仿宋"/>
          <w:color w:val="auto"/>
          <w:sz w:val="24"/>
          <w:szCs w:val="28"/>
        </w:rPr>
        <w:t>数量：</w:t>
      </w:r>
      <w:r>
        <w:rPr>
          <w:rFonts w:hint="eastAsia" w:ascii="仿宋" w:hAnsi="仿宋" w:eastAsia="仿宋"/>
          <w:color w:val="auto"/>
          <w:sz w:val="24"/>
          <w:szCs w:val="28"/>
          <w:lang w:val="en-US" w:eastAsia="zh-CN"/>
        </w:rPr>
        <w:t>1</w:t>
      </w:r>
    </w:p>
    <w:p>
      <w:pPr>
        <w:spacing w:line="360" w:lineRule="auto"/>
        <w:ind w:left="420" w:leftChars="200"/>
        <w:jc w:val="left"/>
        <w:rPr>
          <w:rFonts w:hint="eastAsia" w:ascii="仿宋" w:hAnsi="仿宋" w:eastAsia="仿宋"/>
          <w:color w:val="auto"/>
          <w:sz w:val="24"/>
          <w:szCs w:val="28"/>
        </w:rPr>
      </w:pPr>
      <w:r>
        <w:rPr>
          <w:rFonts w:hint="eastAsia" w:ascii="仿宋" w:hAnsi="仿宋" w:eastAsia="仿宋"/>
          <w:color w:val="auto"/>
          <w:sz w:val="24"/>
          <w:szCs w:val="28"/>
        </w:rPr>
        <w:t xml:space="preserve">预算金额（元）: </w:t>
      </w:r>
      <w:r>
        <w:rPr>
          <w:rFonts w:hint="eastAsia" w:ascii="仿宋" w:hAnsi="仿宋" w:eastAsia="仿宋"/>
          <w:color w:val="auto"/>
          <w:sz w:val="24"/>
          <w:szCs w:val="28"/>
          <w:lang w:val="en-US" w:eastAsia="zh-CN"/>
        </w:rPr>
        <w:t>3130363元</w:t>
      </w:r>
    </w:p>
    <w:p>
      <w:pPr>
        <w:spacing w:line="360" w:lineRule="auto"/>
        <w:ind w:left="420" w:leftChars="200"/>
        <w:jc w:val="left"/>
        <w:rPr>
          <w:rFonts w:hint="default" w:ascii="仿宋" w:hAnsi="仿宋" w:eastAsia="仿宋"/>
          <w:color w:val="auto"/>
          <w:sz w:val="24"/>
          <w:szCs w:val="28"/>
          <w:lang w:val="en-US" w:eastAsia="zh-CN"/>
        </w:rPr>
      </w:pPr>
      <w:r>
        <w:rPr>
          <w:rFonts w:ascii="仿宋" w:hAnsi="仿宋" w:eastAsia="仿宋"/>
          <w:color w:val="auto"/>
          <w:sz w:val="24"/>
          <w:szCs w:val="28"/>
        </w:rPr>
        <w:t>简要规格描述或项目基本概况介绍、用途：</w:t>
      </w:r>
      <w:r>
        <w:rPr>
          <w:rFonts w:hint="eastAsia" w:ascii="仿宋" w:hAnsi="仿宋" w:eastAsia="仿宋"/>
          <w:color w:val="auto"/>
          <w:sz w:val="24"/>
          <w:szCs w:val="28"/>
          <w:u w:val="single"/>
        </w:rPr>
        <w:t>绍兴市柯桥区林场有限公司兰亭森林公园配套声光电设备采购</w:t>
      </w:r>
      <w:r>
        <w:rPr>
          <w:rFonts w:hint="eastAsia" w:ascii="仿宋" w:hAnsi="仿宋" w:eastAsia="仿宋"/>
          <w:color w:val="auto"/>
          <w:sz w:val="24"/>
          <w:szCs w:val="28"/>
          <w:u w:val="single"/>
          <w:lang w:eastAsia="zh-CN"/>
        </w:rPr>
        <w:t>，</w:t>
      </w:r>
      <w:r>
        <w:rPr>
          <w:rFonts w:hint="eastAsia" w:ascii="仿宋" w:hAnsi="仿宋" w:eastAsia="仿宋"/>
          <w:color w:val="auto"/>
          <w:sz w:val="24"/>
          <w:szCs w:val="28"/>
          <w:u w:val="single"/>
        </w:rPr>
        <w:t>包含动物园剧场舞台设施设备及配套线缆、线管、附件等。</w:t>
      </w:r>
      <w:r>
        <w:rPr>
          <w:rFonts w:hint="eastAsia" w:ascii="仿宋" w:hAnsi="仿宋" w:eastAsia="仿宋"/>
          <w:color w:val="auto"/>
          <w:sz w:val="24"/>
          <w:szCs w:val="28"/>
          <w:u w:val="single"/>
          <w:lang w:val="en-US" w:eastAsia="zh-CN"/>
        </w:rPr>
        <w:t>详见招标文件。</w:t>
      </w:r>
    </w:p>
    <w:p>
      <w:pPr>
        <w:spacing w:line="360" w:lineRule="auto"/>
        <w:ind w:left="420" w:leftChars="200"/>
        <w:jc w:val="left"/>
        <w:rPr>
          <w:rFonts w:hint="eastAsia" w:ascii="仿宋" w:hAnsi="仿宋" w:eastAsia="仿宋"/>
          <w:color w:val="auto"/>
          <w:sz w:val="24"/>
          <w:szCs w:val="28"/>
          <w:u w:val="single"/>
          <w:lang w:val="en-US" w:eastAsia="zh-CN"/>
        </w:rPr>
      </w:pPr>
      <w:r>
        <w:rPr>
          <w:rFonts w:hint="eastAsia" w:ascii="仿宋" w:hAnsi="仿宋" w:eastAsia="仿宋"/>
          <w:color w:val="auto"/>
          <w:sz w:val="24"/>
          <w:szCs w:val="28"/>
        </w:rPr>
        <w:t>备注：</w:t>
      </w:r>
      <w:r>
        <w:rPr>
          <w:rFonts w:hint="eastAsia" w:ascii="仿宋" w:hAnsi="仿宋" w:eastAsia="仿宋"/>
          <w:color w:val="auto"/>
          <w:sz w:val="24"/>
          <w:szCs w:val="28"/>
          <w:lang w:val="en-US" w:eastAsia="zh-CN"/>
        </w:rPr>
        <w:t>无</w:t>
      </w:r>
    </w:p>
    <w:p>
      <w:pPr>
        <w:spacing w:line="360" w:lineRule="auto"/>
        <w:ind w:left="420" w:leftChars="200"/>
        <w:jc w:val="left"/>
        <w:rPr>
          <w:rFonts w:ascii="仿宋" w:hAnsi="仿宋" w:eastAsia="仿宋"/>
          <w:color w:val="auto"/>
          <w:sz w:val="24"/>
          <w:szCs w:val="28"/>
          <w:u w:val="single"/>
        </w:rPr>
      </w:pPr>
      <w:r>
        <w:rPr>
          <w:rFonts w:hint="eastAsia" w:ascii="仿宋" w:hAnsi="仿宋" w:eastAsia="仿宋"/>
          <w:color w:val="auto"/>
          <w:sz w:val="24"/>
          <w:szCs w:val="28"/>
        </w:rPr>
        <w:t>合同履行期限：详见招标文件</w:t>
      </w:r>
    </w:p>
    <w:p>
      <w:pPr>
        <w:spacing w:line="360" w:lineRule="auto"/>
        <w:ind w:left="420" w:leftChars="200"/>
        <w:jc w:val="left"/>
        <w:rPr>
          <w:rFonts w:ascii="仿宋" w:hAnsi="仿宋" w:eastAsia="仿宋"/>
          <w:color w:val="auto"/>
          <w:sz w:val="24"/>
          <w:szCs w:val="28"/>
        </w:rPr>
      </w:pPr>
      <w:r>
        <w:rPr>
          <w:rFonts w:hint="eastAsia" w:ascii="仿宋" w:hAnsi="仿宋" w:eastAsia="仿宋"/>
          <w:color w:val="auto"/>
          <w:sz w:val="24"/>
          <w:szCs w:val="28"/>
        </w:rPr>
        <w:t>本项目</w:t>
      </w:r>
      <w:r>
        <w:rPr>
          <w:rFonts w:hint="eastAsia" w:ascii="仿宋" w:hAnsi="仿宋" w:eastAsia="仿宋"/>
          <w:b/>
          <w:color w:val="auto"/>
          <w:sz w:val="24"/>
          <w:szCs w:val="28"/>
        </w:rPr>
        <w:t>（</w:t>
      </w:r>
      <w:r>
        <w:rPr>
          <w:rFonts w:ascii="仿宋" w:hAnsi="仿宋" w:eastAsia="仿宋"/>
          <w:b/>
          <w:i/>
          <w:color w:val="auto"/>
          <w:sz w:val="24"/>
          <w:szCs w:val="28"/>
        </w:rPr>
        <w:t>否</w:t>
      </w:r>
      <w:r>
        <w:rPr>
          <w:rFonts w:hint="eastAsia" w:ascii="仿宋" w:hAnsi="仿宋" w:eastAsia="仿宋"/>
          <w:b/>
          <w:color w:val="auto"/>
          <w:sz w:val="24"/>
          <w:szCs w:val="28"/>
        </w:rPr>
        <w:t>）</w:t>
      </w:r>
      <w:r>
        <w:rPr>
          <w:rFonts w:hint="eastAsia" w:ascii="仿宋" w:hAnsi="仿宋" w:eastAsia="仿宋"/>
          <w:color w:val="auto"/>
          <w:sz w:val="24"/>
          <w:szCs w:val="28"/>
        </w:rPr>
        <w:t>接受联合体投标。</w:t>
      </w:r>
    </w:p>
    <w:p>
      <w:pPr>
        <w:pStyle w:val="3"/>
        <w:numPr>
          <w:ilvl w:val="0"/>
          <w:numId w:val="0"/>
        </w:numPr>
        <w:rPr>
          <w:rFonts w:ascii="黑体" w:hAnsi="黑体" w:cs="宋体"/>
          <w:sz w:val="24"/>
          <w:szCs w:val="28"/>
        </w:rPr>
      </w:pPr>
      <w:bookmarkStart w:id="16" w:name="_Toc35393622"/>
      <w:bookmarkStart w:id="17" w:name="_Toc35393791"/>
      <w:bookmarkStart w:id="18" w:name="_Toc28359003"/>
      <w:bookmarkStart w:id="19" w:name="_Toc28359080"/>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i/>
          <w:iCs/>
          <w:color w:val="auto"/>
          <w:sz w:val="24"/>
          <w:szCs w:val="28"/>
          <w:u w:val="single"/>
          <w:lang w:eastAsia="zh-CN"/>
        </w:rPr>
      </w:pPr>
      <w:bookmarkStart w:id="20" w:name="_Toc28359004"/>
      <w:bookmarkStart w:id="21" w:name="_Toc28359081"/>
      <w:r>
        <w:rPr>
          <w:rFonts w:hint="eastAsia" w:ascii="仿宋" w:hAnsi="仿宋" w:eastAsia="仿宋"/>
          <w:color w:val="auto"/>
          <w:sz w:val="24"/>
          <w:szCs w:val="28"/>
        </w:rPr>
        <w:t>本项目的特定资格要求：无</w:t>
      </w:r>
      <w:r>
        <w:rPr>
          <w:rFonts w:hint="eastAsia" w:ascii="仿宋" w:hAnsi="仿宋" w:eastAsia="仿宋"/>
          <w:color w:val="auto"/>
          <w:sz w:val="24"/>
          <w:szCs w:val="28"/>
          <w:lang w:eastAsia="zh-CN"/>
        </w:rPr>
        <w:t>。</w:t>
      </w:r>
    </w:p>
    <w:p>
      <w:pPr>
        <w:pStyle w:val="3"/>
        <w:numPr>
          <w:ilvl w:val="0"/>
          <w:numId w:val="0"/>
        </w:numPr>
        <w:rPr>
          <w:rFonts w:ascii="黑体" w:hAnsi="黑体" w:cs="宋体"/>
          <w:color w:val="auto"/>
          <w:sz w:val="24"/>
          <w:szCs w:val="28"/>
        </w:rPr>
      </w:pPr>
      <w:bookmarkStart w:id="22" w:name="_Toc35393623"/>
      <w:bookmarkStart w:id="23" w:name="_Toc35393792"/>
      <w:r>
        <w:rPr>
          <w:rFonts w:hint="eastAsia" w:ascii="黑体" w:hAnsi="黑体" w:cs="宋体"/>
          <w:color w:val="auto"/>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color w:val="auto"/>
          <w:sz w:val="24"/>
          <w:szCs w:val="28"/>
        </w:rPr>
      </w:pPr>
      <w:r>
        <w:rPr>
          <w:rFonts w:hint="eastAsia" w:ascii="仿宋" w:hAnsi="仿宋" w:eastAsia="仿宋" w:cs="宋体"/>
          <w:color w:val="auto"/>
          <w:sz w:val="24"/>
          <w:szCs w:val="28"/>
        </w:rPr>
        <w:t>时间：</w:t>
      </w:r>
      <w:r>
        <w:rPr>
          <w:rFonts w:hint="eastAsia" w:ascii="仿宋" w:hAnsi="仿宋" w:eastAsia="仿宋"/>
          <w:color w:val="auto"/>
          <w:sz w:val="24"/>
          <w:szCs w:val="28"/>
        </w:rPr>
        <w:t>/至</w:t>
      </w:r>
      <w:r>
        <w:rPr>
          <w:rFonts w:hint="eastAsia" w:ascii="仿宋" w:hAnsi="仿宋" w:eastAsia="仿宋"/>
          <w:bCs/>
          <w:color w:val="auto"/>
          <w:sz w:val="24"/>
          <w:szCs w:val="28"/>
          <w:u w:val="single"/>
          <w:lang w:val="en-US" w:eastAsia="zh-CN"/>
        </w:rPr>
        <w:t>2023</w:t>
      </w:r>
      <w:r>
        <w:rPr>
          <w:rFonts w:hint="eastAsia" w:ascii="仿宋" w:hAnsi="仿宋" w:eastAsia="仿宋"/>
          <w:bCs/>
          <w:color w:val="auto"/>
          <w:sz w:val="24"/>
          <w:szCs w:val="28"/>
          <w:u w:val="single"/>
        </w:rPr>
        <w:t>年</w:t>
      </w:r>
      <w:r>
        <w:rPr>
          <w:rFonts w:hint="eastAsia" w:ascii="仿宋" w:hAnsi="仿宋" w:eastAsia="仿宋"/>
          <w:bCs/>
          <w:color w:val="auto"/>
          <w:sz w:val="24"/>
          <w:szCs w:val="28"/>
          <w:u w:val="single"/>
          <w:lang w:val="en-US" w:eastAsia="zh-CN"/>
        </w:rPr>
        <w:t>11</w:t>
      </w:r>
      <w:r>
        <w:rPr>
          <w:rFonts w:hint="eastAsia" w:ascii="仿宋" w:hAnsi="仿宋" w:eastAsia="仿宋"/>
          <w:bCs/>
          <w:color w:val="auto"/>
          <w:sz w:val="24"/>
          <w:szCs w:val="28"/>
          <w:u w:val="single"/>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u w:val="single"/>
        </w:rPr>
        <w:t>日</w:t>
      </w:r>
      <w:r>
        <w:rPr>
          <w:rFonts w:ascii="仿宋" w:hAnsi="仿宋" w:eastAsia="仿宋"/>
          <w:color w:val="auto"/>
          <w:sz w:val="24"/>
          <w:szCs w:val="28"/>
        </w:rPr>
        <w:t>，每天上午</w:t>
      </w:r>
      <w:r>
        <w:rPr>
          <w:rFonts w:ascii="仿宋" w:hAnsi="仿宋" w:eastAsia="仿宋"/>
          <w:snapToGrid w:val="0"/>
          <w:color w:val="auto"/>
          <w:sz w:val="24"/>
          <w:szCs w:val="28"/>
        </w:rPr>
        <w:t>00:00至12:00</w:t>
      </w:r>
      <w:r>
        <w:rPr>
          <w:rFonts w:ascii="仿宋" w:hAnsi="仿宋" w:eastAsia="仿宋"/>
          <w:color w:val="auto"/>
          <w:sz w:val="24"/>
          <w:szCs w:val="28"/>
        </w:rPr>
        <w:t> ，下午</w:t>
      </w:r>
      <w:r>
        <w:rPr>
          <w:rFonts w:ascii="仿宋" w:hAnsi="仿宋" w:eastAsia="仿宋"/>
          <w:snapToGrid w:val="0"/>
          <w:color w:val="auto"/>
          <w:sz w:val="24"/>
          <w:szCs w:val="28"/>
        </w:rPr>
        <w:t>12:00至23:59</w:t>
      </w:r>
      <w:r>
        <w:rPr>
          <w:rFonts w:ascii="仿宋" w:hAnsi="仿宋" w:eastAsia="仿宋"/>
          <w:color w:val="auto"/>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color w:val="auto"/>
          <w:sz w:val="24"/>
          <w:szCs w:val="28"/>
        </w:rPr>
      </w:pPr>
      <w:r>
        <w:rPr>
          <w:rFonts w:hint="eastAsia" w:ascii="仿宋" w:hAnsi="仿宋" w:eastAsia="仿宋" w:cs="宋体"/>
          <w:color w:val="auto"/>
          <w:sz w:val="24"/>
          <w:szCs w:val="28"/>
        </w:rPr>
        <w:t>地点（网址）：</w:t>
      </w:r>
      <w:r>
        <w:rPr>
          <w:rFonts w:ascii="仿宋" w:hAnsi="仿宋" w:eastAsia="仿宋" w:cs="宋体"/>
          <w:snapToGrid w:val="0"/>
          <w:color w:val="auto"/>
          <w:sz w:val="24"/>
          <w:szCs w:val="28"/>
        </w:rPr>
        <w:t>浙江政府采购网（</w:t>
      </w:r>
      <w:r>
        <w:rPr>
          <w:rFonts w:ascii="仿宋" w:hAnsi="仿宋" w:eastAsia="仿宋" w:cs="宋体"/>
          <w:snapToGrid w:val="0"/>
          <w:color w:val="auto"/>
          <w:sz w:val="24"/>
          <w:szCs w:val="28"/>
        </w:rPr>
        <w:fldChar w:fldCharType="begin"/>
      </w:r>
      <w:r>
        <w:rPr>
          <w:rFonts w:ascii="仿宋" w:hAnsi="仿宋" w:eastAsia="仿宋" w:cs="宋体"/>
          <w:snapToGrid w:val="0"/>
          <w:color w:val="auto"/>
          <w:sz w:val="24"/>
          <w:szCs w:val="28"/>
        </w:rPr>
        <w:instrText xml:space="preserve"> HYPERLINK "http://zfcg.czt.zj.gov.cn/" </w:instrText>
      </w:r>
      <w:r>
        <w:rPr>
          <w:rFonts w:ascii="仿宋" w:hAnsi="仿宋" w:eastAsia="仿宋" w:cs="宋体"/>
          <w:snapToGrid w:val="0"/>
          <w:color w:val="auto"/>
          <w:sz w:val="24"/>
          <w:szCs w:val="28"/>
        </w:rPr>
        <w:fldChar w:fldCharType="separate"/>
      </w:r>
      <w:r>
        <w:rPr>
          <w:rStyle w:val="14"/>
          <w:rFonts w:ascii="仿宋" w:hAnsi="仿宋" w:eastAsia="仿宋" w:cs="宋体"/>
          <w:color w:val="auto"/>
          <w:kern w:val="2"/>
          <w:sz w:val="24"/>
          <w:szCs w:val="28"/>
        </w:rPr>
        <w:t>http://zfcg.czt.zj.gov.cn/</w:t>
      </w:r>
      <w:r>
        <w:rPr>
          <w:rFonts w:ascii="仿宋" w:hAnsi="仿宋" w:eastAsia="仿宋" w:cs="宋体"/>
          <w:snapToGrid w:val="0"/>
          <w:color w:val="auto"/>
          <w:sz w:val="24"/>
          <w:szCs w:val="28"/>
        </w:rPr>
        <w:fldChar w:fldCharType="end"/>
      </w:r>
      <w:r>
        <w:rPr>
          <w:rFonts w:ascii="仿宋" w:hAnsi="仿宋" w:eastAsia="仿宋" w:cs="宋体"/>
          <w:snapToGrid w:val="0"/>
          <w:color w:val="auto"/>
          <w:sz w:val="24"/>
          <w:szCs w:val="28"/>
        </w:rPr>
        <w:t>）</w:t>
      </w:r>
      <w:r>
        <w:rPr>
          <w:rFonts w:hint="eastAsia" w:ascii="仿宋" w:hAnsi="仿宋" w:eastAsia="仿宋" w:cs="宋体"/>
          <w:color w:val="auto"/>
          <w:sz w:val="24"/>
          <w:szCs w:val="28"/>
        </w:rPr>
        <w:t>；</w:t>
      </w:r>
    </w:p>
    <w:p>
      <w:pPr>
        <w:spacing w:line="360" w:lineRule="auto"/>
        <w:ind w:firstLine="480" w:firstLineChars="200"/>
        <w:jc w:val="left"/>
        <w:rPr>
          <w:rFonts w:ascii="仿宋" w:hAnsi="仿宋" w:eastAsia="仿宋" w:cs="宋体"/>
          <w:color w:val="auto"/>
          <w:sz w:val="24"/>
          <w:szCs w:val="28"/>
          <w:u w:val="single"/>
        </w:rPr>
      </w:pPr>
      <w:r>
        <w:rPr>
          <w:rFonts w:hint="eastAsia" w:ascii="仿宋" w:hAnsi="仿宋" w:eastAsia="仿宋" w:cs="宋体"/>
          <w:color w:val="auto"/>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color w:val="auto"/>
          <w:sz w:val="24"/>
          <w:szCs w:val="28"/>
        </w:rPr>
      </w:pPr>
      <w:r>
        <w:rPr>
          <w:rFonts w:hint="eastAsia" w:ascii="仿宋" w:hAnsi="仿宋" w:eastAsia="仿宋" w:cs="宋体"/>
          <w:color w:val="auto"/>
          <w:sz w:val="24"/>
          <w:szCs w:val="28"/>
        </w:rPr>
        <w:t>售价：0。</w:t>
      </w:r>
    </w:p>
    <w:p>
      <w:pPr>
        <w:pStyle w:val="3"/>
        <w:numPr>
          <w:ilvl w:val="0"/>
          <w:numId w:val="0"/>
        </w:numPr>
        <w:rPr>
          <w:rFonts w:ascii="黑体" w:hAnsi="黑体" w:cs="宋体"/>
          <w:color w:val="auto"/>
          <w:sz w:val="24"/>
          <w:szCs w:val="28"/>
        </w:rPr>
      </w:pPr>
      <w:bookmarkStart w:id="24" w:name="_Toc28359082"/>
      <w:bookmarkStart w:id="25" w:name="_Toc28359005"/>
      <w:bookmarkStart w:id="26" w:name="_Toc35393793"/>
      <w:bookmarkStart w:id="27" w:name="_Toc35393624"/>
      <w:r>
        <w:rPr>
          <w:rFonts w:hint="eastAsia" w:ascii="黑体" w:hAnsi="黑体" w:cs="宋体"/>
          <w:color w:val="auto"/>
          <w:sz w:val="24"/>
          <w:szCs w:val="28"/>
        </w:rPr>
        <w:t>四、提交投标文件</w:t>
      </w:r>
      <w:bookmarkEnd w:id="24"/>
      <w:bookmarkEnd w:id="25"/>
      <w:r>
        <w:rPr>
          <w:rFonts w:hint="eastAsia" w:ascii="黑体" w:hAnsi="黑体" w:cs="宋体"/>
          <w:color w:val="auto"/>
          <w:sz w:val="24"/>
          <w:szCs w:val="28"/>
        </w:rPr>
        <w:t>截止时间、开标时间和地点</w:t>
      </w:r>
      <w:bookmarkEnd w:id="26"/>
      <w:bookmarkEnd w:id="27"/>
    </w:p>
    <w:p>
      <w:pPr>
        <w:spacing w:line="360" w:lineRule="auto"/>
        <w:ind w:firstLine="480" w:firstLineChars="200"/>
        <w:jc w:val="left"/>
        <w:rPr>
          <w:rFonts w:hint="eastAsia" w:ascii="仿宋" w:hAnsi="仿宋" w:eastAsia="仿宋"/>
          <w:color w:val="auto"/>
          <w:sz w:val="24"/>
          <w:szCs w:val="28"/>
        </w:rPr>
      </w:pPr>
      <w:r>
        <w:rPr>
          <w:rFonts w:hint="eastAsia" w:ascii="仿宋" w:hAnsi="仿宋" w:eastAsia="仿宋" w:cs="宋体"/>
          <w:color w:val="auto"/>
          <w:sz w:val="24"/>
          <w:szCs w:val="28"/>
        </w:rPr>
        <w:t xml:space="preserve">提交投标文件截止时间： </w:t>
      </w:r>
      <w:r>
        <w:rPr>
          <w:rFonts w:hint="eastAsia" w:ascii="仿宋" w:hAnsi="仿宋" w:eastAsia="仿宋"/>
          <w:bCs/>
          <w:color w:val="auto"/>
          <w:sz w:val="24"/>
          <w:szCs w:val="28"/>
          <w:u w:val="single"/>
          <w:lang w:val="en-US" w:eastAsia="zh-CN"/>
        </w:rPr>
        <w:t>2023</w:t>
      </w:r>
      <w:r>
        <w:rPr>
          <w:rFonts w:hint="eastAsia" w:ascii="仿宋" w:hAnsi="仿宋" w:eastAsia="仿宋"/>
          <w:bCs/>
          <w:color w:val="auto"/>
          <w:sz w:val="24"/>
          <w:szCs w:val="28"/>
          <w:u w:val="single"/>
        </w:rPr>
        <w:t>年</w:t>
      </w:r>
      <w:r>
        <w:rPr>
          <w:rFonts w:hint="eastAsia" w:ascii="仿宋" w:hAnsi="仿宋" w:eastAsia="仿宋"/>
          <w:bCs/>
          <w:color w:val="auto"/>
          <w:sz w:val="24"/>
          <w:szCs w:val="28"/>
          <w:u w:val="single"/>
          <w:lang w:val="en-US" w:eastAsia="zh-CN"/>
        </w:rPr>
        <w:t>11</w:t>
      </w:r>
      <w:r>
        <w:rPr>
          <w:rFonts w:hint="eastAsia" w:ascii="仿宋" w:hAnsi="仿宋" w:eastAsia="仿宋"/>
          <w:bCs/>
          <w:color w:val="auto"/>
          <w:sz w:val="24"/>
          <w:szCs w:val="28"/>
          <w:u w:val="single"/>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u w:val="single"/>
        </w:rPr>
        <w:t>日</w:t>
      </w:r>
      <w:r>
        <w:rPr>
          <w:rFonts w:hint="eastAsia" w:ascii="仿宋" w:hAnsi="仿宋" w:eastAsia="仿宋"/>
          <w:bCs/>
          <w:color w:val="auto"/>
          <w:sz w:val="24"/>
          <w:szCs w:val="28"/>
          <w:u w:val="single"/>
          <w:lang w:val="en-US" w:eastAsia="zh-CN"/>
        </w:rPr>
        <w:t>14</w:t>
      </w:r>
      <w:r>
        <w:rPr>
          <w:rFonts w:hint="eastAsia" w:ascii="仿宋" w:hAnsi="仿宋" w:eastAsia="仿宋"/>
          <w:bCs/>
          <w:color w:val="auto"/>
          <w:sz w:val="24"/>
          <w:szCs w:val="28"/>
          <w:u w:val="single"/>
        </w:rPr>
        <w:t>：</w:t>
      </w:r>
      <w:r>
        <w:rPr>
          <w:rFonts w:hint="eastAsia" w:ascii="仿宋" w:hAnsi="仿宋" w:eastAsia="仿宋"/>
          <w:bCs/>
          <w:color w:val="auto"/>
          <w:sz w:val="24"/>
          <w:szCs w:val="28"/>
          <w:u w:val="single"/>
          <w:lang w:val="en-US" w:eastAsia="zh-CN"/>
        </w:rPr>
        <w:t>30</w:t>
      </w:r>
      <w:r>
        <w:rPr>
          <w:rFonts w:hint="eastAsia" w:ascii="仿宋" w:hAnsi="仿宋" w:eastAsia="仿宋"/>
          <w:bCs/>
          <w:color w:val="auto"/>
          <w:sz w:val="24"/>
          <w:szCs w:val="28"/>
        </w:rPr>
        <w:t>（北京时间）</w:t>
      </w:r>
    </w:p>
    <w:p>
      <w:pPr>
        <w:spacing w:line="360" w:lineRule="auto"/>
        <w:ind w:firstLine="480" w:firstLineChars="200"/>
        <w:jc w:val="left"/>
        <w:rPr>
          <w:rFonts w:hint="eastAsia" w:ascii="仿宋" w:hAnsi="仿宋" w:eastAsia="仿宋" w:cs="宋体"/>
          <w:color w:val="auto"/>
          <w:sz w:val="24"/>
          <w:szCs w:val="28"/>
        </w:rPr>
      </w:pPr>
      <w:r>
        <w:rPr>
          <w:rFonts w:ascii="仿宋" w:hAnsi="仿宋" w:eastAsia="仿宋" w:cs="宋体"/>
          <w:color w:val="auto"/>
          <w:sz w:val="24"/>
          <w:szCs w:val="28"/>
        </w:rPr>
        <w:t>投标地点（网址）：政府采购云平台（https://www.zcygov.cn）</w:t>
      </w:r>
    </w:p>
    <w:p>
      <w:pPr>
        <w:spacing w:line="360" w:lineRule="auto"/>
        <w:ind w:firstLine="480" w:firstLineChars="200"/>
        <w:jc w:val="left"/>
        <w:rPr>
          <w:rFonts w:hint="default" w:ascii="仿宋" w:hAnsi="仿宋" w:eastAsia="仿宋" w:cs="宋体"/>
          <w:color w:val="auto"/>
          <w:sz w:val="24"/>
          <w:szCs w:val="28"/>
          <w:lang w:val="en-US" w:eastAsia="zh-CN"/>
        </w:rPr>
      </w:pPr>
      <w:r>
        <w:rPr>
          <w:rFonts w:ascii="仿宋" w:hAnsi="仿宋" w:eastAsia="仿宋" w:cs="宋体"/>
          <w:color w:val="auto"/>
          <w:sz w:val="24"/>
          <w:szCs w:val="28"/>
        </w:rPr>
        <w:t>开标时间：</w:t>
      </w:r>
      <w:r>
        <w:rPr>
          <w:rFonts w:hint="eastAsia" w:ascii="仿宋" w:hAnsi="仿宋" w:eastAsia="仿宋" w:cs="宋体"/>
          <w:color w:val="auto"/>
          <w:sz w:val="24"/>
          <w:szCs w:val="28"/>
          <w:u w:val="single"/>
          <w:lang w:val="en-US" w:eastAsia="zh-CN"/>
        </w:rPr>
        <w:t>2023</w:t>
      </w:r>
      <w:r>
        <w:rPr>
          <w:rFonts w:hint="eastAsia" w:ascii="仿宋" w:hAnsi="仿宋" w:eastAsia="仿宋"/>
          <w:bCs/>
          <w:color w:val="auto"/>
          <w:sz w:val="24"/>
          <w:szCs w:val="28"/>
          <w:u w:val="single"/>
        </w:rPr>
        <w:t>年</w:t>
      </w:r>
      <w:r>
        <w:rPr>
          <w:rFonts w:hint="eastAsia" w:ascii="仿宋" w:hAnsi="仿宋" w:eastAsia="仿宋"/>
          <w:bCs/>
          <w:color w:val="auto"/>
          <w:sz w:val="24"/>
          <w:szCs w:val="28"/>
          <w:u w:val="single"/>
          <w:lang w:val="en-US" w:eastAsia="zh-CN"/>
        </w:rPr>
        <w:t>11</w:t>
      </w:r>
      <w:r>
        <w:rPr>
          <w:rFonts w:hint="eastAsia" w:ascii="仿宋" w:hAnsi="仿宋" w:eastAsia="仿宋"/>
          <w:bCs/>
          <w:color w:val="auto"/>
          <w:sz w:val="24"/>
          <w:szCs w:val="28"/>
          <w:u w:val="single"/>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u w:val="single"/>
        </w:rPr>
        <w:t>日</w:t>
      </w:r>
      <w:r>
        <w:rPr>
          <w:rFonts w:hint="eastAsia" w:ascii="仿宋" w:hAnsi="仿宋" w:eastAsia="仿宋"/>
          <w:bCs/>
          <w:color w:val="auto"/>
          <w:sz w:val="24"/>
          <w:szCs w:val="28"/>
          <w:u w:val="single"/>
          <w:lang w:val="en-US" w:eastAsia="zh-CN"/>
        </w:rPr>
        <w:t>14</w:t>
      </w:r>
      <w:r>
        <w:rPr>
          <w:rFonts w:hint="eastAsia" w:ascii="仿宋" w:hAnsi="仿宋" w:eastAsia="仿宋"/>
          <w:bCs/>
          <w:color w:val="auto"/>
          <w:sz w:val="24"/>
          <w:szCs w:val="28"/>
          <w:u w:val="single"/>
        </w:rPr>
        <w:t>：</w:t>
      </w:r>
      <w:r>
        <w:rPr>
          <w:rFonts w:hint="eastAsia" w:ascii="仿宋" w:hAnsi="仿宋" w:eastAsia="仿宋"/>
          <w:bCs/>
          <w:color w:val="auto"/>
          <w:sz w:val="24"/>
          <w:szCs w:val="28"/>
          <w:u w:val="single"/>
          <w:lang w:val="en-US" w:eastAsia="zh-CN"/>
        </w:rPr>
        <w:t>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sz w:val="24"/>
          <w:szCs w:val="28"/>
        </w:rPr>
        <w:t>开标地点（网址）：绍兴兰亭文化旅游发展有限公司一楼会议室</w:t>
      </w:r>
      <w:r>
        <w:rPr>
          <w:rFonts w:hint="eastAsia" w:ascii="仿宋" w:hAnsi="仿宋" w:eastAsia="仿宋" w:cs="宋体"/>
          <w:sz w:val="24"/>
          <w:szCs w:val="28"/>
        </w:rPr>
        <w:t>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35393794"/>
      <w:bookmarkStart w:id="29" w:name="_Toc28359084"/>
      <w:bookmarkStart w:id="30" w:name="_Toc35393625"/>
      <w:bookmarkStart w:id="31" w:name="_Toc28359007"/>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sz w:val="24"/>
          <w:szCs w:val="28"/>
        </w:rPr>
        <w:t>国有企业采购</w:t>
      </w:r>
      <w:r>
        <w:rPr>
          <w:rFonts w:ascii="仿宋" w:hAnsi="仿宋" w:eastAsia="仿宋"/>
          <w:sz w:val="24"/>
          <w:szCs w:val="28"/>
        </w:rPr>
        <w:t>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lang w:val="en-US" w:eastAsia="zh-CN"/>
        </w:rPr>
      </w:pPr>
      <w:r>
        <w:rPr>
          <w:rFonts w:hint="eastAsia" w:ascii="仿宋" w:hAnsi="仿宋" w:eastAsia="仿宋"/>
          <w:sz w:val="24"/>
          <w:szCs w:val="28"/>
        </w:rPr>
        <w:t>2.其他事项：</w:t>
      </w:r>
      <w:r>
        <w:rPr>
          <w:rFonts w:hint="eastAsia" w:ascii="仿宋" w:hAnsi="仿宋" w:eastAsia="仿宋"/>
          <w:sz w:val="24"/>
          <w:szCs w:val="28"/>
          <w:lang w:val="en-US" w:eastAsia="zh-CN"/>
        </w:rPr>
        <w:t>无</w:t>
      </w:r>
    </w:p>
    <w:p>
      <w:pPr>
        <w:pStyle w:val="3"/>
        <w:numPr>
          <w:ilvl w:val="0"/>
          <w:numId w:val="0"/>
        </w:numPr>
        <w:rPr>
          <w:rFonts w:ascii="黑体" w:hAnsi="黑体" w:cs="宋体"/>
          <w:sz w:val="24"/>
          <w:szCs w:val="28"/>
        </w:rPr>
      </w:pPr>
      <w:bookmarkStart w:id="34" w:name="_Toc28359008"/>
      <w:bookmarkStart w:id="35" w:name="_Toc35393627"/>
      <w:bookmarkStart w:id="36" w:name="_Toc28359085"/>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eastAsia" w:ascii="仿宋" w:hAnsi="仿宋" w:eastAsia="仿宋" w:cs="宋体"/>
          <w:color w:val="auto"/>
          <w:sz w:val="24"/>
          <w:szCs w:val="28"/>
          <w:lang w:eastAsia="zh-CN"/>
        </w:rPr>
      </w:pPr>
      <w:r>
        <w:rPr>
          <w:rFonts w:hint="eastAsia" w:ascii="宋体" w:hAnsi="宋体" w:cs="宋体"/>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名称：</w:t>
      </w:r>
      <w:r>
        <w:rPr>
          <w:rFonts w:hint="eastAsia" w:ascii="仿宋" w:hAnsi="仿宋" w:eastAsia="仿宋"/>
          <w:color w:val="auto"/>
          <w:sz w:val="24"/>
          <w:szCs w:val="28"/>
          <w:lang w:eastAsia="zh-CN"/>
        </w:rPr>
        <w:t>绍兴市柯桥区林场有限公司</w:t>
      </w:r>
    </w:p>
    <w:p>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地址：</w:t>
      </w:r>
      <w:r>
        <w:rPr>
          <w:rFonts w:hint="eastAsia" w:ascii="仿宋" w:hAnsi="仿宋" w:eastAsia="仿宋"/>
          <w:color w:val="auto"/>
          <w:sz w:val="24"/>
          <w:szCs w:val="28"/>
        </w:rPr>
        <w:t>绍兴柯桥区兰亭街道</w:t>
      </w:r>
    </w:p>
    <w:p>
      <w:pPr>
        <w:widowControl/>
        <w:spacing w:line="360" w:lineRule="auto"/>
        <w:jc w:val="left"/>
        <w:rPr>
          <w:rFonts w:hint="eastAsia" w:ascii="仿宋" w:hAnsi="仿宋" w:eastAsia="仿宋" w:cs="宋体"/>
          <w:color w:val="auto"/>
          <w:sz w:val="24"/>
          <w:szCs w:val="28"/>
          <w:lang w:val="en-US" w:eastAsia="zh-CN"/>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传真：</w:t>
      </w:r>
      <w:r>
        <w:rPr>
          <w:rFonts w:hint="eastAsia" w:ascii="仿宋" w:hAnsi="仿宋" w:eastAsia="仿宋" w:cs="宋体"/>
          <w:color w:val="auto"/>
          <w:sz w:val="24"/>
          <w:szCs w:val="28"/>
          <w:lang w:val="en-US" w:eastAsia="zh-CN"/>
        </w:rPr>
        <w:t>/</w:t>
      </w:r>
    </w:p>
    <w:p>
      <w:pPr>
        <w:widowControl/>
        <w:spacing w:line="360" w:lineRule="auto"/>
        <w:jc w:val="left"/>
        <w:rPr>
          <w:rFonts w:hint="eastAsia" w:ascii="仿宋" w:hAnsi="仿宋" w:eastAsia="仿宋" w:cs="宋体"/>
          <w:color w:val="auto"/>
          <w:sz w:val="24"/>
          <w:szCs w:val="28"/>
          <w:highlight w:val="none"/>
          <w:lang w:eastAsia="zh-CN"/>
        </w:rPr>
      </w:pPr>
      <w:r>
        <w:rPr>
          <w:rFonts w:hint="eastAsia" w:ascii="宋体" w:hAnsi="宋体" w:cs="宋体"/>
          <w:sz w:val="24"/>
          <w:szCs w:val="28"/>
          <w:highlight w:val="none"/>
        </w:rPr>
        <w:t> </w:t>
      </w:r>
      <w:r>
        <w:rPr>
          <w:rFonts w:hint="eastAsia" w:ascii="仿宋" w:hAnsi="仿宋" w:eastAsia="仿宋" w:cs="仿宋"/>
          <w:sz w:val="24"/>
          <w:szCs w:val="28"/>
          <w:highlight w:val="none"/>
        </w:rPr>
        <w:t xml:space="preserve"> </w:t>
      </w:r>
      <w:r>
        <w:rPr>
          <w:rFonts w:hint="eastAsia" w:ascii="宋体" w:hAnsi="宋体" w:cs="宋体"/>
          <w:sz w:val="24"/>
          <w:szCs w:val="28"/>
          <w:highlight w:val="none"/>
        </w:rPr>
        <w:t xml:space="preserve"> </w:t>
      </w: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rPr>
        <w:t>汪</w:t>
      </w:r>
      <w:r>
        <w:rPr>
          <w:rFonts w:hint="eastAsia" w:ascii="仿宋" w:hAnsi="仿宋" w:eastAsia="仿宋" w:cs="宋体"/>
          <w:color w:val="auto"/>
          <w:sz w:val="24"/>
          <w:szCs w:val="28"/>
          <w:highlight w:val="none"/>
          <w:lang w:eastAsia="zh-CN"/>
        </w:rPr>
        <w:t>工</w:t>
      </w:r>
    </w:p>
    <w:p>
      <w:pPr>
        <w:widowControl/>
        <w:spacing w:line="360" w:lineRule="auto"/>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rPr>
        <w:t>0575-89170920</w:t>
      </w:r>
    </w:p>
    <w:p>
      <w:pPr>
        <w:widowControl/>
        <w:spacing w:line="360" w:lineRule="auto"/>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质疑联系人：</w:t>
      </w:r>
      <w:r>
        <w:rPr>
          <w:rFonts w:hint="eastAsia" w:ascii="仿宋" w:hAnsi="仿宋" w:eastAsia="仿宋"/>
          <w:color w:val="auto"/>
          <w:sz w:val="24"/>
          <w:szCs w:val="28"/>
          <w:highlight w:val="none"/>
        </w:rPr>
        <w:t>陈</w:t>
      </w:r>
      <w:r>
        <w:rPr>
          <w:rFonts w:hint="eastAsia" w:ascii="仿宋" w:hAnsi="仿宋" w:eastAsia="仿宋"/>
          <w:color w:val="auto"/>
          <w:sz w:val="24"/>
          <w:szCs w:val="28"/>
          <w:highlight w:val="none"/>
          <w:lang w:eastAsia="zh-CN"/>
        </w:rPr>
        <w:t>工</w:t>
      </w:r>
    </w:p>
    <w:p>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质疑联系方式：</w:t>
      </w:r>
      <w:r>
        <w:rPr>
          <w:rFonts w:hint="eastAsia" w:ascii="仿宋" w:hAnsi="仿宋" w:eastAsia="仿宋"/>
          <w:color w:val="auto"/>
          <w:sz w:val="24"/>
          <w:szCs w:val="28"/>
          <w:highlight w:val="none"/>
        </w:rPr>
        <w:t>0575-89170902</w:t>
      </w:r>
      <w:r>
        <w:rPr>
          <w:rFonts w:hint="eastAsia" w:ascii="仿宋" w:hAnsi="仿宋" w:eastAsia="仿宋" w:cs="仿宋"/>
          <w:color w:val="auto"/>
          <w:sz w:val="24"/>
          <w:szCs w:val="28"/>
        </w:rPr>
        <w:br w:type="textWrapping"/>
      </w:r>
      <w:r>
        <w:rPr>
          <w:rFonts w:hint="eastAsia" w:ascii="宋体" w:hAnsi="宋体" w:cs="宋体"/>
          <w:color w:val="auto"/>
          <w:sz w:val="24"/>
          <w:szCs w:val="28"/>
        </w:rPr>
        <w:t> </w:t>
      </w:r>
      <w:r>
        <w:rPr>
          <w:rFonts w:hint="eastAsia" w:ascii="仿宋" w:hAnsi="仿宋" w:eastAsia="仿宋" w:cs="仿宋"/>
          <w:color w:val="auto"/>
          <w:sz w:val="24"/>
          <w:szCs w:val="28"/>
        </w:rPr>
        <w:t xml:space="preserve">  2.</w:t>
      </w:r>
      <w:r>
        <w:rPr>
          <w:rFonts w:ascii="仿宋" w:hAnsi="仿宋" w:eastAsia="仿宋" w:cs="宋体"/>
          <w:color w:val="auto"/>
          <w:sz w:val="24"/>
          <w:szCs w:val="28"/>
        </w:rPr>
        <w:t>采购代理机构信息</w:t>
      </w:r>
    </w:p>
    <w:p>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名称：</w:t>
      </w:r>
      <w:r>
        <w:rPr>
          <w:rFonts w:hint="eastAsia" w:ascii="仿宋" w:hAnsi="仿宋" w:eastAsia="仿宋" w:cs="宋体"/>
          <w:color w:val="auto"/>
          <w:sz w:val="24"/>
          <w:szCs w:val="28"/>
        </w:rPr>
        <w:t>华诚工程咨询集团有限公司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绍兴市柯桥区金地商业中心二期17幢21楼</w:t>
      </w:r>
    </w:p>
    <w:p>
      <w:pPr>
        <w:widowControl/>
        <w:spacing w:line="360" w:lineRule="auto"/>
        <w:jc w:val="left"/>
        <w:rPr>
          <w:rFonts w:hint="eastAsia" w:ascii="仿宋" w:hAnsi="仿宋" w:eastAsia="仿宋" w:cs="宋体"/>
          <w:sz w:val="24"/>
          <w:szCs w:val="28"/>
          <w:lang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w:t>
      </w:r>
      <w:r>
        <w:rPr>
          <w:rFonts w:ascii="仿宋" w:hAnsi="仿宋" w:eastAsia="仿宋" w:cs="宋体"/>
          <w:color w:val="auto"/>
          <w:sz w:val="24"/>
          <w:szCs w:val="28"/>
        </w:rPr>
        <w:t>真：</w:t>
      </w:r>
      <w:r>
        <w:rPr>
          <w:rFonts w:hint="eastAsia" w:ascii="仿宋" w:hAnsi="仿宋" w:eastAsia="仿宋"/>
          <w:color w:val="auto"/>
          <w:sz w:val="24"/>
          <w:szCs w:val="28"/>
          <w:lang w:val="en-US" w:eastAsia="zh-CN"/>
        </w:rPr>
        <w:t>/</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唐国智</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13735283173</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钱观火</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15267852140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仿宋"/>
          <w:sz w:val="24"/>
          <w:szCs w:val="28"/>
        </w:rPr>
        <w:t>3.同级</w:t>
      </w:r>
      <w:r>
        <w:rPr>
          <w:rFonts w:hint="eastAsia" w:ascii="仿宋" w:hAnsi="仿宋" w:eastAsia="仿宋" w:cs="宋体"/>
          <w:sz w:val="24"/>
          <w:szCs w:val="28"/>
        </w:rPr>
        <w:t>国有企业</w:t>
      </w:r>
      <w:r>
        <w:rPr>
          <w:rFonts w:ascii="仿宋" w:hAnsi="仿宋" w:eastAsia="仿宋" w:cs="宋体"/>
          <w:sz w:val="24"/>
          <w:szCs w:val="28"/>
        </w:rPr>
        <w:t xml:space="preserve">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napToGrid w:val="0"/>
          <w:kern w:val="0"/>
          <w:sz w:val="24"/>
          <w:szCs w:val="28"/>
        </w:rPr>
        <w:t>兰亭度假区监督领导小组</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绍兴市柯桥区兰亭街道</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胡晶晶</w:t>
      </w:r>
    </w:p>
    <w:p>
      <w:pPr>
        <w:spacing w:line="360" w:lineRule="auto"/>
        <w:jc w:val="left"/>
        <w:rPr>
          <w:rFonts w:hint="eastAsia"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hint="eastAsia" w:ascii="仿宋" w:hAnsi="仿宋" w:eastAsia="仿宋" w:cs="宋体"/>
          <w:snapToGrid w:val="0"/>
          <w:kern w:val="0"/>
          <w:sz w:val="24"/>
          <w:szCs w:val="28"/>
        </w:rPr>
        <w:t>0575-89170933</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rPr>
        <w:t>95763</w:t>
      </w:r>
      <w:r>
        <w:rPr>
          <w:rFonts w:ascii="仿宋" w:hAnsi="仿宋" w:eastAsia="仿宋" w:cs="宋体"/>
          <w:kern w:val="0"/>
          <w:szCs w:val="21"/>
        </w:rPr>
        <w:t>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10"/>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olor w:val="auto"/>
                <w:sz w:val="24"/>
                <w:szCs w:val="28"/>
              </w:rPr>
            </w:pPr>
            <w:r>
              <w:rPr>
                <w:rFonts w:hint="eastAsia" w:ascii="仿宋" w:hAnsi="仿宋" w:eastAsia="仿宋"/>
                <w:color w:val="auto"/>
                <w:sz w:val="24"/>
                <w:szCs w:val="28"/>
              </w:rPr>
              <w:t>有关本项目开展所需的</w:t>
            </w:r>
            <w:r>
              <w:rPr>
                <w:rFonts w:hint="eastAsia" w:ascii="仿宋" w:hAnsi="仿宋" w:eastAsia="仿宋"/>
                <w:b/>
                <w:bCs/>
                <w:color w:val="auto"/>
                <w:sz w:val="24"/>
                <w:szCs w:val="28"/>
              </w:rPr>
              <w:t>货物价款、运输、装卸、维修、保养、安装费、劳务费、保险、利润、税金及所有风险、责任等各项应有费用；以及履行本合同有关的其它等可能涉及的一切费用</w:t>
            </w:r>
            <w:r>
              <w:rPr>
                <w:rFonts w:hint="eastAsia" w:ascii="仿宋" w:hAnsi="仿宋" w:eastAsia="仿宋"/>
                <w:color w:val="auto"/>
                <w:sz w:val="24"/>
                <w:szCs w:val="28"/>
              </w:rPr>
              <w:t>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olor w:val="000000"/>
                <w:sz w:val="24"/>
              </w:rPr>
            </w:pPr>
            <w:r>
              <w:rPr>
                <w:rFonts w:hint="eastAsia" w:ascii="仿宋" w:hAnsi="仿宋" w:eastAsia="仿宋"/>
                <w:color w:val="000000"/>
                <w:sz w:val="24"/>
              </w:rPr>
              <w:t>本项</w:t>
            </w:r>
            <w:r>
              <w:rPr>
                <w:rFonts w:hint="eastAsia" w:ascii="仿宋" w:hAnsi="仿宋" w:eastAsia="仿宋"/>
                <w:color w:val="auto"/>
                <w:sz w:val="24"/>
              </w:rPr>
              <w:t>目为</w:t>
            </w:r>
            <w:r>
              <w:rPr>
                <w:rFonts w:hint="eastAsia" w:ascii="仿宋" w:hAnsi="仿宋" w:eastAsia="仿宋"/>
                <w:color w:val="auto"/>
                <w:sz w:val="24"/>
                <w:u w:val="single"/>
              </w:rPr>
              <w:t>货物类</w:t>
            </w:r>
            <w:r>
              <w:rPr>
                <w:rFonts w:hint="eastAsia" w:ascii="仿宋" w:hAnsi="仿宋" w:eastAsia="仿宋"/>
                <w:color w:val="auto"/>
                <w:sz w:val="24"/>
              </w:rPr>
              <w:t>采</w:t>
            </w:r>
            <w:r>
              <w:rPr>
                <w:rFonts w:hint="eastAsia" w:ascii="仿宋" w:hAnsi="仿宋" w:eastAsia="仿宋"/>
                <w:color w:val="000000"/>
                <w:sz w:val="24"/>
              </w:rPr>
              <w:t>购项目</w:t>
            </w:r>
          </w:p>
          <w:p>
            <w:pPr>
              <w:snapToGrid w:val="0"/>
              <w:spacing w:line="360" w:lineRule="auto"/>
              <w:rPr>
                <w:rFonts w:hint="eastAsia" w:ascii="仿宋" w:hAnsi="仿宋" w:eastAsia="仿宋"/>
                <w:color w:val="000000"/>
                <w:sz w:val="24"/>
              </w:rPr>
            </w:pPr>
            <w:r>
              <w:rPr>
                <w:rFonts w:hint="eastAsia" w:ascii="仿宋" w:hAnsi="仿宋" w:eastAsia="仿宋"/>
                <w:color w:val="000000"/>
                <w:sz w:val="24"/>
              </w:rPr>
              <w:t>货物类：本项目货物类产品</w:t>
            </w:r>
            <w:r>
              <w:rPr>
                <w:rFonts w:hint="eastAsia" w:ascii="仿宋" w:hAnsi="仿宋" w:eastAsia="仿宋"/>
                <w:sz w:val="24"/>
                <w:u w:val="single"/>
              </w:rPr>
              <w:t>接受</w:t>
            </w:r>
            <w:r>
              <w:rPr>
                <w:rFonts w:hint="eastAsia" w:ascii="仿宋" w:hAnsi="仿宋" w:eastAsia="仿宋"/>
                <w:color w:val="0000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2"/>
              </w:num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pPr>
              <w:numPr>
                <w:ilvl w:val="0"/>
                <w:numId w:val="2"/>
              </w:numPr>
              <w:snapToGrid w:val="0"/>
              <w:spacing w:line="360" w:lineRule="auto"/>
              <w:rPr>
                <w:rFonts w:hint="eastAsia" w:ascii="仿宋" w:hAnsi="仿宋" w:eastAsia="仿宋" w:cs="仿宋_GB2312"/>
                <w:color w:val="000000"/>
                <w:sz w:val="24"/>
              </w:rPr>
            </w:pPr>
            <w:r>
              <w:rPr>
                <w:rFonts w:hint="eastAsia" w:ascii="仿宋" w:hAnsi="仿宋" w:eastAsia="仿宋" w:cs="仿宋_GB2312"/>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6"/>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6"/>
              <w:spacing w:line="360" w:lineRule="auto"/>
              <w:rPr>
                <w:rFonts w:hint="eastAsia" w:ascii="仿宋" w:hAnsi="仿宋" w:eastAsia="仿宋" w:cs="Times New Roman"/>
                <w:snapToGrid/>
                <w:color w:val="auto"/>
                <w:sz w:val="24"/>
                <w:szCs w:val="20"/>
              </w:rPr>
            </w:pPr>
            <w:r>
              <w:rPr>
                <w:rFonts w:hint="eastAsia" w:ascii="仿宋" w:hAnsi="仿宋" w:eastAsia="仿宋" w:cs="Times New Roman"/>
                <w:b/>
                <w:snapToGrid/>
                <w:color w:val="auto"/>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b/>
                <w:color w:val="auto"/>
                <w:sz w:val="24"/>
              </w:rPr>
            </w:pPr>
            <w:r>
              <w:rPr>
                <w:rFonts w:hint="eastAsia" w:ascii="仿宋" w:hAnsi="仿宋" w:eastAsia="仿宋" w:cs="Times New Roman"/>
                <w:b/>
                <w:snapToGrid/>
                <w:color w:val="auto"/>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118" w:firstLineChars="49"/>
              <w:rPr>
                <w:rFonts w:hint="eastAsia" w:ascii="仿宋" w:hAnsi="仿宋" w:eastAsia="仿宋" w:cs="仿宋_GB2312"/>
                <w:b/>
                <w:color w:val="0000FF"/>
                <w:kern w:val="0"/>
                <w:sz w:val="24"/>
                <w:lang w:val="zh-CN"/>
              </w:rPr>
            </w:pPr>
            <w:r>
              <w:rPr>
                <w:rFonts w:hint="eastAsia" w:ascii="仿宋" w:hAnsi="仿宋" w:eastAsia="仿宋" w:cs="Times New Roman"/>
                <w:b/>
                <w:snapToGrid/>
                <w:color w:val="auto"/>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2"/>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2"/>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w:t>
            </w:r>
            <w:r>
              <w:rPr>
                <w:rFonts w:hint="eastAsia" w:ascii="仿宋" w:hAnsi="仿宋" w:eastAsia="仿宋" w:cs="仿宋_GB2312"/>
                <w:color w:val="auto"/>
                <w:sz w:val="24"/>
                <w:lang w:val="en-US" w:eastAsia="zh-CN"/>
              </w:rPr>
              <w:t>履约</w:t>
            </w:r>
            <w:r>
              <w:rPr>
                <w:rFonts w:hint="eastAsia" w:ascii="仿宋" w:hAnsi="仿宋" w:eastAsia="仿宋" w:cs="仿宋_GB2312"/>
                <w:color w:val="auto"/>
                <w:sz w:val="24"/>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w:t>
            </w:r>
            <w:r>
              <w:rPr>
                <w:rFonts w:hint="eastAsia" w:ascii="仿宋" w:hAnsi="仿宋" w:eastAsia="仿宋"/>
                <w:sz w:val="24"/>
                <w:szCs w:val="28"/>
                <w:lang w:val="en-US" w:eastAsia="zh-CN"/>
              </w:rPr>
              <w:t>30分钟</w:t>
            </w:r>
            <w:r>
              <w:rPr>
                <w:rFonts w:hint="eastAsia" w:ascii="仿宋" w:hAnsi="仿宋" w:eastAsia="仿宋"/>
                <w:sz w:val="24"/>
                <w:szCs w:val="28"/>
              </w:rPr>
              <w:t>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3.1供应商询问</w:t>
      </w:r>
    </w:p>
    <w:p>
      <w:pPr>
        <w:pStyle w:val="6"/>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3.2供应商质疑</w:t>
      </w:r>
    </w:p>
    <w:p>
      <w:pPr>
        <w:pStyle w:val="6"/>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3.2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6"/>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3.2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6"/>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6"/>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6"/>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6"/>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6"/>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3.2.3</w:t>
      </w:r>
      <w:r>
        <w:rPr>
          <w:rFonts w:ascii="仿宋" w:hAnsi="仿宋" w:eastAsia="仿宋"/>
          <w:color w:val="000000"/>
          <w:sz w:val="24"/>
        </w:rPr>
        <w:t>供应商提出质疑应当提交质疑函和必要的证明材料。质疑函应当包括下列内容：</w:t>
      </w:r>
    </w:p>
    <w:p>
      <w:pPr>
        <w:pStyle w:val="1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3.2.3.1</w:t>
      </w:r>
      <w:r>
        <w:rPr>
          <w:rFonts w:ascii="仿宋" w:hAnsi="仿宋" w:eastAsia="仿宋" w:cs="Arial"/>
          <w:snapToGrid w:val="0"/>
          <w:color w:val="000000"/>
          <w:kern w:val="2"/>
          <w:szCs w:val="21"/>
        </w:rPr>
        <w:t>供应商的姓名或者名称、地址、邮编、联系人及联系电话；</w:t>
      </w:r>
    </w:p>
    <w:p>
      <w:pPr>
        <w:pStyle w:val="1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3.2.3.2</w:t>
      </w:r>
      <w:r>
        <w:rPr>
          <w:rFonts w:ascii="仿宋" w:hAnsi="仿宋" w:eastAsia="仿宋" w:cs="Arial"/>
          <w:snapToGrid w:val="0"/>
          <w:color w:val="000000"/>
          <w:kern w:val="2"/>
          <w:szCs w:val="21"/>
        </w:rPr>
        <w:t>质疑项目的名称、编号；</w:t>
      </w:r>
    </w:p>
    <w:p>
      <w:pPr>
        <w:pStyle w:val="1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3.2.3.3</w:t>
      </w:r>
      <w:r>
        <w:rPr>
          <w:rFonts w:ascii="仿宋" w:hAnsi="仿宋" w:eastAsia="仿宋" w:cs="Arial"/>
          <w:snapToGrid w:val="0"/>
          <w:color w:val="000000"/>
          <w:kern w:val="2"/>
          <w:szCs w:val="21"/>
        </w:rPr>
        <w:t>具体、明确的质疑事项和与质疑事项相关的请求；</w:t>
      </w:r>
    </w:p>
    <w:p>
      <w:pPr>
        <w:pStyle w:val="1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3.2.3.4</w:t>
      </w:r>
      <w:r>
        <w:rPr>
          <w:rFonts w:ascii="仿宋" w:hAnsi="仿宋" w:eastAsia="仿宋" w:cs="Arial"/>
          <w:snapToGrid w:val="0"/>
          <w:color w:val="000000"/>
          <w:kern w:val="2"/>
          <w:szCs w:val="21"/>
        </w:rPr>
        <w:t>事实依据；</w:t>
      </w:r>
    </w:p>
    <w:p>
      <w:pPr>
        <w:pStyle w:val="1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3.2.3.5</w:t>
      </w:r>
      <w:r>
        <w:rPr>
          <w:rFonts w:ascii="仿宋" w:hAnsi="仿宋" w:eastAsia="仿宋" w:cs="Arial"/>
          <w:snapToGrid w:val="0"/>
          <w:color w:val="000000"/>
          <w:kern w:val="2"/>
          <w:szCs w:val="21"/>
        </w:rPr>
        <w:t>必要的法律依据；</w:t>
      </w:r>
    </w:p>
    <w:p>
      <w:pPr>
        <w:pStyle w:val="1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3.2.3.6</w:t>
      </w:r>
      <w:r>
        <w:rPr>
          <w:rFonts w:ascii="仿宋" w:hAnsi="仿宋" w:eastAsia="仿宋" w:cs="Arial"/>
          <w:snapToGrid w:val="0"/>
          <w:color w:val="000000"/>
          <w:kern w:val="2"/>
          <w:szCs w:val="21"/>
        </w:rPr>
        <w:t>提出质疑的日期。</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.5询问或者质疑事项可能影响采购结果的，采购人应当暂停签订合同，已经签订合同的，应当中止履行合同。</w:t>
      </w:r>
    </w:p>
    <w:p>
      <w:pPr>
        <w:pStyle w:val="1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3.2.6质疑接收人：详见前附表</w:t>
      </w:r>
    </w:p>
    <w:p>
      <w:pPr>
        <w:pStyle w:val="15"/>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3.3供应商投诉</w:t>
      </w:r>
    </w:p>
    <w:p>
      <w:pPr>
        <w:pStyle w:val="15"/>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rPr>
        <w:t>督管理部门提出投诉。</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.3供应商投诉应当有明确的请求和必要的证明材料。</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.4 以联合体形式参加国企采购活动的，其投诉应当由组成联合体的所有供应商共同提出。</w:t>
      </w:r>
    </w:p>
    <w:p>
      <w:pPr>
        <w:pStyle w:val="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16"/>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5236290"/>
      <w:bookmarkEnd w:id="40"/>
      <w:bookmarkStart w:id="41" w:name="_Hlt74729768"/>
      <w:bookmarkEnd w:id="41"/>
      <w:bookmarkStart w:id="42" w:name="_Hlt68057669"/>
      <w:bookmarkEnd w:id="42"/>
      <w:bookmarkStart w:id="43" w:name="_Hlt74730295"/>
      <w:bookmarkEnd w:id="43"/>
      <w:bookmarkStart w:id="44" w:name="_Hlt74707468"/>
      <w:bookmarkEnd w:id="44"/>
      <w:bookmarkStart w:id="45" w:name="_Hlt68072990"/>
      <w:bookmarkEnd w:id="45"/>
      <w:bookmarkStart w:id="46" w:name="_Hlt74714665"/>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6"/>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4．招标文件的构成</w:t>
      </w:r>
      <w:bookmarkEnd w:id="48"/>
    </w:p>
    <w:bookmarkEnd w:id="49"/>
    <w:p>
      <w:pPr>
        <w:pStyle w:val="6"/>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4.1 招标文件包括下列文件及附件</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6"/>
        <w:numPr>
          <w:ilvl w:val="0"/>
          <w:numId w:val="3"/>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4.2与本项目有关的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6"/>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5. 招标文件的澄清、修改</w:t>
      </w:r>
    </w:p>
    <w:p>
      <w:pPr>
        <w:pStyle w:val="16"/>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hint="eastAsia" w:ascii="仿宋" w:hAnsi="仿宋" w:eastAsia="仿宋" w:cs="仿宋_GB2312"/>
          <w:b/>
          <w:color w:val="000000"/>
          <w:sz w:val="32"/>
          <w:szCs w:val="20"/>
        </w:rPr>
      </w:pPr>
      <w:bookmarkStart w:id="50" w:name="_Hlt75236011"/>
      <w:bookmarkEnd w:id="50"/>
      <w:bookmarkStart w:id="51" w:name="_Toc91899884"/>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三、投标</w:t>
      </w:r>
      <w:bookmarkEnd w:id="51"/>
    </w:p>
    <w:p>
      <w:pPr>
        <w:pStyle w:val="6"/>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6.招标文件的获取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w:t>
      </w:r>
      <w:r>
        <w:rPr>
          <w:rFonts w:ascii="仿宋" w:hAnsi="仿宋" w:eastAsia="仿宋" w:cs="仿宋_GB2312"/>
          <w:b/>
          <w:color w:val="auto"/>
          <w:sz w:val="24"/>
          <w:szCs w:val="21"/>
        </w:rPr>
        <w:t>的</w:t>
      </w:r>
      <w:r>
        <w:rPr>
          <w:rFonts w:hint="eastAsia" w:ascii="仿宋" w:hAnsi="仿宋" w:eastAsia="仿宋" w:cs="仿宋_GB2312"/>
          <w:b/>
          <w:color w:val="auto"/>
          <w:sz w:val="24"/>
          <w:szCs w:val="21"/>
        </w:rPr>
        <w:t>，投</w:t>
      </w:r>
      <w:r>
        <w:rPr>
          <w:rFonts w:hint="eastAsia" w:ascii="仿宋" w:hAnsi="仿宋" w:eastAsia="仿宋" w:cs="仿宋_GB2312"/>
          <w:b/>
          <w:color w:val="000000"/>
          <w:sz w:val="24"/>
          <w:szCs w:val="21"/>
        </w:rPr>
        <w:t>标无效。</w:t>
      </w:r>
    </w:p>
    <w:p>
      <w:pPr>
        <w:pStyle w:val="6"/>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7.开标前答疑会或现场考察</w:t>
      </w:r>
    </w:p>
    <w:p>
      <w:pPr>
        <w:pStyle w:val="6"/>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6"/>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8.投标保证金</w:t>
      </w:r>
    </w:p>
    <w:p>
      <w:pPr>
        <w:pStyle w:val="16"/>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6"/>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9.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6"/>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投标文件的组成</w:t>
      </w:r>
    </w:p>
    <w:p>
      <w:pPr>
        <w:pStyle w:val="6"/>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10.1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（以联合体形式进行国企采购的，参加联合体的供应商均应当提供）</w:t>
      </w:r>
    </w:p>
    <w:p>
      <w:pPr>
        <w:pStyle w:val="6"/>
        <w:spacing w:line="360" w:lineRule="auto"/>
        <w:ind w:firstLine="480" w:firstLineChars="200"/>
        <w:rPr>
          <w:rFonts w:ascii="仿宋" w:hAnsi="仿宋" w:eastAsia="仿宋"/>
          <w:sz w:val="24"/>
        </w:rPr>
      </w:pPr>
      <w:bookmarkStart w:id="54" w:name="_Hlt68403820"/>
      <w:bookmarkEnd w:id="54"/>
      <w:bookmarkStart w:id="55" w:name="_Hlt68072998"/>
      <w:bookmarkEnd w:id="55"/>
      <w:bookmarkStart w:id="56" w:name="_Hlt68073093"/>
      <w:bookmarkEnd w:id="56"/>
      <w:r>
        <w:rPr>
          <w:rFonts w:hint="eastAsia" w:ascii="仿宋" w:hAnsi="仿宋" w:eastAsia="仿宋"/>
          <w:sz w:val="24"/>
        </w:rPr>
        <w:t>10.1.1营业执照(或事业法人登记证或其他工商等登记证明材料)复印件（投标人为自然人的，提供自然人的身份证明）；</w:t>
      </w:r>
    </w:p>
    <w:p>
      <w:pPr>
        <w:pStyle w:val="6"/>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pPr>
        <w:pStyle w:val="6"/>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10.1.2投标声明函；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w:t>
      </w:r>
      <w:r>
        <w:rPr>
          <w:rFonts w:hint="eastAsia" w:ascii="仿宋" w:hAnsi="仿宋" w:eastAsia="仿宋" w:cs="仿宋_GB2312"/>
          <w:sz w:val="24"/>
          <w:lang w:val="en-US" w:eastAsia="zh-CN"/>
        </w:rPr>
        <w:t>3</w:t>
      </w:r>
      <w:r>
        <w:rPr>
          <w:rFonts w:hint="eastAsia" w:ascii="仿宋" w:hAnsi="仿宋" w:eastAsia="仿宋" w:cs="仿宋_GB2312"/>
          <w:sz w:val="24"/>
        </w:rPr>
        <w:t>法定代表人授权书；</w:t>
      </w:r>
      <w:r>
        <w:rPr>
          <w:rFonts w:hint="eastAsia" w:ascii="仿宋" w:hAnsi="仿宋" w:eastAsia="仿宋"/>
          <w:sz w:val="24"/>
        </w:rPr>
        <w:t>如以联合体形式参加国企采购活动的，只需提供联合体牵头人法定代表人授权委托书；</w:t>
      </w:r>
      <w:r>
        <w:rPr>
          <w:rFonts w:hint="eastAsia" w:ascii="仿宋" w:hAnsi="仿宋" w:eastAsia="仿宋" w:cs="仿宋_GB2312"/>
          <w:sz w:val="24"/>
        </w:rPr>
        <w:t>如投标人代表系法定代表人，无需提供法定代表人授权委托书；</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w:t>
      </w:r>
      <w:r>
        <w:rPr>
          <w:rFonts w:hint="eastAsia" w:ascii="仿宋" w:hAnsi="仿宋" w:eastAsia="仿宋" w:cs="仿宋_GB2312"/>
          <w:sz w:val="24"/>
          <w:lang w:val="en-US" w:eastAsia="zh-CN"/>
        </w:rPr>
        <w:t>4</w:t>
      </w:r>
      <w:r>
        <w:rPr>
          <w:rFonts w:hint="eastAsia" w:ascii="仿宋" w:hAnsi="仿宋" w:eastAsia="仿宋" w:cs="仿宋_GB2312"/>
          <w:sz w:val="24"/>
        </w:rPr>
        <w:t>法定代表人及其授权代表的身份证复印件（正反面复印件）；如投标人代表系法定代表人，只需提供其身份证复印件（正反面复印件）；</w:t>
      </w:r>
      <w:r>
        <w:rPr>
          <w:rFonts w:ascii="仿宋" w:hAnsi="仿宋" w:eastAsia="仿宋" w:cs="仿宋_GB2312"/>
          <w:sz w:val="24"/>
        </w:rPr>
        <w:t xml:space="preserve"> </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kern w:val="0"/>
          <w:sz w:val="24"/>
          <w:lang w:val="zh-CN"/>
        </w:rPr>
        <w:t>）</w:t>
      </w:r>
      <w:r>
        <w:rPr>
          <w:rFonts w:hint="eastAsia" w:ascii="仿宋" w:hAnsi="仿宋" w:eastAsia="仿宋" w:cs="仿宋_GB2312"/>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10.2.3技术响应表；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10.2.4商务响应表；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10.2.5</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10.2.6项目负责人情况表；</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10.2.7项目组人员名单；</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10.2.8</w:t>
      </w:r>
      <w:r>
        <w:rPr>
          <w:rFonts w:hint="eastAsia" w:ascii="仿宋" w:hAnsi="仿宋" w:eastAsia="仿宋" w:cs="仿宋_GB2312"/>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10.2.9</w:t>
      </w:r>
      <w:r>
        <w:rPr>
          <w:rFonts w:hint="eastAsia" w:ascii="仿宋" w:hAnsi="仿宋" w:eastAsia="仿宋" w:cs="仿宋_GB2312"/>
          <w:kern w:val="0"/>
          <w:sz w:val="24"/>
          <w:lang w:val="zh-CN"/>
        </w:rPr>
        <w:t>优惠条件及特殊承诺（如有）；</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10.2.10</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10.3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10.3.1投标(开标)一览表。</w:t>
      </w:r>
    </w:p>
    <w:p>
      <w:pPr>
        <w:pStyle w:val="16"/>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11</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12.投标文件的签署、盖章</w:t>
      </w:r>
    </w:p>
    <w:p>
      <w:pPr>
        <w:pStyle w:val="16"/>
        <w:snapToGrid w:val="0"/>
        <w:spacing w:before="0"/>
        <w:ind w:firstLine="480"/>
        <w:rPr>
          <w:rFonts w:hint="eastAsia" w:ascii="仿宋" w:hAnsi="仿宋" w:eastAsia="仿宋" w:cs="仿宋_GB2312"/>
        </w:rPr>
      </w:pPr>
      <w:r>
        <w:rPr>
          <w:rFonts w:hint="eastAsia" w:ascii="仿宋" w:hAnsi="仿宋" w:eastAsia="仿宋" w:cs="仿宋_GB2312"/>
          <w:szCs w:val="24"/>
        </w:rPr>
        <w:t>12.1投标文件按照招标文件第六部分格式要</w:t>
      </w:r>
      <w:r>
        <w:rPr>
          <w:rFonts w:hint="eastAsia" w:ascii="仿宋" w:hAnsi="仿宋" w:eastAsia="仿宋" w:cs="仿宋_GB2312"/>
        </w:rPr>
        <w:t>求进行签署、盖章。</w:t>
      </w:r>
    </w:p>
    <w:p>
      <w:pPr>
        <w:pStyle w:val="16"/>
        <w:snapToGrid w:val="0"/>
        <w:spacing w:before="0"/>
        <w:ind w:firstLine="482"/>
        <w:rPr>
          <w:rFonts w:hint="eastAsia"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6"/>
        <w:snapToGrid w:val="0"/>
        <w:spacing w:before="0"/>
        <w:ind w:firstLine="480"/>
        <w:rPr>
          <w:rFonts w:hint="eastAsia" w:ascii="仿宋" w:hAnsi="仿宋" w:eastAsia="仿宋" w:cs="仿宋_GB2312"/>
          <w:szCs w:val="24"/>
        </w:rPr>
      </w:pPr>
      <w:r>
        <w:rPr>
          <w:rFonts w:hint="eastAsia" w:ascii="仿宋" w:hAnsi="仿宋" w:eastAsia="仿宋" w:cs="仿宋_GB2312"/>
        </w:rPr>
        <w:t>12.2为确保网上操作合法、有效和安全，投标人应当在投标截止时间前完成在“政府采购云平台”的身份认证，确保在电子投标过程中能够对相关数据电文进行加密和使用电子签名。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13.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
        <w:spacing w:before="0"/>
        <w:ind w:firstLine="480"/>
        <w:rPr>
          <w:rFonts w:hint="eastAsia" w:ascii="仿宋" w:hAnsi="仿宋" w:eastAsia="仿宋" w:cs="仿宋_GB2312"/>
          <w:szCs w:val="24"/>
        </w:rPr>
      </w:pPr>
      <w:r>
        <w:rPr>
          <w:rFonts w:hint="eastAsia" w:ascii="仿宋" w:hAnsi="仿宋" w:eastAsia="仿宋" w:cs="仿宋_GB2312"/>
          <w:szCs w:val="24"/>
        </w:rPr>
        <w:t>13.2在投标截止时间前，除供应商补充、修改或者撤回投标文件外，任何单位和个人不得解密或提取投标文件。</w:t>
      </w:r>
    </w:p>
    <w:p>
      <w:pPr>
        <w:pStyle w:val="16"/>
        <w:spacing w:before="0"/>
        <w:ind w:firstLine="480"/>
        <w:rPr>
          <w:rFonts w:hint="eastAsia" w:ascii="仿宋" w:hAnsi="仿宋" w:eastAsia="仿宋" w:cs="仿宋_GB2312"/>
          <w:szCs w:val="24"/>
        </w:rPr>
      </w:pPr>
      <w:r>
        <w:rPr>
          <w:rFonts w:hint="eastAsia" w:ascii="仿宋" w:hAnsi="仿宋" w:eastAsia="仿宋" w:cs="仿宋_GB2312"/>
          <w:szCs w:val="24"/>
        </w:rPr>
        <w:t>13.3采购代理机构可以视情况延长投标文件提交的截止时间。在上述情况下，采购代理机构与投标人以前在投标截止期方面的全部权利、责任和义务，将适用于延长至新的投标截止期。</w:t>
      </w:r>
    </w:p>
    <w:p>
      <w:pPr>
        <w:pStyle w:val="16"/>
        <w:spacing w:before="0"/>
        <w:ind w:firstLine="482"/>
        <w:rPr>
          <w:rFonts w:ascii="仿宋" w:hAnsi="仿宋" w:eastAsia="仿宋" w:cs="仿宋_GB2312"/>
          <w:b/>
          <w:szCs w:val="24"/>
        </w:rPr>
      </w:pPr>
      <w:r>
        <w:rPr>
          <w:rFonts w:hint="eastAsia" w:ascii="仿宋" w:hAnsi="仿宋" w:eastAsia="仿宋" w:cs="仿宋_GB2312"/>
          <w:b/>
          <w:szCs w:val="24"/>
        </w:rPr>
        <w:t>14.投标文件的无效处理</w:t>
      </w:r>
    </w:p>
    <w:p>
      <w:pPr>
        <w:pStyle w:val="5"/>
        <w:spacing w:line="360" w:lineRule="auto"/>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lang w:eastAsia="zh-CN"/>
        </w:rPr>
        <w:t>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16"/>
        <w:spacing w:before="0"/>
        <w:ind w:firstLine="482"/>
        <w:rPr>
          <w:rFonts w:ascii="仿宋" w:hAnsi="仿宋" w:eastAsia="仿宋" w:cs="仿宋_GB2312"/>
          <w:b/>
          <w:szCs w:val="24"/>
        </w:rPr>
      </w:pPr>
      <w:r>
        <w:rPr>
          <w:rFonts w:hint="eastAsia" w:ascii="仿宋" w:hAnsi="仿宋" w:eastAsia="仿宋" w:cs="仿宋_GB2312"/>
          <w:b/>
          <w:szCs w:val="24"/>
        </w:rPr>
        <w:t>15.投标有效期</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szCs w:val="20"/>
        </w:rPr>
        <w:t>15.1投标有效期为从提交投标文件的截止之日起90天。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6"/>
        <w:spacing w:before="0"/>
        <w:ind w:firstLine="480"/>
        <w:rPr>
          <w:rFonts w:ascii="仿宋" w:hAnsi="仿宋" w:eastAsia="仿宋" w:cs="仿宋_GB2312"/>
        </w:rPr>
      </w:pPr>
      <w:r>
        <w:rPr>
          <w:rFonts w:hint="eastAsia" w:ascii="仿宋" w:hAnsi="仿宋" w:eastAsia="仿宋" w:cs="仿宋_GB2312"/>
        </w:rPr>
        <w:t>15.2投标文件合格投递后，自投标截止日期起，在投标有效期内有效。投标有效期内，投标人不得撤销或更换投标文件。</w:t>
      </w:r>
    </w:p>
    <w:p>
      <w:pPr>
        <w:pStyle w:val="16"/>
        <w:spacing w:before="0"/>
        <w:ind w:firstLine="480"/>
        <w:rPr>
          <w:rFonts w:ascii="仿宋" w:hAnsi="仿宋" w:eastAsia="仿宋" w:cs="仿宋_GB2312"/>
        </w:rPr>
      </w:pPr>
      <w:r>
        <w:rPr>
          <w:rFonts w:hint="eastAsia" w:ascii="仿宋" w:hAnsi="仿宋" w:eastAsia="仿宋" w:cs="仿宋_GB2312"/>
        </w:rPr>
        <w:t>15.3在原定投标有效期满之前，如果出现特殊情况，采购代理机构可以以公告形式通知投标人延长投标有效期。投标人同意延长的，不得要求或被允许修改其投标文件，投标人拒绝延长的，其投标无效。</w:t>
      </w:r>
    </w:p>
    <w:p>
      <w:pPr>
        <w:pStyle w:val="16"/>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17"/>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16.开标</w:t>
      </w:r>
      <w:r>
        <w:rPr>
          <w:rFonts w:hint="eastAsia" w:ascii="仿宋_GB2312" w:eastAsia="仿宋_GB2312"/>
          <w:sz w:val="24"/>
        </w:rPr>
        <w:t xml:space="preserve"> </w:t>
      </w:r>
    </w:p>
    <w:p>
      <w:pPr>
        <w:pStyle w:val="17"/>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16.1采购代理机构按照招标文件规定的时间通过电子交易平台组织开标，所有投标人均应当准时在线参加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17"/>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16.2开标时，电子交易平台按开标时间自动提取所有投标文件。采购代理机构依托电子交易平台发起开始解密指令，投标人按照平台提示和招标文件的规定在</w:t>
      </w:r>
      <w:r>
        <w:rPr>
          <w:rFonts w:hint="eastAsia" w:ascii="仿宋" w:hAnsi="仿宋" w:eastAsia="仿宋"/>
          <w:sz w:val="24"/>
          <w:szCs w:val="28"/>
          <w:lang w:val="en-US" w:eastAsia="zh-CN"/>
        </w:rPr>
        <w:t>30分钟</w:t>
      </w:r>
      <w:r>
        <w:rPr>
          <w:rFonts w:hint="eastAsia" w:ascii="仿宋" w:hAnsi="仿宋" w:eastAsia="仿宋" w:cs="仿宋_GB2312"/>
          <w:sz w:val="24"/>
        </w:rPr>
        <w:t>内完成在线解密。</w:t>
      </w:r>
    </w:p>
    <w:p>
      <w:pPr>
        <w:pStyle w:val="17"/>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17、资格审查</w:t>
      </w:r>
    </w:p>
    <w:p>
      <w:pPr>
        <w:pStyle w:val="16"/>
        <w:spacing w:before="0"/>
        <w:ind w:firstLine="480"/>
        <w:rPr>
          <w:rFonts w:ascii="仿宋" w:hAnsi="仿宋" w:eastAsia="仿宋" w:cs="Arial"/>
          <w:kern w:val="0"/>
          <w:szCs w:val="24"/>
        </w:rPr>
      </w:pPr>
      <w:r>
        <w:rPr>
          <w:rFonts w:hint="eastAsia" w:ascii="仿宋" w:hAnsi="仿宋" w:eastAsia="仿宋" w:cs="Arial"/>
          <w:kern w:val="0"/>
          <w:szCs w:val="24"/>
        </w:rPr>
        <w:t>17.1开标后，采购人或采购代理机构将依法对投标人的资格进行审查。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采购人或采购代理机构依据法律法规和招标文件的规定，对投标人的基本资格条件、特定资格条件进行审查。</w:t>
      </w:r>
    </w:p>
    <w:p>
      <w:pPr>
        <w:pStyle w:val="16"/>
        <w:spacing w:before="0"/>
        <w:ind w:firstLine="480"/>
        <w:rPr>
          <w:rFonts w:ascii="仿宋" w:hAnsi="仿宋" w:eastAsia="仿宋" w:cs="仿宋_GB2312"/>
        </w:rPr>
      </w:pPr>
      <w:r>
        <w:rPr>
          <w:rFonts w:hint="eastAsia" w:ascii="仿宋" w:hAnsi="仿宋" w:eastAsia="仿宋" w:cs="Arial"/>
          <w:kern w:val="0"/>
          <w:szCs w:val="24"/>
        </w:rPr>
        <w:t>17.3投标人未按照招标文件要求提供与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6"/>
        <w:spacing w:before="0"/>
        <w:ind w:firstLine="480"/>
        <w:rPr>
          <w:rFonts w:ascii="仿宋" w:hAnsi="仿宋" w:eastAsia="仿宋" w:cs="仿宋_GB2312"/>
        </w:rPr>
      </w:pPr>
      <w:r>
        <w:rPr>
          <w:rFonts w:hint="eastAsia" w:ascii="仿宋" w:hAnsi="仿宋" w:eastAsia="仿宋" w:cs="仿宋_GB2312"/>
        </w:rPr>
        <w:t>17.4对未通过资格审查的投标人，采购人或采购代理机构告知其未通过的原因。</w:t>
      </w:r>
    </w:p>
    <w:p>
      <w:pPr>
        <w:pStyle w:val="16"/>
        <w:spacing w:before="0"/>
        <w:ind w:firstLine="480"/>
        <w:rPr>
          <w:rFonts w:ascii="仿宋" w:hAnsi="仿宋" w:eastAsia="仿宋" w:cs="仿宋_GB2312"/>
        </w:rPr>
      </w:pPr>
      <w:r>
        <w:rPr>
          <w:rFonts w:hint="eastAsia" w:ascii="仿宋" w:hAnsi="仿宋" w:eastAsia="仿宋" w:cs="仿宋_GB2312"/>
        </w:rPr>
        <w:t>17.5合格投标人不足3家的，不再评标。</w:t>
      </w:r>
    </w:p>
    <w:p>
      <w:pPr>
        <w:pStyle w:val="16"/>
        <w:spacing w:before="0"/>
        <w:ind w:firstLine="482"/>
        <w:rPr>
          <w:rFonts w:ascii="仿宋" w:hAnsi="仿宋" w:eastAsia="仿宋" w:cs="仿宋_GB2312"/>
          <w:b/>
          <w:szCs w:val="24"/>
        </w:rPr>
      </w:pPr>
      <w:r>
        <w:rPr>
          <w:rFonts w:hint="eastAsia" w:ascii="仿宋" w:hAnsi="仿宋" w:eastAsia="仿宋" w:cs="仿宋_GB2312"/>
          <w:b/>
          <w:szCs w:val="24"/>
        </w:rPr>
        <w:t>18、信用信息查询</w:t>
      </w:r>
    </w:p>
    <w:p>
      <w:pPr>
        <w:pStyle w:val="16"/>
        <w:spacing w:before="0"/>
        <w:ind w:firstLine="480"/>
        <w:rPr>
          <w:rFonts w:ascii="仿宋" w:hAnsi="仿宋" w:eastAsia="仿宋" w:cs="Arial"/>
          <w:kern w:val="0"/>
          <w:szCs w:val="24"/>
        </w:rPr>
      </w:pPr>
      <w:r>
        <w:rPr>
          <w:rFonts w:hint="eastAsia" w:ascii="仿宋" w:hAnsi="仿宋" w:eastAsia="仿宋" w:cs="Arial"/>
          <w:kern w:val="0"/>
          <w:szCs w:val="24"/>
        </w:rPr>
        <w:t>18.1信用信息查询渠道及截止时间：采购人或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16"/>
        <w:spacing w:before="0"/>
        <w:ind w:firstLine="480"/>
        <w:rPr>
          <w:rFonts w:ascii="仿宋" w:hAnsi="仿宋" w:eastAsia="仿宋" w:cs="Arial"/>
          <w:kern w:val="0"/>
          <w:szCs w:val="24"/>
        </w:rPr>
      </w:pPr>
      <w:r>
        <w:rPr>
          <w:rFonts w:hint="eastAsia" w:ascii="仿宋" w:hAnsi="仿宋" w:eastAsia="仿宋" w:cs="Arial"/>
          <w:kern w:val="0"/>
          <w:szCs w:val="24"/>
        </w:rPr>
        <w:t>18.2信用信息查询记录和证据留存的具体方式：现场查询的投标人的信用记录、查询结果经确认后将与采购文件一起存档。</w:t>
      </w:r>
    </w:p>
    <w:p>
      <w:pPr>
        <w:pStyle w:val="16"/>
        <w:spacing w:before="0"/>
        <w:ind w:firstLine="480"/>
        <w:rPr>
          <w:rFonts w:ascii="仿宋" w:hAnsi="仿宋" w:eastAsia="仿宋" w:cs="Arial"/>
          <w:kern w:val="0"/>
          <w:szCs w:val="24"/>
        </w:rPr>
      </w:pPr>
      <w:r>
        <w:rPr>
          <w:rFonts w:hint="eastAsia" w:ascii="仿宋" w:hAnsi="仿宋" w:eastAsia="仿宋" w:cs="Arial"/>
          <w:kern w:val="0"/>
          <w:szCs w:val="24"/>
        </w:rPr>
        <w:t>18.3信用信息的使用规则：经查询列入失信被执行人名单、重大税收违法案件当事人名单、政府采购严重违法失信行为记录名单的投标人将被拒绝参与国企采购活动。</w:t>
      </w:r>
    </w:p>
    <w:p>
      <w:pPr>
        <w:pStyle w:val="16"/>
        <w:spacing w:before="0"/>
        <w:ind w:firstLine="480"/>
        <w:rPr>
          <w:rFonts w:ascii="仿宋" w:hAnsi="仿宋" w:eastAsia="仿宋" w:cs="仿宋_GB2312"/>
        </w:rPr>
      </w:pPr>
      <w:r>
        <w:rPr>
          <w:rFonts w:hint="eastAsia" w:ascii="仿宋" w:hAnsi="仿宋" w:eastAsia="仿宋" w:cs="Arial"/>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6"/>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19.</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5"/>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0</w:t>
      </w:r>
      <w:r>
        <w:rPr>
          <w:rFonts w:hint="eastAsia" w:ascii="仿宋" w:hAnsi="仿宋" w:eastAsia="仿宋" w:cs="仿宋_GB2312"/>
          <w:b/>
          <w:color w:val="000000"/>
        </w:rPr>
        <w:t>. 确定中标供应商</w:t>
      </w:r>
    </w:p>
    <w:p>
      <w:pPr>
        <w:pStyle w:val="16"/>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16"/>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21.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21.1采购代理机构将在自中标人确定之日起2个工作日内，发布招标公告的网站上公告中标结果，同时发出中标通知书。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21.3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16"/>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2.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22.1电子交易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16"/>
        <w:snapToGrid w:val="0"/>
        <w:spacing w:before="0"/>
        <w:ind w:firstLine="480"/>
        <w:rPr>
          <w:rFonts w:ascii="仿宋" w:hAnsi="仿宋" w:eastAsia="仿宋" w:cs="仿宋_GB2312"/>
        </w:rPr>
      </w:pPr>
      <w:r>
        <w:rPr>
          <w:rFonts w:hint="eastAsia" w:ascii="仿宋" w:hAnsi="仿宋" w:eastAsia="仿宋" w:cs="仿宋_GB2312"/>
        </w:rPr>
        <w:t>22.2电子交易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22.3电子交易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22.4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16"/>
        <w:snapToGrid w:val="0"/>
        <w:spacing w:before="0"/>
        <w:ind w:firstLine="480"/>
        <w:rPr>
          <w:rFonts w:hint="eastAsia" w:ascii="仿宋" w:hAnsi="仿宋" w:eastAsia="仿宋" w:cs="仿宋_GB2312"/>
        </w:rPr>
      </w:pPr>
      <w:r>
        <w:rPr>
          <w:rFonts w:hint="eastAsia" w:ascii="仿宋" w:hAnsi="仿宋" w:eastAsia="仿宋" w:cs="仿宋_GB2312"/>
        </w:rPr>
        <w:t>22.5其他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16"/>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16"/>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5"/>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3</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5"/>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4</w:t>
      </w:r>
      <w:r>
        <w:rPr>
          <w:rFonts w:hint="eastAsia" w:ascii="仿宋" w:hAnsi="仿宋" w:eastAsia="仿宋" w:cs="仿宋_GB2312"/>
          <w:b/>
          <w:color w:val="000000"/>
        </w:rPr>
        <w:t>.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24.1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16"/>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24.2</w:t>
      </w:r>
      <w:r>
        <w:rPr>
          <w:rFonts w:hint="eastAsia" w:ascii="仿宋" w:eastAsia="仿宋"/>
          <w:color w:val="000000"/>
          <w:kern w:val="0"/>
        </w:rPr>
        <w:t>采购人和中标人不得向对方提出任何不合理的要求作为签订合同的条件。</w:t>
      </w:r>
    </w:p>
    <w:p>
      <w:pPr>
        <w:pStyle w:val="5"/>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5</w:t>
      </w:r>
      <w:r>
        <w:rPr>
          <w:rFonts w:hint="eastAsia" w:ascii="仿宋" w:hAnsi="仿宋" w:eastAsia="仿宋" w:cs="仿宋_GB2312"/>
          <w:b/>
          <w:color w:val="000000"/>
        </w:rPr>
        <w:t>. 履约保证金</w:t>
      </w:r>
    </w:p>
    <w:p>
      <w:pPr>
        <w:tabs>
          <w:tab w:val="left" w:pos="0"/>
        </w:tabs>
        <w:spacing w:line="360" w:lineRule="auto"/>
        <w:ind w:firstLine="480" w:firstLineChars="200"/>
        <w:rPr>
          <w:rFonts w:hint="eastAsia" w:ascii="仿宋" w:hAnsi="仿宋" w:eastAsia="仿宋"/>
          <w:sz w:val="24"/>
          <w:highlight w:val="none"/>
        </w:rPr>
      </w:pPr>
      <w:r>
        <w:rPr>
          <w:rFonts w:hint="eastAsia" w:ascii="仿宋" w:hAnsi="仿宋" w:eastAsia="仿宋" w:cs="Helvetica"/>
          <w:kern w:val="0"/>
          <w:sz w:val="24"/>
          <w:lang w:val="en-US" w:eastAsia="zh-CN"/>
        </w:rPr>
        <w:t>不收取履约保证金</w:t>
      </w:r>
      <w:r>
        <w:rPr>
          <w:rFonts w:hint="eastAsia" w:ascii="仿宋" w:hAnsi="仿宋" w:eastAsia="仿宋"/>
          <w:sz w:val="24"/>
          <w:highlight w:val="none"/>
        </w:rPr>
        <w:t>。</w:t>
      </w:r>
    </w:p>
    <w:p>
      <w:pPr>
        <w:adjustRightInd/>
        <w:spacing w:line="360" w:lineRule="auto"/>
        <w:jc w:val="center"/>
        <w:outlineLvl w:val="0"/>
        <w:rPr>
          <w:rFonts w:ascii="仿宋" w:hAnsi="仿宋" w:eastAsia="仿宋" w:cs="仿宋_GB2312"/>
          <w:b/>
          <w:bCs w:val="0"/>
          <w:color w:val="auto"/>
          <w:sz w:val="32"/>
          <w:szCs w:val="20"/>
          <w:highlight w:val="none"/>
        </w:rPr>
      </w:pPr>
      <w:r>
        <w:rPr>
          <w:rFonts w:hint="eastAsia" w:ascii="仿宋" w:hAnsi="仿宋" w:eastAsia="仿宋" w:cs="仿宋_GB2312"/>
          <w:b/>
          <w:bCs w:val="0"/>
          <w:color w:val="auto"/>
          <w:sz w:val="32"/>
          <w:szCs w:val="20"/>
          <w:highlight w:val="none"/>
        </w:rPr>
        <w:t>九、</w:t>
      </w:r>
      <w:r>
        <w:rPr>
          <w:rFonts w:hint="eastAsia" w:ascii="仿宋" w:hAnsi="仿宋" w:eastAsia="仿宋" w:cs="仿宋"/>
          <w:b/>
          <w:sz w:val="32"/>
          <w:szCs w:val="20"/>
          <w:highlight w:val="none"/>
        </w:rPr>
        <w:t>合同公示与备案</w:t>
      </w:r>
    </w:p>
    <w:p>
      <w:pPr>
        <w:pStyle w:val="2"/>
        <w:ind w:left="0" w:leftChars="0" w:firstLine="482" w:firstLineChars="200"/>
        <w:rPr>
          <w:rFonts w:hint="eastAsia" w:ascii="仿宋" w:hAnsi="仿宋" w:eastAsia="仿宋" w:cs="仿宋_GB2312"/>
          <w:b w:val="0"/>
          <w:bCs/>
          <w:color w:val="auto"/>
          <w:sz w:val="24"/>
          <w:szCs w:val="24"/>
          <w:highlight w:val="none"/>
          <w:lang w:eastAsia="zh-CN"/>
        </w:rPr>
      </w:pPr>
      <w:r>
        <w:rPr>
          <w:rFonts w:hint="eastAsia" w:ascii="仿宋" w:hAnsi="仿宋" w:eastAsia="仿宋" w:cs="仿宋_GB2312"/>
          <w:b/>
          <w:bCs w:val="0"/>
          <w:color w:val="auto"/>
          <w:sz w:val="24"/>
          <w:szCs w:val="24"/>
          <w:highlight w:val="none"/>
          <w:lang w:eastAsia="zh-CN"/>
        </w:rPr>
        <w:t>26.合同公示</w:t>
      </w:r>
      <w:r>
        <w:rPr>
          <w:rFonts w:hint="eastAsia" w:ascii="仿宋" w:hAnsi="仿宋" w:eastAsia="仿宋" w:cs="仿宋_GB2312"/>
          <w:b w:val="0"/>
          <w:bCs/>
          <w:color w:val="auto"/>
          <w:sz w:val="24"/>
          <w:szCs w:val="24"/>
          <w:highlight w:val="none"/>
          <w:lang w:eastAsia="zh-CN"/>
        </w:rPr>
        <w:t xml:space="preserve"> </w:t>
      </w:r>
    </w:p>
    <w:p>
      <w:pPr>
        <w:pStyle w:val="2"/>
        <w:ind w:left="0" w:leftChars="0" w:firstLine="480" w:firstLineChars="200"/>
        <w:rPr>
          <w:rFonts w:hint="eastAsia" w:ascii="仿宋" w:hAnsi="仿宋" w:eastAsia="仿宋" w:cs="仿宋_GB2312"/>
          <w:b w:val="0"/>
          <w:bCs/>
          <w:color w:val="auto"/>
          <w:sz w:val="24"/>
          <w:szCs w:val="24"/>
          <w:highlight w:val="none"/>
          <w:lang w:eastAsia="zh-CN"/>
        </w:rPr>
      </w:pPr>
      <w:r>
        <w:rPr>
          <w:rFonts w:hint="eastAsia" w:ascii="仿宋" w:hAnsi="仿宋" w:eastAsia="仿宋" w:cs="仿宋_GB2312"/>
          <w:b w:val="0"/>
          <w:bCs/>
          <w:color w:val="auto"/>
          <w:sz w:val="24"/>
          <w:szCs w:val="24"/>
          <w:highlight w:val="none"/>
          <w:lang w:eastAsia="zh-CN"/>
        </w:rPr>
        <w:t>采购人将在采购合同签订之日起2个工作日内，将采购合同在浙江政府采购网公告，但采购合同中涉及国家秘密、商业秘密的内容除外。</w:t>
      </w:r>
    </w:p>
    <w:p>
      <w:pPr>
        <w:pStyle w:val="2"/>
        <w:ind w:left="0" w:leftChars="0" w:firstLine="482" w:firstLineChars="200"/>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lang w:eastAsia="zh-CN"/>
        </w:rPr>
        <w:t>27.合同备案</w:t>
      </w:r>
    </w:p>
    <w:p>
      <w:pPr>
        <w:pStyle w:val="2"/>
        <w:ind w:left="0" w:leftChars="0" w:firstLine="480" w:firstLineChars="200"/>
      </w:pPr>
      <w:r>
        <w:rPr>
          <w:rFonts w:hint="eastAsia" w:ascii="仿宋" w:hAnsi="仿宋" w:eastAsia="仿宋" w:cs="仿宋_GB2312"/>
          <w:b w:val="0"/>
          <w:bCs/>
          <w:color w:val="auto"/>
          <w:sz w:val="24"/>
          <w:szCs w:val="24"/>
          <w:highlight w:val="none"/>
          <w:lang w:eastAsia="zh-CN"/>
        </w:rPr>
        <w:t>采购人原则上应于采购结果公告发布之日起10日内，将采购合同在政采云系统上备案，最迟不得超过30日。</w:t>
      </w:r>
    </w:p>
    <w:p>
      <w:pPr>
        <w:adjustRightInd/>
        <w:spacing w:line="360" w:lineRule="auto"/>
        <w:jc w:val="center"/>
        <w:outlineLvl w:val="0"/>
        <w:rPr>
          <w:rFonts w:hint="eastAsia" w:ascii="仿宋" w:hAnsi="仿宋" w:eastAsia="仿宋" w:cs="仿宋_GB2312"/>
          <w:b/>
          <w:color w:val="000000"/>
          <w:sz w:val="32"/>
          <w:szCs w:val="20"/>
          <w:lang w:val="en-US" w:eastAsia="zh-CN"/>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lang w:val="en-US" w:eastAsia="zh-CN"/>
        </w:rPr>
        <w:t>十</w:t>
      </w:r>
      <w:r>
        <w:rPr>
          <w:rFonts w:hint="eastAsia" w:ascii="仿宋" w:hAnsi="仿宋" w:eastAsia="仿宋" w:cs="仿宋_GB2312"/>
          <w:b/>
          <w:color w:val="000000"/>
          <w:sz w:val="32"/>
          <w:szCs w:val="20"/>
        </w:rPr>
        <w:t>、履约验收</w:t>
      </w:r>
    </w:p>
    <w:p>
      <w:pPr>
        <w:pStyle w:val="5"/>
        <w:spacing w:line="360" w:lineRule="auto"/>
        <w:ind w:firstLine="482"/>
        <w:rPr>
          <w:rFonts w:ascii="仿宋" w:hAnsi="仿宋" w:eastAsia="仿宋" w:cs="仿宋_GB2312"/>
          <w:b/>
          <w:color w:val="000000"/>
          <w:lang w:eastAsia="zh-CN"/>
        </w:rPr>
      </w:pPr>
      <w:r>
        <w:rPr>
          <w:rFonts w:hint="eastAsia" w:ascii="仿宋" w:hAnsi="仿宋" w:eastAsia="仿宋" w:cs="仿宋_GB2312"/>
          <w:b/>
          <w:color w:val="000000"/>
          <w:lang w:val="en-US" w:eastAsia="zh-CN"/>
        </w:rPr>
        <w:t>28</w:t>
      </w:r>
      <w:r>
        <w:rPr>
          <w:rFonts w:hint="eastAsia" w:ascii="仿宋" w:hAnsi="仿宋" w:eastAsia="仿宋" w:cs="仿宋_GB2312"/>
          <w:b/>
          <w:color w:val="000000"/>
        </w:rPr>
        <w:t>.</w:t>
      </w:r>
      <w:r>
        <w:rPr>
          <w:rFonts w:hint="eastAsia" w:ascii="仿宋" w:hAnsi="仿宋" w:eastAsia="仿宋" w:cs="仿宋_GB2312"/>
          <w:b/>
          <w:color w:val="000000"/>
          <w:lang w:eastAsia="zh-CN"/>
        </w:rPr>
        <w:t>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lang w:val="en-US" w:eastAsia="zh-CN"/>
        </w:rPr>
        <w:t>28</w:t>
      </w:r>
      <w:r>
        <w:rPr>
          <w:rFonts w:hint="eastAsia" w:ascii="仿宋" w:hAnsi="仿宋" w:eastAsia="仿宋" w:cs="Helvetica"/>
          <w:color w:val="000000"/>
          <w:kern w:val="0"/>
          <w:sz w:val="24"/>
        </w:rPr>
        <w:t>.1采购人自行组织或委托采购代理机构对供应商进行履约验收，出具验收书，存档备查。如果发现与合同中要求不符，供应商须承担由此发生的一切损失和费用，并承担相应的法律责任。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rPr>
      </w:pPr>
      <w:r>
        <w:rPr>
          <w:rFonts w:hint="default" w:ascii="仿宋" w:hAnsi="仿宋" w:eastAsia="仿宋" w:cs="Helvetica"/>
          <w:kern w:val="0"/>
          <w:sz w:val="24"/>
        </w:rPr>
        <w:t>2</w:t>
      </w:r>
      <w:r>
        <w:rPr>
          <w:rFonts w:hint="eastAsia" w:ascii="仿宋" w:hAnsi="仿宋" w:eastAsia="仿宋" w:cs="Helvetica"/>
          <w:kern w:val="0"/>
          <w:sz w:val="24"/>
          <w:lang w:val="en-US" w:eastAsia="zh-CN"/>
        </w:rPr>
        <w:t>8</w:t>
      </w:r>
      <w:r>
        <w:rPr>
          <w:rFonts w:hint="eastAsia" w:ascii="仿宋" w:hAnsi="仿宋" w:eastAsia="仿宋" w:cs="Helvetica"/>
          <w:kern w:val="0"/>
          <w:sz w:val="24"/>
        </w:rPr>
        <w:t>.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default" w:ascii="仿宋" w:hAnsi="仿宋" w:eastAsia="仿宋" w:cs="Helvetica"/>
          <w:kern w:val="0"/>
          <w:sz w:val="24"/>
        </w:rPr>
        <w:t>2</w:t>
      </w:r>
      <w:r>
        <w:rPr>
          <w:rFonts w:hint="eastAsia" w:ascii="仿宋" w:hAnsi="仿宋" w:eastAsia="仿宋" w:cs="Helvetica"/>
          <w:kern w:val="0"/>
          <w:sz w:val="24"/>
          <w:lang w:val="en-US" w:eastAsia="zh-CN"/>
        </w:rPr>
        <w:t>8</w:t>
      </w:r>
      <w:r>
        <w:rPr>
          <w:rFonts w:hint="eastAsia" w:ascii="仿宋" w:hAnsi="仿宋" w:eastAsia="仿宋" w:cs="Helvetica"/>
          <w:color w:val="000000"/>
          <w:kern w:val="0"/>
          <w:sz w:val="24"/>
        </w:rPr>
        <w:t>.3采购人可以邀请参加本项目的其他投标人或者第三方机构参与验收。参与验收的投标人或者第三方机构的意见作为验收书的参考资料一并存档。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default" w:ascii="仿宋" w:hAnsi="仿宋" w:eastAsia="仿宋" w:cs="Helvetica"/>
          <w:kern w:val="0"/>
          <w:sz w:val="24"/>
        </w:rPr>
        <w:t>2</w:t>
      </w:r>
      <w:r>
        <w:rPr>
          <w:rFonts w:hint="eastAsia" w:ascii="仿宋" w:hAnsi="仿宋" w:eastAsia="仿宋" w:cs="Helvetica"/>
          <w:kern w:val="0"/>
          <w:sz w:val="24"/>
          <w:lang w:val="en-US" w:eastAsia="zh-CN"/>
        </w:rPr>
        <w:t>8</w:t>
      </w:r>
      <w:r>
        <w:rPr>
          <w:rFonts w:hint="eastAsia" w:ascii="仿宋" w:hAnsi="仿宋" w:eastAsia="仿宋" w:cs="Helvetica"/>
          <w:color w:val="000000"/>
          <w:kern w:val="0"/>
          <w:sz w:val="24"/>
        </w:rPr>
        <w:t>.4国有企业向社会公众提供的公共服务项目验收时应当邀请服务对象参与并出具意见，验收结果应当向社会公告。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color w:val="000000"/>
          <w:kern w:val="0"/>
          <w:sz w:val="24"/>
        </w:rPr>
      </w:pPr>
      <w:r>
        <w:rPr>
          <w:rFonts w:hint="default" w:ascii="仿宋" w:hAnsi="仿宋" w:eastAsia="仿宋" w:cs="Helvetica"/>
          <w:kern w:val="0"/>
          <w:sz w:val="24"/>
        </w:rPr>
        <w:t>2</w:t>
      </w:r>
      <w:r>
        <w:rPr>
          <w:rFonts w:hint="eastAsia" w:ascii="仿宋" w:hAnsi="仿宋" w:eastAsia="仿宋" w:cs="Helvetica"/>
          <w:kern w:val="0"/>
          <w:sz w:val="24"/>
          <w:lang w:val="en-US" w:eastAsia="zh-CN"/>
        </w:rPr>
        <w:t>8</w:t>
      </w:r>
      <w:r>
        <w:rPr>
          <w:rFonts w:hint="eastAsia" w:ascii="仿宋" w:hAnsi="仿宋" w:eastAsia="仿宋" w:cs="Helvetica"/>
          <w:color w:val="000000"/>
          <w:kern w:val="0"/>
          <w:sz w:val="24"/>
        </w:rPr>
        <w:t>.5 采购合同的履行、违约责任和解决争议的方式等适用《中华人民共和国</w:t>
      </w:r>
      <w:r>
        <w:rPr>
          <w:rFonts w:hint="eastAsia" w:ascii="仿宋" w:hAnsi="仿宋" w:eastAsia="仿宋" w:cs="Helvetica"/>
          <w:color w:val="000000"/>
          <w:kern w:val="0"/>
          <w:sz w:val="24"/>
          <w:lang w:val="en-US" w:eastAsia="zh-CN"/>
        </w:rPr>
        <w:t>民法典</w:t>
      </w:r>
      <w:r>
        <w:rPr>
          <w:rFonts w:hint="eastAsia" w:ascii="仿宋" w:hAnsi="仿宋" w:eastAsia="仿宋" w:cs="Helvetica"/>
          <w:color w:val="000000"/>
          <w:kern w:val="0"/>
          <w:sz w:val="24"/>
        </w:rPr>
        <w:t>》。</w:t>
      </w:r>
    </w:p>
    <w:p>
      <w:pPr>
        <w:tabs>
          <w:tab w:val="left" w:pos="0"/>
        </w:tabs>
        <w:spacing w:line="360" w:lineRule="auto"/>
        <w:ind w:firstLine="480" w:firstLineChars="200"/>
        <w:jc w:val="left"/>
        <w:rPr>
          <w:rFonts w:hint="eastAsia" w:ascii="仿宋" w:hAnsi="仿宋" w:eastAsia="仿宋" w:cs="Helvetica"/>
          <w:kern w:val="0"/>
          <w:sz w:val="24"/>
        </w:rPr>
      </w:pPr>
      <w:r>
        <w:rPr>
          <w:rFonts w:hint="default" w:ascii="仿宋" w:hAnsi="仿宋" w:eastAsia="仿宋" w:cs="Helvetica"/>
          <w:kern w:val="0"/>
          <w:sz w:val="24"/>
        </w:rPr>
        <w:t>2</w:t>
      </w:r>
      <w:r>
        <w:rPr>
          <w:rFonts w:hint="eastAsia" w:ascii="仿宋" w:hAnsi="仿宋" w:eastAsia="仿宋" w:cs="Helvetica"/>
          <w:kern w:val="0"/>
          <w:sz w:val="24"/>
          <w:lang w:val="en-US" w:eastAsia="zh-CN"/>
        </w:rPr>
        <w:t>8</w:t>
      </w:r>
      <w:r>
        <w:rPr>
          <w:rFonts w:hint="eastAsia" w:ascii="仿宋" w:hAnsi="仿宋" w:eastAsia="仿宋" w:cs="Helvetica"/>
          <w:kern w:val="0"/>
          <w:sz w:val="24"/>
        </w:rPr>
        <w:t>.6供应商在履约过程中有法律法规规定的违法违规情形的，采购人应当及时报告本级国有企业采购监督管理部门。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offsetFrom="page">
            <w:top w:val="none" w:sz="0" w:space="0"/>
            <w:left w:val="none" w:sz="0" w:space="0"/>
            <w:bottom w:val="none" w:sz="0" w:space="0"/>
            <w:right w:val="none" w:sz="0" w:space="0"/>
          </w:pgBorders>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pStyle w:val="2"/>
        <w:rPr>
          <w:rFonts w:hint="eastAsia" w:ascii="仿宋" w:hAnsi="仿宋" w:eastAsia="仿宋" w:cs="Arial"/>
          <w:color w:val="000000"/>
          <w:kern w:val="0"/>
          <w:sz w:val="24"/>
        </w:rPr>
      </w:pPr>
    </w:p>
    <w:p>
      <w:pPr>
        <w:pStyle w:val="2"/>
        <w:rPr>
          <w:rFonts w:hint="eastAsia" w:ascii="仿宋" w:hAnsi="仿宋" w:eastAsia="仿宋" w:cs="Arial"/>
          <w:color w:val="000000"/>
          <w:kern w:val="0"/>
          <w:sz w:val="24"/>
        </w:rPr>
      </w:pPr>
    </w:p>
    <w:p>
      <w:pPr>
        <w:pStyle w:val="2"/>
        <w:rPr>
          <w:rFonts w:hint="eastAsia" w:ascii="仿宋" w:hAnsi="仿宋" w:eastAsia="仿宋" w:cs="Arial"/>
          <w:color w:val="000000"/>
          <w:kern w:val="0"/>
          <w:sz w:val="24"/>
        </w:rPr>
      </w:pPr>
    </w:p>
    <w:p>
      <w:pPr>
        <w:snapToGrid w:val="0"/>
        <w:spacing w:line="360" w:lineRule="auto"/>
        <w:ind w:firstLine="3052" w:firstLineChars="950"/>
        <w:rPr>
          <w:rFonts w:hint="eastAsia" w:ascii="仿宋" w:hAnsi="仿宋" w:eastAsia="仿宋"/>
          <w:b/>
          <w:color w:val="000000"/>
          <w:sz w:val="28"/>
          <w:szCs w:val="28"/>
        </w:rPr>
      </w:pPr>
      <w:r>
        <w:rPr>
          <w:rFonts w:hint="eastAsia" w:ascii="仿宋" w:hAnsi="仿宋" w:eastAsia="仿宋" w:cs="仿宋_GB2312"/>
          <w:b/>
          <w:color w:val="000000"/>
          <w:sz w:val="32"/>
        </w:rPr>
        <w:t>一、货物清单及技术要求</w:t>
      </w:r>
    </w:p>
    <w:tbl>
      <w:tblPr>
        <w:tblStyle w:val="11"/>
        <w:tblW w:w="10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7"/>
        <w:gridCol w:w="1473"/>
        <w:gridCol w:w="5004"/>
        <w:gridCol w:w="757"/>
        <w:gridCol w:w="736"/>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5004"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主要性能及技术参数</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一、飞鸟剧场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类型：2音路线阵音箱（防水等级IP-X6）防水音响需要经过防水检测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频率范围 (- 10 dB)：60-20kHz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灵敏度 2.83v/1m：102dB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最大音压 SPL @1m：138dB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系统阻抗：16Ω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低音单元尺寸 (mm / inches)：260mm / 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低音单元音圈尺寸 (mm / inches)：65mm / 2.5''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低音盆架材料：铝盆架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高音类型：压缩高音单元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高音音圈尺寸 (mm / inches)：75mm / 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高音出口尺寸 (mm / inches)：35.5mm/1.4"</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高音阻抗：16Ω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覆盖角度 (H x V)：100H x 10V</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额定功率 (w)：800W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节目功率 (w)：1600W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峰值功率 (w)：3200W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分频点：1.5kHz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输入插头：2XWY-24K4Z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悬吊点：4 points 悬吊</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箱体材料：15mm,18mm 夹板/3.0铝板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箱体颜色：黑色防水喷油</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网罩材料：铝网</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 (mm）HXWXD：333.3X845/256.3/443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 (mm ):HXWXD：424X953X513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 (kg)：46kg</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辅助防水线阵音箱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类型：2音路线阵音箱（防水等级IP-X6）防水音响需要经过防水检测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频率范围 (- 10 dB)：60-20kHz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灵敏度 2.83v/1m：102dB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最大音压 SPL @1m：138dB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系统阻抗：16Ω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低音单元尺寸 (mm / inches)：260mm / 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低音单元音圈尺寸 (mm / inches)：65mm / 2.5''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低音盆架材料：铝盆架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高音类型：压缩高音单元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高音音圈尺寸 (mm / inches)：75mm / 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高音出口尺寸 (mm / inches)：35.5mm/1.4"</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高音阻抗：16Ω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覆盖角度 (H x V)：100H x 10V</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额定功率 (w)：800W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节目功率 (w)：1600W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峰值功率 (w)：3200W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分频点：1.5kHz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输入插头：2XWY-24K4Z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悬吊点：4 points 悬吊</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箱体材料：15mm,18mm 夹板/3.0铝板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箱体颜色：黑色防水喷油</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网罩材料：铝网</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 (mm）HXWXD：333.3X845/256.3/443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 (mm ):HXWXD：424X953X513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 (kg)：46kg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 (kg)：50kg</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8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主扩防水线阵低音音箱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类型：次低频音箱（防水等级IP-X6）防水音响经过防水检测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频率响应(±3dB)：39-900Hz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频率范围 (- 10 dB)：35-1.5KHz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灵敏度 2.83v/1m：108dB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最大音压 SPL @1m：145dB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系统阻抗：4Ω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低音单元尺寸 (mm / inches)：381mm / 15''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低音单元音圈尺寸 (mm / inches)：100mm / 4.0''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低音盆架材料：铝盆架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额定功率 (w)：1200W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节目功率 (w)：2400W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峰值功率 (w)：4800W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输入插头：1XWY-24K4Z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悬吊点：4 points 悬吊</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箱体形状：方形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箱体材料：18mm夹板/3.0铝板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箱体颜色：黑色防水喷油</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网罩材料：铝网</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 (mm）HXWXD：494X845X653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 (mm ):HXWXD：933X723x584</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 (kg)：79kg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 (kg)：83kg</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线阵音箱吊挂架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*原厂线阵音箱吊装架构架。</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5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VIP区音箱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类型：15"2分频防水全频音箱</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防水等级：</w:t>
            </w:r>
            <w:r>
              <w:rPr>
                <w:rFonts w:hint="eastAsia" w:ascii="仿宋" w:hAnsi="仿宋" w:eastAsia="仿宋" w:cs="仿宋"/>
                <w:i w:val="0"/>
                <w:iCs w:val="0"/>
                <w:color w:val="000000"/>
                <w:kern w:val="0"/>
                <w:sz w:val="24"/>
                <w:szCs w:val="24"/>
                <w:highlight w:val="none"/>
                <w:u w:val="none"/>
                <w:lang w:val="en-US" w:eastAsia="zh-CN" w:bidi="ar"/>
              </w:rPr>
              <w:t>IP-X6等级(全铝质防水箱体)</w:t>
            </w:r>
            <w:r>
              <w:rPr>
                <w:rFonts w:hint="eastAsia" w:ascii="仿宋" w:hAnsi="仿宋" w:eastAsia="仿宋" w:cs="仿宋"/>
                <w:sz w:val="24"/>
                <w:szCs w:val="24"/>
                <w:lang w:val="en-US" w:eastAsia="zh-CN"/>
              </w:rPr>
              <w:t>（防水等级IP-X6）</w:t>
            </w:r>
            <w:r>
              <w:rPr>
                <w:rFonts w:hint="eastAsia" w:ascii="仿宋" w:hAnsi="仿宋" w:eastAsia="仿宋" w:cs="仿宋"/>
                <w:b/>
                <w:bCs/>
                <w:sz w:val="24"/>
                <w:szCs w:val="24"/>
                <w:lang w:val="en-US" w:eastAsia="zh-CN"/>
              </w:rPr>
              <w:t>防水音响需经过防水检测</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频率响应（±3dB）：45Hz -20KHz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标称灵敏度（1W@1M）：99dB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最大声压：133dB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水平覆盖角：90°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垂直覆盖角：60°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连续功率：700W音乐功率：1400W峰值功率：2800W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高音驱动音圈：3.0"(75mm)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低音驱动音圈：4.0"（100mm）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分频点：1.9KHz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支架接口：无</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箱体材料：15mm夹板＋3.0mm铝壳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箱体喷油：黑色防水漆</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 x W Y - 2 4 K 4 Z母座4针（防水）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附件悬吊点：M10×12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产品尺寸（mm）：高度 758前宽 446后宽 272深度 469</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产品净重（Kg）：44Kg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产品毛重（Kg）：49.5Kg</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8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返听防水音箱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类型：2分频倒相式防水监听音箱（防水等级IP-X6）防水音响经过防水检测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频率响应(±3dB)：50Hz-20KHZ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标称灵敏度（1w@1m(dB）：99dB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最大声压：133dB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水平覆盖角：90°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垂直覆盖角：60°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连续功率：700W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音乐功率：1400W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峰值功率：2800W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高音驱动音圈：3.2"(82mm)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低音驱动音圈：4.0"(100mm)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分频点：1.9KHz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箱体形状：多边形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箱体材料：15mm夹板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输入连接端子：21XWY-24K4Z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尺寸（H×W×D）：723mm×432mm×395.6mm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净重：32.5Kg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毛重：37.0Kg</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辅助防水线阵音箱功放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主扩防水线阵低音音箱功放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VIP区音箱功放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立体声功率8Ω：1400W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立体声功率4Ω：2250W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桥接模式8Ω：3300W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电压增益：42.5dB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 &gt;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输出连接器：每通道5-POLE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通风：由前往后的空气对流机制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冷却：内部空气强排散热，风扇冷却，快速调节，温度保护</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返听防水音箱功放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立体声功率8Ω：1400W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立体声功率4Ω：2250W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桥接模式8Ω：3300W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电压增益：42.5dB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 &gt;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输出连接器：每通道5-POLE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通风：由前往后的空气对流机制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冷却：内部空气强排散热，风扇冷却，快速调节，温度保护</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6"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输入阻抗:&gt;10KΩ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输出阻抗：50Ω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模式：电子均衡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频响：+/- 0.1dB (20 至 30kHz)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动态范围：115dB typical (unweighted)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共模抑制比: &gt;40dB (20 至 10kHz)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串扰：&lt; -100dB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失真：0.002% (1kHz @+4dBu)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音频调节参数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增益：-40至+15dB,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延时：每输入/输出最大40ms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均衡：每输入/输出, 8个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均衡模式：参量均衡、高通、低通、Phase-1和Phase-2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EQ增益：-30至+15dB,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EQ带宽：0.02 to 2.50 Oct (Q=0.5 至 72)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模式:Butterworth, Linkwitz Riley, Bessel</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波峰： 6 至 48dB/Octave</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整机规格</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电源：90-265 VAC (50/60Hz) ? 20VA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尺寸：19"×1.75"×9" (483x44x229mm)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重量：10 lbs / 4.6 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DSP： 40位浮点运算单元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采样率：96kHz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ADC/DAC：24位高效能芯片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传输延时：1.5ms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压限/限幅器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每输出配置1个限幅器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阈值：-20至 +20dBu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响应时间：0.3 至 100m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释放时间：为响应时间的2至32倍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比率：1:1 至 1:40 (仅对压限器生效)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设置存储个数：30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延时单位：毫秒、英尺和米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频率单位：36 级/oct或每1Hz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安全锁功能：密码保护模式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前面板配置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显示屏：2行16字符背光LCD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电平显示：5位LED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按键：1个哑音键/通道，6个菜单项目控制键，1个参数调节键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模拟输入/输出：3针XLR</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RS-232：DB-9母头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 B类接头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电源：标准IEC插口</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WHARFEDALE、BSS、Symetrix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16路话筒输入，带有 48V幻象供电，每通道带有HPF</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24个线路输入 (24个单声道和 4个立体声)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6个AUX发送 + 2个FX发送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GROUP母线 + ST母线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Matrix 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个单声道输出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录音棚级分布式A类 “D-PRE”话放， 内部配置复合晶体管倒相电路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具音乐韵味的 X-pressive EQ功能源于Yamaha久负盛名的VCM技术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专业单旋钮压缩器，带有LED指示灯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双重数字效果处理器:REV-X和Classic SPX</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Stereo Hybrid Channels (立体声混合型通道)</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iPod/iPhone的数字式连接， 用于音频播放与DSP控制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MGP Editor可以通过iPod/iPhone详细控制和操作DSP设置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耐久、紧凑而坚固的粉末喷涂金属外壳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从已连接的 USB 设备中回放或录音到该 USB 设备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31段 GEQ，具备可选的 9 个 flex 频段或 14 个固定频段模式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三段式主压缩器可以分配到立体声母线</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YAMAHA、MIDAS、ALLEN&amp;HEATH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封闭式监听耳机</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可选1：森海HD206耳机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可选2：舒尔SRH440耳机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可选3：AKG K52耳机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需要带3.5转6.35转接头</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AKG、SHURE、森海塞尔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分频网络类型：2音路音箱系统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 ：锥盆低音5”(125毫米)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高音单元：软球顶高音1”(25mm)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有源元件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低音功放：60W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系统性能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频响范围：+/- 6dB 45Hz-24KHz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低通滤波：-6dB /倍频（REL.100Hz）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峰值灵敏度SPL （@ 1m）：102dB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频率上限：-10dB 32KHz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输入阻抗@1KHz：10K欧姆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输入灵敏度：0.775V（0dBu）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信声比：&gt;100dB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系统Fb：55Hz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磁屏蔽：是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电源电压：220V-240V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功耗：静态22W/最大120W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平衡信号输入插座：XLR-1/4 “TRS jack组合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输入转换开关：输入/话筒转换开关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电源插座：3针电源插座（带保险丝）</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箱体类型：双导音管导相式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产品尺寸（高×宽×深）：326×190×284mm</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YAMAHA、WHARFEDALE、JBL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94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指向无源天线</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1、天线频率范围：480--950MHz                                                                                                              2、放大器频率范围：480--950MHz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3、天线方向性：心形                                                                                                                       4、天线极化方式：线性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5、天线增益：≥6.5dB                                                                                                                        6、天线驻波比：&lt;2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7、放大器增益：0到15dB                                                                                                                      8、放大器低噪：&lt;0.45dB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9、放大器OIP3：&gt;38dBm                                                                                                                           10、外部供电：6-12DCV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11、电流：75mA                                                                                                                            12、连接器端口：BNC母头</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1：4信号放大分配器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1、共用一对天线，可支持2-4台无线系列或其它系列的无线系统工作，具有简化天线装配工程，提高系统工作效能的特性。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2、精密的电路设计，具有超低噪声低互调失真特性，并能在多频道同时使用时排除混频干扰。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3、天线输入插座可直接配置使用指向性天线，以解决大面积、多方向的远距离无线传输及传输信号的稳。                                            4、频率范围：554 MHz --936MHz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5、总增益：0dB，±1dB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6、输入/出阻抗：50欧姆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7、天线供电：+8V DC/150mA 中央点为正极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8、直流输出：12V DC/1A(MAX)*4组 中央点为正极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9、电源：100--240V AC，50/60Hz 45W</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8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专业CD播放机</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*CD驱动，支持SD/SDHC卡，USB储存器，CD-DA(音频CD)，WAV/MP2/MP3文件(数据CD)播放。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*支持记忆播放器功能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*支持连续播放、 随机播放、 程序播放、重复播放功能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*支持RCA非平衡模拟输出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*支持XLR平衡模拟输出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*支持同轴， 光纤数字输出(S/PDIF)</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PHILIPS、DENON、PIONEER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1、采用多功能一体化设计，1U机箱；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2、设备级联接口采用RJ45网头设计，支持设备多台级联；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3、支持RS232/RS485串口输入控制；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4、支持串口指令每通道独立控制和时序控制；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5、内置滤波器；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6、支持无源消防信号启动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1、1.5米4平方电源线弱电开关启动；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2、工作电压：AC220V/50~60HZ；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3、最大负载：40A 6000W，单路负载：15A 1500W；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4、可控路数：8路；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5、外形尺寸：483*270*48mm；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6、净重：4.8</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WHARFEDALE、ABL、FURMAN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二、萌宠剧场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（1）、舞台机械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电动葫芦</w:t>
            </w:r>
          </w:p>
        </w:tc>
        <w:tc>
          <w:tcPr>
            <w:tcW w:w="5004" w:type="dxa"/>
            <w:tcBorders>
              <w:tl2br w:val="nil"/>
              <w:tr2bl w:val="nil"/>
            </w:tcBorders>
            <w:shd w:val="clear" w:color="auto" w:fill="auto"/>
            <w:noWrap w:val="0"/>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吊机净重32Kg,链条7*20规格，1.1Kg/m,机身尺寸445*257*140；   </w:t>
            </w:r>
          </w:p>
          <w:p>
            <w:pPr>
              <w:keepNext w:val="0"/>
              <w:keepLines w:val="0"/>
              <w:widowControl/>
              <w:numPr>
                <w:ilvl w:val="0"/>
                <w:numId w:val="4"/>
              </w:numPr>
              <w:suppressLineNumbers w:val="0"/>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航空铝外壳，防护等级IP54;     </w:t>
            </w:r>
          </w:p>
          <w:p>
            <w:pPr>
              <w:keepNext w:val="0"/>
              <w:keepLines w:val="0"/>
              <w:widowControl/>
              <w:numPr>
                <w:ilvl w:val="0"/>
                <w:numId w:val="4"/>
              </w:numPr>
              <w:suppressLineNumbers w:val="0"/>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第三代45°导链器，运行更顺畅，拒绝卡顿；  </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4.齿轮油浴润滑系统，终身免维护，运行平顺，降温，减噪，延长寿命； </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5.镀锌链条,G80级起重链条，7.2倍破断力；  6.单电磁刹车，断电即刹车抱死； </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7.电机：F绝缘等级，功率0.75Kw;       </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8.锻造吊钩，7.5倍破断力；</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9.上下限位，电子限位器，限位位置可调节，防止冲顶；</w:t>
            </w:r>
          </w:p>
          <w:p>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10.速度 4m/min，输入电压380V;  </w:t>
            </w:r>
            <w:bookmarkStart w:id="445" w:name="_GoBack"/>
            <w:bookmarkEnd w:id="445"/>
            <w:r>
              <w:rPr>
                <w:rFonts w:hint="eastAsia" w:ascii="仿宋" w:hAnsi="仿宋" w:eastAsia="仿宋" w:cs="仿宋"/>
                <w:i w:val="0"/>
                <w:iCs w:val="0"/>
                <w:color w:val="000000"/>
                <w:kern w:val="0"/>
                <w:sz w:val="24"/>
                <w:szCs w:val="24"/>
                <w:u w:val="none"/>
                <w:lang w:val="en-US" w:eastAsia="zh-CN" w:bidi="ar"/>
              </w:rPr>
              <w:t xml:space="preserve">     </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牧德，捷仕，Chainmaster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桁架</w:t>
            </w:r>
          </w:p>
        </w:tc>
        <w:tc>
          <w:tcPr>
            <w:tcW w:w="500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铝合金桁架</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控制系统</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采用分体式控制，元器件采用国产优质品牌，分别有控制箱、三相电源指示、控制面板、电锁按钮、急停按钮、分控按钮、主断路器、主电源接触器、相序继电器、线路保护器、分路接触</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珈利、星光、海宝演艺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管线及桥架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侧光安装架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（2）、灯光系统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200W防水成像灯</w:t>
            </w:r>
          </w:p>
        </w:tc>
        <w:tc>
          <w:tcPr>
            <w:tcW w:w="5004" w:type="dxa"/>
            <w:tcBorders>
              <w:tl2br w:val="nil"/>
              <w:tr2bl w:val="nil"/>
            </w:tcBorders>
            <w:shd w:val="clear" w:color="auto" w:fill="auto"/>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电气参数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输入电压：AC100-240V 50/60Hz</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输入功率：250W</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光源类型：超高亮度200W COB灯珠</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LED使用寿命：50000 小时</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光学镜头：采用超高清镀膜镜头设计</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光束角度：19°（26°/36°/50°可选）</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照度：≥1800lux/10 米19°/5600K</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显色指数： Ra≥95</w:t>
            </w:r>
          </w:p>
          <w:p>
            <w:pPr>
              <w:keepNext w:val="0"/>
              <w:keepLines w:val="0"/>
              <w:widowControl/>
              <w:suppressLineNumbers w:val="0"/>
              <w:spacing w:line="240" w:lineRule="auto"/>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色温：2800K~6500K可调，（</w:t>
            </w:r>
            <w:r>
              <w:rPr>
                <w:rFonts w:hint="eastAsia" w:ascii="仿宋" w:hAnsi="仿宋" w:eastAsia="仿宋" w:cs="仿宋"/>
                <w:b/>
                <w:bCs/>
                <w:i w:val="0"/>
                <w:iCs w:val="0"/>
                <w:color w:val="000000"/>
                <w:sz w:val="24"/>
                <w:szCs w:val="24"/>
                <w:u w:val="none"/>
              </w:rPr>
              <w:t>具备 “CNAS认证、CMA计量认证” 第三方检测机构的检测报告数据</w:t>
            </w:r>
            <w:r>
              <w:rPr>
                <w:rFonts w:hint="eastAsia" w:ascii="仿宋" w:hAnsi="仿宋" w:eastAsia="仿宋" w:cs="仿宋"/>
                <w:i w:val="0"/>
                <w:iCs w:val="0"/>
                <w:color w:val="000000"/>
                <w:sz w:val="24"/>
                <w:szCs w:val="24"/>
                <w:u w:val="none"/>
              </w:rPr>
              <w:t>）</w:t>
            </w:r>
          </w:p>
          <w:p>
            <w:pPr>
              <w:pStyle w:val="2"/>
              <w:spacing w:line="240" w:lineRule="auto"/>
              <w:ind w:left="0" w:leftChars="0" w:firstLine="0" w:firstLineChars="0"/>
              <w:rPr>
                <w:rFonts w:hint="eastAsia"/>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效果配置</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调光：0-100%线性调光平滑无闪烁（</w:t>
            </w:r>
            <w:r>
              <w:rPr>
                <w:rFonts w:hint="eastAsia" w:ascii="仿宋" w:hAnsi="仿宋" w:eastAsia="仿宋" w:cs="仿宋"/>
                <w:b/>
                <w:bCs/>
                <w:i w:val="0"/>
                <w:iCs w:val="0"/>
                <w:color w:val="000000"/>
                <w:sz w:val="24"/>
                <w:szCs w:val="24"/>
                <w:u w:val="none"/>
              </w:rPr>
              <w:t>具备 “CNAS认证、CMA计量认证” 第三方检测机构的检测报告数据</w:t>
            </w:r>
            <w:r>
              <w:rPr>
                <w:rFonts w:hint="eastAsia" w:ascii="仿宋" w:hAnsi="仿宋" w:eastAsia="仿宋" w:cs="仿宋"/>
                <w:i w:val="0"/>
                <w:iCs w:val="0"/>
                <w:color w:val="000000"/>
                <w:sz w:val="24"/>
                <w:szCs w:val="24"/>
                <w:u w:val="none"/>
              </w:rPr>
              <w:t>）</w:t>
            </w:r>
          </w:p>
          <w:p>
            <w:pPr>
              <w:pStyle w:val="2"/>
              <w:spacing w:line="240" w:lineRule="auto"/>
              <w:ind w:left="0" w:leftChars="0" w:firstLine="0" w:firstLineChars="0"/>
              <w:rPr>
                <w:rFonts w:hint="eastAsia"/>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频闪：0-25次/秒可调速频闪</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电控技术</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控制模式：2/4通道</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控制协议：DMX512，RDM功能双向传数据</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操作模式：DMX512有线传输数据,同步或单机运转主从、自走、渐变功能</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散热：智能温度监控散热系统，关闭LED与低温度时风扇不工作，静音，延长使用寿命</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显示方式：TFT蓝光液晶彩屏带四按键操控</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灯体结构 </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外壳材料：压铸铝/铝型材，阻燃抗压耐磨新型复合材料</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尺寸与重量</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产品尺寸：586X170X350（mm）</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灯具净重：12Kg</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使用条件</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工作温度：-20℃~40℃</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最大表面温度：55℃</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防护等级：IP65</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放大器</w:t>
            </w:r>
          </w:p>
        </w:tc>
        <w:tc>
          <w:tcPr>
            <w:tcW w:w="5004" w:type="dxa"/>
            <w:tcBorders>
              <w:tl2br w:val="nil"/>
              <w:tr2bl w:val="nil"/>
            </w:tcBorders>
            <w:shd w:val="clear" w:color="auto" w:fill="auto"/>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1.信号分配功能,二进8出；</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2.输入输出间正、负、地均全方位光电隔离，避免高电压反窜入前级信号系统，影响其它设备正常工作；</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3.每个输出口间均为独立，工作互不影响；</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4.信号放大功能，在远距离（50米以上）传送信号变弱时，可以增大信号传输功率，保证信号的远距离传送；</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5.信号整形、稳定功能,在受到电磁干扰时，能很好地保证信号的正确传送；</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6.带电源保险；</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7.配备19英寸标准机柜安装组件，可以方便的安装到标准机柜上(1U)；</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8.配备灯钩安装组件，可以方便的安装到安排灯钩后吊挂到吊杆上； </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9.卡侬插座三芯、五芯可选；</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10．人工智能设计：信号指示灯能自动指示信号正常与否，特别是能识别信号输入信号正负接反。</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电脑控台</w:t>
            </w:r>
          </w:p>
        </w:tc>
        <w:tc>
          <w:tcPr>
            <w:tcW w:w="5004" w:type="dxa"/>
            <w:tcBorders>
              <w:tl2br w:val="nil"/>
              <w:tr2bl w:val="nil"/>
            </w:tcBorders>
            <w:shd w:val="clear" w:color="auto" w:fill="auto"/>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技术参数：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1.DMX512/1990标准，最大1024个DMX控制通道，两路光电隔离信号输出。</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2.最大控制96台电脑灯或96路调光。</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3.使用珍珠灯库（R20格式灯库），且控台上可自行编写灯库。</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4.带背光的LCD显示屏，首创的中英文显示可切换界面。面板中英文可选。</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5.内置图形轨迹发生器，有135个内置图形，方便用户对电脑灯进行图形轨迹控制，如画圆、螺旋、彩虹、追逐等多种效果。</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6.图形参数（如：振幅、速度、间隔、波浪、方向）均可独立设置，更方便快捷的做出想要的造型和场景。</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7.每个场景可保存图形数量5个；同时可运行图形数量10个。</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8.可储存60个素材，支独享素材</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9.可储存60个重演场景，用于储存多步场景和单步场景。每个多步场景最多可储存600个单步。</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10.可同时输出和运行10个重演场景。</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11.带10根集控推杆。按键点控和推杆集控兼容。</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12.支持重新配节地址码、垂直水平交换、通道输出反向等功能。</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13.关机或者突发断电等情况数据可记忆保持。</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14.U盘可备份控台数据，并支持重新导入到控台使用，同型号控台数据可共享。</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15.支持远程软件升级，随时随地增加新的功能。</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16.预置推杆可控制电脑灯的属性，属性控制更方便快捷。</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17.支持立即黑场</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其他参数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18.功率：100W</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19.输入电压：AC 100 -240V / 50-60Hz</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20.专业鹅颈工作灯，适合室内外演出使用。（选配）</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21.产品尺寸：485*400*105mm</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22.净  重：7.5KG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24路智能保护供电直通电源柜</w:t>
            </w:r>
          </w:p>
        </w:tc>
        <w:tc>
          <w:tcPr>
            <w:tcW w:w="5004" w:type="dxa"/>
            <w:tcBorders>
              <w:tl2br w:val="nil"/>
              <w:tr2bl w:val="nil"/>
            </w:tcBorders>
            <w:shd w:val="clear" w:color="auto" w:fill="auto"/>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技术参数：</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1.供电：三相五线制AC380V±10％，频率50Hz±5％.</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2.额定功率：24路×4KW，可选可用于任何负载</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3.设有150A总开关，过载与短路双重保护高分断空气开关</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4.三相独立电源、电压监测，三相A.B.C指示灯</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5.输入/输出电压、电流显示屏直观显示</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6.三种输出方式可选：胶木插40A、16A防水插、19芯插</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7.良好的散热装置和强制风冷与智能环保控制系统相结合</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8.高效的抗干扰扼流圈抗干扰能力好,噪音小,电流上升时间220us-450us</w:t>
            </w:r>
          </w:p>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9.外形尺寸:国际标准9U/13U/14U</w:t>
            </w:r>
          </w:p>
          <w:p>
            <w:pPr>
              <w:keepNext w:val="0"/>
              <w:keepLines w:val="0"/>
              <w:widowControl/>
              <w:suppressLineNumbers w:val="0"/>
              <w:spacing w:after="220" w:afterAutospacing="0" w:line="240" w:lineRule="auto"/>
              <w:jc w:val="left"/>
              <w:textAlignment w:val="top"/>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铝合金灯钩</w:t>
            </w:r>
          </w:p>
        </w:tc>
        <w:tc>
          <w:tcPr>
            <w:tcW w:w="5004" w:type="dxa"/>
            <w:tcBorders>
              <w:tl2br w:val="nil"/>
              <w:tr2bl w:val="nil"/>
            </w:tcBorders>
            <w:shd w:val="clear" w:color="auto" w:fill="auto"/>
            <w:noWrap w:val="0"/>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保险绳</w:t>
            </w:r>
          </w:p>
        </w:tc>
        <w:tc>
          <w:tcPr>
            <w:tcW w:w="5004" w:type="dxa"/>
            <w:tcBorders>
              <w:tl2br w:val="nil"/>
              <w:tr2bl w:val="nil"/>
            </w:tcBorders>
            <w:shd w:val="clear" w:color="auto" w:fill="auto"/>
            <w:noWrap w:val="0"/>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3*1.5电缆线</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3*1.5电缆线</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 </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信号线</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信号线</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 </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（3）、音箱系统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类型：2x8"2分频线性阵列音箱（防水等级IP-X6）</w:t>
            </w:r>
            <w:r>
              <w:rPr>
                <w:rFonts w:hint="eastAsia" w:ascii="仿宋" w:hAnsi="仿宋" w:eastAsia="仿宋" w:cs="仿宋"/>
                <w:b/>
                <w:bCs/>
                <w:sz w:val="24"/>
                <w:szCs w:val="24"/>
                <w:lang w:val="en-US" w:eastAsia="zh-CN"/>
              </w:rPr>
              <w:t>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水平覆盖角：100°/垂直覆盖角：10°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连续功率：400W/音乐功率：800W/峰值功率：1600W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低音驱动音圈：2.5”(64.5mm)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分频点：1.8KHz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箱体材料：18mm/15mm夹板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附件悬吊点：可调整0°- 1 0°角度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尺寸（H×W×D）：250mm×760mm×464mm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净重：27.0Kg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毛重：33.0Kg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 xml:space="preserve">； </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观众区防水线阵低音音箱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类型：双15"次低音箱（防水等级IP-X6）</w:t>
            </w:r>
            <w:r>
              <w:rPr>
                <w:rFonts w:hint="eastAsia" w:ascii="仿宋" w:hAnsi="仿宋" w:eastAsia="仿宋" w:cs="仿宋"/>
                <w:b/>
                <w:bCs/>
                <w:sz w:val="24"/>
                <w:szCs w:val="24"/>
                <w:lang w:val="en-US" w:eastAsia="zh-CN"/>
              </w:rPr>
              <w:t>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频率响应(±3dB)：30Hz-20KHz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标称灵敏度（1w@1m(dB）：105dB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最大声压：142dB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连续功率：1200W/音乐功率：2400W/峰值功率：4800W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低音驱动音圈：4.0"(100mm)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箱体形状：矩形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输入连接端子：1XWY-24K4Z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附悬吊点：不可调整角度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尺寸（H×W×D）：485mm×760mm×716mm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净重：63.5Kg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毛重：72.2Kg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6"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表演区防水线阵音箱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类型：2x8"2分频线性阵列音箱（防水等级IP-X6）</w:t>
            </w:r>
            <w:r>
              <w:rPr>
                <w:rFonts w:hint="eastAsia" w:ascii="仿宋" w:hAnsi="仿宋" w:eastAsia="仿宋" w:cs="仿宋"/>
                <w:b/>
                <w:bCs/>
                <w:sz w:val="24"/>
                <w:szCs w:val="24"/>
                <w:lang w:val="en-US" w:eastAsia="zh-CN"/>
              </w:rPr>
              <w:t>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水平覆盖角：100°/垂直覆盖角：10°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连续功率：400W/音乐功率：800W/峰值功率：1600W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低音驱动音圈：2.5”(64.5mm)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分频点：1.8KHz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箱体材料：18mm/15mm夹板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附件悬吊点：可调整0°- 1 0°角度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尺寸（H×W×D）：250mm×760mm×464mm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净重：27.0Kg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毛重：33.0Kg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线阵列吊架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*原厂线阵音箱吊装架构架。</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拉声像音箱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类型：15"2分频防水全频音箱</w:t>
            </w:r>
          </w:p>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防水等级：</w:t>
            </w:r>
            <w:r>
              <w:rPr>
                <w:rFonts w:hint="eastAsia" w:ascii="仿宋" w:hAnsi="仿宋" w:eastAsia="仿宋" w:cs="仿宋"/>
                <w:i w:val="0"/>
                <w:iCs w:val="0"/>
                <w:color w:val="000000"/>
                <w:kern w:val="0"/>
                <w:sz w:val="24"/>
                <w:szCs w:val="24"/>
                <w:highlight w:val="none"/>
                <w:u w:val="none"/>
                <w:lang w:val="en-US" w:eastAsia="zh-CN" w:bidi="ar"/>
              </w:rPr>
              <w:t>IP-X6等级(全铝质防水箱体)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防水等级IP-X6）</w:t>
            </w:r>
            <w:r>
              <w:rPr>
                <w:rFonts w:hint="eastAsia" w:ascii="仿宋" w:hAnsi="仿宋" w:eastAsia="仿宋" w:cs="仿宋"/>
                <w:b/>
                <w:bCs/>
                <w:sz w:val="24"/>
                <w:szCs w:val="24"/>
                <w:lang w:val="en-US" w:eastAsia="zh-CN"/>
              </w:rPr>
              <w:t>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频率响应（±3dB）：45Hz -20KHz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标称灵敏度（1W@1M）：99dB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最大声压：133dB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水平覆盖角：90°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垂直覆盖角：60°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连续功率：700W音乐功率：1400W峰值功率：2800W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高音驱动音圈：3.0"(75mm)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低音驱动音圈：4.0"（100mm）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分频点：1.9KHz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支架接口：无</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箱体材料：15mm夹板＋3.0mm铝壳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箱体喷油：黑色防水漆</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 x W Y - 2 4 K 4 Z母座4针（防水）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附件悬吊点：M10×12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产品尺寸（mm）：高度 758前宽 446后宽 272深度 469</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产品净重（Kg）：44Kg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产品毛重（Kg）：49.5Kg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后场补声音箱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频率范围(-10dB)：150Hz-20KHz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灵敏度2.83v/1m：95dB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最大音压SPL @1m：123dB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尺寸(mm/inches)：5×75mm/3"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音圈尺寸(mm/inches)：33mm/1.3"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低音单元功率（:AES2-2012）：40W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类型：1×1"PEI EVO-fold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尺寸：1×1"高音单元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音圈尺寸(mm/inches)：25.4mm/1"</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号角出口尺寸(mm/inches)：25.4mm/1"</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高音振膜材料：PEI</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号角形状：EvoFold号角</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覆盖角度(H×V)：120˚×30˚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连续/节目/峰值功率(W)：180W/360W/720W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音箱分频点：2.5KHz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输入连接插头：1条防水电缆线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标配U型墙壁支架：U型墙壁支架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音箱箱体材料：铝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箱体颜色：黑色/白色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网罩材料：1.2mm厚铝网</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产品尺寸(H×W×D)：720mm×126mm×145mm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产品净重：6.8kg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97"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落地超低音箱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类型：双18寸全天候防水超低音箱</w:t>
            </w:r>
          </w:p>
          <w:p>
            <w:pPr>
              <w:keepNext w:val="0"/>
              <w:keepLines w:val="0"/>
              <w:widowControl/>
              <w:suppressLineNumbers w:val="0"/>
              <w:jc w:val="left"/>
              <w:textAlignment w:val="center"/>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防水等级：</w:t>
            </w:r>
            <w:r>
              <w:rPr>
                <w:rFonts w:hint="eastAsia" w:ascii="仿宋" w:hAnsi="仿宋" w:eastAsia="仿宋" w:cs="仿宋"/>
                <w:i w:val="0"/>
                <w:iCs w:val="0"/>
                <w:color w:val="000000"/>
                <w:kern w:val="0"/>
                <w:sz w:val="24"/>
                <w:szCs w:val="24"/>
                <w:highlight w:val="none"/>
                <w:u w:val="none"/>
                <w:lang w:val="en-US" w:eastAsia="zh-CN" w:bidi="ar"/>
              </w:rPr>
              <w:t>IPX6（全铝质防水箱体）</w:t>
            </w:r>
            <w:r>
              <w:rPr>
                <w:rFonts w:hint="eastAsia" w:ascii="仿宋" w:hAnsi="仿宋" w:eastAsia="仿宋" w:cs="仿宋"/>
                <w:sz w:val="24"/>
                <w:szCs w:val="24"/>
                <w:lang w:val="en-US" w:eastAsia="zh-CN"/>
              </w:rPr>
              <w:t>（防水等级IP-X6）</w:t>
            </w:r>
            <w:r>
              <w:rPr>
                <w:rFonts w:hint="eastAsia" w:ascii="仿宋" w:hAnsi="仿宋" w:eastAsia="仿宋" w:cs="仿宋"/>
                <w:b/>
                <w:bCs/>
                <w:sz w:val="24"/>
                <w:szCs w:val="24"/>
                <w:lang w:val="en-US" w:eastAsia="zh-CN"/>
              </w:rPr>
              <w:t>防水音响经过防水检测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频率响应(±3dB)：30Hz-800Hz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标称灵敏度（1w@1m(dB）：109dB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最大声压：148dB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连续功率：2000W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音乐功率：4000W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峰值功率：8000W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低音驱动音圈：4.0"(102mm)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分频点：1.9KHz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箱体形状：矩形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箱体材料：18mm夹板+3.0mm铝壳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箱体喷油颜色：黑色防水漆</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输入连接端子：1×WY-24K4Z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尺寸（H×W×D）：568mm×1073mm×757mm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净重：97Kg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毛重：111Kg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观众区防水线阵低音音箱功放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2"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拉声像音箱功放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立体声功率8Ω：1400W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立体声功率4Ω：2250W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桥接模式8Ω：3300W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电压增益：42.5dB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 &gt;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输出连接器：每通道5-POLE Speakon及一对接线柱</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后场补声音箱功放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立体声功率8Ω：450W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立体声功率4Ω：650W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桥接模式8Ω：1200W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电压增益：37.5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输出连接器：每通道4-POLE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通风：由前往后的空气对流机制</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落地超低音箱功放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立体声功率8Ω：2000W×2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立体声功率4Ω：3400W×2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立体声功率2Ω：5780W×2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桥接模式16Ω：4000W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桥接模式8Ω：6800W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桥接模式4Ω：11560W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RMS输出电压（THD=1%，1KHz）：126.5V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信噪比：≥112dB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净重：8.8kg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输入阻抗:&gt;10KΩ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输出阻抗：50Ω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模式：电子均衡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频响：+/- 0.1dB (20 至 30kHz)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动态范围：115dB typical (unweighted)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共模抑制比: &gt;40dB (20 至 10kHz)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串扰：&lt; -100dB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失真：0.002% (1kHz @+4dBu)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音频调节参数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增益：-40至+15dB,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延时：每输入/输出最大40ms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均衡：每输入/输出, 8个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均衡模式：参量均衡、高通、低通、Phase-1和Phase-2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EQ增益：-30至+15dB,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EQ带宽：0.02 to 2.50 Oct (Q=0.5 至 72)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模式:Butterworth, Linkwitz Riley, Bessel</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波峰： 6 至 48dB/Octave</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整机规格</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电源：90-265 VAC (50/60Hz) ? 20VA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尺寸：19"×1.75"×9" (483x44x229mm)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重量：10 lbs / 4.6 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DSP： 40位浮点运算单元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采样率：96kHz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ADC/DAC：24位高效能芯片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传输延时：1.5ms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压限/限幅器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每输出配置1个限幅器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阈值：-20至 +20dBu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响应时间：0.3 至 100m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释放时间：为响应时间的2至32倍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比率：1:1 至 1:40 (仅对压限器生效)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设置存储个数：30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延时单位：毫秒、英尺和米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频率单位：36 级/oct或每1Hz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安全锁功能：密码保护模式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前面板配置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显示屏：2行16字符背光LCD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电平显示：5位LED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按键：1个哑音键/通道，6个菜单项目控制键，1个参数调节键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模拟输入/输出：3针XLR</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RS-232：DB-9母头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 B类接头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电源：标准IEC插口</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WHARFEDALE、BSS、Symetrix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16个话筒 / 20个线路输入 (12个单声道 + 4个立体声)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4编组母线 + 1立体声母线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AUX (包括FX)</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“D-PRE”话放，带有倒向晶体管电路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单旋钮压缩器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效果器：SPX，含24组预置效果器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24-bit/192kHz 2进/2出 USB音频功能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通过Apple iPad Camera Connection Kit / Lightning to USB Camera Adapter (连接适配器)与iPad (2或更高版本) 连接工作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Cubasis LE（iPad版）可通过App Store 下载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含Cubase AI DAW下载版软件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单声道输入通道上的PAD开关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+48V幻象供电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XLR平衡输出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世界通用的内部全局供电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包含机柜安装套件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金属机身</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外观尺寸(W×H×D)： 444 mm x 130 mm x 500 mm (17.5" x 5.1" x 19.7")</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 7.1kg (15.7 lbs.)</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YAMAHA、MIDAS、ALLEN&amp;HEATH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封闭式监听耳机</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可选1：森海HD206耳机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可选2：舒尔SRH440耳机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可选3：AKG K52耳机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需要带3.5转6.35转接头</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AKG、SHURE、森海塞尔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分频网络类型：2音路音箱系统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 ：锥盆低音5”(125毫米)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高音单元：软球顶高音1”(25mm)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有源元件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低音功放：60W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系统性能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频响范围：+/- 6dB 45Hz-24KHz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低通滤波：-6dB /倍频（REL.100Hz）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峰值灵敏度SPL （@ 1m）：102dB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频率上限：-10dB 32KHz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输入阻抗@1KHz：10K欧姆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输入灵敏度：0.775V（0dBu）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信声比：&gt;100dB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系统Fb：56Hz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磁屏蔽：是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电源电压：220V-240V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功耗：静态22W/最大120W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平衡信号输入插座：XLR-1/4 “TRS jack组合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输入转换开关：输入/话筒转换开关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电源插座：3针电源插座（带保险丝）</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箱体类型：双导音管导相式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产品尺寸（高×宽×深）：326×190×284mm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产品净重：8.2kg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YAMAHA、WHARFEDALE、JBL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指向无源天线</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1、天线频率范围：480--950MHz                                                                                                              2、放大器频率范围：480--950MHz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3、天线方向性：心形                                                                                                                       4、天线极化方式：线性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5、天线增益：≥6.5dB                                                                                                                        6、天线驻波比：&lt;2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7、放大器增益：0到15dB                                                                                                                      8、放大器低噪：&lt;0.45dB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9、放大器OIP3：&gt;38dBm                                                                                                                           10、外部供电：6-12DCV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11、电流：75mA                                                                                                                            12、连接器端口：BNC母头</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1：4信号放大分配器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1.共用一对天线，可支持2-4台无线系列或其它系列的无线系统工作，具有简化天线装配工程，提高系统工作效能的特性。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2.精密的电路设计，具有超低噪声低互调失真特性，并能在多频道同时使用时排除混频干扰。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3.天线输入插座可直接配置使用指向性天线，以解决大面积、多方向的远距离无线传输及传输信号的稳。                                            4.频率范围：554 MHz --936MHz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5.总增益：0dB，±1dB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6.输入/出阻抗：50欧姆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7.天线供电：+8V DC/150mA 中央点为正极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8.直流输出：12V DC/1A(MAX)*4组 中央点为正极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9、电源：100--240V AC，50/60Hz 45W</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专业CD播放机</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*CD驱动，支持SD/SDHC卡，USB储存器，CD-DA(音频CD)，WAV/MP2/MP3文件(数据CD)播放。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*支持记忆播放器功能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*支持连续播放、 随机播放、 程序播放、重复播放功能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*支持RCA非平衡模拟输出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*支持XLR平衡模拟输出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*支持同轴， 光纤数字输出(S/PDIF)</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PHILIPS、DENON、PIONEER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1.采用多功能一体化设计，1U机箱；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2.设备级联接口采用RJ45网头设计，支持设备多台级联；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3.支持RS232/RS485串口输入控制；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4.支持串口指令每通道独立控制和时序控制；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5.内置滤波器；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6.支持无源消防信号启动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1、1.5米4平方电源线弱电开关启动；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2.工作电压：AC220V/50~60HZ；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3.最大负载：40A 6000W，单路负载：15A 1500W；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4.可控路数：8路；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5.外形尺寸：483*270*48mm；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6.净重：4.8</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WHARFEDALE、ABL、FURMAN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（4）、摄像头系统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摄像头</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1.成像元器件不小于1/2.5英寸Exmor R CMOS。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2.传感器有效像素不低于 850万像素，并与摄像机为同一品牌。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3.最大广角（水平视角）≥70度</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4.视频输出最高支持3840X2160/29.97p，并兼容FHD 1080/59.94P全高清输出。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5.通过清晰影像技术4K支持30倍变焦，1080P支持40倍高清拍摄功能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6.4K输出水平分辨率：≥1700 TV线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7.具备1路HDMI和一路USB输出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8.摄像机控制支持网络控制和RS422串口控制，并支持同时使用，RJ45网络支持POE+（符合IEEE802.3at）供电。</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9.支持日夜模式</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Panasonic、JVC、SONY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0"/>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三、亚洲象剧场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观众区防水全频线阵音箱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类型：2x8"2分频线性阵列音箱（防水等级IP-X6）</w:t>
            </w:r>
            <w:r>
              <w:rPr>
                <w:rFonts w:hint="eastAsia" w:ascii="仿宋" w:hAnsi="仿宋" w:eastAsia="仿宋" w:cs="仿宋"/>
                <w:b/>
                <w:bCs/>
                <w:sz w:val="24"/>
                <w:szCs w:val="24"/>
                <w:lang w:val="en-US" w:eastAsia="zh-CN"/>
              </w:rPr>
              <w:t>防水音响经过防水检测</w:t>
            </w:r>
          </w:p>
          <w:p>
            <w:pPr>
              <w:pStyle w:val="2"/>
              <w:spacing w:line="240" w:lineRule="auto"/>
              <w:ind w:left="0" w:leftChars="0" w:firstLine="0" w:firstLineChars="0"/>
              <w:rPr>
                <w:rFonts w:hint="eastAsia"/>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水平覆盖角：100°/垂直覆盖角：10°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连续功率：400W/音乐功率：800W/峰值功率：1600W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低音驱动音圈：2.5”(64.5mm)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分频点：1.8KHz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箱体材料：18mm/15mm夹板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附件悬吊点：可调整0°- 1 0°角度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尺寸（H×W×D）：250mm×760mm×464mm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净重：27.0Kg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毛重：33.0Kg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 xml:space="preserve">； </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8"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观众区防水线阵低音音箱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类型：双15"次低音箱（防水等级IP-X6）</w:t>
            </w:r>
            <w:r>
              <w:rPr>
                <w:rFonts w:hint="eastAsia" w:ascii="仿宋" w:hAnsi="仿宋" w:eastAsia="仿宋" w:cs="仿宋"/>
                <w:b/>
                <w:bCs/>
                <w:sz w:val="24"/>
                <w:szCs w:val="24"/>
                <w:lang w:val="en-US" w:eastAsia="zh-CN"/>
              </w:rPr>
              <w:t>防水音响经过防水检测</w:t>
            </w:r>
          </w:p>
          <w:p>
            <w:pPr>
              <w:pStyle w:val="2"/>
              <w:spacing w:line="240" w:lineRule="auto"/>
              <w:ind w:left="0" w:leftChars="0" w:firstLine="0" w:firstLineChars="0"/>
              <w:rPr>
                <w:rFonts w:hint="eastAsia"/>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频率响应(±3dB)：30Hz-20KHz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标称灵敏度（1w@1m(dB）：105dB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最大声压：142dB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连续功率：1200W/音乐功率：2400W/峰值功率：4800W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低音驱动音圈：4.0"(100mm)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箱体形状：矩形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输入连接端子：1XWY-24K4Z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附悬吊点：不可调整角度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尺寸（H×W×D）：485mm×760mm×716mm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净重：63.5Kg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毛重：72.2Kg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1"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舞台区防水线阵音箱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类型：2x8"2分频线性阵列音箱（防水等级IP-X6）</w:t>
            </w:r>
            <w:r>
              <w:rPr>
                <w:rFonts w:hint="eastAsia" w:ascii="仿宋" w:hAnsi="仿宋" w:eastAsia="仿宋" w:cs="仿宋"/>
                <w:b/>
                <w:bCs/>
                <w:sz w:val="24"/>
                <w:szCs w:val="24"/>
                <w:lang w:val="en-US" w:eastAsia="zh-CN"/>
              </w:rPr>
              <w:t>防水音响经过防水检测</w:t>
            </w:r>
          </w:p>
          <w:p>
            <w:pPr>
              <w:pStyle w:val="2"/>
              <w:spacing w:line="240" w:lineRule="auto"/>
              <w:ind w:left="0" w:leftChars="0" w:firstLine="0" w:firstLineChars="0"/>
              <w:rPr>
                <w:rFonts w:hint="eastAsia"/>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频率响应(±3dB)：65Hz-20KHZ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标称灵敏度（1w@1m(dB）：100dB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最大声压：132dB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水平覆盖角：100°/垂直覆盖角：10°</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连续功率：400W/音乐功率：800W/峰值功率：1600W</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标称阻抗(Ω)：16Ω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高音磁铁材料：钕铁硼</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低音磁铁材料：铁氧体</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低音盆架材料：铸铝</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低音驱动音圈：2.5”(64.5mm)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分频点：1.8KHz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箱体形状：梯形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箱体材料：18mm/15mm夹板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箱体喷油颜色：黑色</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输入连接端子：2XWY-24K4Z 母座4针(防水)</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附件悬吊点：可调整0°- 1 0°角度</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尺寸（H×W×D）：250mm×760mm×464mm</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净重：27.0Kg</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毛重：33.0Kg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线阵列吊架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*原厂线阵音箱吊装架构架。</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线阵音箱支架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*原厂线阵音箱吊装架构架。</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8"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观众区防水全频线阵音箱功放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立体声功率8Ω：1200W×4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观众区防水线阵低音音箱功放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舞台区防水线阵音箱功放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立体声功率4Ω：2040W×4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立体声功率2Ω：3460W×4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桥接模式16Ω：2400W×2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桥接模式8Ω：4080W×2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桥接模式4Ω：6930W×2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RMS输出电压（THD=1%，1KHz）：98.0V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上升斜率（1KHz旁路低通滤波器）：50V/us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输入灵敏度（额定输出功率1KHz）：可选择：41dB，38dB，35dB，32dB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频率响应(±0.2dB）：20Hz-20KHz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信噪比：≥109dB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总谐波失真：＜0.01%</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阻尼系数：≥5000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保护：过载保护、过热保护、稳定功率控制、输出直流保护</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尺寸（H×W×D）：44×483×462mm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净重：10.8kg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4"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输入阻抗:&gt;10KΩ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输出阻抗：50Ω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模式：电子均衡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频响：+/- 0.1dB (20 至 30kHz)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动态范围：115dB typical (unweighted)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共模抑制比: &gt;40dB (20 至 10kHz)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串扰：&lt; -100dB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失真：0.002% (1kHz @+4dBu)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音频调节参数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增益：-40至+15dB,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延时：每输入/输出最大40ms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均衡：每输入/输出, 8个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均衡模式：参量均衡、高通、低通、Phase-1和Phase-2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EQ增益：-30至+15dB,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EQ带宽：0.02 to 2.50 Oct (Q=0.5 至 72)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模式:Butterworth, Linkwitz Riley, Bessel</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波峰： 6 至 48dB/Octave</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整机规格</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电源：90-265 VAC (50/60Hz) ? 20VA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尺寸：19"×1.75"×9" (483x44x229mm)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重量：10 lbs / 4.6 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DSP：40位浮点运算单元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采样率：96kHz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ADC/DAC：24位高效能芯片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传输延时：1.5ms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压限/限幅器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每输出配置1个限幅器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阈值：-20至 +20dBu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响应时间：0.3 至 100m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释放时间：为响应时间的2至32倍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比率：1:1 至 1:40 (仅对压限器生效)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设置存储个数：30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延时单位：毫秒、英尺和米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频率单位：36 级/oct或每1Hz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安全锁功能：密码保护模式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前面板配置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显示屏：2行16字符背光LCD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电平显示：5位LED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按键：1个哑音键/通道，6个菜单项目控制键，1个参数调节键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模拟输入/输出：3针XLR</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RS-232：DB-9母头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 B类接头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电源：标准IEC插口</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WHARFEDALE、BSS、Symetrix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16个话筒 / 20个线路输入 (12个单声道 + 4个立体声)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4编组母线 + 1立体声母线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AUX (包括FX)</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“D-PRE”话放，带有倒向晶体管电路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单旋钮压缩器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效果器：SPX，含24组预置效果器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24-bit/192kHz 2进/2出 USB音频功能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通过Apple iPad Camera Connection Kit / Lightning to USB Camera Adapter (连接适配器)与iPad (2或更高版本) 连接工作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Cubasis LE（iPad版）可通过App Store 下载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含Cubase AI DAW下载版软件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单声道输入通道上的PAD开关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+48V幻象供电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XLR平衡输出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世界通用的内部全局供电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包含机柜安装套件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金属机身</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外观尺寸(W×H×D)： 444 mm x 130 mm x 500 mm (17.5" x 5.1" x 19.7")</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 7.1kg (15.7 lbs.)</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YAMAHA、MIDAS、ALLEN&amp;HEATH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封闭式监听耳机</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可选1：森海HD206耳机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可选2：舒尔SRH440耳机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可选3：AKG K52耳机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需要带3.5转6.35转接头</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AKG、SHURE、森海塞尔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分频网络类型：2音路音箱系统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 ：锥盆低音5”(125毫米)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高音单元：软球顶高音1”(25mm)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有源元件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低音功放：60W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系统性能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频响范围：+/- 6dB 45Hz-24KHz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低通滤波：-6dB /倍频（REL.100Hz）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峰值灵敏度SPL （@ 1m）：102dB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频率上限：-10dB 32KHz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输入阻抗@1KHz：10K欧姆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输入灵敏度：0.775V（0dBu）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信声比：&gt;100dB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系统Fb：56Hz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磁屏蔽：是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电源电压：220V-240V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功耗：静态22W/最大120W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平衡信号输入插座：XLR-1/4 “TRS jack组合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输入转换开关：输入/话筒转换开关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电源插座：3针电源插座（带保险丝）</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箱体类型：双导音管导相式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产品尺寸（高×宽×深）：326×190×284mm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产品净重：8.2kg</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YAMAHA、WHARFEDALE、JBL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指向无源天线</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1.天线频率范围：480--950MHz                                                                                                              2.放大器频率范围：480--950MHz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3.天线方向性：心形                                                                                                                       4.天线极化方式：线性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5.天线增益：≥6.5dB                                                                                                                        6.天线驻波比：&lt;2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7.放大器增益：0到15dB                                                                                                                      8.放大器低噪：&lt;0.45dB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9.放大器OIP3：&gt;38dBm                                                                                                                           10.外部供电：6-12DCV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11.电流：75mA                                                                                                                            12.连接器端口：BNC母头</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片</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24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1：4信号放大分配器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1.共用一对天线，可支持2-4台无线系列或其它系列的无线系统工作，具有简化天线装配工程，提高系统工作效能的特性。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2.精密的电路设计，具有超低噪声低互调失真特性，并能在多频道同时使用时排除混频干扰。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3.天线输入插座可直接配置使用指向性天线，以解决大面积、多方向的远距离无线传输及传输信号的稳。                                            4.频率范围：554 MHz --936MHz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5.总增益：0dB，±1dB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6.输入/出阻抗：50欧姆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7.天线供电：+8V DC/150mA 中央点为正极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8.直流输出：12V DC/1A(MAX)*4组 中央点为正极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9、电源：100--240V AC，50/60Hz 45W</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1.采用多功能一体化设计，1U机箱；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2.设备级联接口采用RJ45网头设计，支持设备多台级联；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3.支持RS232/RS485串口输入控制；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4.支持串口指令每通道独立控制和时序控制；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5.内置滤波器；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6.支持无源消防信号启动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1.1.5米4平方电源线弱电开关启动；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2.工作电压：AC220V/50~60HZ；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3.最大负载：40A 6000W，单路负载：15A 1500W；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4.可控路数：8路；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5.外形尺寸：483*270*48mm；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6.净重：4.8</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WHARFEDALE、ABL、FURMAN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四、散点舞台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9"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中高频线阵音箱（有源）</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系统类型：有源 12 寸两分频音箱 Bi - Amplified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 (+/-3dB) ：60Hz - 20kHz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频率范围(-10dB) ：55Hz - 20kHz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最大声压级@1m：130dB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尺寸（mm / inches）：332mm / 12"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音圈尺寸（mm / inches）：75mm / 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阻抗：4Ω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类型：压缩高音单元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音圈尺寸（mm / inches）：51.2mm / 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出口尺寸（mm / inches）：35.6mm / 1.4"</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振膜材料：钛膜</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覆盖角度（H x V）：90° x 45°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功放</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低频功放功率：600w（Class 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高频功放功率：100w（Class 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功放保护：是</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电源开关保护：电源开关静音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过热保护：功放关闭，自动重设</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低压线路保护：80％额定标准电压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驱动保护：单独的低频和高频限幅器</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直流和短路保护：是</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限幅器：开机约650w输出</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限幅指示：红色LED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电源指示：绿色LED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连接器</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输入A?类型：可切换的平衡麦克风或线路电流输入</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输入灵敏度：麦克风：- 40dBu  线路：0dBu</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最大输入电流：22dBu</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输入连接：XLR 1/4”组合插孔/ 2 x RCA</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输入阻抗：平衡：20KΩ 不平衡：10KΩ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输出连接：可切换的LOOP / MIX平衡公XLR连接器</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阻抗平衡：平衡：200Ω 不平衡：100Ω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环路增益：0dB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交流电源：-</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Power Supply电源供应：高效SMPS</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交流电源选项：AC100-120V～/ 220 - 240V～，50/60 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开机指示灯：绿色LED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吊挂点：M10 x 6</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外壳材料和表面处理：15mm桦木夹板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颜色选项：黑色Rhino牌喷漆</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网罩材料和表面处理：1.2 钢</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箱体尺寸</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高：640mm / 25.2"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宽（前）：390mm / 15.35"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宽（后）：241.2mm / 9.5"</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深：373mm / 14.69"</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高：745mm / 29.3''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宽（前）：566mm / 22.3''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宽（后）：328mm / 12.9''</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深：464mm / 18.3''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净重（kg / lbs）：27.9kg / 61.2lbs</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毛重（kg / lbs）：32.5kg / 71.5lbs</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spacing w:line="24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中低频低音音箱（有源）</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系统类型：有源 18 寸低音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 (+/-3dB) ：38Hz - 200Hz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最大声压级@1m：132dB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低音单元</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尺寸（mm / inches）：470mm / 18"</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音圈尺寸（mm / inches）：101.6mm / 4"</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阻抗：8Ω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功放</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低频功放功率：1000w (Class 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高频功放功率：NA</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功放保护：是</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电源开关保护：电源开关静音</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过热保护：功放关闭，自动重设</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低压线路保护：80％额定标准电压</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驱动保护：单独的低频和高频限幅器直流和短路保护：是</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限幅器：开机约650w输出</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限幅指示：红色LED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电源指示：绿色LED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连接器</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输入A?类型：均衡</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输入灵敏度：Line:0dBu</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最大输入电流：22dBu</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输入连接：TRS 插孔 and 母 XLR</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输入阻抗：平衡：20KΩ 不平衡：10KΩ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输出连接：公XLR连接器</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阻抗平衡：平衡：200Ω 不平衡：100Ω</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环路增益：0dB</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Power Supply电源供应：高效SMPS</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交流电源选项：AC100 - 120V～/ 220 - 240V～，50/60 HZ</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开机指示灯：绿色LED</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外壳材料和表面处理：15mm桦木夹板</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颜色选项：黑色Rhino牌喷漆</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箱体尺寸</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高：539mm / 21.22"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宽（前）：539mm / 21.22"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宽（后）：539mm / 21.22"</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深：650mm / 25.59"</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高：624mm / 24.57''</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宽（前）：722mm / 28.43''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宽（后）：722mm / 28.43''</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深：611mm / 24.06''</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净重（kg / lbs）：38.4kg / 84.48lbs</w:t>
            </w:r>
          </w:p>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毛重（kg / lbs）：44.3kg / 97.46lbs</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撑杆线阵支架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采用高强度金属材料，安装快捷、牢固。</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专用航空箱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专用航空箱（可装4只全频）</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专用航空箱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专用航空箱（可装1只低音）</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44"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返送全频音箱（有源）</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系统类型：有源 12 寸两分频音箱 Bi - Amplified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 (+/-3dB) ：60Hz - 20kHz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频率范围(-10dB) ：55Hz - 20kHz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最大声压级@1m：130dB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尺寸（mm / inches）：332mm / 12"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音圈尺寸（mm / inches）：75mm / 3"</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阻抗：4Ω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类型：压缩高音单元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音圈尺寸（mm / inches）：51.2mm / 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出口尺寸（mm / inches）：35.6mm / 1.4"</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振膜材料：钛膜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阻抗：8Ω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覆盖角度（H x V）：90° x 45°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低频功放功率：600w（Class 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高频功放功率：100w（Class 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功放保护：是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电源开关保护：电源开关静音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过热保护：功放关闭，自动重设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低压线路保护：80％额定标准电压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驱动保护：单独的低频和高频限幅器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直流和短路保护：是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限幅器：开机约650w输出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限幅指示：红色LED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电源指示：绿色LED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连接器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输入A?类型：可切换的平衡麦克风或线路电流输入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输入灵敏度：麦克风：- 40dBu  线路：0dBu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最大输入电流：22dBu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输入连接：XLR 1/4”组合插孔/ 2 x 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输入阻抗：平衡：20KΩ 不平衡：10KΩ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输出连接：可切换的LOOP / MIX平衡公XLR连接器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阻抗平衡：平衡：200Ω 不平衡：100Ω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环路增益：0dB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交流电源：-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Power Supply电源供应：高效SMPS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交流电源选项：AC100-120V～/ 220 - 240V～，50/60 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开机指示灯：绿色LED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吊挂点：M10 x 6</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外壳材料和表面处理：15mm桦木夹板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颜色选项：黑色Rhino牌喷漆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网罩材料和表面处理：1.2 钢</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箱体尺寸</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高：640mm / 25.2"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宽（前）：390mm / 15.35"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宽（后）：241.2mm / 9.5"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深：373mm / 14.69"</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包装尺寸</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高：745mm / 29.3''</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宽（前）：566mm / 22.3''</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宽（后）：328mm / 12.9''</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深：464mm / 18.3''</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净重（kg / lbs）：27.9kg / 61.2lbs</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毛重（kg / lbs）：32.5kg / 71.5lbs</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76"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输入阻抗:&gt;10KΩ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输出阻抗：50Ω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模式：电子均衡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频响：+/- 0.1dB (20 至 30kHz)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动态范围：115dB typical (unweighted)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共模抑制比: &gt;40dB (20 至 10kHz)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串扰：&lt; -100dB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失真：0.002% (1kHz @+4dBu)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音频调节参数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增益：-40至+15dB,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延时：每输入/输出最大40ms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均衡：每输入/输出, 8个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均衡模式：参量均衡、高通、低通、Phase-1和Phase-2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EQ增益：-30至+15dB,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EQ带宽：0.02 to 2.50 Oct (Q=0.5 至 72)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模式:Butterworth, Linkwitz Riley, Bessel</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波峰：6 至 48dB/Octave</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整机规格</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电源：90-265 VAC (50/60Hz) ? 20VA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尺寸：19"×1.75"×9" (483x44x229mm)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重量：10 lbs / 4.6 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DSP： 40位浮点运算单元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采样率：96kHz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ADC/DAC：24位高效能芯片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传输延时：1.5ms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压限/限幅器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每输出配置1个限幅器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阈值：-20至 +20dBu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响应时间：0.3 至 100m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释放时间：为响应时间的2至32倍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比率：1:1 至 1:40 (仅对压限器生效)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设置存储个数：30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延时单位：毫秒、英尺和米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频率单位：36 级/oct或每1Hz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安全锁功能：密码保护模式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前面板配置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显示屏：2行16字符背光LCD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电平显示：5位LED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按键：1个哑音键/通道，6个菜单项目控制键，1个参数调节键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模拟输入/输出：3针XLR</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RS-232：DB-9母头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 B类接头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电源：标准IEC插口</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WHARFEDALE、BSS、Symetrix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16个话筒 / 20个线路输入 (12个单声道 + 4个立体声)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4编组母线 + 1立体声母线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AUX (包括FX)</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“D-PRE”话放，带有倒向晶体管电路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单旋钮压缩器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效果器：SPX，含24组预置效果器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24-bit/192kHz 2进/2出 USB音频功能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通过Apple iPad Camera Connection Kit / Lightning to USB Camera Adapter (连接适配器)与iPad (2或更高版本) 连接工作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Cubasis LE（iPad版）可通过App Store 下载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含Cubase AI DAW下载版软件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单声道输入通道上的PAD开关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+48V幻象供电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XLR平衡输出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世界通用的内部全局供电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包含机柜安装套件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金属机身</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外观尺寸(W×H×D)： 444 mm x 130 mm x 500 mm (17.5" x 5.1" x 19.7")</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 7.1kg (15.7 lbs.)</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YAMAHA、MIDAS、ALLEN&amp;HEATH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分频网络类型：2音路音箱系统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 ：锥盆低音5”(125毫米)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高音单元：软球顶高音1”(25mm)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有源元件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低音功放：60W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系统性能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频响范围：+/- 6dB 45Hz-24KHz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低通滤波：-6dB /倍频（REL.100Hz）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峰值灵敏度SPL （@ 1m）：102dB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频率上限：-10dB 32KHz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输入阻抗@1KHz：10K欧姆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输入灵敏度：0.775V（0dBu）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信声比：&gt;100dB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系统Fb：56Hz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磁屏蔽：是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电源电压：220V-240V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功耗：静态22W/最大120W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平衡信号输入插座：XLR-1/4 “TRS jack组合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输入转换开关：输入/话筒转换开关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电源插座：3针电源插座（带保险丝）</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箱体类型：双导音管导相式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产品尺寸（高×宽×深）：326×190×284mm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产品净重：8.2kg</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YAMAHA、WHARFEDALE、JBL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1.采用多功能一体化设计，1U机箱；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2.设备级联接口采用RJ45网头设计，支持设备多台级联；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3.支持RS232/RS485串口输入控制；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4.支持串口指令每通道独立控制和时序控制；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5.内置滤波器；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6.支持无源消防信号启动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1.1.5米4平方电源线弱电开关启动；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2.工作电压：AC220V/50~60HZ；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3.最大负载：40A 6000W，单路负载：15A 1500W；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4.可控路数：8路；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5.外形尺寸：483*270*48mm；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6.净重：4.8</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WHARFEDALE、ABL、FURMAN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3"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带UPS移动机柜</w:t>
            </w:r>
          </w:p>
        </w:tc>
        <w:tc>
          <w:tcPr>
            <w:tcW w:w="5004" w:type="dxa"/>
            <w:tcBorders>
              <w:tl2br w:val="nil"/>
              <w:tr2bl w:val="nil"/>
            </w:tcBorders>
            <w:shd w:val="clear" w:color="auto" w:fill="auto"/>
            <w:noWrap w:val="0"/>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DSP全数字化控制</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纯在线双变换式架构设计</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高输入功率因数，低电网污染</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宽电压频率输入范围</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自动识别并适应50/60HZ电源系统</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输入标配防浪涌</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提供ECO运行模式</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智能定期电池充放电，延长电池使用寿命</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输入零火线侦测功能，避免UPS市电输入零火线接反</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旁路输出保护，保护用户负载</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旁路输入人性化，市电开机默认无旁路输出，开机才有逆变输出，也可改回上市电即有旁路输入模式</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智能风扇调速</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风扇故障检测报警</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智能实时侦测，即时报警并启动全面保护</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开机自诊断功能</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支持电池冷启动</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来电自启功能</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3台直接并机</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宽大LCD液晶界面+LED指示</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配件丰富, 多选择后台监控</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选配件: SNMP卡/USB接口/并机卡</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山特、德利仕、施耐德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五、非洲区小舞台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（1）、灯光系统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防水帕灯</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电气参数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输入电压：AC100V-220V 50/60HZ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输入功率：250W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光源：54颗3W LED灯珠（R12、G14、B14、W14）</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光源寿命：100000小时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光学透镜：高清光学树脂蜂窝透镜，超高导光率</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光束角度：25°（15°/45°/60°可选）</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颜色系统</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红、绿、蓝、白可独立调光，无极混色系统</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效果配置</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调光：0-100%线性16bit调光平滑无闪烁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频闪：1-20次/秒可调速频闪</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电控技术</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控制通道：4/8通道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控制协议：DMX512，RDM功能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操作模式：DMX512有线传输数据,同步或单机运转主从、自走、渐变功能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内置宏功能： 内置颜色宏功能与颜色渐变、脉动效果</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散热：自然散热，智能温度监控散热系统，智能控制LED的输出功率</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显示方式：LED数码管显示，四按键操控</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电源连接：防水带锁式安全插头输入输出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信号连接：防水三芯信号输入输出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灯体结构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外壳：压铸铝合金</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尺寸与重量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产品尺寸：260X220X300（mm）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灯具净重：6Kg</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使用条件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工作温度：-20℃~40℃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防护等级：IP65</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r>
              <w:rPr>
                <w:rFonts w:hint="eastAsia" w:ascii="仿宋" w:hAnsi="仿宋" w:eastAsia="仿宋" w:cs="仿宋"/>
                <w:i w:val="0"/>
                <w:iCs w:val="0"/>
                <w:color w:val="000000"/>
                <w:sz w:val="24"/>
                <w:szCs w:val="24"/>
                <w:u w:val="none"/>
              </w:rPr>
              <w:t>★</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380防水光束灯</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电气参数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输入电压：AC200-240V 50/60Hz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输入功率：550W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光源：OSRAM SIRIUS HRI 371W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光源寿命：1500小时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色温：7650K</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光学镜头：采用镀增透膜高清光学镜片设计</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出光角度：2°</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颜色系统</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1个颜色轮：14个颜色+白光，可实现双向颜色流水彩虹效果</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图案系统</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1个固定图案盘：带有14个图案+白光,可实现流水、抖动效果</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效果配置</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雾化：柔光效果，雾化效果角度8°</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调光：0-100%线性调节</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频闪：0.5-14次/秒可调速频闪，多频闪方式选择，脉动、异步、同步、随机慢中快</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棱镜:1个棱镜盘（8棱镜/16/蜂窝镜可选），棱镜可双向旋转效果</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灯体运动</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水平540°，16bit精度扫描，可自动校正定位</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垂直250°，16bit精度扫描，可自动校正定位</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电控技术</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控制通道：标准15通道/扩展20通道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运行模式：声控，自走，主从，DMX512</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控制协议: 标准DMX512协议，RDM功能，无线DMX512控制(选配)</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菜单显示：2.4寸彩色液晶屏；屏幕可以显示正立、倒立和背景的亮度调节，中、英两种语言可切换</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时间功能：可记录灯具使用总时间和灯泡的工作工作时间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马达数量：11个超静音步进电机马达，其中二个三相马达，16Bit驱动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散热：风机智能调控电子传感检测系统散热，支持节能模式，具有待机休眠功能，闭光时功率自动减小，节能环保</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电子传感检测：复位报错功能，自动纠正功能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尺寸与重量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产品尺寸：470*320*725（mm）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包装尺寸：570*410*820（mm）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净重：25Kg</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毛重：26Kg</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使用条件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工作环境温度：-20℃~40℃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防护等级：IP65</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32"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LED防水频闪灯</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电气参数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技术参数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电压: AC100~240V 50/60HZ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功率: 800W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灯珠: 1080颗 0.8W RGBW 四合一 LED</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像素PIXEL: RGBW 120段 ，每段可单独控制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发光角度 ： 150°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控制方式: DMX512、自走、主从、声控、带 RDM 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通道: 4 ，11 ，131 ，171 ，480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调光: 16bit 0~100%线性调光</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特点 ：背景色跑马+爆闪</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频闪频率: 1~30HZ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显示：液晶触摸显示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外观: 金属、黑色</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连接方式 ：DMX512 输入输出 / 电源输入输出。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灯体连接方式 ：内置拼接锁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安装方式 ：可水平或垂直安装 ，内置折叠灯钩</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IP 等级: IP67</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3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电脑灯控台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技术参数：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1.采用功能强大的泰坦Titan操作系统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2.酷睿双核处理器，160G固态硬盘，4G内存，配置有UPS应急电源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3.支持中文菜单显示，且内置多国语言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4.内置一个15.4寸触摸屏。并可扩展一个17寸触摸屏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5.目前有两个型号：4输出口、8输出口两款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6.DMX 输出端口共有2048 个DMX 通道；8DMX输出口共有4096个DMX通道，支持Artnet,并可扩展至12个DMX输出口，6144个通道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7.10个宏按键，可编辑任何程序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8.20个重放推杆，支持1000个虚拟重放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9.强大的CMY调色板功能。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10.支持涂鸦式手写命名功能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11.支持CITP协议，可预览服务器或数字灯的内置素材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12.预留一个外部的WI-FI接入点，可使用Ipod Touch和iphone进行遥控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13.内置数千种灯库，并内置灯库编辑软件，可将2010控台的R20格式灯库自动转换为触摸老虎的D4格式灯库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14.内置Visualiser可视化舞台模拟软件，支持视频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15.支持MIDI时间码声光同步功能，也可以在控台里播放音乐发送时间码来控制灯光程序重放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16.内置像素映射及内置图形发生器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其他参数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17.功率：100W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18.输入电压：AC 100 -240V / 50-60Hz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19.专业鹅颈工作灯，适合室内外演出使用。（选配）</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20.产品尺寸：680*420*150mm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21.净  重：14KG</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网络扩展器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双系统智能中控,设备控制方便用户利用控制器并通过以太网络、局域网对设备进行远程管理，灯光、音乐、视频同步播放；为集中控制环境提供了一种极其简便的方法，允许用户以一个控制器管理多种设备。</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1.DMX512端口，2048通道；扩展16个DMX512端口</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2.具有LTP信号模式，可以分别将3路输入DMX信号的最新数值输到输出口；（</w:t>
            </w:r>
            <w:r>
              <w:rPr>
                <w:rFonts w:hint="eastAsia" w:ascii="仿宋" w:hAnsi="仿宋" w:eastAsia="仿宋" w:cs="仿宋"/>
                <w:b/>
                <w:bCs/>
                <w:i w:val="0"/>
                <w:iCs w:val="0"/>
                <w:color w:val="000000"/>
                <w:sz w:val="24"/>
                <w:szCs w:val="24"/>
                <w:highlight w:val="none"/>
                <w:u w:val="none"/>
              </w:rPr>
              <w:t>具备 “CNAS认证、CMA计量认证” 第三方检测机构的检测报告数据</w:t>
            </w:r>
            <w:r>
              <w:rPr>
                <w:rFonts w:hint="eastAsia" w:ascii="仿宋" w:hAnsi="仿宋" w:eastAsia="仿宋" w:cs="仿宋"/>
                <w:i w:val="0"/>
                <w:iCs w:val="0"/>
                <w:color w:val="000000"/>
                <w:sz w:val="24"/>
                <w:szCs w:val="24"/>
                <w:highlight w:val="none"/>
                <w:u w:val="none"/>
              </w:rPr>
              <w:t>）</w:t>
            </w:r>
          </w:p>
          <w:p>
            <w:pPr>
              <w:pStyle w:val="2"/>
              <w:spacing w:line="240" w:lineRule="auto"/>
              <w:ind w:left="0" w:leftChars="0" w:firstLine="0" w:firstLineChars="0"/>
              <w:rPr>
                <w:rFonts w:hint="eastAsia"/>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3.双系统功能，具有备份BACKUP模式，主路信号出现中断或故障时，自动切入备份信号；保障演出、会议正常进行；（</w:t>
            </w:r>
            <w:r>
              <w:rPr>
                <w:rFonts w:hint="eastAsia" w:ascii="仿宋" w:hAnsi="仿宋" w:eastAsia="仿宋" w:cs="仿宋"/>
                <w:b/>
                <w:bCs/>
                <w:i w:val="0"/>
                <w:iCs w:val="0"/>
                <w:color w:val="000000"/>
                <w:sz w:val="24"/>
                <w:szCs w:val="24"/>
                <w:highlight w:val="none"/>
                <w:u w:val="none"/>
              </w:rPr>
              <w:t>具备 “CNAS认证、CMA计量认证” 第三方检测机构的检测报告数据</w:t>
            </w:r>
            <w:r>
              <w:rPr>
                <w:rFonts w:hint="eastAsia" w:ascii="仿宋" w:hAnsi="仿宋" w:eastAsia="仿宋" w:cs="仿宋"/>
                <w:i w:val="0"/>
                <w:iCs w:val="0"/>
                <w:color w:val="000000"/>
                <w:sz w:val="24"/>
                <w:szCs w:val="24"/>
                <w:highlight w:val="none"/>
                <w:u w:val="none"/>
              </w:rPr>
              <w:t>）</w:t>
            </w:r>
          </w:p>
          <w:p>
            <w:pPr>
              <w:pStyle w:val="2"/>
              <w:spacing w:line="240" w:lineRule="auto"/>
              <w:ind w:left="0" w:leftChars="0" w:firstLine="0" w:firstLineChars="0"/>
              <w:rPr>
                <w:rFonts w:hint="eastAsia"/>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4.应用网络连接主机，支持移动ipad平板,手机、支持DMX信号、RS232协议、TCP协议、智能控制定制协议；</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5.连接智能电柜，控制设备电力通断；</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6.ART-NET\DMX512信号输出；</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7.以太网RJ-45接口独立于主要网络，提供可靠的安全性；</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8.HDMI高清端口连接设备到其他A/V设备；</w:t>
            </w:r>
          </w:p>
        </w:tc>
        <w:tc>
          <w:tcPr>
            <w:tcW w:w="75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24路数字网络电柜</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1.供电：三相AC380V±10％，频率50Hz±5％。</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2、设有125A总控开关</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3.额定功率：24路×4KW;  可适用于任何负载。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4.过载与短路双重保护高分断空气开关。</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5、24路40A胶木插输出；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6.内置24个继电器带远程控制，继电器采用高品质铜镀镍材质瞬间触发。</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7.带国际DMX512信号协议、Art-net灯光网络协议、智能控制定制协议三种控制模式。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8.可通过配套的智能控制系统，单独电控界面实时控制；主机也可通过电柜主机物理按键手动开启每一路通断或灯光控台实时操作工作指令。</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9.可独立设置每一路通电时初始的通断状态模式；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模式选择：A开机执行、B延时执行、C立即执行三种模式；</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注：开机执行模式下：当电柜通电后每一路电力会间隔0.6秒给设备上电，通电后电流会有一个缓冲，更好保护设备，此模式可以替代时驱器功能。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10.三项独立电流、电压监测表；设有可操作主机界面的液晶屏。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11.主要配置：断路器，德力西。线缆：珠江电缆。</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智能时序控制器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1、工作电压：90-240V/50-60HZ</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2、两种工作模式：“时序器模式”和“智能开关模式”可选</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3、时序器模式：可对电器设备电源依序延时开关处理，可避免因通电断电期间的信号不稳定而损坏设备，也可避免由于通电断电瞬间引起大电流浪涌而损坏电器设备；</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4、智能开关模式：可实现DMX512信号或RS485信号或对八路智能开关的控制；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5、支持DMX信号控制或RS485信号控制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6、在RS485信号模式下，支持控制码的学习功能；</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7、具有八路智能开关功能，每路开关最大的输出功率1000W</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8、多种安装方式：机柜安装，灯钩安装，螺丝固定安装</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9、安装片有4个方位可调，可实现不同方位安装，使用更方便</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8路信号放大器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技术参数：</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1.1路DMX512数码输入，1路DMX512直接输出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2.8路独立放大驱动输出，采用抗高压保护措施光电隔离。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3.DMX512/1990信号输入输出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4.信号放大整形功能，延长信号传输距离。  增强数据总线接入设备数量的能力。</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5.保护灯光控制台DMX512输出接口，故障现场隔离，提高数字式灯光控制系统的安全可靠性。</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6.每路均有独立的LED信号指示。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7.信号连接座：输入XLR3芯公座/输出XLR3芯母座；</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8.电源：AC100~240V/50-60HZ</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先飞、彩智、YIHUI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防水光束的灯钩多功能</w:t>
            </w:r>
          </w:p>
        </w:tc>
        <w:tc>
          <w:tcPr>
            <w:tcW w:w="5004"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铝合金灯钩</w:t>
            </w:r>
          </w:p>
        </w:tc>
        <w:tc>
          <w:tcPr>
            <w:tcW w:w="5004"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保险绳</w:t>
            </w:r>
          </w:p>
        </w:tc>
        <w:tc>
          <w:tcPr>
            <w:tcW w:w="5004"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灯具安装设备</w:t>
            </w:r>
          </w:p>
        </w:tc>
        <w:tc>
          <w:tcPr>
            <w:tcW w:w="5004"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0"/>
            <w:vAlign w:val="center"/>
          </w:tcPr>
          <w:p>
            <w:pPr>
              <w:jc w:val="cente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国产优质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10003" w:type="dxa"/>
            <w:gridSpan w:val="6"/>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（2）、音箱系统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7"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中高频线阵音箱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类型：12寸全频音箱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频率响应：60Hz-20KHz（±3dB），55Hz-20KHz（-10dB）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灵敏度（1W@1M）：97dB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指向性（H×V）：90°×45°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功率：持续400W，节目800W，峰值1600W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最大声压级：129dB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额定阻抗：8Ω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低音单元：12"（3"音圈），400W/8Ω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高音单元：2"（1.4"出口）钛膜，50W/8Ω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输入端口：2×NL4(与speakON兼容)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分频方式：内置/外置切换开关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尺寸（H×W×D）：630×390×373mm</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净重：24.7kg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中低频低音音箱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类型：18寸超低音箱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频率响应（±3dB）：38Hz-1.5KHz（BI-AMP）</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频率响应（-10dB）：30Hz-1.5KHz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灵敏度（1W@1M）：99dB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功率：持续800W，节目1600W，峰值3200W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最大声压级：134dB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额定阻抗：8Ω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低音单元：18"（4"音圈），800W/8Ω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输入端口：2×NL4(与speakON兼容)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分频方式：内置/外置切换开关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尺寸(H×W×D)：539×539×650mm</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净重：37.3kg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撑杆线阵支架</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采用高强度金属材料，安装快捷、牢固。</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返送全频音箱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类型：12寸全频音箱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频率响应：60Hz-20KHz（±3dB），55Hz-20KHz（-10dB）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灵敏度（1W@1M）：97dB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指向性（H×V）：90°×45°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功率：持续400W，节目800W，峰值1600W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最大声压级：129dB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额定阻抗：8Ω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低音单元：12"（3"音圈），400W/8Ω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高音单元：2"（1.4"出口）钛膜，50W/8Ω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输入端口：2×Speakon</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分频方式：2×NL4(与speakON兼容)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尺寸(H×W×D)：449×390×618mm</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净重：23.18Kg</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音响产品制造商具有ISO9001质量管理体系认证、ISO14001环境管理体系认证证书、知识产权管理体系认证证书、职业健康安全管理体系认证证书</w:t>
            </w:r>
          </w:p>
          <w:p>
            <w:pPr>
              <w:pStyle w:val="2"/>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p>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b/>
                <w:bCs/>
                <w:sz w:val="24"/>
                <w:szCs w:val="24"/>
              </w:rPr>
              <w:t>音箱品牌入EASE库</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投标文件中需提供承诺书，未提供视为负偏离</w:t>
            </w:r>
            <w:r>
              <w:rPr>
                <w:rFonts w:hint="eastAsia" w:ascii="仿宋" w:hAnsi="仿宋" w:eastAsia="仿宋" w:cs="仿宋"/>
                <w:b/>
                <w:bCs/>
                <w:sz w:val="24"/>
                <w:szCs w:val="24"/>
                <w:lang w:eastAsia="zh-CN"/>
              </w:rPr>
              <w:t>）</w:t>
            </w:r>
            <w:r>
              <w:rPr>
                <w:rFonts w:hint="eastAsia" w:ascii="仿宋" w:hAnsi="仿宋" w:eastAsia="仿宋" w:cs="仿宋"/>
                <w:sz w:val="24"/>
                <w:szCs w:val="24"/>
              </w:rPr>
              <w:t>；</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WHARFEDALE、JBL、EAW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立体声功率8Ω：700W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立体声功率4Ω：1100W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桥接模式8Ω：1800W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电压增益：39.5dB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输出连接器：每通道4-POLE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通风：由前往后的空气对流机制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冷却：内部空气强排散热，风扇冷却，快速调节，温度保护</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低音音箱功放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立体声功率8Ω：1400W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立体声功率4Ω：2250W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桥接模式8Ω：3300W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电压增益：42.5dB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 &gt;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输出连接器：每通道5-POLE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通风：由前往后的空气对流机制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冷却：内部空气强排散热，风扇冷却，快速调节，温度保护</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8"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返听音箱功放</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立体声功率8Ω：700W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立体声功率4Ω：1100W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桥接模式8Ω：1800W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频率响应(1 W)：20Hz - 20kHz, +0/-1dB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总谐波失真 (THD)：&lt; 0.5%, 20 Hz - 20 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互调失真(IMD)： ≤ 0.35%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转换速率：&gt;10V/us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电压增益：39.5dB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阻尼系数 (8Ω), 10Hz - 400Hz：&gt; 200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信噪比：&gt; 100 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串扰：-75 dB（1kHz），-59 dB（20kHz）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输入灵敏度(额定功率8Ω)：0.775V or 1.4V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输入阻抗(额定)：20KΩ（平衡），10KΩ（非平衡）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输入连接器：每通道一路平衡XLR及一路非平衡RCA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输出连接器：每通道4-POLE Speakon?及一对接线柱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保护：防止短路、空载、开/关机噪音、无线电干扰保护电路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通风：由前往后的空气对流机制</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冷却：内部空气强排散热，风扇冷却，快速调节，温度保护</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WHARFEDALE、CROWN、POWERSOFT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输入阻抗:&gt;10KΩ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输出阻抗：50Ω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最大声压级：+20dBu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模式：电子均衡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频响：+/- 0.1dB (20 至 30kHz)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动态范围：115dB typical (unweighted)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共模抑制比: &gt;40dB (20 至 10kHz)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串扰：&lt; -100dB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失真：0.002% (1kHz @+4dBu)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音频调节参数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增益：-40至+15dB,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延时：每输入/输出最大40ms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均衡：每输入/输出, 8个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均衡模式：参量均衡、高通、低通、Phase-1和Phase-2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EQ增益：-30至+15dB, 0.25dB/级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EQ带宽：0.02 to 2.50 Oct (Q=0.5 至 72)</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模式:Butterworth, Linkwitz Riley, Bessel</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波峰： 6 至 48dB/Octave</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整机规格</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电源：90-265 VAC (50/60Hz) ? 20VA</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尺寸：19"×1.75"×9" (483x44x229mm)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重量：10 lbs / 4.6 kg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DSP： 40位浮点运算单元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采样率：96kHz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ADC/DAC：24位高效能芯片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传输延时：1.5ms</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压限/限幅器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每输出配置1个限幅器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阈值：-20至 +20dBu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响应时间：0.3 至 100m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释放时间：为响应时间的2至32倍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比率：1:1 至 1:40 (仅对压限器生效)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设置存储个数：30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延时单位：毫秒、英尺和米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频率单位：36 级/oct或每1Hz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安全锁功能：密码保护模式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前面板配置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显示屏：2行16字符背光LCD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电平显示：5位LED</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按键：1个哑音键/通道，6个菜单项目控制键，1个参数调节键</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模拟输入/输出：3针XLR</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RS-232：DB-9母头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 B类接头</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电源：标准IEC插口</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WHARFEDALE、BSS、Symetrix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16个话筒 / 20个线路输入 (12个单声道 + 4个立体声)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4编组母线 + 1立体声母线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AUX (包括FX)</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“D-PRE”话放，带有倒向晶体管电路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单旋钮压缩器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效果器：SPX，含24组预置效果器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24-bit/192kHz 2进/2出 USB音频功能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通过Apple iPad Camera Connection Kit / Lightning to USB Camera Adapter (连接适配器)与iPad (2或更高版本) 连接工作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Cubasis LE（iPad版）可通过App Store 下载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含Cubase AI DAW下载版软件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单声道输入通道上的PAD开关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+48V幻象供电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XLR平衡输出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世界通用的内部全局供电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包含机柜安装套件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金属机身</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外观尺寸(W×H×D)： 444 mm x 130 mm x 500 mm (17.5" x 5.1" x 19.7")</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 7.1kg (15.7 lbs.)</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YAMAHA、MIDAS、ALLEN&amp;HEATH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分频网络类型：2音路音箱系统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低音单元 ：锥盆低音5”(125毫米)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高音单元：软球顶高音1”(25mm)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有源元件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低音功放：60W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有源分频点：1.8KHz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高音功放：40W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系统性能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频响范围：+/- 6dB 45Hz-24KHz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低通滤波：-6dB /倍频（REL.100Hz）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峰值灵敏度SPL （@ 1m）：102dB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频率上限：-10dB 32KHz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输入阻抗@1KHz：10K欧姆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输入灵敏度：0.775V（0dBu）</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信声比：&gt;100dB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系统Fb：56Hz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磁屏蔽：是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电源电压：220V-240V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功耗：静态22W/最大120W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物理特性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平衡信号输入插座：XLR-1/4 “TRS jack组合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输入转换开关：输入/话筒转换开关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电源插座：3针电源插座（带保险丝）</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箱体类型：双导音管导相式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产品尺寸（高×宽×深）：326×190×284mm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产品净重：8.2kg</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YAMAHA、WHARFEDALE、JBL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2"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1.主机与电脑采用TCP/IP连接方式、可实现会议系统的远程控制，远程诊断和升级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2.连接无线系统数字控制软件，可利用电脑联网现场监控、搜索现场实际环境的无线电波干扰点及舞台上的频率盲点、控制及修改系统设定。                                    3.采用国际1/2 EIA标准的1U金属材质机箱，配合 新颖简洁的LCD液晶显示塑料面板，体积小，重量轻。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4.接收机明亮的LCD液晶显示，可同时显示工作频道或频率、RF和AF信号强度、发射器的电池容量、以及静音电平，同时还可编辑表演者名字以方便调音师控制。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5.超宽频段UHF554MHz~936 MHz，640个频点可选用，真正分集式接收机，减少接收死点。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6.具有[AFS]自动搜索实际环境中最干净、搜索无干扰频率功能，按下[AFS]键3秒后，就会自动搜索及锁定在实际工作环境中不受干扰的频道上。</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7.具有[IR]红外线自动对频功能，只要一按[SYNC]按键，就能立即使发射器自动精确锁定接收机的工作频点。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8.稳定的PLL相位锁定振荡电路，配合“杂音检测”静音控制功能，能有效地阻隔工作环境中的电脑设备、点歌机及DVD等噪杂射频干扰。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9.频率稳定性：± 0.005% ，PLL 鎖相回路頻率控制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10.载波频段：UHF 618 – 936MHz                                                                                                         11.调制方式：FM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12.工作有效距离：一般80米（空阔地方）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13.振荡方式：PLL相位锁定频率合成</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14.灵敏度：在偏移度等于25KHz,输入4dBμV时,S/N&gt;60dB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15.频带宽度：32MHz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16.最大偏移度：±45KHz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17.综合S/N比：＞108dB</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18.综合T.H.D.;＜0.4% @ 1KHz</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19.综合频率响应：65Hz～18KHz ± 3dB</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20.供电:DC 12V / 1A</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SHURE、RELACART、森海塞尔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5004" w:type="dxa"/>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1.采用多功能一体化设计，1U机箱；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2.设备级联接口采用RJ45网头设计，支持设备多台级联；</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3.支持RS232/RS485串口输入控制；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4.支持串口指令每通道独立控制和时序控制；</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5.内置滤波器；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6.支持无源消防信号启动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1.1.5米4平方电源线弱电开关启动；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2.工作电压：AC220V/50~60HZ；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3.最大负载：40A 6000W，单路负载：15A 1500W；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4.可控路数：8路；</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5.外形尺寸：483*270*48mm；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6.净重：4.8</w:t>
            </w: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WHARFEDALE、ABL、FURMAN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1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473"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5004" w:type="dxa"/>
            <w:tcBorders>
              <w:tl2br w:val="nil"/>
              <w:tr2bl w:val="nil"/>
            </w:tcBorders>
            <w:shd w:val="clear" w:color="auto" w:fill="auto"/>
            <w:noWrap w:val="0"/>
            <w:vAlign w:val="center"/>
          </w:tcPr>
          <w:p>
            <w:pPr>
              <w:rPr>
                <w:rFonts w:hint="eastAsia" w:ascii="仿宋" w:hAnsi="仿宋" w:eastAsia="仿宋" w:cs="仿宋"/>
                <w:i w:val="0"/>
                <w:iCs w:val="0"/>
                <w:color w:val="000000"/>
                <w:sz w:val="24"/>
                <w:szCs w:val="24"/>
                <w:u w:val="none"/>
              </w:rPr>
            </w:pPr>
          </w:p>
        </w:tc>
        <w:tc>
          <w:tcPr>
            <w:tcW w:w="757"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73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6" w:type="dxa"/>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r>
    </w:tbl>
    <w:p>
      <w:pPr>
        <w:widowControl/>
        <w:snapToGrid w:val="0"/>
        <w:spacing w:line="480" w:lineRule="exact"/>
        <w:rPr>
          <w:rFonts w:hint="eastAsia" w:ascii="仿宋" w:eastAsia="仿宋"/>
          <w:b/>
          <w:bCs/>
          <w:color w:val="000000"/>
          <w:kern w:val="0"/>
          <w:sz w:val="21"/>
          <w:szCs w:val="21"/>
        </w:rPr>
      </w:pPr>
    </w:p>
    <w:p>
      <w:pPr>
        <w:widowControl/>
        <w:snapToGrid w:val="0"/>
        <w:spacing w:line="240" w:lineRule="auto"/>
        <w:rPr>
          <w:rFonts w:hint="eastAsia" w:ascii="仿宋" w:eastAsia="仿宋"/>
          <w:b/>
          <w:bCs/>
          <w:color w:val="000000"/>
          <w:kern w:val="0"/>
          <w:sz w:val="24"/>
          <w:szCs w:val="24"/>
        </w:rPr>
      </w:pPr>
      <w:r>
        <w:rPr>
          <w:rFonts w:hint="eastAsia" w:ascii="仿宋" w:eastAsia="仿宋"/>
          <w:b/>
          <w:bCs/>
          <w:color w:val="000000"/>
          <w:kern w:val="0"/>
          <w:sz w:val="24"/>
          <w:szCs w:val="24"/>
        </w:rPr>
        <w:t>注：</w:t>
      </w:r>
    </w:p>
    <w:p>
      <w:pPr>
        <w:widowControl/>
        <w:snapToGrid w:val="0"/>
        <w:spacing w:line="240" w:lineRule="auto"/>
        <w:rPr>
          <w:rFonts w:hint="eastAsia" w:ascii="仿宋" w:eastAsia="仿宋"/>
          <w:b/>
          <w:bCs/>
          <w:color w:val="000000"/>
          <w:kern w:val="0"/>
          <w:sz w:val="24"/>
          <w:szCs w:val="24"/>
        </w:rPr>
      </w:pPr>
      <w:r>
        <w:rPr>
          <w:rFonts w:hint="eastAsia" w:ascii="仿宋" w:eastAsia="仿宋"/>
          <w:b/>
          <w:bCs/>
          <w:color w:val="000000"/>
          <w:kern w:val="0"/>
          <w:sz w:val="24"/>
          <w:szCs w:val="24"/>
        </w:rPr>
        <w:t>1.不限制或者拒绝</w:t>
      </w:r>
      <w:r>
        <w:rPr>
          <w:rFonts w:hint="eastAsia" w:ascii="仿宋" w:eastAsia="仿宋"/>
          <w:b/>
          <w:bCs/>
          <w:color w:val="000000"/>
          <w:kern w:val="0"/>
          <w:sz w:val="24"/>
          <w:szCs w:val="24"/>
          <w:lang w:val="en-US" w:eastAsia="zh-CN"/>
        </w:rPr>
        <w:t>投标人</w:t>
      </w:r>
      <w:r>
        <w:rPr>
          <w:rFonts w:hint="eastAsia" w:ascii="仿宋" w:eastAsia="仿宋"/>
          <w:b/>
          <w:bCs/>
          <w:color w:val="000000"/>
          <w:kern w:val="0"/>
          <w:sz w:val="24"/>
          <w:szCs w:val="24"/>
        </w:rPr>
        <w:t>以其他能满足本项目需求且性能与所明确品牌相当的货物参加投标。</w:t>
      </w:r>
    </w:p>
    <w:p>
      <w:pPr>
        <w:widowControl/>
        <w:snapToGrid w:val="0"/>
        <w:spacing w:line="240" w:lineRule="auto"/>
        <w:rPr>
          <w:rFonts w:hint="eastAsia" w:ascii="仿宋" w:eastAsia="仿宋"/>
          <w:b/>
          <w:bCs/>
          <w:color w:val="000000"/>
          <w:kern w:val="0"/>
          <w:sz w:val="24"/>
          <w:szCs w:val="24"/>
        </w:rPr>
      </w:pPr>
      <w:r>
        <w:rPr>
          <w:rFonts w:hint="eastAsia" w:ascii="仿宋" w:eastAsia="仿宋"/>
          <w:b/>
          <w:bCs/>
          <w:color w:val="000000"/>
          <w:kern w:val="0"/>
          <w:sz w:val="24"/>
          <w:szCs w:val="24"/>
        </w:rPr>
        <w:t>2.投标人应在此基础上根据自</w:t>
      </w:r>
      <w:r>
        <w:rPr>
          <w:rFonts w:hint="eastAsia" w:ascii="仿宋" w:eastAsia="仿宋"/>
          <w:b/>
          <w:bCs/>
          <w:color w:val="000000"/>
          <w:kern w:val="0"/>
          <w:sz w:val="24"/>
          <w:szCs w:val="24"/>
          <w:lang w:val="en-US" w:eastAsia="zh-CN"/>
        </w:rPr>
        <w:t>身</w:t>
      </w:r>
      <w:r>
        <w:rPr>
          <w:rFonts w:hint="eastAsia" w:ascii="仿宋" w:eastAsia="仿宋"/>
          <w:b/>
          <w:bCs/>
          <w:color w:val="000000"/>
          <w:kern w:val="0"/>
          <w:sz w:val="24"/>
          <w:szCs w:val="24"/>
        </w:rPr>
        <w:t>经验、优势、特点进行科学、合理的设计，并提供满足或优于本项目技术参数及要求的货物。</w:t>
      </w:r>
    </w:p>
    <w:p>
      <w:pPr>
        <w:widowControl/>
        <w:snapToGrid w:val="0"/>
        <w:spacing w:line="480" w:lineRule="exact"/>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pStyle w:val="2"/>
        <w:rPr>
          <w:rFonts w:hint="eastAsia" w:ascii="仿宋" w:eastAsia="仿宋"/>
          <w:b/>
          <w:bCs/>
          <w:color w:val="000000"/>
          <w:kern w:val="0"/>
          <w:sz w:val="24"/>
        </w:rPr>
      </w:pP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ascii="仿宋" w:eastAsia="仿宋"/>
          <w:b/>
          <w:bCs/>
          <w:color w:val="000000"/>
          <w:kern w:val="0"/>
          <w:sz w:val="24"/>
          <w:highlight w:val="none"/>
        </w:rPr>
      </w:pPr>
      <w:r>
        <w:rPr>
          <w:rFonts w:hint="eastAsia" w:ascii="仿宋" w:hAnsi="仿宋" w:eastAsia="仿宋"/>
          <w:color w:val="000000"/>
          <w:sz w:val="24"/>
          <w:highlight w:val="none"/>
        </w:rPr>
        <w:t>▲</w:t>
      </w:r>
      <w:r>
        <w:rPr>
          <w:rFonts w:hint="eastAsia" w:ascii="仿宋" w:eastAsia="仿宋"/>
          <w:b/>
          <w:bCs/>
          <w:color w:val="000000"/>
          <w:kern w:val="0"/>
          <w:sz w:val="24"/>
          <w:highlight w:val="none"/>
        </w:rPr>
        <w:t>2.1供货期</w:t>
      </w:r>
    </w:p>
    <w:p>
      <w:pPr>
        <w:pStyle w:val="2"/>
        <w:spacing w:line="360" w:lineRule="auto"/>
        <w:rPr>
          <w:rFonts w:hint="eastAsia" w:ascii="仿宋" w:eastAsia="仿宋"/>
          <w:color w:val="auto"/>
          <w:kern w:val="0"/>
          <w:sz w:val="24"/>
          <w:highlight w:val="none"/>
          <w:lang w:val="en-US" w:eastAsia="zh-CN"/>
        </w:rPr>
      </w:pPr>
      <w:r>
        <w:rPr>
          <w:rFonts w:hint="eastAsia" w:ascii="仿宋" w:eastAsia="仿宋"/>
          <w:color w:val="auto"/>
          <w:kern w:val="0"/>
          <w:sz w:val="24"/>
          <w:highlight w:val="none"/>
        </w:rPr>
        <w:t>2023年</w:t>
      </w:r>
      <w:r>
        <w:rPr>
          <w:rFonts w:hint="eastAsia" w:ascii="仿宋" w:eastAsia="仿宋"/>
          <w:color w:val="auto"/>
          <w:kern w:val="0"/>
          <w:sz w:val="24"/>
          <w:highlight w:val="none"/>
          <w:lang w:val="en-US" w:eastAsia="zh-CN"/>
        </w:rPr>
        <w:t>12月20日前</w:t>
      </w:r>
      <w:r>
        <w:rPr>
          <w:rFonts w:hint="eastAsia" w:ascii="仿宋" w:eastAsia="仿宋"/>
          <w:color w:val="auto"/>
          <w:kern w:val="0"/>
          <w:sz w:val="24"/>
          <w:highlight w:val="none"/>
        </w:rPr>
        <w:t>完工交付。</w:t>
      </w:r>
    </w:p>
    <w:p>
      <w:pPr>
        <w:widowControl/>
        <w:snapToGrid w:val="0"/>
        <w:spacing w:line="360" w:lineRule="auto"/>
        <w:rPr>
          <w:rFonts w:hint="eastAsia"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2.2供货地点</w:t>
      </w:r>
    </w:p>
    <w:p>
      <w:pPr>
        <w:widowControl/>
        <w:snapToGrid w:val="0"/>
        <w:spacing w:line="360" w:lineRule="auto"/>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lang w:val="en-US" w:eastAsia="zh-CN"/>
        </w:rPr>
        <w:t>绍兴市柯桥区</w:t>
      </w:r>
      <w:r>
        <w:rPr>
          <w:rFonts w:hint="eastAsia" w:ascii="仿宋" w:eastAsia="仿宋"/>
          <w:color w:val="auto"/>
          <w:kern w:val="0"/>
          <w:sz w:val="24"/>
          <w:highlight w:val="none"/>
        </w:rPr>
        <w:t>兰亭</w:t>
      </w:r>
      <w:r>
        <w:rPr>
          <w:rFonts w:hint="eastAsia" w:ascii="仿宋" w:eastAsia="仿宋"/>
          <w:color w:val="auto"/>
          <w:kern w:val="0"/>
          <w:sz w:val="24"/>
          <w:highlight w:val="none"/>
          <w:lang w:eastAsia="zh-CN"/>
        </w:rPr>
        <w:t>街道</w:t>
      </w:r>
    </w:p>
    <w:p>
      <w:pPr>
        <w:widowControl/>
        <w:snapToGrid w:val="0"/>
        <w:spacing w:line="360" w:lineRule="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2.3质保期</w:t>
      </w:r>
    </w:p>
    <w:p>
      <w:pPr>
        <w:widowControl/>
        <w:snapToGrid w:val="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本次采购质保期为</w:t>
      </w:r>
      <w:r>
        <w:rPr>
          <w:rFonts w:hint="eastAsia" w:ascii="仿宋" w:eastAsia="仿宋"/>
          <w:color w:val="auto"/>
          <w:sz w:val="24"/>
          <w:highlight w:val="none"/>
          <w:lang w:val="en-US" w:eastAsia="zh-CN"/>
        </w:rPr>
        <w:t>二</w:t>
      </w:r>
      <w:r>
        <w:rPr>
          <w:rFonts w:hint="eastAsia" w:ascii="仿宋" w:eastAsia="仿宋"/>
          <w:color w:val="auto"/>
          <w:sz w:val="24"/>
          <w:highlight w:val="none"/>
        </w:rPr>
        <w:t>年</w:t>
      </w:r>
      <w:r>
        <w:rPr>
          <w:rFonts w:hint="eastAsia" w:ascii="仿宋" w:eastAsia="仿宋"/>
          <w:color w:val="auto"/>
          <w:sz w:val="24"/>
          <w:highlight w:val="none"/>
          <w:lang w:eastAsia="zh-Hans"/>
        </w:rPr>
        <w:t>，质保期从项目验收合格之日起</w:t>
      </w:r>
      <w:r>
        <w:rPr>
          <w:rFonts w:hint="eastAsia" w:ascii="仿宋" w:eastAsia="仿宋"/>
          <w:color w:val="auto"/>
          <w:sz w:val="24"/>
          <w:highlight w:val="none"/>
        </w:rPr>
        <w:t>。</w:t>
      </w:r>
    </w:p>
    <w:p>
      <w:pPr>
        <w:widowControl/>
        <w:snapToGrid w:val="0"/>
        <w:spacing w:line="360" w:lineRule="auto"/>
        <w:rPr>
          <w:rFonts w:hint="eastAsia" w:ascii="仿宋" w:hAnsi="Times New Roman" w:eastAsia="仿宋" w:cs="Times New Roman"/>
          <w:b/>
          <w:bCs/>
          <w:color w:val="auto"/>
          <w:sz w:val="24"/>
          <w:lang w:val="en-US" w:eastAsia="zh-Hans"/>
        </w:rPr>
      </w:pPr>
      <w:r>
        <w:rPr>
          <w:rFonts w:hint="default" w:ascii="仿宋" w:hAnsi="Times New Roman" w:eastAsia="仿宋" w:cs="Times New Roman"/>
          <w:b/>
          <w:bCs/>
          <w:color w:val="auto"/>
          <w:sz w:val="24"/>
          <w:lang w:eastAsia="zh-Hans"/>
        </w:rPr>
        <w:t>2.4</w:t>
      </w:r>
      <w:r>
        <w:rPr>
          <w:rFonts w:hint="eastAsia" w:ascii="仿宋" w:hAnsi="Times New Roman" w:eastAsia="仿宋" w:cs="Times New Roman"/>
          <w:b/>
          <w:bCs/>
          <w:color w:val="auto"/>
          <w:sz w:val="24"/>
          <w:lang w:val="en-US" w:eastAsia="zh-Hans"/>
        </w:rPr>
        <w:t>培训服务</w:t>
      </w:r>
    </w:p>
    <w:p>
      <w:pPr>
        <w:widowControl/>
        <w:snapToGrid w:val="0"/>
        <w:spacing w:line="360" w:lineRule="auto"/>
        <w:ind w:firstLine="480" w:firstLineChars="200"/>
        <w:rPr>
          <w:rFonts w:hint="eastAsia" w:ascii="仿宋" w:hAnsi="Times New Roman" w:eastAsia="仿宋" w:cs="Times New Roman"/>
          <w:b/>
          <w:bCs/>
          <w:color w:val="auto"/>
          <w:sz w:val="24"/>
          <w:lang w:val="en-US" w:eastAsia="zh-Hans"/>
        </w:rPr>
      </w:pPr>
      <w:r>
        <w:rPr>
          <w:rFonts w:hint="eastAsia" w:ascii="仿宋" w:hAnsi="Times New Roman" w:eastAsia="仿宋" w:cs="Times New Roman"/>
          <w:b w:val="0"/>
          <w:bCs w:val="0"/>
          <w:color w:val="auto"/>
          <w:sz w:val="24"/>
          <w:lang w:val="en-US" w:eastAsia="zh-Hans"/>
        </w:rPr>
        <w:t>中标</w:t>
      </w:r>
      <w:r>
        <w:rPr>
          <w:rFonts w:hint="eastAsia" w:ascii="仿宋" w:eastAsia="仿宋" w:cs="Times New Roman"/>
          <w:b w:val="0"/>
          <w:bCs w:val="0"/>
          <w:color w:val="auto"/>
          <w:sz w:val="24"/>
          <w:lang w:val="en-US" w:eastAsia="zh-CN"/>
        </w:rPr>
        <w:t>人</w:t>
      </w:r>
      <w:r>
        <w:rPr>
          <w:rFonts w:hint="eastAsia" w:ascii="仿宋" w:hAnsi="Times New Roman" w:eastAsia="仿宋" w:cs="Times New Roman"/>
          <w:b w:val="0"/>
          <w:bCs w:val="0"/>
          <w:color w:val="auto"/>
          <w:sz w:val="24"/>
          <w:lang w:val="en-US" w:eastAsia="zh-Hans"/>
        </w:rPr>
        <w:t>需在安装调试完成后7天内对相关使用人员进行相应的设备培训工作，要求相关使用人员能正常操作系统及日常维护设备。</w:t>
      </w:r>
    </w:p>
    <w:p>
      <w:pPr>
        <w:widowControl/>
        <w:snapToGrid w:val="0"/>
        <w:spacing w:line="360" w:lineRule="auto"/>
        <w:rPr>
          <w:rFonts w:hint="eastAsia" w:ascii="仿宋" w:eastAsia="仿宋"/>
          <w:b/>
          <w:bCs/>
          <w:color w:val="auto"/>
          <w:sz w:val="24"/>
        </w:rPr>
      </w:pPr>
      <w:r>
        <w:rPr>
          <w:rFonts w:hint="eastAsia" w:ascii="仿宋" w:eastAsia="仿宋"/>
          <w:b/>
          <w:bCs/>
          <w:color w:val="auto"/>
          <w:sz w:val="24"/>
        </w:rPr>
        <w:t>2.</w:t>
      </w:r>
      <w:r>
        <w:rPr>
          <w:rFonts w:hint="default" w:ascii="仿宋" w:eastAsia="仿宋"/>
          <w:b/>
          <w:bCs/>
          <w:color w:val="auto"/>
          <w:sz w:val="24"/>
        </w:rPr>
        <w:t>5</w:t>
      </w:r>
      <w:r>
        <w:rPr>
          <w:rFonts w:hint="eastAsia" w:ascii="仿宋" w:eastAsia="仿宋"/>
          <w:b/>
          <w:bCs/>
          <w:color w:val="auto"/>
          <w:sz w:val="24"/>
        </w:rPr>
        <w:t>售后服务</w:t>
      </w:r>
    </w:p>
    <w:p>
      <w:pPr>
        <w:widowControl/>
        <w:snapToGrid w:val="0"/>
        <w:spacing w:line="360" w:lineRule="auto"/>
        <w:ind w:firstLine="480" w:firstLineChars="200"/>
        <w:rPr>
          <w:rFonts w:hint="eastAsia" w:ascii="仿宋" w:eastAsia="仿宋"/>
          <w:b w:val="0"/>
          <w:bCs w:val="0"/>
          <w:color w:val="auto"/>
          <w:sz w:val="24"/>
        </w:rPr>
      </w:pPr>
      <w:r>
        <w:rPr>
          <w:rFonts w:hint="eastAsia" w:ascii="仿宋" w:eastAsia="仿宋"/>
          <w:b w:val="0"/>
          <w:bCs w:val="0"/>
          <w:color w:val="auto"/>
          <w:sz w:val="24"/>
        </w:rPr>
        <w:t>对于本项目所有的设备，投标人向用户提供系统及所有设备不少于</w:t>
      </w:r>
      <w:r>
        <w:rPr>
          <w:rFonts w:hint="eastAsia" w:ascii="仿宋" w:eastAsia="仿宋"/>
          <w:b w:val="0"/>
          <w:bCs w:val="0"/>
          <w:color w:val="auto"/>
          <w:sz w:val="24"/>
          <w:lang w:val="en-US" w:eastAsia="zh-CN"/>
        </w:rPr>
        <w:t>2</w:t>
      </w:r>
      <w:r>
        <w:rPr>
          <w:rFonts w:hint="eastAsia" w:ascii="仿宋" w:eastAsia="仿宋"/>
          <w:b w:val="0"/>
          <w:bCs w:val="0"/>
          <w:color w:val="auto"/>
          <w:sz w:val="24"/>
        </w:rPr>
        <w:t>年（含）设备保修和现场售后服务。保修和售后维护服务时间从验收合格之日起计算。</w:t>
      </w:r>
    </w:p>
    <w:p>
      <w:pPr>
        <w:widowControl/>
        <w:snapToGrid w:val="0"/>
        <w:spacing w:line="360" w:lineRule="auto"/>
        <w:ind w:firstLine="480" w:firstLineChars="200"/>
        <w:rPr>
          <w:rFonts w:hint="eastAsia" w:ascii="仿宋" w:eastAsia="仿宋"/>
          <w:b w:val="0"/>
          <w:bCs w:val="0"/>
          <w:color w:val="auto"/>
          <w:sz w:val="24"/>
        </w:rPr>
      </w:pPr>
      <w:r>
        <w:rPr>
          <w:rFonts w:hint="eastAsia" w:ascii="仿宋" w:eastAsia="仿宋"/>
          <w:b w:val="0"/>
          <w:bCs w:val="0"/>
          <w:color w:val="auto"/>
          <w:sz w:val="24"/>
        </w:rPr>
        <w:t>当投标货物发生非人为因素严重故障时，</w:t>
      </w:r>
      <w:r>
        <w:rPr>
          <w:rFonts w:hint="eastAsia" w:ascii="仿宋" w:eastAsia="仿宋"/>
          <w:b w:val="0"/>
          <w:bCs w:val="0"/>
          <w:color w:val="auto"/>
          <w:sz w:val="24"/>
          <w:lang w:val="en-US" w:eastAsia="zh-CN"/>
        </w:rPr>
        <w:t>中标人</w:t>
      </w:r>
      <w:r>
        <w:rPr>
          <w:rFonts w:hint="eastAsia" w:ascii="仿宋" w:eastAsia="仿宋"/>
          <w:b w:val="0"/>
          <w:bCs w:val="0"/>
          <w:color w:val="auto"/>
          <w:sz w:val="24"/>
        </w:rPr>
        <w:t>应当在七日内将补充或者更换的货物运抵发生故障的货物所在地，由此产生的一切相关费用由</w:t>
      </w:r>
      <w:r>
        <w:rPr>
          <w:rFonts w:hint="eastAsia" w:ascii="仿宋" w:eastAsia="仿宋"/>
          <w:b w:val="0"/>
          <w:bCs w:val="0"/>
          <w:color w:val="auto"/>
          <w:sz w:val="24"/>
          <w:lang w:val="en-US" w:eastAsia="zh-CN"/>
        </w:rPr>
        <w:t>中标人</w:t>
      </w:r>
      <w:r>
        <w:rPr>
          <w:rFonts w:hint="eastAsia" w:ascii="仿宋" w:eastAsia="仿宋"/>
          <w:b w:val="0"/>
          <w:bCs w:val="0"/>
          <w:color w:val="auto"/>
          <w:sz w:val="24"/>
        </w:rPr>
        <w:t>负担。</w:t>
      </w:r>
    </w:p>
    <w:p>
      <w:pPr>
        <w:widowControl/>
        <w:snapToGrid w:val="0"/>
        <w:spacing w:line="360" w:lineRule="auto"/>
        <w:ind w:firstLine="480" w:firstLineChars="200"/>
        <w:rPr>
          <w:rFonts w:hint="eastAsia" w:ascii="仿宋" w:eastAsia="仿宋"/>
          <w:b w:val="0"/>
          <w:bCs w:val="0"/>
          <w:color w:val="auto"/>
          <w:sz w:val="24"/>
        </w:rPr>
      </w:pPr>
      <w:r>
        <w:rPr>
          <w:rFonts w:hint="eastAsia" w:ascii="仿宋" w:eastAsia="仿宋"/>
          <w:b w:val="0"/>
          <w:bCs w:val="0"/>
          <w:color w:val="auto"/>
          <w:sz w:val="24"/>
          <w:lang w:val="en-US" w:eastAsia="zh-CN"/>
        </w:rPr>
        <w:t>中标人</w:t>
      </w:r>
      <w:r>
        <w:rPr>
          <w:rFonts w:hint="eastAsia" w:ascii="仿宋" w:eastAsia="仿宋"/>
          <w:b w:val="0"/>
          <w:bCs w:val="0"/>
          <w:color w:val="auto"/>
          <w:sz w:val="24"/>
        </w:rPr>
        <w:t>应拥有日常技术维护力量，落实服务联系单位、联系人、联系电话。</w:t>
      </w:r>
    </w:p>
    <w:p>
      <w:pPr>
        <w:widowControl/>
        <w:snapToGrid w:val="0"/>
        <w:spacing w:line="360" w:lineRule="auto"/>
        <w:ind w:firstLine="480" w:firstLineChars="200"/>
        <w:rPr>
          <w:rFonts w:hint="eastAsia" w:ascii="仿宋" w:eastAsia="仿宋"/>
          <w:b w:val="0"/>
          <w:bCs w:val="0"/>
          <w:color w:val="auto"/>
          <w:sz w:val="24"/>
        </w:rPr>
      </w:pPr>
      <w:r>
        <w:rPr>
          <w:rFonts w:hint="eastAsia" w:ascii="仿宋" w:eastAsia="仿宋"/>
          <w:b w:val="0"/>
          <w:bCs w:val="0"/>
          <w:color w:val="auto"/>
          <w:sz w:val="24"/>
          <w:lang w:val="en-US" w:eastAsia="zh-CN"/>
        </w:rPr>
        <w:t>中标人</w:t>
      </w:r>
      <w:r>
        <w:rPr>
          <w:rFonts w:hint="eastAsia" w:ascii="仿宋" w:eastAsia="仿宋"/>
          <w:b w:val="0"/>
          <w:bCs w:val="0"/>
          <w:color w:val="auto"/>
          <w:sz w:val="24"/>
        </w:rPr>
        <w:t>在每次服务完成后，须向用户提交相关文档，内容包括起因、响应、过程、结果、今后注意事项等各部分。</w:t>
      </w:r>
    </w:p>
    <w:p>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b w:val="0"/>
          <w:bCs w:val="0"/>
          <w:color w:val="auto"/>
          <w:sz w:val="24"/>
        </w:rPr>
        <w:t>在保修期结束前，由</w:t>
      </w:r>
      <w:r>
        <w:rPr>
          <w:rFonts w:hint="eastAsia" w:ascii="仿宋" w:eastAsia="仿宋"/>
          <w:b w:val="0"/>
          <w:bCs w:val="0"/>
          <w:color w:val="auto"/>
          <w:sz w:val="24"/>
          <w:lang w:val="en-US" w:eastAsia="zh-CN"/>
        </w:rPr>
        <w:t>中标人</w:t>
      </w:r>
      <w:r>
        <w:rPr>
          <w:rFonts w:hint="eastAsia" w:ascii="仿宋" w:eastAsia="仿宋"/>
          <w:b w:val="0"/>
          <w:bCs w:val="0"/>
          <w:color w:val="auto"/>
          <w:sz w:val="24"/>
        </w:rPr>
        <w:t>工程师、</w:t>
      </w:r>
      <w:r>
        <w:rPr>
          <w:rFonts w:hint="eastAsia" w:ascii="仿宋" w:eastAsia="仿宋"/>
          <w:b w:val="0"/>
          <w:bCs w:val="0"/>
          <w:color w:val="auto"/>
          <w:sz w:val="24"/>
          <w:lang w:val="en-US" w:eastAsia="zh-CN"/>
        </w:rPr>
        <w:t>采购人</w:t>
      </w:r>
      <w:r>
        <w:rPr>
          <w:rFonts w:hint="eastAsia" w:ascii="仿宋" w:eastAsia="仿宋"/>
          <w:b w:val="0"/>
          <w:bCs w:val="0"/>
          <w:color w:val="auto"/>
          <w:sz w:val="24"/>
        </w:rPr>
        <w:t>对所供系统及设备进行一次全面检查，任何缺陷必须由投标人负责修理，在修复之后，投标人应将缺陷原因、修理内容、完成</w:t>
      </w:r>
      <w:r>
        <w:rPr>
          <w:rFonts w:hint="eastAsia" w:ascii="仿宋" w:eastAsia="仿宋"/>
          <w:b w:val="0"/>
          <w:bCs w:val="0"/>
          <w:color w:val="auto"/>
          <w:sz w:val="24"/>
          <w:highlight w:val="none"/>
        </w:rPr>
        <w:t>修理及恢复正常的时间和日期等报告给用户。</w:t>
      </w:r>
    </w:p>
    <w:p>
      <w:pPr>
        <w:widowControl/>
        <w:snapToGrid w:val="0"/>
        <w:spacing w:line="360" w:lineRule="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w:t>
      </w:r>
      <w:r>
        <w:rPr>
          <w:rFonts w:hint="default" w:ascii="仿宋" w:eastAsia="仿宋"/>
          <w:b/>
          <w:bCs/>
          <w:color w:val="auto"/>
          <w:sz w:val="24"/>
          <w:highlight w:val="none"/>
          <w:lang w:eastAsia="zh-CN"/>
        </w:rPr>
        <w:t>6</w:t>
      </w:r>
      <w:r>
        <w:rPr>
          <w:rFonts w:hint="eastAsia" w:ascii="仿宋" w:eastAsia="仿宋"/>
          <w:b/>
          <w:bCs/>
          <w:color w:val="auto"/>
          <w:sz w:val="24"/>
          <w:highlight w:val="none"/>
        </w:rPr>
        <w:t>付款方式</w:t>
      </w:r>
    </w:p>
    <w:p>
      <w:pPr>
        <w:widowControl/>
        <w:snapToGrid w:val="0"/>
        <w:spacing w:line="360" w:lineRule="auto"/>
        <w:ind w:firstLine="480" w:firstLineChars="200"/>
        <w:rPr>
          <w:rFonts w:hint="eastAsia" w:ascii="仿宋" w:eastAsia="仿宋"/>
          <w:color w:val="auto"/>
          <w:kern w:val="0"/>
          <w:sz w:val="24"/>
        </w:rPr>
      </w:pPr>
      <w:r>
        <w:rPr>
          <w:rFonts w:hint="eastAsia" w:ascii="仿宋" w:eastAsia="仿宋"/>
          <w:color w:val="auto"/>
          <w:kern w:val="0"/>
          <w:sz w:val="24"/>
        </w:rPr>
        <w:t>采购人在合同生效以及具备实施条件后向中标人</w:t>
      </w:r>
      <w:r>
        <w:rPr>
          <w:rFonts w:hint="eastAsia" w:ascii="仿宋" w:eastAsia="仿宋"/>
          <w:color w:val="auto"/>
          <w:kern w:val="0"/>
          <w:sz w:val="24"/>
          <w:lang w:val="en-US" w:eastAsia="zh-CN"/>
        </w:rPr>
        <w:t>支付</w:t>
      </w:r>
      <w:r>
        <w:rPr>
          <w:rFonts w:hint="eastAsia" w:ascii="仿宋" w:eastAsia="仿宋"/>
          <w:color w:val="auto"/>
          <w:kern w:val="0"/>
          <w:sz w:val="24"/>
        </w:rPr>
        <w:t>合同金额的</w:t>
      </w:r>
      <w:r>
        <w:rPr>
          <w:rFonts w:hint="eastAsia" w:ascii="仿宋" w:eastAsia="仿宋"/>
          <w:color w:val="auto"/>
          <w:kern w:val="0"/>
          <w:sz w:val="24"/>
          <w:lang w:val="en-US" w:eastAsia="zh-CN"/>
        </w:rPr>
        <w:t>3</w:t>
      </w:r>
      <w:r>
        <w:rPr>
          <w:rFonts w:hint="eastAsia" w:ascii="仿宋" w:eastAsia="仿宋"/>
          <w:color w:val="auto"/>
          <w:kern w:val="0"/>
          <w:sz w:val="24"/>
        </w:rPr>
        <w:t>0%，</w:t>
      </w:r>
      <w:r>
        <w:rPr>
          <w:rFonts w:hint="eastAsia" w:ascii="仿宋" w:eastAsia="仿宋"/>
          <w:color w:val="auto"/>
          <w:kern w:val="0"/>
          <w:sz w:val="24"/>
          <w:lang w:val="en-US" w:eastAsia="zh-CN"/>
        </w:rPr>
        <w:t>货到</w:t>
      </w:r>
      <w:r>
        <w:rPr>
          <w:rFonts w:hint="eastAsia" w:ascii="仿宋" w:eastAsia="仿宋"/>
          <w:color w:val="auto"/>
          <w:kern w:val="0"/>
          <w:sz w:val="24"/>
        </w:rPr>
        <w:t>验收合格后支付合同金额的</w:t>
      </w:r>
      <w:r>
        <w:rPr>
          <w:rFonts w:hint="eastAsia" w:ascii="仿宋" w:eastAsia="仿宋"/>
          <w:color w:val="auto"/>
          <w:kern w:val="0"/>
          <w:sz w:val="24"/>
          <w:lang w:val="en-US" w:eastAsia="zh-CN"/>
        </w:rPr>
        <w:t>50</w:t>
      </w:r>
      <w:r>
        <w:rPr>
          <w:rFonts w:hint="eastAsia" w:ascii="仿宋" w:eastAsia="仿宋"/>
          <w:color w:val="auto"/>
          <w:kern w:val="0"/>
          <w:sz w:val="24"/>
        </w:rPr>
        <w:t>%，</w:t>
      </w:r>
      <w:r>
        <w:rPr>
          <w:rFonts w:hint="eastAsia" w:ascii="仿宋" w:eastAsia="仿宋"/>
          <w:color w:val="auto"/>
          <w:kern w:val="0"/>
          <w:sz w:val="24"/>
          <w:lang w:val="en-US" w:eastAsia="zh-CN"/>
        </w:rPr>
        <w:t>安装调试并验收通过后</w:t>
      </w:r>
      <w:r>
        <w:rPr>
          <w:rFonts w:hint="eastAsia" w:ascii="仿宋" w:eastAsia="仿宋"/>
          <w:color w:val="auto"/>
          <w:kern w:val="0"/>
          <w:sz w:val="24"/>
        </w:rPr>
        <w:t>支付合同金额的</w:t>
      </w:r>
      <w:r>
        <w:rPr>
          <w:rFonts w:hint="eastAsia" w:ascii="仿宋" w:eastAsia="仿宋"/>
          <w:color w:val="auto"/>
          <w:kern w:val="0"/>
          <w:sz w:val="24"/>
          <w:lang w:val="en-US" w:eastAsia="zh-CN"/>
        </w:rPr>
        <w:t>15</w:t>
      </w:r>
      <w:r>
        <w:rPr>
          <w:rFonts w:hint="eastAsia" w:ascii="仿宋" w:eastAsia="仿宋"/>
          <w:color w:val="auto"/>
          <w:kern w:val="0"/>
          <w:sz w:val="24"/>
        </w:rPr>
        <w:t>%，</w:t>
      </w:r>
      <w:r>
        <w:rPr>
          <w:rFonts w:hint="eastAsia" w:ascii="仿宋" w:eastAsia="仿宋"/>
          <w:color w:val="auto"/>
          <w:kern w:val="0"/>
          <w:sz w:val="24"/>
          <w:lang w:val="en-US" w:eastAsia="zh-CN"/>
        </w:rPr>
        <w:t>质保期满后无任何问题的支付</w:t>
      </w:r>
      <w:r>
        <w:rPr>
          <w:rFonts w:hint="eastAsia" w:ascii="仿宋" w:eastAsia="仿宋"/>
          <w:color w:val="auto"/>
          <w:kern w:val="0"/>
          <w:sz w:val="24"/>
        </w:rPr>
        <w:t>合同</w:t>
      </w:r>
      <w:r>
        <w:rPr>
          <w:rFonts w:hint="eastAsia" w:ascii="仿宋" w:eastAsia="仿宋"/>
          <w:color w:val="auto"/>
          <w:kern w:val="0"/>
          <w:sz w:val="24"/>
          <w:lang w:val="en-US" w:eastAsia="zh-CN"/>
        </w:rPr>
        <w:t>金额的5%</w:t>
      </w:r>
      <w:r>
        <w:rPr>
          <w:rFonts w:hint="eastAsia" w:ascii="仿宋" w:eastAsia="仿宋"/>
          <w:color w:val="auto"/>
          <w:kern w:val="0"/>
          <w:sz w:val="24"/>
        </w:rPr>
        <w:t>。</w:t>
      </w:r>
    </w:p>
    <w:p>
      <w:pPr>
        <w:widowControl/>
        <w:snapToGrid w:val="0"/>
        <w:spacing w:line="360" w:lineRule="auto"/>
        <w:rPr>
          <w:rFonts w:hint="eastAsia" w:ascii="仿宋" w:eastAsia="仿宋"/>
          <w:kern w:val="0"/>
          <w:sz w:val="24"/>
          <w:highlight w:val="none"/>
        </w:rPr>
      </w:pPr>
      <w:r>
        <w:rPr>
          <w:rFonts w:hint="eastAsia" w:ascii="仿宋" w:eastAsia="仿宋"/>
          <w:b/>
          <w:bCs/>
          <w:kern w:val="0"/>
          <w:sz w:val="24"/>
          <w:highlight w:val="none"/>
        </w:rPr>
        <w:t>2.</w:t>
      </w:r>
      <w:r>
        <w:rPr>
          <w:rFonts w:hint="eastAsia" w:ascii="仿宋" w:eastAsia="仿宋"/>
          <w:b/>
          <w:bCs/>
          <w:kern w:val="0"/>
          <w:sz w:val="24"/>
          <w:highlight w:val="none"/>
          <w:lang w:val="en-US" w:eastAsia="zh-CN"/>
        </w:rPr>
        <w:t>7</w:t>
      </w:r>
      <w:r>
        <w:rPr>
          <w:rFonts w:hint="eastAsia" w:ascii="仿宋" w:eastAsia="仿宋"/>
          <w:b/>
          <w:bCs/>
          <w:kern w:val="0"/>
          <w:sz w:val="24"/>
          <w:highlight w:val="none"/>
        </w:rPr>
        <w:t>结算原则</w:t>
      </w:r>
    </w:p>
    <w:p>
      <w:pPr>
        <w:widowControl/>
        <w:snapToGrid w:val="0"/>
        <w:spacing w:line="360" w:lineRule="auto"/>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2.</w:t>
      </w:r>
      <w:r>
        <w:rPr>
          <w:rFonts w:hint="eastAsia" w:ascii="仿宋" w:eastAsia="仿宋"/>
          <w:color w:val="000000"/>
          <w:kern w:val="0"/>
          <w:sz w:val="24"/>
          <w:highlight w:val="none"/>
          <w:lang w:val="en-US" w:eastAsia="zh-CN"/>
        </w:rPr>
        <w:t>7</w:t>
      </w:r>
      <w:r>
        <w:rPr>
          <w:rFonts w:hint="eastAsia" w:ascii="仿宋" w:eastAsia="仿宋"/>
          <w:color w:val="000000"/>
          <w:kern w:val="0"/>
          <w:sz w:val="24"/>
          <w:highlight w:val="none"/>
        </w:rPr>
        <w:t>.1招标文件、招标答疑会纪要、中标人的中标报价等作为结算依据；</w:t>
      </w:r>
    </w:p>
    <w:p>
      <w:pPr>
        <w:widowControl/>
        <w:snapToGrid w:val="0"/>
        <w:spacing w:line="360" w:lineRule="auto"/>
        <w:ind w:firstLine="480" w:firstLineChars="200"/>
        <w:rPr>
          <w:rFonts w:hint="eastAsia" w:ascii="仿宋" w:hAnsi="仿宋" w:eastAsia="仿宋"/>
          <w:color w:val="000000"/>
          <w:sz w:val="24"/>
        </w:rPr>
      </w:pPr>
      <w:r>
        <w:rPr>
          <w:rFonts w:hint="eastAsia" w:ascii="仿宋" w:eastAsia="仿宋"/>
          <w:color w:val="000000"/>
          <w:kern w:val="0"/>
          <w:sz w:val="24"/>
          <w:highlight w:val="none"/>
        </w:rPr>
        <w:t>2.</w:t>
      </w:r>
      <w:r>
        <w:rPr>
          <w:rFonts w:hint="eastAsia" w:ascii="仿宋" w:eastAsia="仿宋"/>
          <w:color w:val="000000"/>
          <w:kern w:val="0"/>
          <w:sz w:val="24"/>
          <w:highlight w:val="none"/>
          <w:lang w:val="en-US" w:eastAsia="zh-CN"/>
        </w:rPr>
        <w:t>7</w:t>
      </w:r>
      <w:r>
        <w:rPr>
          <w:rFonts w:hint="eastAsia" w:ascii="仿宋" w:eastAsia="仿宋"/>
          <w:color w:val="000000"/>
          <w:kern w:val="0"/>
          <w:sz w:val="24"/>
          <w:highlight w:val="none"/>
        </w:rPr>
        <w:t>.2中标单价一次性包死，不再调整。</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w:t>
      </w:r>
      <w:r>
        <w:rPr>
          <w:rFonts w:hint="eastAsia" w:ascii="仿宋" w:eastAsia="仿宋"/>
          <w:b/>
          <w:bCs/>
          <w:sz w:val="24"/>
          <w:lang w:val="en-US" w:eastAsia="zh-CN"/>
        </w:rPr>
        <w:t>8</w:t>
      </w:r>
      <w:r>
        <w:rPr>
          <w:rFonts w:hint="eastAsia" w:ascii="仿宋" w:eastAsia="仿宋"/>
          <w:b/>
          <w:bCs/>
          <w:sz w:val="24"/>
        </w:rPr>
        <w:t>数量调整</w:t>
      </w:r>
    </w:p>
    <w:p>
      <w:pPr>
        <w:widowControl/>
        <w:snapToGrid w:val="0"/>
        <w:spacing w:line="360" w:lineRule="auto"/>
        <w:ind w:firstLine="479"/>
        <w:rPr>
          <w:rFonts w:ascii="仿宋" w:eastAsia="仿宋"/>
          <w:color w:val="000000"/>
          <w:kern w:val="0"/>
          <w:sz w:val="24"/>
          <w:highlight w:val="none"/>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w:t>
      </w:r>
      <w:r>
        <w:rPr>
          <w:rFonts w:hint="eastAsia" w:ascii="仿宋" w:eastAsia="仿宋"/>
          <w:color w:val="000000"/>
          <w:kern w:val="0"/>
          <w:sz w:val="24"/>
          <w:highlight w:val="none"/>
        </w:rPr>
        <w:t>确认后实施。</w:t>
      </w:r>
    </w:p>
    <w:p>
      <w:pPr>
        <w:widowControl/>
        <w:snapToGrid w:val="0"/>
        <w:spacing w:line="360" w:lineRule="auto"/>
        <w:rPr>
          <w:rFonts w:hint="eastAsia" w:ascii="仿宋" w:eastAsia="仿宋"/>
          <w:b/>
          <w:bCs/>
          <w:color w:val="000000"/>
          <w:kern w:val="0"/>
          <w:sz w:val="24"/>
          <w:highlight w:val="none"/>
        </w:rPr>
      </w:pPr>
      <w:r>
        <w:rPr>
          <w:rFonts w:hint="eastAsia" w:ascii="仿宋" w:hAnsi="仿宋" w:eastAsia="仿宋"/>
          <w:color w:val="000000"/>
          <w:sz w:val="24"/>
          <w:highlight w:val="none"/>
        </w:rPr>
        <w:t>▲</w:t>
      </w:r>
      <w:r>
        <w:rPr>
          <w:rFonts w:hint="eastAsia" w:ascii="仿宋" w:eastAsia="仿宋"/>
          <w:b/>
          <w:bCs/>
          <w:color w:val="000000"/>
          <w:kern w:val="0"/>
          <w:sz w:val="24"/>
          <w:highlight w:val="none"/>
        </w:rPr>
        <w:t>2.</w:t>
      </w:r>
      <w:r>
        <w:rPr>
          <w:rFonts w:hint="eastAsia" w:ascii="仿宋" w:eastAsia="仿宋"/>
          <w:b/>
          <w:bCs/>
          <w:color w:val="000000"/>
          <w:kern w:val="0"/>
          <w:sz w:val="24"/>
          <w:highlight w:val="none"/>
          <w:lang w:val="en-US" w:eastAsia="zh-CN"/>
        </w:rPr>
        <w:t>9</w:t>
      </w:r>
      <w:r>
        <w:rPr>
          <w:rFonts w:hint="eastAsia" w:ascii="仿宋" w:eastAsia="仿宋"/>
          <w:b/>
          <w:bCs/>
          <w:color w:val="000000"/>
          <w:kern w:val="0"/>
          <w:sz w:val="24"/>
          <w:highlight w:val="none"/>
        </w:rPr>
        <w:t>验收要求、标准</w:t>
      </w:r>
    </w:p>
    <w:p>
      <w:pPr>
        <w:widowControl/>
        <w:snapToGrid w:val="0"/>
        <w:spacing w:line="360" w:lineRule="auto"/>
        <w:ind w:firstLine="480" w:firstLineChars="200"/>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2.9.1 本</w:t>
      </w:r>
      <w:r>
        <w:rPr>
          <w:rFonts w:hint="eastAsia" w:ascii="仿宋" w:eastAsia="仿宋"/>
          <w:b w:val="0"/>
          <w:bCs w:val="0"/>
          <w:color w:val="000000"/>
          <w:kern w:val="0"/>
          <w:sz w:val="24"/>
          <w:highlight w:val="none"/>
          <w:lang w:val="en-US" w:eastAsia="zh-CN"/>
        </w:rPr>
        <w:t>项目</w:t>
      </w:r>
      <w:r>
        <w:rPr>
          <w:rFonts w:hint="eastAsia" w:ascii="仿宋" w:eastAsia="仿宋"/>
          <w:b w:val="0"/>
          <w:bCs w:val="0"/>
          <w:color w:val="000000"/>
          <w:kern w:val="0"/>
          <w:sz w:val="24"/>
          <w:highlight w:val="none"/>
        </w:rPr>
        <w:t>质量目标为合格，并且应达到招标文件中规定的验收规范要求。</w:t>
      </w:r>
    </w:p>
    <w:p>
      <w:pPr>
        <w:widowControl/>
        <w:snapToGrid w:val="0"/>
        <w:spacing w:line="360" w:lineRule="auto"/>
        <w:ind w:firstLine="480" w:firstLineChars="200"/>
        <w:rPr>
          <w:rFonts w:hint="eastAsia" w:ascii="仿宋" w:eastAsia="仿宋"/>
          <w:b/>
          <w:bCs/>
          <w:color w:val="000000"/>
          <w:kern w:val="0"/>
          <w:sz w:val="24"/>
          <w:highlight w:val="none"/>
        </w:rPr>
      </w:pPr>
      <w:r>
        <w:rPr>
          <w:rFonts w:hint="eastAsia" w:ascii="仿宋" w:eastAsia="仿宋"/>
          <w:b w:val="0"/>
          <w:bCs w:val="0"/>
          <w:color w:val="000000"/>
          <w:kern w:val="0"/>
          <w:sz w:val="24"/>
          <w:highlight w:val="none"/>
        </w:rPr>
        <w:t>2.9.2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
        <w:spacing w:line="360" w:lineRule="auto"/>
        <w:ind w:left="0" w:leftChars="0" w:firstLine="0" w:firstLineChars="0"/>
        <w:rPr>
          <w:rFonts w:hint="eastAsia" w:ascii="仿宋" w:eastAsia="仿宋"/>
          <w:b/>
          <w:bCs/>
          <w:color w:val="000000"/>
          <w:kern w:val="0"/>
          <w:sz w:val="24"/>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pStyle w:val="2"/>
        <w:ind w:left="0" w:leftChars="0" w:firstLine="0" w:firstLineChars="0"/>
        <w:rPr>
          <w:rFonts w:hint="eastAsia" w:ascii="仿宋" w:eastAsia="仿宋"/>
          <w:b w:val="0"/>
          <w:bCs w:val="0"/>
          <w:color w:val="000000"/>
          <w:kern w:val="0"/>
          <w:sz w:val="24"/>
          <w:lang w:val="en-US" w:eastAsia="zh-CN"/>
        </w:rPr>
      </w:pPr>
    </w:p>
    <w:p>
      <w:pPr>
        <w:adjustRightInd/>
        <w:spacing w:line="360" w:lineRule="auto"/>
        <w:ind w:firstLine="480" w:firstLineChars="200"/>
        <w:jc w:val="center"/>
        <w:rPr>
          <w:rFonts w:hint="eastAsia"/>
        </w:rPr>
      </w:pPr>
      <w:r>
        <w:rPr>
          <w:rFonts w:hint="eastAsia" w:ascii="仿宋" w:eastAsia="仿宋"/>
          <w:color w:val="000000"/>
          <w:kern w:val="0"/>
          <w:sz w:val="24"/>
          <w:highlight w:val="yellow"/>
        </w:rPr>
        <w:br w:type="page"/>
      </w:r>
      <w:bookmarkStart w:id="62" w:name="_Toc184312070"/>
      <w:bookmarkEnd w:id="62"/>
      <w:bookmarkStart w:id="63" w:name="_Toc184308039"/>
      <w:bookmarkEnd w:id="63"/>
      <w:bookmarkStart w:id="64" w:name="_Toc184314418"/>
      <w:bookmarkEnd w:id="64"/>
      <w:bookmarkStart w:id="65" w:name="_Toc184310285"/>
      <w:bookmarkEnd w:id="65"/>
      <w:bookmarkStart w:id="66" w:name="_Toc184314455"/>
      <w:bookmarkEnd w:id="66"/>
      <w:bookmarkStart w:id="67" w:name="_Toc184308074"/>
      <w:bookmarkEnd w:id="67"/>
      <w:bookmarkStart w:id="68" w:name="_Toc184308043"/>
      <w:bookmarkEnd w:id="68"/>
      <w:bookmarkStart w:id="69" w:name="_Toc184313254"/>
      <w:bookmarkEnd w:id="69"/>
      <w:bookmarkStart w:id="70" w:name="_Toc184314457"/>
      <w:bookmarkEnd w:id="70"/>
      <w:bookmarkStart w:id="71" w:name="_Toc184312136"/>
      <w:bookmarkEnd w:id="71"/>
      <w:bookmarkStart w:id="72" w:name="_Toc184308093"/>
      <w:bookmarkEnd w:id="72"/>
      <w:bookmarkStart w:id="73" w:name="_Toc184314429"/>
      <w:bookmarkEnd w:id="73"/>
      <w:bookmarkStart w:id="74" w:name="_Toc184308087"/>
      <w:bookmarkEnd w:id="74"/>
      <w:bookmarkStart w:id="75" w:name="_Toc184314474"/>
      <w:bookmarkEnd w:id="75"/>
      <w:bookmarkStart w:id="76" w:name="_Toc184313287"/>
      <w:bookmarkEnd w:id="76"/>
      <w:bookmarkStart w:id="77" w:name="_Toc184312081"/>
      <w:bookmarkEnd w:id="77"/>
      <w:bookmarkStart w:id="78" w:name="_Toc184308107"/>
      <w:bookmarkEnd w:id="78"/>
      <w:bookmarkStart w:id="79" w:name="_Toc184314473"/>
      <w:bookmarkEnd w:id="79"/>
      <w:bookmarkStart w:id="80" w:name="_Toc184313291"/>
      <w:bookmarkEnd w:id="80"/>
      <w:bookmarkStart w:id="81" w:name="_Toc184312088"/>
      <w:bookmarkEnd w:id="81"/>
      <w:bookmarkStart w:id="82" w:name="_Toc184314462"/>
      <w:bookmarkEnd w:id="82"/>
      <w:bookmarkStart w:id="83" w:name="_Toc184313278"/>
      <w:bookmarkEnd w:id="83"/>
      <w:bookmarkStart w:id="84" w:name="_Toc184308055"/>
      <w:bookmarkEnd w:id="84"/>
      <w:bookmarkStart w:id="85" w:name="_Toc184314412"/>
      <w:bookmarkEnd w:id="85"/>
      <w:bookmarkStart w:id="86" w:name="_Toc184312101"/>
      <w:bookmarkEnd w:id="86"/>
      <w:bookmarkStart w:id="87" w:name="_Toc184312082"/>
      <w:bookmarkEnd w:id="87"/>
      <w:bookmarkStart w:id="88" w:name="_Toc184314421"/>
      <w:bookmarkEnd w:id="88"/>
      <w:bookmarkStart w:id="89" w:name="_Toc184312137"/>
      <w:bookmarkEnd w:id="89"/>
      <w:bookmarkStart w:id="90" w:name="_Toc184310337"/>
      <w:bookmarkEnd w:id="90"/>
      <w:bookmarkStart w:id="91" w:name="_Toc184312096"/>
      <w:bookmarkEnd w:id="91"/>
      <w:bookmarkStart w:id="92" w:name="_Toc184314432"/>
      <w:bookmarkEnd w:id="92"/>
      <w:bookmarkStart w:id="93" w:name="_Toc184310335"/>
      <w:bookmarkEnd w:id="93"/>
      <w:bookmarkStart w:id="94" w:name="_Toc184312102"/>
      <w:bookmarkEnd w:id="94"/>
      <w:bookmarkStart w:id="95" w:name="_Toc184310341"/>
      <w:bookmarkEnd w:id="95"/>
      <w:bookmarkStart w:id="96" w:name="_Toc184310273"/>
      <w:bookmarkEnd w:id="96"/>
      <w:bookmarkStart w:id="97" w:name="_Toc184312085"/>
      <w:bookmarkEnd w:id="97"/>
      <w:bookmarkStart w:id="98" w:name="_Toc184308106"/>
      <w:bookmarkEnd w:id="98"/>
      <w:bookmarkStart w:id="99" w:name="_Toc184314481"/>
      <w:bookmarkEnd w:id="99"/>
      <w:bookmarkStart w:id="100" w:name="_Toc184314445"/>
      <w:bookmarkEnd w:id="100"/>
      <w:bookmarkStart w:id="101" w:name="_Toc184314440"/>
      <w:bookmarkEnd w:id="101"/>
      <w:bookmarkStart w:id="102" w:name="_Toc184308095"/>
      <w:bookmarkEnd w:id="102"/>
      <w:bookmarkStart w:id="103" w:name="_Toc184313284"/>
      <w:bookmarkEnd w:id="103"/>
      <w:bookmarkStart w:id="104" w:name="_Toc184308044"/>
      <w:bookmarkEnd w:id="104"/>
      <w:bookmarkStart w:id="105" w:name="_Toc184310275"/>
      <w:bookmarkEnd w:id="105"/>
      <w:bookmarkStart w:id="106" w:name="_Toc184313240"/>
      <w:bookmarkEnd w:id="106"/>
      <w:bookmarkStart w:id="107" w:name="_Toc184308052"/>
      <w:bookmarkEnd w:id="107"/>
      <w:bookmarkStart w:id="108" w:name="_Toc184314447"/>
      <w:bookmarkEnd w:id="108"/>
      <w:bookmarkStart w:id="109" w:name="_Toc184312114"/>
      <w:bookmarkEnd w:id="109"/>
      <w:bookmarkStart w:id="110" w:name="_Toc184313238"/>
      <w:bookmarkEnd w:id="110"/>
      <w:bookmarkStart w:id="111" w:name="_Toc184313260"/>
      <w:bookmarkEnd w:id="111"/>
      <w:bookmarkStart w:id="112" w:name="_Toc184310294"/>
      <w:bookmarkEnd w:id="112"/>
      <w:bookmarkStart w:id="113" w:name="_Toc184308091"/>
      <w:bookmarkEnd w:id="113"/>
      <w:bookmarkStart w:id="114" w:name="_Toc184310284"/>
      <w:bookmarkEnd w:id="114"/>
      <w:bookmarkStart w:id="115" w:name="_Toc184314476"/>
      <w:bookmarkEnd w:id="115"/>
      <w:bookmarkStart w:id="116" w:name="_Toc184308076"/>
      <w:bookmarkEnd w:id="116"/>
      <w:bookmarkStart w:id="117" w:name="_Toc184308056"/>
      <w:bookmarkEnd w:id="117"/>
      <w:bookmarkStart w:id="118" w:name="_Toc184314420"/>
      <w:bookmarkEnd w:id="118"/>
      <w:bookmarkStart w:id="119" w:name="_Toc184312106"/>
      <w:bookmarkEnd w:id="119"/>
      <w:bookmarkStart w:id="120" w:name="_Toc184313253"/>
      <w:bookmarkEnd w:id="120"/>
      <w:bookmarkStart w:id="121" w:name="_Toc184314434"/>
      <w:bookmarkEnd w:id="121"/>
      <w:bookmarkStart w:id="122" w:name="_Toc184308059"/>
      <w:bookmarkEnd w:id="122"/>
      <w:bookmarkStart w:id="123" w:name="_Toc184313309"/>
      <w:bookmarkEnd w:id="123"/>
      <w:bookmarkStart w:id="124" w:name="_Toc184312091"/>
      <w:bookmarkEnd w:id="124"/>
      <w:bookmarkStart w:id="125" w:name="_Toc184308084"/>
      <w:bookmarkEnd w:id="125"/>
      <w:bookmarkStart w:id="126" w:name="_Toc184312084"/>
      <w:bookmarkEnd w:id="126"/>
      <w:bookmarkStart w:id="127" w:name="_Toc184313262"/>
      <w:bookmarkEnd w:id="127"/>
      <w:bookmarkStart w:id="128" w:name="_Toc184313296"/>
      <w:bookmarkEnd w:id="128"/>
      <w:bookmarkStart w:id="129" w:name="_Toc184308085"/>
      <w:bookmarkEnd w:id="129"/>
      <w:bookmarkStart w:id="130" w:name="_Toc184313243"/>
      <w:bookmarkEnd w:id="130"/>
      <w:bookmarkStart w:id="131" w:name="_Toc184312115"/>
      <w:bookmarkEnd w:id="131"/>
      <w:bookmarkStart w:id="132" w:name="_Toc184308053"/>
      <w:bookmarkEnd w:id="132"/>
      <w:bookmarkStart w:id="133" w:name="_Toc184308068"/>
      <w:bookmarkEnd w:id="133"/>
      <w:bookmarkStart w:id="134" w:name="_Toc184313282"/>
      <w:bookmarkEnd w:id="134"/>
      <w:bookmarkStart w:id="135" w:name="_Toc184312111"/>
      <w:bookmarkEnd w:id="135"/>
      <w:bookmarkStart w:id="136" w:name="_Toc184310300"/>
      <w:bookmarkEnd w:id="136"/>
      <w:bookmarkStart w:id="137" w:name="_Toc184313298"/>
      <w:bookmarkEnd w:id="137"/>
      <w:bookmarkStart w:id="138" w:name="_Toc184313273"/>
      <w:bookmarkEnd w:id="138"/>
      <w:bookmarkStart w:id="139" w:name="_Toc184310301"/>
      <w:bookmarkEnd w:id="139"/>
      <w:bookmarkStart w:id="140" w:name="_Toc184314469"/>
      <w:bookmarkEnd w:id="140"/>
      <w:bookmarkStart w:id="141" w:name="_Toc184314444"/>
      <w:bookmarkEnd w:id="141"/>
      <w:bookmarkStart w:id="142" w:name="_Toc184314451"/>
      <w:bookmarkEnd w:id="142"/>
      <w:bookmarkStart w:id="143" w:name="_Toc184310326"/>
      <w:bookmarkEnd w:id="143"/>
      <w:bookmarkStart w:id="144" w:name="_Toc184314456"/>
      <w:bookmarkEnd w:id="144"/>
      <w:bookmarkStart w:id="145" w:name="_Toc184313305"/>
      <w:bookmarkEnd w:id="145"/>
      <w:bookmarkStart w:id="146" w:name="_Toc184314479"/>
      <w:bookmarkEnd w:id="146"/>
      <w:bookmarkStart w:id="147" w:name="_Toc184308047"/>
      <w:bookmarkEnd w:id="147"/>
      <w:bookmarkStart w:id="148" w:name="_Toc184313244"/>
      <w:bookmarkEnd w:id="148"/>
      <w:bookmarkStart w:id="149" w:name="_Toc184310318"/>
      <w:bookmarkEnd w:id="149"/>
      <w:bookmarkStart w:id="150" w:name="_Toc184313289"/>
      <w:bookmarkEnd w:id="150"/>
      <w:bookmarkStart w:id="151" w:name="_Toc184312099"/>
      <w:bookmarkEnd w:id="151"/>
      <w:bookmarkStart w:id="152" w:name="_Toc184310311"/>
      <w:bookmarkEnd w:id="152"/>
      <w:bookmarkStart w:id="153" w:name="_Toc184313272"/>
      <w:bookmarkEnd w:id="153"/>
      <w:bookmarkStart w:id="154" w:name="_Toc184310339"/>
      <w:bookmarkEnd w:id="154"/>
      <w:bookmarkStart w:id="155" w:name="_Toc184312090"/>
      <w:bookmarkEnd w:id="155"/>
      <w:bookmarkStart w:id="156" w:name="_Toc184313294"/>
      <w:bookmarkEnd w:id="156"/>
      <w:bookmarkStart w:id="157" w:name="_Toc184313271"/>
      <w:bookmarkEnd w:id="157"/>
      <w:bookmarkStart w:id="158" w:name="_Toc184310315"/>
      <w:bookmarkEnd w:id="158"/>
      <w:bookmarkStart w:id="159" w:name="_Toc184314465"/>
      <w:bookmarkEnd w:id="159"/>
      <w:bookmarkStart w:id="160" w:name="_Toc184310290"/>
      <w:bookmarkEnd w:id="160"/>
      <w:bookmarkStart w:id="161" w:name="_Toc184314472"/>
      <w:bookmarkEnd w:id="161"/>
      <w:bookmarkStart w:id="162" w:name="_Toc184308077"/>
      <w:bookmarkEnd w:id="162"/>
      <w:bookmarkStart w:id="163" w:name="_Toc184308075"/>
      <w:bookmarkEnd w:id="163"/>
      <w:bookmarkStart w:id="164" w:name="_Toc184314459"/>
      <w:bookmarkEnd w:id="164"/>
      <w:bookmarkStart w:id="165" w:name="_Toc184308103"/>
      <w:bookmarkEnd w:id="165"/>
      <w:bookmarkStart w:id="166" w:name="_Toc184313256"/>
      <w:bookmarkEnd w:id="166"/>
      <w:bookmarkStart w:id="167" w:name="_Toc184310319"/>
      <w:bookmarkEnd w:id="167"/>
      <w:bookmarkStart w:id="168" w:name="_Toc184310292"/>
      <w:bookmarkEnd w:id="168"/>
      <w:bookmarkStart w:id="169" w:name="_Toc184308101"/>
      <w:bookmarkEnd w:id="169"/>
      <w:bookmarkStart w:id="170" w:name="_Toc184310298"/>
      <w:bookmarkEnd w:id="170"/>
      <w:bookmarkStart w:id="171" w:name="_Toc184314426"/>
      <w:bookmarkEnd w:id="171"/>
      <w:bookmarkStart w:id="172" w:name="_Toc184310308"/>
      <w:bookmarkEnd w:id="172"/>
      <w:bookmarkStart w:id="173" w:name="_Toc184314433"/>
      <w:bookmarkEnd w:id="173"/>
      <w:bookmarkStart w:id="174" w:name="_Toc184308038"/>
      <w:bookmarkEnd w:id="174"/>
      <w:bookmarkStart w:id="175" w:name="_Toc184312086"/>
      <w:bookmarkEnd w:id="175"/>
      <w:bookmarkStart w:id="176" w:name="_Toc184312120"/>
      <w:bookmarkEnd w:id="176"/>
      <w:bookmarkStart w:id="177" w:name="_Toc184308061"/>
      <w:bookmarkEnd w:id="177"/>
      <w:bookmarkStart w:id="178" w:name="_Toc184312071"/>
      <w:bookmarkEnd w:id="178"/>
      <w:bookmarkStart w:id="179" w:name="_Toc184312104"/>
      <w:bookmarkEnd w:id="179"/>
      <w:bookmarkStart w:id="180" w:name="_Toc184310330"/>
      <w:bookmarkEnd w:id="180"/>
      <w:bookmarkStart w:id="181" w:name="_Toc184310331"/>
      <w:bookmarkEnd w:id="181"/>
      <w:bookmarkStart w:id="182" w:name="_Toc184314439"/>
      <w:bookmarkEnd w:id="182"/>
      <w:bookmarkStart w:id="183" w:name="_Toc184313280"/>
      <w:bookmarkEnd w:id="183"/>
      <w:bookmarkStart w:id="184" w:name="_Toc184312079"/>
      <w:bookmarkEnd w:id="184"/>
      <w:bookmarkStart w:id="185" w:name="_Toc184308088"/>
      <w:bookmarkEnd w:id="185"/>
      <w:bookmarkStart w:id="186" w:name="_Toc184313304"/>
      <w:bookmarkEnd w:id="186"/>
      <w:bookmarkStart w:id="187" w:name="_Toc184314441"/>
      <w:bookmarkEnd w:id="187"/>
      <w:bookmarkStart w:id="188" w:name="_Toc184308046"/>
      <w:bookmarkEnd w:id="188"/>
      <w:bookmarkStart w:id="189" w:name="_Toc184312122"/>
      <w:bookmarkEnd w:id="189"/>
      <w:bookmarkStart w:id="190" w:name="_Toc184314463"/>
      <w:bookmarkEnd w:id="190"/>
      <w:bookmarkStart w:id="191" w:name="_Toc184308070"/>
      <w:bookmarkEnd w:id="191"/>
      <w:bookmarkStart w:id="192" w:name="_Toc184314427"/>
      <w:bookmarkEnd w:id="192"/>
      <w:bookmarkStart w:id="193" w:name="_Toc184313277"/>
      <w:bookmarkEnd w:id="193"/>
      <w:bookmarkStart w:id="194" w:name="_Toc184308064"/>
      <w:bookmarkEnd w:id="194"/>
      <w:bookmarkStart w:id="195" w:name="_Toc184312074"/>
      <w:bookmarkEnd w:id="195"/>
      <w:bookmarkStart w:id="196" w:name="_Toc184310322"/>
      <w:bookmarkEnd w:id="196"/>
      <w:bookmarkStart w:id="197" w:name="_Toc184308065"/>
      <w:bookmarkEnd w:id="197"/>
      <w:bookmarkStart w:id="198" w:name="_Toc184314417"/>
      <w:bookmarkEnd w:id="198"/>
      <w:bookmarkStart w:id="199" w:name="_Toc184310321"/>
      <w:bookmarkEnd w:id="199"/>
      <w:bookmarkStart w:id="200" w:name="_Toc184313247"/>
      <w:bookmarkEnd w:id="200"/>
      <w:bookmarkStart w:id="201" w:name="_Toc184313293"/>
      <w:bookmarkEnd w:id="201"/>
      <w:bookmarkStart w:id="202" w:name="_Toc184314471"/>
      <w:bookmarkEnd w:id="202"/>
      <w:bookmarkStart w:id="203" w:name="_Toc184313246"/>
      <w:bookmarkEnd w:id="203"/>
      <w:bookmarkStart w:id="204" w:name="_Toc184314430"/>
      <w:bookmarkEnd w:id="204"/>
      <w:bookmarkStart w:id="205" w:name="_Toc184310272"/>
      <w:bookmarkEnd w:id="205"/>
      <w:bookmarkStart w:id="206" w:name="_Toc184308083"/>
      <w:bookmarkEnd w:id="206"/>
      <w:bookmarkStart w:id="207" w:name="_Toc184308086"/>
      <w:bookmarkEnd w:id="207"/>
      <w:bookmarkStart w:id="208" w:name="_Toc184310278"/>
      <w:bookmarkEnd w:id="208"/>
      <w:bookmarkStart w:id="209" w:name="_Toc184312093"/>
      <w:bookmarkEnd w:id="209"/>
      <w:bookmarkStart w:id="210" w:name="_Toc184310317"/>
      <w:bookmarkEnd w:id="210"/>
      <w:bookmarkStart w:id="211" w:name="_Toc184308097"/>
      <w:bookmarkEnd w:id="211"/>
      <w:bookmarkStart w:id="212" w:name="_Toc184314443"/>
      <w:bookmarkEnd w:id="212"/>
      <w:bookmarkStart w:id="213" w:name="_Toc184313292"/>
      <w:bookmarkEnd w:id="213"/>
      <w:bookmarkStart w:id="214" w:name="_Toc184314419"/>
      <w:bookmarkEnd w:id="214"/>
      <w:bookmarkStart w:id="215" w:name="_Toc184314442"/>
      <w:bookmarkEnd w:id="215"/>
      <w:bookmarkStart w:id="216" w:name="_Toc184312131"/>
      <w:bookmarkEnd w:id="216"/>
      <w:bookmarkStart w:id="217" w:name="_Toc184308100"/>
      <w:bookmarkEnd w:id="217"/>
      <w:bookmarkStart w:id="218" w:name="_Toc184314413"/>
      <w:bookmarkEnd w:id="218"/>
      <w:bookmarkStart w:id="219" w:name="_Toc184314466"/>
      <w:bookmarkEnd w:id="219"/>
      <w:bookmarkStart w:id="220" w:name="_Toc184313286"/>
      <w:bookmarkEnd w:id="220"/>
      <w:bookmarkStart w:id="221" w:name="_Toc184313248"/>
      <w:bookmarkEnd w:id="221"/>
      <w:bookmarkStart w:id="222" w:name="_Toc184310302"/>
      <w:bookmarkEnd w:id="222"/>
      <w:bookmarkStart w:id="223" w:name="_Toc184312097"/>
      <w:bookmarkEnd w:id="223"/>
      <w:bookmarkStart w:id="224" w:name="_Toc184310327"/>
      <w:bookmarkEnd w:id="224"/>
      <w:bookmarkStart w:id="225" w:name="_Toc184308082"/>
      <w:bookmarkEnd w:id="225"/>
      <w:bookmarkStart w:id="226" w:name="_Toc184308096"/>
      <w:bookmarkEnd w:id="226"/>
      <w:bookmarkStart w:id="227" w:name="_Toc184314437"/>
      <w:bookmarkEnd w:id="227"/>
      <w:bookmarkStart w:id="228" w:name="_Toc184312073"/>
      <w:bookmarkEnd w:id="228"/>
      <w:bookmarkStart w:id="229" w:name="_Toc184312098"/>
      <w:bookmarkEnd w:id="229"/>
      <w:bookmarkStart w:id="230" w:name="_Toc184313251"/>
      <w:bookmarkEnd w:id="230"/>
      <w:bookmarkStart w:id="231" w:name="_Toc184313299"/>
      <w:bookmarkEnd w:id="231"/>
      <w:bookmarkStart w:id="232" w:name="_Toc184310279"/>
      <w:bookmarkEnd w:id="232"/>
      <w:bookmarkStart w:id="233" w:name="_Toc184313250"/>
      <w:bookmarkEnd w:id="233"/>
      <w:bookmarkStart w:id="234" w:name="_Toc184313264"/>
      <w:bookmarkEnd w:id="234"/>
      <w:bookmarkStart w:id="235" w:name="_Toc184308092"/>
      <w:bookmarkEnd w:id="235"/>
      <w:bookmarkStart w:id="236" w:name="_Toc184314438"/>
      <w:bookmarkEnd w:id="236"/>
      <w:bookmarkStart w:id="237" w:name="_Toc184308050"/>
      <w:bookmarkEnd w:id="237"/>
      <w:bookmarkStart w:id="238" w:name="_Toc184314435"/>
      <w:bookmarkEnd w:id="238"/>
      <w:bookmarkStart w:id="239" w:name="_Toc184313281"/>
      <w:bookmarkEnd w:id="239"/>
      <w:bookmarkStart w:id="240" w:name="_Toc184310286"/>
      <w:bookmarkEnd w:id="240"/>
      <w:bookmarkStart w:id="241" w:name="_Toc184314468"/>
      <w:bookmarkEnd w:id="241"/>
      <w:bookmarkStart w:id="242" w:name="_Toc184313255"/>
      <w:bookmarkEnd w:id="242"/>
      <w:bookmarkStart w:id="243" w:name="_Toc184314446"/>
      <w:bookmarkEnd w:id="243"/>
      <w:bookmarkStart w:id="244" w:name="_Toc184308058"/>
      <w:bookmarkEnd w:id="244"/>
      <w:bookmarkStart w:id="245" w:name="_Toc184313295"/>
      <w:bookmarkEnd w:id="245"/>
      <w:bookmarkStart w:id="246" w:name="_Toc184310310"/>
      <w:bookmarkEnd w:id="246"/>
      <w:bookmarkStart w:id="247" w:name="_Toc184310281"/>
      <w:bookmarkEnd w:id="247"/>
      <w:bookmarkStart w:id="248" w:name="_Toc184314436"/>
      <w:bookmarkEnd w:id="248"/>
      <w:bookmarkStart w:id="249" w:name="_Toc184313263"/>
      <w:bookmarkEnd w:id="249"/>
      <w:bookmarkStart w:id="250" w:name="_Toc184314415"/>
      <w:bookmarkEnd w:id="250"/>
      <w:bookmarkStart w:id="251" w:name="_Toc184312138"/>
      <w:bookmarkEnd w:id="251"/>
      <w:bookmarkStart w:id="252" w:name="_Toc184308042"/>
      <w:bookmarkEnd w:id="252"/>
      <w:bookmarkStart w:id="253" w:name="_Toc184314467"/>
      <w:bookmarkEnd w:id="253"/>
      <w:bookmarkStart w:id="254" w:name="_Toc184308060"/>
      <w:bookmarkEnd w:id="254"/>
      <w:bookmarkStart w:id="255" w:name="_Toc184312068"/>
      <w:bookmarkEnd w:id="255"/>
      <w:bookmarkStart w:id="256" w:name="_Toc184313283"/>
      <w:bookmarkEnd w:id="256"/>
      <w:bookmarkStart w:id="257" w:name="_Toc184308063"/>
      <w:bookmarkEnd w:id="257"/>
      <w:bookmarkStart w:id="258" w:name="_Toc184312087"/>
      <w:bookmarkEnd w:id="258"/>
      <w:bookmarkStart w:id="259" w:name="_Toc184310333"/>
      <w:bookmarkEnd w:id="259"/>
      <w:bookmarkStart w:id="260" w:name="_Toc184308072"/>
      <w:bookmarkEnd w:id="260"/>
      <w:bookmarkStart w:id="261" w:name="_Toc184313252"/>
      <w:bookmarkEnd w:id="261"/>
      <w:bookmarkStart w:id="262" w:name="_Toc184312123"/>
      <w:bookmarkEnd w:id="262"/>
      <w:bookmarkStart w:id="263" w:name="_Toc184314482"/>
      <w:bookmarkEnd w:id="263"/>
      <w:bookmarkStart w:id="264" w:name="_Toc184308048"/>
      <w:bookmarkEnd w:id="264"/>
      <w:bookmarkStart w:id="265" w:name="_Toc184313249"/>
      <w:bookmarkEnd w:id="265"/>
      <w:bookmarkStart w:id="266" w:name="_Toc184310340"/>
      <w:bookmarkEnd w:id="266"/>
      <w:bookmarkStart w:id="267" w:name="_Toc184313270"/>
      <w:bookmarkEnd w:id="267"/>
      <w:bookmarkStart w:id="268" w:name="_Toc184313269"/>
      <w:bookmarkEnd w:id="268"/>
      <w:bookmarkStart w:id="269" w:name="_Toc184308094"/>
      <w:bookmarkEnd w:id="269"/>
      <w:bookmarkStart w:id="270" w:name="_Toc184312075"/>
      <w:bookmarkEnd w:id="270"/>
      <w:bookmarkStart w:id="271" w:name="_Toc184308079"/>
      <w:bookmarkEnd w:id="271"/>
      <w:bookmarkStart w:id="272" w:name="_Toc184308036"/>
      <w:bookmarkEnd w:id="272"/>
      <w:bookmarkStart w:id="273" w:name="_Toc184310336"/>
      <w:bookmarkEnd w:id="273"/>
      <w:bookmarkStart w:id="274" w:name="_Toc184314431"/>
      <w:bookmarkEnd w:id="274"/>
      <w:bookmarkStart w:id="275" w:name="_Toc184314480"/>
      <w:bookmarkEnd w:id="275"/>
      <w:bookmarkStart w:id="276" w:name="_Toc184312080"/>
      <w:bookmarkEnd w:id="276"/>
      <w:bookmarkStart w:id="277" w:name="_Toc184308057"/>
      <w:bookmarkEnd w:id="277"/>
      <w:bookmarkStart w:id="278" w:name="_Toc184310283"/>
      <w:bookmarkEnd w:id="278"/>
      <w:bookmarkStart w:id="279" w:name="_Toc184314461"/>
      <w:bookmarkEnd w:id="279"/>
      <w:bookmarkStart w:id="280" w:name="_Toc184312112"/>
      <w:bookmarkEnd w:id="280"/>
      <w:bookmarkStart w:id="281" w:name="_Toc184312125"/>
      <w:bookmarkEnd w:id="281"/>
      <w:bookmarkStart w:id="282" w:name="_Toc184313266"/>
      <w:bookmarkEnd w:id="282"/>
      <w:bookmarkStart w:id="283" w:name="_Toc184308098"/>
      <w:bookmarkEnd w:id="283"/>
      <w:bookmarkStart w:id="284" w:name="_Toc184312126"/>
      <w:bookmarkEnd w:id="284"/>
      <w:bookmarkStart w:id="285" w:name="_Toc184312113"/>
      <w:bookmarkEnd w:id="285"/>
      <w:bookmarkStart w:id="286" w:name="_Toc184314460"/>
      <w:bookmarkEnd w:id="286"/>
      <w:bookmarkStart w:id="287" w:name="_Toc184310299"/>
      <w:bookmarkEnd w:id="287"/>
      <w:bookmarkStart w:id="288" w:name="_Toc184312119"/>
      <w:bookmarkEnd w:id="288"/>
      <w:bookmarkStart w:id="289" w:name="_Toc184312095"/>
      <w:bookmarkEnd w:id="289"/>
      <w:bookmarkStart w:id="290" w:name="_Toc184310293"/>
      <w:bookmarkEnd w:id="290"/>
      <w:bookmarkStart w:id="291" w:name="_Toc184314410"/>
      <w:bookmarkEnd w:id="291"/>
      <w:bookmarkStart w:id="292" w:name="_Toc184312100"/>
      <w:bookmarkEnd w:id="292"/>
      <w:bookmarkStart w:id="293" w:name="_Toc184312128"/>
      <w:bookmarkEnd w:id="293"/>
      <w:bookmarkStart w:id="294" w:name="_Toc184313306"/>
      <w:bookmarkEnd w:id="294"/>
      <w:bookmarkStart w:id="295" w:name="_Toc184312069"/>
      <w:bookmarkEnd w:id="295"/>
      <w:bookmarkStart w:id="296" w:name="_Toc184308041"/>
      <w:bookmarkEnd w:id="296"/>
      <w:bookmarkStart w:id="297" w:name="_Toc184312117"/>
      <w:bookmarkEnd w:id="297"/>
      <w:bookmarkStart w:id="298" w:name="_Toc184314424"/>
      <w:bookmarkEnd w:id="298"/>
      <w:bookmarkStart w:id="299" w:name="_Toc184313300"/>
      <w:bookmarkEnd w:id="299"/>
      <w:bookmarkStart w:id="300" w:name="_Toc184313310"/>
      <w:bookmarkEnd w:id="300"/>
      <w:bookmarkStart w:id="301" w:name="_Toc184314464"/>
      <w:bookmarkEnd w:id="301"/>
      <w:bookmarkStart w:id="302" w:name="_Toc184308037"/>
      <w:bookmarkEnd w:id="302"/>
      <w:bookmarkStart w:id="303" w:name="_Toc184310296"/>
      <w:bookmarkEnd w:id="303"/>
      <w:bookmarkStart w:id="304" w:name="_Toc184308045"/>
      <w:bookmarkEnd w:id="304"/>
      <w:bookmarkStart w:id="305" w:name="_Toc184312109"/>
      <w:bookmarkEnd w:id="305"/>
      <w:bookmarkStart w:id="306" w:name="_Toc184308090"/>
      <w:bookmarkEnd w:id="306"/>
      <w:bookmarkStart w:id="307" w:name="_Toc184310334"/>
      <w:bookmarkEnd w:id="307"/>
      <w:bookmarkStart w:id="308" w:name="_Toc184313261"/>
      <w:bookmarkEnd w:id="308"/>
      <w:bookmarkStart w:id="309" w:name="_Toc184308067"/>
      <w:bookmarkEnd w:id="309"/>
      <w:bookmarkStart w:id="310" w:name="_Toc184310295"/>
      <w:bookmarkEnd w:id="310"/>
      <w:bookmarkStart w:id="311" w:name="_Toc184312107"/>
      <w:bookmarkEnd w:id="311"/>
      <w:bookmarkStart w:id="312" w:name="_Toc184308066"/>
      <w:bookmarkEnd w:id="312"/>
      <w:bookmarkStart w:id="313" w:name="_Toc184310343"/>
      <w:bookmarkEnd w:id="313"/>
      <w:bookmarkStart w:id="314" w:name="_Toc184313267"/>
      <w:bookmarkEnd w:id="314"/>
      <w:bookmarkStart w:id="315" w:name="_Toc184308054"/>
      <w:bookmarkEnd w:id="315"/>
      <w:bookmarkStart w:id="316" w:name="_Toc184310289"/>
      <w:bookmarkEnd w:id="316"/>
      <w:bookmarkStart w:id="317" w:name="_Toc184313241"/>
      <w:bookmarkEnd w:id="317"/>
      <w:bookmarkStart w:id="318" w:name="_Toc184308080"/>
      <w:bookmarkEnd w:id="318"/>
      <w:bookmarkStart w:id="319" w:name="_Toc184314478"/>
      <w:bookmarkEnd w:id="319"/>
      <w:bookmarkStart w:id="320" w:name="_Toc184310306"/>
      <w:bookmarkEnd w:id="320"/>
      <w:bookmarkStart w:id="321" w:name="_Toc184313303"/>
      <w:bookmarkEnd w:id="321"/>
      <w:bookmarkStart w:id="322" w:name="_Toc184312089"/>
      <w:bookmarkEnd w:id="322"/>
      <w:bookmarkStart w:id="323" w:name="_Toc184310316"/>
      <w:bookmarkEnd w:id="323"/>
      <w:bookmarkStart w:id="324" w:name="_Toc184308069"/>
      <w:bookmarkEnd w:id="324"/>
      <w:bookmarkStart w:id="325" w:name="_Toc184310297"/>
      <w:bookmarkEnd w:id="325"/>
      <w:bookmarkStart w:id="326" w:name="_Toc184314477"/>
      <w:bookmarkEnd w:id="326"/>
      <w:bookmarkStart w:id="327" w:name="_Toc184314453"/>
      <w:bookmarkEnd w:id="327"/>
      <w:bookmarkStart w:id="328" w:name="_Toc184312129"/>
      <w:bookmarkEnd w:id="328"/>
      <w:bookmarkStart w:id="329" w:name="_Toc184308102"/>
      <w:bookmarkEnd w:id="329"/>
      <w:bookmarkStart w:id="330" w:name="_Toc184312116"/>
      <w:bookmarkEnd w:id="330"/>
      <w:bookmarkStart w:id="331" w:name="_Toc184313288"/>
      <w:bookmarkEnd w:id="331"/>
      <w:bookmarkStart w:id="332" w:name="_Toc184310274"/>
      <w:bookmarkEnd w:id="332"/>
      <w:bookmarkStart w:id="333" w:name="_Toc184314416"/>
      <w:bookmarkEnd w:id="333"/>
      <w:bookmarkStart w:id="334" w:name="_Toc184314428"/>
      <w:bookmarkEnd w:id="334"/>
      <w:bookmarkStart w:id="335" w:name="_Toc184308081"/>
      <w:bookmarkEnd w:id="335"/>
      <w:bookmarkStart w:id="336" w:name="_Toc184314411"/>
      <w:bookmarkEnd w:id="336"/>
      <w:bookmarkStart w:id="337" w:name="_Toc184312124"/>
      <w:bookmarkEnd w:id="337"/>
      <w:bookmarkStart w:id="338" w:name="_Toc184308062"/>
      <w:bookmarkEnd w:id="338"/>
      <w:bookmarkStart w:id="339" w:name="_Toc184310280"/>
      <w:bookmarkEnd w:id="339"/>
      <w:bookmarkStart w:id="340" w:name="_Toc184310303"/>
      <w:bookmarkEnd w:id="340"/>
      <w:bookmarkStart w:id="341" w:name="_Toc184313308"/>
      <w:bookmarkEnd w:id="341"/>
      <w:bookmarkStart w:id="342" w:name="_Toc184312134"/>
      <w:bookmarkEnd w:id="342"/>
      <w:bookmarkStart w:id="343" w:name="_Toc184310332"/>
      <w:bookmarkEnd w:id="343"/>
      <w:bookmarkStart w:id="344" w:name="_Toc184313258"/>
      <w:bookmarkEnd w:id="344"/>
      <w:bookmarkStart w:id="345" w:name="_Toc184310305"/>
      <w:bookmarkEnd w:id="345"/>
      <w:bookmarkStart w:id="346" w:name="_Toc184312092"/>
      <w:bookmarkEnd w:id="346"/>
      <w:bookmarkStart w:id="347" w:name="_Toc184314448"/>
      <w:bookmarkEnd w:id="347"/>
      <w:bookmarkStart w:id="348" w:name="_Toc184312108"/>
      <w:bookmarkEnd w:id="348"/>
      <w:bookmarkStart w:id="349" w:name="_Toc184310287"/>
      <w:bookmarkEnd w:id="349"/>
      <w:bookmarkStart w:id="350" w:name="_Toc184312077"/>
      <w:bookmarkEnd w:id="350"/>
      <w:bookmarkStart w:id="351" w:name="_Toc184310328"/>
      <w:bookmarkEnd w:id="351"/>
      <w:bookmarkStart w:id="352" w:name="_Toc184312133"/>
      <w:bookmarkEnd w:id="352"/>
      <w:bookmarkStart w:id="353" w:name="_Toc184313279"/>
      <w:bookmarkEnd w:id="353"/>
      <w:bookmarkStart w:id="354" w:name="_Toc184308089"/>
      <w:bookmarkEnd w:id="354"/>
      <w:bookmarkStart w:id="355" w:name="_Toc184313302"/>
      <w:bookmarkEnd w:id="355"/>
      <w:bookmarkStart w:id="356" w:name="_Toc184313297"/>
      <w:bookmarkEnd w:id="356"/>
      <w:bookmarkStart w:id="357" w:name="_Toc184312067"/>
      <w:bookmarkEnd w:id="357"/>
      <w:bookmarkStart w:id="358" w:name="_Toc184312078"/>
      <w:bookmarkEnd w:id="358"/>
      <w:bookmarkStart w:id="359" w:name="_Toc184310325"/>
      <w:bookmarkEnd w:id="359"/>
      <w:bookmarkStart w:id="360" w:name="_Toc184308040"/>
      <w:bookmarkEnd w:id="360"/>
      <w:bookmarkStart w:id="361" w:name="_Toc184310304"/>
      <w:bookmarkEnd w:id="361"/>
      <w:bookmarkStart w:id="362" w:name="_Toc184310320"/>
      <w:bookmarkEnd w:id="362"/>
      <w:bookmarkStart w:id="363" w:name="_Toc184313265"/>
      <w:bookmarkEnd w:id="363"/>
      <w:bookmarkStart w:id="364" w:name="_Toc184312130"/>
      <w:bookmarkEnd w:id="364"/>
      <w:bookmarkStart w:id="365" w:name="_Toc184313285"/>
      <w:bookmarkEnd w:id="365"/>
      <w:bookmarkStart w:id="366" w:name="_Toc184308051"/>
      <w:bookmarkEnd w:id="366"/>
      <w:bookmarkStart w:id="367" w:name="_Toc184312135"/>
      <w:bookmarkEnd w:id="367"/>
      <w:bookmarkStart w:id="368" w:name="_Toc184310329"/>
      <w:bookmarkEnd w:id="368"/>
      <w:bookmarkStart w:id="369" w:name="_Toc184310309"/>
      <w:bookmarkEnd w:id="369"/>
      <w:bookmarkStart w:id="370" w:name="_Toc184314422"/>
      <w:bookmarkEnd w:id="370"/>
      <w:bookmarkStart w:id="371" w:name="_Toc184314450"/>
      <w:bookmarkEnd w:id="371"/>
      <w:bookmarkStart w:id="372" w:name="_Toc184312121"/>
      <w:bookmarkEnd w:id="372"/>
      <w:bookmarkStart w:id="373" w:name="_Toc184310282"/>
      <w:bookmarkEnd w:id="373"/>
      <w:bookmarkStart w:id="374" w:name="_Toc184308104"/>
      <w:bookmarkEnd w:id="374"/>
      <w:bookmarkStart w:id="375" w:name="_Toc184314425"/>
      <w:bookmarkEnd w:id="375"/>
      <w:bookmarkStart w:id="376" w:name="_Toc184310314"/>
      <w:bookmarkEnd w:id="376"/>
      <w:bookmarkStart w:id="377" w:name="_Toc184312110"/>
      <w:bookmarkEnd w:id="377"/>
      <w:bookmarkStart w:id="378" w:name="_Toc184312083"/>
      <w:bookmarkEnd w:id="378"/>
      <w:bookmarkStart w:id="379" w:name="_Toc184308108"/>
      <w:bookmarkEnd w:id="379"/>
      <w:bookmarkStart w:id="380" w:name="_Toc184310313"/>
      <w:bookmarkEnd w:id="380"/>
      <w:bookmarkStart w:id="381" w:name="_Toc184312072"/>
      <w:bookmarkEnd w:id="381"/>
      <w:bookmarkStart w:id="382" w:name="_Toc184314423"/>
      <w:bookmarkEnd w:id="382"/>
      <w:bookmarkStart w:id="383" w:name="_Toc184310312"/>
      <w:bookmarkEnd w:id="383"/>
      <w:bookmarkStart w:id="384" w:name="_Toc184313245"/>
      <w:bookmarkEnd w:id="384"/>
      <w:bookmarkStart w:id="385" w:name="_Toc184312103"/>
      <w:bookmarkEnd w:id="385"/>
      <w:bookmarkStart w:id="386" w:name="_Toc184313290"/>
      <w:bookmarkEnd w:id="386"/>
      <w:bookmarkStart w:id="387" w:name="_Toc184312118"/>
      <w:bookmarkEnd w:id="387"/>
      <w:bookmarkStart w:id="388" w:name="_Toc184310307"/>
      <w:bookmarkEnd w:id="388"/>
      <w:bookmarkStart w:id="389" w:name="_Toc184312132"/>
      <w:bookmarkEnd w:id="389"/>
      <w:bookmarkStart w:id="390" w:name="_Toc184314475"/>
      <w:bookmarkEnd w:id="390"/>
      <w:bookmarkStart w:id="391" w:name="_Toc184308073"/>
      <w:bookmarkEnd w:id="391"/>
      <w:bookmarkStart w:id="392" w:name="_Toc184313307"/>
      <w:bookmarkEnd w:id="392"/>
      <w:bookmarkStart w:id="393" w:name="_Toc184312127"/>
      <w:bookmarkEnd w:id="393"/>
      <w:bookmarkStart w:id="394" w:name="_Toc184312094"/>
      <w:bookmarkEnd w:id="394"/>
      <w:bookmarkStart w:id="395" w:name="_Toc184313259"/>
      <w:bookmarkEnd w:id="395"/>
      <w:bookmarkStart w:id="396" w:name="_Toc184310324"/>
      <w:bookmarkEnd w:id="396"/>
      <w:bookmarkStart w:id="397" w:name="_Toc184310288"/>
      <w:bookmarkEnd w:id="397"/>
      <w:bookmarkStart w:id="398" w:name="_Toc184310342"/>
      <w:bookmarkEnd w:id="398"/>
      <w:bookmarkStart w:id="399" w:name="_Toc184310276"/>
      <w:bookmarkEnd w:id="399"/>
      <w:bookmarkStart w:id="400" w:name="_Toc184314449"/>
      <w:bookmarkEnd w:id="400"/>
      <w:bookmarkStart w:id="401" w:name="_Toc184314470"/>
      <w:bookmarkEnd w:id="401"/>
      <w:bookmarkStart w:id="402" w:name="_Toc184314454"/>
      <w:bookmarkEnd w:id="402"/>
      <w:bookmarkStart w:id="403" w:name="_Toc184313257"/>
      <w:bookmarkEnd w:id="403"/>
      <w:bookmarkStart w:id="404" w:name="_Toc184312105"/>
      <w:bookmarkEnd w:id="404"/>
      <w:bookmarkStart w:id="405" w:name="_Toc184313274"/>
      <w:bookmarkEnd w:id="405"/>
      <w:bookmarkStart w:id="406" w:name="_Toc184310323"/>
      <w:bookmarkEnd w:id="406"/>
      <w:bookmarkStart w:id="407" w:name="_Toc184308099"/>
      <w:bookmarkEnd w:id="407"/>
      <w:bookmarkStart w:id="408" w:name="_Toc184312076"/>
      <w:bookmarkEnd w:id="408"/>
      <w:bookmarkStart w:id="409" w:name="_Toc184310277"/>
      <w:bookmarkEnd w:id="409"/>
      <w:bookmarkStart w:id="410" w:name="_Toc184313242"/>
      <w:bookmarkEnd w:id="410"/>
      <w:bookmarkStart w:id="411" w:name="_Toc184310344"/>
      <w:bookmarkEnd w:id="411"/>
      <w:bookmarkStart w:id="412" w:name="_Toc184310291"/>
      <w:bookmarkEnd w:id="412"/>
      <w:bookmarkStart w:id="413" w:name="_Toc184308078"/>
      <w:bookmarkEnd w:id="413"/>
      <w:bookmarkStart w:id="414" w:name="_Toc184314452"/>
      <w:bookmarkEnd w:id="414"/>
      <w:bookmarkStart w:id="415" w:name="_Toc184312139"/>
      <w:bookmarkEnd w:id="415"/>
      <w:bookmarkStart w:id="416" w:name="_Toc184310338"/>
      <w:bookmarkEnd w:id="416"/>
      <w:bookmarkStart w:id="417" w:name="_Toc184313268"/>
      <w:bookmarkEnd w:id="417"/>
      <w:bookmarkStart w:id="418" w:name="_Toc184313239"/>
      <w:bookmarkEnd w:id="418"/>
      <w:bookmarkStart w:id="419" w:name="_Toc184308049"/>
      <w:bookmarkEnd w:id="419"/>
      <w:bookmarkStart w:id="420" w:name="_Toc184308071"/>
      <w:bookmarkEnd w:id="420"/>
      <w:bookmarkStart w:id="421" w:name="_Toc184313276"/>
      <w:bookmarkEnd w:id="421"/>
      <w:bookmarkStart w:id="422" w:name="_Toc184308105"/>
      <w:bookmarkEnd w:id="422"/>
      <w:bookmarkStart w:id="423" w:name="_Toc184314414"/>
      <w:bookmarkEnd w:id="423"/>
      <w:bookmarkStart w:id="424" w:name="_Toc184314458"/>
      <w:bookmarkEnd w:id="424"/>
      <w:bookmarkStart w:id="425" w:name="_Toc184313301"/>
      <w:bookmarkEnd w:id="425"/>
      <w:bookmarkStart w:id="426" w:name="_Toc184313275"/>
      <w:bookmarkEnd w:id="426"/>
      <w:r>
        <w:rPr>
          <w:rFonts w:hint="eastAsia" w:ascii="仿宋" w:hAnsi="仿宋" w:eastAsia="仿宋" w:cs="仿宋_GB2312"/>
          <w:b/>
          <w:color w:val="000000"/>
          <w:sz w:val="36"/>
          <w:szCs w:val="36"/>
        </w:rPr>
        <w:t>第四部分   评标方法及评分标准</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kern w:val="0"/>
          <w:sz w:val="24"/>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16"/>
        <w:spacing w:before="0"/>
        <w:ind w:firstLine="482"/>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在国企采购活动中，评标委员会的组成人员与供应商有下列利害关系之一的，应当回避：</w:t>
      </w:r>
    </w:p>
    <w:p>
      <w:pPr>
        <w:pStyle w:val="16"/>
        <w:spacing w:before="0"/>
        <w:ind w:firstLine="480"/>
        <w:rPr>
          <w:rFonts w:hint="eastAsia" w:ascii="仿宋" w:hAnsi="仿宋" w:eastAsia="仿宋" w:cs="Arial"/>
          <w:kern w:val="0"/>
        </w:rPr>
      </w:pPr>
      <w:r>
        <w:rPr>
          <w:rFonts w:hint="eastAsia" w:ascii="仿宋" w:hAnsi="仿宋" w:eastAsia="仿宋" w:cs="Arial"/>
          <w:kern w:val="0"/>
        </w:rPr>
        <w:t>3.1参加采购活动前3年内与供应商存在劳动关系；</w:t>
      </w:r>
    </w:p>
    <w:p>
      <w:pPr>
        <w:pStyle w:val="16"/>
        <w:spacing w:before="0"/>
        <w:ind w:firstLine="480"/>
        <w:rPr>
          <w:rFonts w:hint="eastAsia" w:ascii="仿宋" w:hAnsi="仿宋" w:eastAsia="仿宋" w:cs="Arial"/>
          <w:kern w:val="0"/>
        </w:rPr>
      </w:pPr>
      <w:r>
        <w:rPr>
          <w:rFonts w:hint="eastAsia" w:ascii="仿宋" w:hAnsi="仿宋" w:eastAsia="仿宋" w:cs="Arial"/>
          <w:kern w:val="0"/>
        </w:rPr>
        <w:t>3.2参加采购活动前3年内担任供应商的董事、监事；</w:t>
      </w:r>
    </w:p>
    <w:p>
      <w:pPr>
        <w:pStyle w:val="16"/>
        <w:spacing w:before="0"/>
        <w:ind w:firstLine="480"/>
        <w:rPr>
          <w:rFonts w:hint="eastAsia"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16"/>
        <w:spacing w:before="0"/>
        <w:ind w:firstLine="480"/>
        <w:rPr>
          <w:rFonts w:hint="eastAsia"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16"/>
        <w:spacing w:before="0"/>
        <w:ind w:firstLine="480"/>
        <w:rPr>
          <w:rFonts w:hint="eastAsia" w:ascii="仿宋" w:hAnsi="仿宋" w:eastAsia="仿宋" w:cs="Arial"/>
          <w:kern w:val="0"/>
        </w:rPr>
      </w:pPr>
      <w:r>
        <w:rPr>
          <w:rFonts w:hint="eastAsia" w:ascii="仿宋" w:hAnsi="仿宋" w:eastAsia="仿宋" w:cs="Arial"/>
          <w:kern w:val="0"/>
        </w:rPr>
        <w:t>3.5与供应商有其他可能影响国企采购活动公平、公正进行的关系。</w:t>
      </w:r>
    </w:p>
    <w:p>
      <w:pPr>
        <w:snapToGrid w:val="0"/>
        <w:spacing w:line="360" w:lineRule="auto"/>
        <w:ind w:left="120" w:leftChars="57" w:firstLine="482" w:firstLineChars="150"/>
        <w:jc w:val="center"/>
        <w:rPr>
          <w:rFonts w:hint="eastAsia" w:ascii="仿宋" w:hAnsi="仿宋" w:eastAsia="仿宋"/>
          <w:b/>
          <w:sz w:val="32"/>
          <w:szCs w:val="32"/>
        </w:rPr>
      </w:pPr>
    </w:p>
    <w:p>
      <w:pPr>
        <w:snapToGrid w:val="0"/>
        <w:spacing w:line="360" w:lineRule="auto"/>
        <w:ind w:left="120" w:leftChars="57" w:firstLine="482" w:firstLineChars="150"/>
        <w:jc w:val="center"/>
        <w:rPr>
          <w:rFonts w:hint="eastAsia" w:ascii="仿宋" w:hAnsi="仿宋" w:eastAsia="仿宋"/>
          <w:b/>
          <w:sz w:val="32"/>
          <w:szCs w:val="32"/>
        </w:rPr>
      </w:pPr>
      <w:r>
        <w:rPr>
          <w:rFonts w:ascii="仿宋" w:hAnsi="仿宋" w:eastAsia="仿宋"/>
          <w:b/>
          <w:sz w:val="32"/>
          <w:szCs w:val="32"/>
        </w:rPr>
        <w:t>　</w:t>
      </w:r>
      <w:r>
        <w:rPr>
          <w:rFonts w:ascii="仿宋" w:hAnsi="仿宋" w:eastAsia="仿宋" w:cs="仿宋_GB2312"/>
          <w:b/>
          <w:sz w:val="32"/>
        </w:rPr>
        <w:t>　</w:t>
      </w:r>
      <w:r>
        <w:rPr>
          <w:rFonts w:hint="eastAsia" w:ascii="仿宋" w:hAnsi="仿宋" w:eastAsia="仿宋" w:cs="仿宋_GB2312"/>
          <w:b/>
          <w:sz w:val="32"/>
        </w:rPr>
        <w:t>三、评标委员会的职责</w:t>
      </w:r>
    </w:p>
    <w:p>
      <w:pPr>
        <w:pStyle w:val="16"/>
        <w:spacing w:before="0"/>
        <w:ind w:firstLine="482"/>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16"/>
        <w:spacing w:before="0"/>
        <w:ind w:firstLine="48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16"/>
        <w:spacing w:before="0"/>
        <w:ind w:firstLine="48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16"/>
        <w:spacing w:before="0"/>
        <w:ind w:firstLine="48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16"/>
        <w:spacing w:before="0"/>
        <w:ind w:firstLine="48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16"/>
        <w:spacing w:before="0"/>
        <w:ind w:firstLine="48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16"/>
        <w:spacing w:before="0"/>
        <w:ind w:firstLine="48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16"/>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16"/>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16"/>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w:t>
      </w:r>
      <w:r>
        <w:rPr>
          <w:rFonts w:ascii="仿宋" w:hAnsi="仿宋" w:eastAsia="仿宋" w:cs="Arial"/>
          <w:kern w:val="0"/>
        </w:rPr>
        <w:t>第五十一条规定的情形除外）；</w:t>
      </w:r>
    </w:p>
    <w:p>
      <w:pPr>
        <w:pStyle w:val="16"/>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16"/>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16"/>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16"/>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16"/>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16"/>
        <w:spacing w:before="0"/>
        <w:ind w:firstLine="0" w:firstLineChars="0"/>
        <w:jc w:val="left"/>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pPr>
        <w:pStyle w:val="16"/>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16"/>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16"/>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16"/>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16"/>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16"/>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16"/>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16"/>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10.2政采云投标客户端开标一览表内容与投标文件开标一览表(报价表)相应内容不一致的，以投标文件开标一览表(报价表)为准。</w:t>
      </w:r>
    </w:p>
    <w:p>
      <w:pPr>
        <w:pStyle w:val="16"/>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pPr>
        <w:pStyle w:val="16"/>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pPr>
        <w:pStyle w:val="16"/>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pPr>
        <w:pStyle w:val="16"/>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pPr>
        <w:pStyle w:val="16"/>
        <w:spacing w:before="0"/>
        <w:ind w:firstLine="48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16"/>
        <w:spacing w:before="0"/>
        <w:ind w:firstLine="48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5"/>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单位负责人为同一人或者存在直接控股、管理关系的不同供应商参加同一合同项下的国企采购活动的（均无效）；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sz w:val="24"/>
        </w:rPr>
        <w:t>13.2</w:t>
      </w:r>
      <w:r>
        <w:rPr>
          <w:rFonts w:hint="eastAsia" w:ascii="仿宋" w:hAnsi="仿宋" w:eastAsia="仿宋" w:cs="仿宋_GB2312"/>
          <w:sz w:val="24"/>
        </w:rPr>
        <w:t>为采购项目提供整体设计、规范</w:t>
      </w:r>
      <w:r>
        <w:rPr>
          <w:rFonts w:hint="eastAsia" w:ascii="仿宋" w:hAnsi="仿宋" w:eastAsia="仿宋" w:cs="仿宋_GB2312"/>
          <w:color w:val="000000"/>
          <w:sz w:val="24"/>
        </w:rPr>
        <w:t>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13.12投标文件出现不是唯一的、有选择性投标报价的;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投标人对根据修正原则修正后的报价不确认的；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13.17投标人提供虚假材料投标的（包括但不限于以下情节）；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13.17.1使用伪造、变造的许可证件；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13.17.4提供虚假的信用状况；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17</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13.18投标人有恶意串通、妨碍其他投标人的竞争行为、损害采购人或者其他投标人的合法权益情形的；有下列情形之一的，属于或视为恶意串通，其投标无效：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13.18.1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13.18.2供应商按照采购人或者采购代理机构的授意撤换、修改投标文件或者响应文件；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13.18.3供应商之间协商报价、技术方案等投标文件或者响应文件的实质性内容；</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13.18.4属于同一集团、协会、商会等组织成员的供应商按照该组织要求协同参加国企采购活动；</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13.18.5供应商之间事先约定由某一特定供应商中标、成交；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13.18.6供应商之间商定部分供应商放弃参加国企采购活动或者放弃中标、成交；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13.18.8不同投标人的投标文件由同一单位或者个人编制；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13.18.9不同投标人委托同一单位或者个人办理投标事宜；</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13.18.10不同投标人的投标文件载明的项目管理成员或者联系人员为同一人；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13.18.11不同投标人的投标文件异常一致或者投标报价呈规律性差异；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13.19违反法律、法规及本招标文件规定的其它无效投标情形。 </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16"/>
        <w:adjustRightInd/>
        <w:spacing w:before="0"/>
        <w:ind w:firstLine="482"/>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六、废标</w:t>
      </w:r>
    </w:p>
    <w:p>
      <w:pPr>
        <w:pStyle w:val="5"/>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在采购中，出现下列情形之一的，应予废标：</w:t>
      </w:r>
    </w:p>
    <w:p>
      <w:pPr>
        <w:pStyle w:val="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5"/>
        <w:snapToGrid w:val="0"/>
        <w:spacing w:line="360" w:lineRule="auto"/>
        <w:rPr>
          <w:rFonts w:hint="eastAsia" w:ascii="仿宋" w:hAnsi="仿宋" w:eastAsia="仿宋" w:cs="仿宋_GB2312"/>
          <w:color w:val="000000"/>
          <w:lang w:eastAsia="zh-CN"/>
        </w:rPr>
      </w:pPr>
      <w:r>
        <w:rPr>
          <w:rFonts w:hint="eastAsia" w:ascii="仿宋" w:hAnsi="仿宋" w:eastAsia="仿宋" w:cs="仿宋_GB2312"/>
          <w:color w:val="000000"/>
        </w:rPr>
        <w:t>废标后，采购代理机构应当将废标理由通知所有投标人。</w:t>
      </w:r>
    </w:p>
    <w:p>
      <w:pPr>
        <w:pStyle w:val="5"/>
        <w:snapToGrid w:val="0"/>
        <w:spacing w:line="360" w:lineRule="auto"/>
        <w:rPr>
          <w:rFonts w:hint="eastAsia" w:ascii="仿宋" w:hAnsi="仿宋" w:eastAsia="仿宋" w:cs="仿宋_GB2312"/>
          <w:color w:val="000000"/>
          <w:lang w:eastAsia="zh-CN"/>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lang w:val="en-US" w:eastAsia="zh-CN"/>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color w:val="000000"/>
          <w:sz w:val="24"/>
          <w:lang w:val="en-US" w:eastAsia="zh-CN"/>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27" w:name="gxebd_pack_1_EvalFactorAccordEnd"/>
      <w:bookmarkEnd w:id="427"/>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lang w:val="en-US" w:eastAsia="zh-CN"/>
        </w:rPr>
        <w:t>70</w:t>
      </w:r>
      <w:r>
        <w:rPr>
          <w:rFonts w:hint="eastAsia" w:ascii="仿宋" w:hAnsi="仿宋" w:eastAsia="仿宋" w:cs="仿宋_GB2312"/>
          <w:sz w:val="24"/>
        </w:rPr>
        <w:t>分）</w:t>
      </w:r>
    </w:p>
    <w:tbl>
      <w:tblPr>
        <w:tblStyle w:val="1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06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noWrap w:val="0"/>
            <w:vAlign w:val="center"/>
          </w:tcPr>
          <w:p>
            <w:pPr>
              <w:widowControl/>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类别</w:t>
            </w:r>
          </w:p>
        </w:tc>
        <w:tc>
          <w:tcPr>
            <w:tcW w:w="1056" w:type="dxa"/>
            <w:noWrap w:val="0"/>
            <w:vAlign w:val="center"/>
          </w:tcPr>
          <w:p>
            <w:pPr>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项目</w:t>
            </w:r>
          </w:p>
        </w:tc>
        <w:tc>
          <w:tcPr>
            <w:tcW w:w="6063" w:type="dxa"/>
            <w:noWrap w:val="0"/>
            <w:vAlign w:val="center"/>
          </w:tcPr>
          <w:p>
            <w:pPr>
              <w:spacing w:line="360" w:lineRule="auto"/>
              <w:ind w:firstLine="480" w:firstLineChars="200"/>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评分细则</w:t>
            </w:r>
          </w:p>
        </w:tc>
        <w:tc>
          <w:tcPr>
            <w:tcW w:w="893" w:type="dxa"/>
            <w:noWrap w:val="0"/>
            <w:vAlign w:val="center"/>
          </w:tcPr>
          <w:p>
            <w:pPr>
              <w:widowControl/>
              <w:spacing w:line="36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商务资信</w:t>
            </w:r>
          </w:p>
        </w:tc>
        <w:tc>
          <w:tcPr>
            <w:tcW w:w="105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企业综合实力</w:t>
            </w:r>
          </w:p>
        </w:tc>
        <w:tc>
          <w:tcPr>
            <w:tcW w:w="6063"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pacing w:line="28" w:lineRule="atLeast"/>
              <w:textAlignment w:val="auto"/>
              <w:rPr>
                <w:rFonts w:hint="eastAsia" w:ascii="仿宋" w:hAnsi="仿宋" w:eastAsia="仿宋" w:cs="仿宋"/>
                <w:strike w:val="0"/>
                <w:dstrike w:val="0"/>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同时具有</w:t>
            </w:r>
            <w:r>
              <w:rPr>
                <w:rFonts w:hint="eastAsia" w:ascii="仿宋" w:hAnsi="仿宋" w:eastAsia="仿宋" w:cs="仿宋"/>
                <w:b/>
                <w:bCs/>
                <w:color w:val="000000"/>
                <w:sz w:val="24"/>
                <w:szCs w:val="24"/>
                <w:highlight w:val="none"/>
              </w:rPr>
              <w:t>ISO9001质量管理体系认证证书</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ISO45001</w:t>
            </w:r>
            <w:r>
              <w:rPr>
                <w:rFonts w:hint="eastAsia" w:ascii="仿宋" w:hAnsi="仿宋" w:eastAsia="仿宋" w:cs="仿宋"/>
                <w:b/>
                <w:bCs/>
                <w:color w:val="000000"/>
                <w:sz w:val="24"/>
                <w:szCs w:val="24"/>
                <w:highlight w:val="none"/>
                <w:lang w:val="en-US" w:eastAsia="zh-CN"/>
              </w:rPr>
              <w:t>或GB/T28001</w:t>
            </w:r>
            <w:r>
              <w:rPr>
                <w:rFonts w:hint="eastAsia" w:ascii="仿宋" w:hAnsi="仿宋" w:eastAsia="仿宋" w:cs="仿宋"/>
                <w:b/>
                <w:bCs/>
                <w:color w:val="000000"/>
                <w:sz w:val="24"/>
                <w:szCs w:val="24"/>
                <w:highlight w:val="none"/>
              </w:rPr>
              <w:t>职业健康安全管理体系认证证</w:t>
            </w:r>
            <w:r>
              <w:rPr>
                <w:rFonts w:hint="eastAsia" w:ascii="仿宋" w:hAnsi="仿宋" w:eastAsia="仿宋" w:cs="仿宋"/>
                <w:b/>
                <w:bCs/>
                <w:strike w:val="0"/>
                <w:dstrike w:val="0"/>
                <w:color w:val="000000"/>
                <w:sz w:val="24"/>
                <w:szCs w:val="24"/>
                <w:highlight w:val="none"/>
              </w:rPr>
              <w:t>书</w:t>
            </w:r>
            <w:r>
              <w:rPr>
                <w:rFonts w:hint="eastAsia" w:ascii="仿宋" w:hAnsi="仿宋" w:eastAsia="仿宋" w:cs="仿宋"/>
                <w:strike w:val="0"/>
                <w:dstrike w:val="0"/>
                <w:color w:val="000000"/>
                <w:sz w:val="24"/>
                <w:szCs w:val="24"/>
                <w:highlight w:val="none"/>
              </w:rPr>
              <w:t>、</w:t>
            </w:r>
            <w:r>
              <w:rPr>
                <w:rFonts w:hint="eastAsia" w:ascii="仿宋" w:hAnsi="仿宋" w:eastAsia="仿宋" w:cs="仿宋"/>
                <w:b/>
                <w:bCs/>
                <w:strike w:val="0"/>
                <w:dstrike w:val="0"/>
                <w:color w:val="000000"/>
                <w:sz w:val="24"/>
                <w:szCs w:val="24"/>
                <w:highlight w:val="none"/>
              </w:rPr>
              <w:t>ISO14001环境管理体系认证证书</w:t>
            </w:r>
            <w:r>
              <w:rPr>
                <w:rFonts w:hint="eastAsia" w:ascii="仿宋" w:hAnsi="仿宋" w:eastAsia="仿宋" w:cs="仿宋"/>
                <w:strike w:val="0"/>
                <w:dstrike w:val="0"/>
                <w:color w:val="000000"/>
                <w:sz w:val="24"/>
                <w:szCs w:val="24"/>
                <w:highlight w:val="none"/>
              </w:rPr>
              <w:t>，得1分。</w:t>
            </w:r>
          </w:p>
          <w:p>
            <w:pPr>
              <w:keepNext w:val="0"/>
              <w:keepLines w:val="0"/>
              <w:pageBreakBefore w:val="0"/>
              <w:widowControl w:val="0"/>
              <w:numPr>
                <w:ilvl w:val="0"/>
                <w:numId w:val="5"/>
              </w:numPr>
              <w:kinsoku/>
              <w:wordWrap/>
              <w:overflowPunct/>
              <w:topLinePunct w:val="0"/>
              <w:autoSpaceDE/>
              <w:autoSpaceDN/>
              <w:bidi w:val="0"/>
              <w:adjustRightInd w:val="0"/>
              <w:spacing w:line="28" w:lineRule="atLeast"/>
              <w:ind w:left="0" w:leftChars="0" w:firstLine="0" w:firstLineChars="0"/>
              <w:textAlignment w:val="auto"/>
              <w:rPr>
                <w:rFonts w:hint="eastAsia" w:ascii="仿宋" w:hAnsi="仿宋" w:eastAsia="仿宋" w:cs="仿宋"/>
                <w:strike w:val="0"/>
                <w:dstrike w:val="0"/>
                <w:color w:val="000000"/>
                <w:sz w:val="24"/>
                <w:szCs w:val="24"/>
                <w:highlight w:val="none"/>
              </w:rPr>
            </w:pPr>
            <w:r>
              <w:rPr>
                <w:rFonts w:hint="eastAsia" w:ascii="仿宋" w:hAnsi="仿宋" w:eastAsia="仿宋" w:cs="仿宋"/>
                <w:strike w:val="0"/>
                <w:dstrike w:val="0"/>
                <w:color w:val="000000"/>
                <w:sz w:val="24"/>
                <w:szCs w:val="24"/>
                <w:highlight w:val="none"/>
                <w:lang w:val="en-US" w:eastAsia="zh-CN"/>
              </w:rPr>
              <w:t>投标人</w:t>
            </w:r>
            <w:r>
              <w:rPr>
                <w:rFonts w:hint="eastAsia" w:ascii="仿宋" w:hAnsi="仿宋" w:eastAsia="仿宋" w:cs="仿宋"/>
                <w:strike w:val="0"/>
                <w:dstrike w:val="0"/>
                <w:color w:val="000000"/>
                <w:sz w:val="24"/>
                <w:szCs w:val="24"/>
                <w:highlight w:val="none"/>
              </w:rPr>
              <w:t>具有</w:t>
            </w:r>
            <w:r>
              <w:rPr>
                <w:rFonts w:hint="eastAsia" w:ascii="仿宋" w:hAnsi="仿宋" w:eastAsia="仿宋" w:cs="仿宋"/>
                <w:b/>
                <w:bCs/>
                <w:strike w:val="0"/>
                <w:dstrike w:val="0"/>
                <w:color w:val="000000"/>
                <w:sz w:val="24"/>
                <w:szCs w:val="24"/>
                <w:highlight w:val="none"/>
                <w:lang w:val="en-US" w:eastAsia="zh-CN"/>
              </w:rPr>
              <w:t>GB/T31950</w:t>
            </w:r>
            <w:r>
              <w:rPr>
                <w:rFonts w:hint="eastAsia" w:ascii="仿宋" w:hAnsi="仿宋" w:eastAsia="仿宋" w:cs="仿宋"/>
                <w:b/>
                <w:bCs/>
                <w:strike w:val="0"/>
                <w:dstrike w:val="0"/>
                <w:color w:val="000000"/>
                <w:sz w:val="24"/>
                <w:szCs w:val="24"/>
                <w:highlight w:val="none"/>
              </w:rPr>
              <w:t>企业诚信管理体系认证证书</w:t>
            </w:r>
            <w:r>
              <w:rPr>
                <w:rFonts w:hint="eastAsia" w:ascii="仿宋" w:hAnsi="仿宋" w:eastAsia="仿宋" w:cs="仿宋"/>
                <w:strike w:val="0"/>
                <w:dstrike w:val="0"/>
                <w:color w:val="000000"/>
                <w:sz w:val="24"/>
                <w:szCs w:val="24"/>
                <w:highlight w:val="none"/>
              </w:rPr>
              <w:t>，得1分。</w:t>
            </w:r>
          </w:p>
          <w:p>
            <w:pPr>
              <w:keepNext w:val="0"/>
              <w:keepLines w:val="0"/>
              <w:pageBreakBefore w:val="0"/>
              <w:widowControl w:val="0"/>
              <w:numPr>
                <w:ilvl w:val="0"/>
                <w:numId w:val="5"/>
              </w:numPr>
              <w:kinsoku/>
              <w:wordWrap/>
              <w:overflowPunct/>
              <w:topLinePunct w:val="0"/>
              <w:autoSpaceDE/>
              <w:autoSpaceDN/>
              <w:bidi w:val="0"/>
              <w:adjustRightInd w:val="0"/>
              <w:spacing w:line="28" w:lineRule="atLeast"/>
              <w:ind w:left="0" w:leftChars="0" w:firstLine="0" w:firstLineChars="0"/>
              <w:textAlignment w:val="auto"/>
              <w:rPr>
                <w:rFonts w:hint="eastAsia" w:ascii="仿宋" w:hAnsi="仿宋" w:eastAsia="仿宋" w:cs="仿宋"/>
                <w:strike w:val="0"/>
                <w:dstrike w:val="0"/>
                <w:color w:val="000000"/>
                <w:sz w:val="24"/>
                <w:szCs w:val="24"/>
                <w:highlight w:val="none"/>
                <w:lang w:eastAsia="zh-CN"/>
              </w:rPr>
            </w:pPr>
            <w:r>
              <w:rPr>
                <w:rFonts w:hint="eastAsia" w:ascii="仿宋" w:hAnsi="仿宋" w:eastAsia="仿宋" w:cs="仿宋"/>
                <w:strike w:val="0"/>
                <w:dstrike w:val="0"/>
                <w:color w:val="000000"/>
                <w:sz w:val="24"/>
                <w:szCs w:val="24"/>
                <w:highlight w:val="none"/>
                <w:lang w:val="en-US" w:eastAsia="zh-CN"/>
              </w:rPr>
              <w:t>投标人</w:t>
            </w:r>
            <w:r>
              <w:rPr>
                <w:rFonts w:hint="eastAsia" w:ascii="仿宋" w:hAnsi="仿宋" w:eastAsia="仿宋" w:cs="仿宋"/>
                <w:strike w:val="0"/>
                <w:dstrike w:val="0"/>
                <w:color w:val="000000"/>
                <w:sz w:val="24"/>
                <w:szCs w:val="24"/>
                <w:highlight w:val="none"/>
              </w:rPr>
              <w:t>具有</w:t>
            </w:r>
            <w:r>
              <w:rPr>
                <w:rFonts w:hint="eastAsia" w:ascii="仿宋" w:hAnsi="仿宋" w:eastAsia="仿宋" w:cs="仿宋"/>
                <w:b/>
                <w:bCs/>
                <w:strike w:val="0"/>
                <w:dstrike w:val="0"/>
                <w:color w:val="000000"/>
                <w:sz w:val="24"/>
                <w:szCs w:val="24"/>
                <w:highlight w:val="none"/>
                <w:lang w:val="en-US" w:eastAsia="zh-CN"/>
              </w:rPr>
              <w:t>GB/T27922</w:t>
            </w:r>
            <w:r>
              <w:rPr>
                <w:rFonts w:hint="eastAsia" w:ascii="仿宋" w:hAnsi="仿宋" w:eastAsia="仿宋" w:cs="仿宋"/>
                <w:b/>
                <w:bCs/>
                <w:strike w:val="0"/>
                <w:dstrike w:val="0"/>
                <w:color w:val="000000"/>
                <w:sz w:val="24"/>
                <w:szCs w:val="24"/>
                <w:highlight w:val="none"/>
              </w:rPr>
              <w:t>商品售后服务评价体系五星级认证证书</w:t>
            </w:r>
            <w:r>
              <w:rPr>
                <w:rFonts w:hint="eastAsia" w:ascii="仿宋" w:hAnsi="仿宋" w:eastAsia="仿宋" w:cs="仿宋"/>
                <w:strike w:val="0"/>
                <w:dstrike w:val="0"/>
                <w:color w:val="000000"/>
                <w:sz w:val="24"/>
                <w:szCs w:val="24"/>
                <w:highlight w:val="none"/>
              </w:rPr>
              <w:t>的（</w:t>
            </w:r>
            <w:r>
              <w:rPr>
                <w:rFonts w:hint="eastAsia" w:ascii="仿宋" w:hAnsi="仿宋" w:eastAsia="仿宋" w:cs="仿宋"/>
                <w:b/>
                <w:bCs/>
                <w:strike w:val="0"/>
                <w:dstrike w:val="0"/>
                <w:color w:val="000000"/>
                <w:sz w:val="24"/>
                <w:szCs w:val="24"/>
                <w:highlight w:val="none"/>
              </w:rPr>
              <w:t>认证范围须包括音响、舞台灯光相关内容</w:t>
            </w:r>
            <w:r>
              <w:rPr>
                <w:rFonts w:hint="eastAsia" w:ascii="仿宋" w:hAnsi="仿宋" w:eastAsia="仿宋" w:cs="仿宋"/>
                <w:strike w:val="0"/>
                <w:dstrike w:val="0"/>
                <w:color w:val="000000"/>
                <w:sz w:val="24"/>
                <w:szCs w:val="24"/>
                <w:highlight w:val="none"/>
              </w:rPr>
              <w:t>），得1分。</w:t>
            </w:r>
          </w:p>
          <w:p>
            <w:pPr>
              <w:keepNext w:val="0"/>
              <w:keepLines w:val="0"/>
              <w:pageBreakBefore w:val="0"/>
              <w:widowControl w:val="0"/>
              <w:numPr>
                <w:ilvl w:val="0"/>
                <w:numId w:val="5"/>
              </w:numPr>
              <w:kinsoku/>
              <w:wordWrap/>
              <w:overflowPunct/>
              <w:topLinePunct w:val="0"/>
              <w:autoSpaceDE/>
              <w:autoSpaceDN/>
              <w:bidi w:val="0"/>
              <w:adjustRightInd w:val="0"/>
              <w:spacing w:line="28" w:lineRule="atLeast"/>
              <w:ind w:left="0" w:leftChars="0" w:firstLine="0" w:firstLineChars="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具有</w:t>
            </w:r>
            <w:r>
              <w:rPr>
                <w:rFonts w:hint="eastAsia" w:ascii="仿宋" w:hAnsi="仿宋" w:eastAsia="仿宋" w:cs="仿宋"/>
                <w:b/>
                <w:bCs/>
                <w:color w:val="000000"/>
                <w:sz w:val="24"/>
                <w:szCs w:val="24"/>
                <w:highlight w:val="none"/>
              </w:rPr>
              <w:t>电子与智能化工程专业承包二级及以上证书</w:t>
            </w:r>
            <w:r>
              <w:rPr>
                <w:rFonts w:hint="eastAsia" w:ascii="仿宋" w:hAnsi="仿宋" w:eastAsia="仿宋" w:cs="仿宋"/>
                <w:color w:val="000000"/>
                <w:sz w:val="24"/>
                <w:szCs w:val="24"/>
                <w:highlight w:val="none"/>
              </w:rPr>
              <w:t>，得1分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具有</w:t>
            </w:r>
            <w:r>
              <w:rPr>
                <w:rFonts w:hint="eastAsia" w:ascii="仿宋" w:hAnsi="仿宋" w:eastAsia="仿宋" w:cs="仿宋"/>
                <w:b/>
                <w:bCs/>
                <w:color w:val="000000"/>
                <w:sz w:val="24"/>
                <w:szCs w:val="24"/>
                <w:highlight w:val="none"/>
              </w:rPr>
              <w:t>建筑智能化系统设计专项乙级及以上证书</w:t>
            </w:r>
            <w:r>
              <w:rPr>
                <w:rFonts w:hint="eastAsia" w:ascii="仿宋" w:hAnsi="仿宋" w:eastAsia="仿宋" w:cs="仿宋"/>
                <w:color w:val="000000"/>
                <w:sz w:val="24"/>
                <w:szCs w:val="24"/>
                <w:highlight w:val="none"/>
              </w:rPr>
              <w:t>，得1分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具有</w:t>
            </w:r>
            <w:r>
              <w:rPr>
                <w:rFonts w:hint="eastAsia" w:ascii="仿宋" w:hAnsi="仿宋" w:eastAsia="仿宋" w:cs="仿宋"/>
                <w:b/>
                <w:bCs/>
                <w:color w:val="000000"/>
                <w:sz w:val="24"/>
                <w:szCs w:val="24"/>
                <w:highlight w:val="none"/>
              </w:rPr>
              <w:t>安全生产许可证</w:t>
            </w:r>
            <w:r>
              <w:rPr>
                <w:rFonts w:hint="eastAsia" w:ascii="仿宋" w:hAnsi="仿宋" w:eastAsia="仿宋" w:cs="仿宋"/>
                <w:color w:val="000000"/>
                <w:sz w:val="24"/>
                <w:szCs w:val="24"/>
                <w:highlight w:val="none"/>
              </w:rPr>
              <w:t>，得1分</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pacing w:line="28" w:lineRule="atLeas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注：投标文件中需提供有效期内相关证书扫描件并加盖单位公章，未提供不得分。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u w:val="none"/>
                <w:lang w:val="en-US" w:eastAsia="zh-CN" w:bidi="ar"/>
              </w:rPr>
              <w:t>企业业绩</w:t>
            </w:r>
          </w:p>
        </w:tc>
        <w:tc>
          <w:tcPr>
            <w:tcW w:w="6063" w:type="dxa"/>
            <w:noWrap w:val="0"/>
            <w:vAlign w:val="center"/>
          </w:tcPr>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投标人具有2020年1月1日至今（以合同签订时间为准）同类项目合同业绩，每提供一个得1分，满分3分。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注：投标文件中需提供合同扫描件并加盖单位公章，未提供不得分。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w:t>
            </w:r>
          </w:p>
        </w:tc>
        <w:tc>
          <w:tcPr>
            <w:tcW w:w="1056" w:type="dxa"/>
            <w:noWrap w:val="0"/>
            <w:vAlign w:val="center"/>
          </w:tcPr>
          <w:p>
            <w:pPr>
              <w:spacing w:line="360" w:lineRule="auto"/>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项目人员配置</w:t>
            </w:r>
          </w:p>
        </w:tc>
        <w:tc>
          <w:tcPr>
            <w:tcW w:w="6063" w:type="dxa"/>
            <w:noWrap w:val="0"/>
            <w:vAlign w:val="center"/>
          </w:tcPr>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投标人拟派的项目负责人具有</w:t>
            </w:r>
            <w:r>
              <w:rPr>
                <w:rFonts w:hint="eastAsia" w:ascii="仿宋" w:hAnsi="仿宋" w:eastAsia="仿宋" w:cs="仿宋"/>
                <w:b/>
                <w:bCs/>
                <w:i w:val="0"/>
                <w:iCs w:val="0"/>
                <w:color w:val="000000"/>
                <w:kern w:val="0"/>
                <w:sz w:val="24"/>
                <w:szCs w:val="24"/>
                <w:u w:val="none"/>
                <w:lang w:val="en-US" w:eastAsia="zh-CN" w:bidi="ar"/>
              </w:rPr>
              <w:t>机电工程类二级及以上注册建造师证书</w:t>
            </w:r>
            <w:r>
              <w:rPr>
                <w:rFonts w:hint="eastAsia" w:ascii="仿宋" w:hAnsi="仿宋" w:eastAsia="仿宋" w:cs="仿宋"/>
                <w:b w:val="0"/>
                <w:bCs w:val="0"/>
                <w:i w:val="0"/>
                <w:iCs w:val="0"/>
                <w:color w:val="000000"/>
                <w:kern w:val="0"/>
                <w:sz w:val="24"/>
                <w:szCs w:val="24"/>
                <w:u w:val="none"/>
                <w:lang w:val="en-US" w:eastAsia="zh-CN" w:bidi="ar"/>
              </w:rPr>
              <w:t>的，得1分</w:t>
            </w:r>
            <w:r>
              <w:rPr>
                <w:rFonts w:hint="eastAsia" w:ascii="仿宋" w:hAnsi="仿宋" w:eastAsia="仿宋" w:cs="仿宋"/>
                <w:i w:val="0"/>
                <w:iCs w:val="0"/>
                <w:color w:val="000000"/>
                <w:kern w:val="0"/>
                <w:sz w:val="24"/>
                <w:szCs w:val="24"/>
                <w:u w:val="none"/>
                <w:lang w:val="en-US" w:eastAsia="zh-CN" w:bidi="ar"/>
              </w:rPr>
              <w:t>；现场施工的技术人员（除项目负责人以外）具有</w:t>
            </w:r>
            <w:r>
              <w:rPr>
                <w:rFonts w:hint="eastAsia" w:ascii="仿宋" w:hAnsi="仿宋" w:eastAsia="仿宋" w:cs="仿宋"/>
                <w:b/>
                <w:bCs/>
                <w:i w:val="0"/>
                <w:iCs w:val="0"/>
                <w:color w:val="auto"/>
                <w:kern w:val="0"/>
                <w:sz w:val="24"/>
                <w:szCs w:val="24"/>
                <w:u w:val="none"/>
                <w:lang w:val="en-US" w:eastAsia="zh-CN" w:bidi="ar"/>
              </w:rPr>
              <w:t>音响调音员三级及以上证书</w:t>
            </w:r>
            <w:r>
              <w:rPr>
                <w:rFonts w:hint="eastAsia" w:ascii="仿宋" w:hAnsi="仿宋" w:eastAsia="仿宋" w:cs="仿宋"/>
                <w:b w:val="0"/>
                <w:bCs w:val="0"/>
                <w:i w:val="0"/>
                <w:iCs w:val="0"/>
                <w:color w:val="auto"/>
                <w:kern w:val="0"/>
                <w:sz w:val="24"/>
                <w:szCs w:val="24"/>
                <w:u w:val="none"/>
                <w:lang w:val="en-US" w:eastAsia="zh-CN" w:bidi="ar"/>
              </w:rPr>
              <w:t>的，得1分，</w:t>
            </w:r>
            <w:r>
              <w:rPr>
                <w:rFonts w:hint="eastAsia" w:ascii="仿宋" w:hAnsi="仿宋" w:eastAsia="仿宋" w:cs="仿宋"/>
                <w:i w:val="0"/>
                <w:iCs w:val="0"/>
                <w:color w:val="000000"/>
                <w:kern w:val="0"/>
                <w:sz w:val="24"/>
                <w:szCs w:val="24"/>
                <w:u w:val="none"/>
                <w:lang w:val="en-US" w:eastAsia="zh-CN" w:bidi="ar"/>
              </w:rPr>
              <w:t>现场施工人员（除项目负责人以外）具有</w:t>
            </w:r>
            <w:r>
              <w:rPr>
                <w:rFonts w:hint="eastAsia" w:ascii="仿宋" w:hAnsi="仿宋" w:eastAsia="仿宋" w:cs="仿宋"/>
                <w:b/>
                <w:bCs/>
                <w:i w:val="0"/>
                <w:iCs w:val="0"/>
                <w:color w:val="000000"/>
                <w:kern w:val="0"/>
                <w:sz w:val="24"/>
                <w:szCs w:val="24"/>
                <w:u w:val="none"/>
                <w:lang w:val="en-US" w:eastAsia="zh-CN" w:bidi="ar"/>
              </w:rPr>
              <w:t>电工证</w:t>
            </w:r>
            <w:r>
              <w:rPr>
                <w:rFonts w:hint="eastAsia" w:ascii="仿宋" w:hAnsi="仿宋" w:eastAsia="仿宋" w:cs="仿宋"/>
                <w:b w:val="0"/>
                <w:bCs w:val="0"/>
                <w:i w:val="0"/>
                <w:iCs w:val="0"/>
                <w:color w:val="000000"/>
                <w:kern w:val="0"/>
                <w:sz w:val="24"/>
                <w:szCs w:val="24"/>
                <w:u w:val="none"/>
                <w:lang w:val="en-US" w:eastAsia="zh-CN" w:bidi="ar"/>
              </w:rPr>
              <w:t>的，每个得1分，最高得2分；</w:t>
            </w:r>
            <w:r>
              <w:rPr>
                <w:rFonts w:hint="eastAsia" w:ascii="仿宋" w:hAnsi="仿宋" w:eastAsia="仿宋" w:cs="仿宋"/>
                <w:i w:val="0"/>
                <w:iCs w:val="0"/>
                <w:color w:val="000000"/>
                <w:kern w:val="0"/>
                <w:sz w:val="24"/>
                <w:szCs w:val="24"/>
                <w:u w:val="none"/>
                <w:lang w:val="en-US" w:eastAsia="zh-CN" w:bidi="ar"/>
              </w:rPr>
              <w:t>现场施工人员（除项目负责人以外）具有</w:t>
            </w:r>
            <w:r>
              <w:rPr>
                <w:rFonts w:hint="eastAsia" w:ascii="仿宋" w:hAnsi="仿宋" w:eastAsia="仿宋" w:cs="仿宋"/>
                <w:b/>
                <w:bCs/>
                <w:i w:val="0"/>
                <w:iCs w:val="0"/>
                <w:color w:val="000000"/>
                <w:kern w:val="0"/>
                <w:sz w:val="24"/>
                <w:szCs w:val="24"/>
                <w:u w:val="none"/>
                <w:lang w:val="en-US" w:eastAsia="zh-CN" w:bidi="ar"/>
              </w:rPr>
              <w:t>高处作业证</w:t>
            </w:r>
            <w:r>
              <w:rPr>
                <w:rFonts w:hint="eastAsia" w:ascii="仿宋" w:hAnsi="仿宋" w:eastAsia="仿宋" w:cs="仿宋"/>
                <w:b w:val="0"/>
                <w:bCs w:val="0"/>
                <w:i w:val="0"/>
                <w:iCs w:val="0"/>
                <w:color w:val="000000"/>
                <w:kern w:val="0"/>
                <w:sz w:val="24"/>
                <w:szCs w:val="24"/>
                <w:u w:val="none"/>
                <w:lang w:val="en-US" w:eastAsia="zh-CN" w:bidi="ar"/>
              </w:rPr>
              <w:t>的，每个得1分，最高得2分</w:t>
            </w:r>
            <w:r>
              <w:rPr>
                <w:rFonts w:hint="eastAsia" w:ascii="仿宋" w:hAnsi="仿宋" w:eastAsia="仿宋" w:cs="仿宋"/>
                <w:i w:val="0"/>
                <w:iCs w:val="0"/>
                <w:color w:val="auto"/>
                <w:kern w:val="0"/>
                <w:sz w:val="24"/>
                <w:szCs w:val="24"/>
                <w:u w:val="none"/>
                <w:lang w:val="en-US" w:eastAsia="zh-CN" w:bidi="ar"/>
              </w:rPr>
              <w:t>。此项最高得6分。</w:t>
            </w:r>
          </w:p>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注：投标文件中需提供相关人员有效期内证书扫描件、近三月（具体为2023年7月-9月）社保证明复印件并加盖公章，未提供不得分。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noWrap w:val="0"/>
            <w:vAlign w:val="center"/>
          </w:tcPr>
          <w:p>
            <w:pPr>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设计方案</w:t>
            </w:r>
          </w:p>
        </w:tc>
        <w:tc>
          <w:tcPr>
            <w:tcW w:w="6063"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val="0"/>
              <w:snapToGrid/>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投标人根据采购人的设计图纸，在优化设计上提出合理化的建议，建议合理且具有实用性的得2分，建议合理但实用性一般的得1分，建议不合理不具备实用性或者未提供的不得分。</w:t>
            </w:r>
          </w:p>
          <w:p>
            <w:pPr>
              <w:keepNext w:val="0"/>
              <w:keepLines w:val="0"/>
              <w:pageBreakBefore w:val="0"/>
              <w:widowControl w:val="0"/>
              <w:numPr>
                <w:ilvl w:val="0"/>
                <w:numId w:val="6"/>
              </w:numPr>
              <w:kinsoku/>
              <w:wordWrap/>
              <w:overflowPunct/>
              <w:topLinePunct w:val="0"/>
              <w:autoSpaceDE/>
              <w:autoSpaceDN/>
              <w:bidi w:val="0"/>
              <w:adjustRightInd w:val="0"/>
              <w:snapToGrid/>
              <w:spacing w:line="28" w:lineRule="atLeast"/>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投标人根据采购人设计图纸对</w:t>
            </w:r>
            <w:r>
              <w:rPr>
                <w:rFonts w:hint="eastAsia" w:ascii="仿宋" w:hAnsi="仿宋" w:eastAsia="仿宋" w:cs="仿宋"/>
                <w:b/>
                <w:bCs/>
                <w:i w:val="0"/>
                <w:iCs w:val="0"/>
                <w:color w:val="000000"/>
                <w:kern w:val="0"/>
                <w:sz w:val="24"/>
                <w:szCs w:val="24"/>
                <w:u w:val="none"/>
                <w:lang w:val="en-US" w:eastAsia="zh-CN" w:bidi="ar"/>
              </w:rPr>
              <w:t>飞鸟剧场音频系统进行优化设计</w:t>
            </w:r>
            <w:r>
              <w:rPr>
                <w:rFonts w:hint="eastAsia" w:ascii="仿宋" w:hAnsi="仿宋" w:eastAsia="仿宋" w:cs="仿宋"/>
                <w:i w:val="0"/>
                <w:iCs w:val="0"/>
                <w:color w:val="000000"/>
                <w:kern w:val="0"/>
                <w:sz w:val="24"/>
                <w:szCs w:val="24"/>
                <w:u w:val="none"/>
                <w:lang w:val="en-US" w:eastAsia="zh-CN" w:bidi="ar"/>
              </w:rPr>
              <w:t>（至少包含设备布置图、系统图）</w:t>
            </w:r>
            <w:r>
              <w:rPr>
                <w:rFonts w:hint="eastAsia" w:ascii="仿宋" w:hAnsi="仿宋" w:eastAsia="仿宋" w:cs="仿宋"/>
                <w:b w:val="0"/>
                <w:bCs w:val="0"/>
                <w:i w:val="0"/>
                <w:iCs w:val="0"/>
                <w:color w:val="000000"/>
                <w:kern w:val="0"/>
                <w:sz w:val="24"/>
                <w:szCs w:val="24"/>
                <w:u w:val="none"/>
                <w:lang w:val="en-US" w:eastAsia="zh-CN" w:bidi="ar"/>
              </w:rPr>
              <w:t>，技术图纸齐全且设计效果使用贴合度高的得2分，技术图纸齐全但设计效果使用贴合度一般得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b w:val="0"/>
                <w:bCs w:val="0"/>
                <w:i w:val="0"/>
                <w:iCs w:val="0"/>
                <w:color w:val="000000"/>
                <w:kern w:val="0"/>
                <w:sz w:val="24"/>
                <w:szCs w:val="24"/>
                <w:u w:val="none"/>
                <w:lang w:val="en-US" w:eastAsia="zh-CN" w:bidi="ar"/>
              </w:rPr>
              <w:t>技术图纸不全设计效果差的或者未提供的不得分。</w:t>
            </w:r>
          </w:p>
          <w:p>
            <w:pPr>
              <w:keepNext w:val="0"/>
              <w:keepLines w:val="0"/>
              <w:pageBreakBefore w:val="0"/>
              <w:widowControl w:val="0"/>
              <w:numPr>
                <w:ilvl w:val="0"/>
                <w:numId w:val="6"/>
              </w:numPr>
              <w:kinsoku/>
              <w:wordWrap/>
              <w:overflowPunct/>
              <w:topLinePunct w:val="0"/>
              <w:autoSpaceDE/>
              <w:autoSpaceDN/>
              <w:bidi w:val="0"/>
              <w:adjustRightInd w:val="0"/>
              <w:snapToGrid/>
              <w:spacing w:line="28" w:lineRule="atLeast"/>
              <w:ind w:left="0" w:leftChars="0" w:firstLine="0" w:firstLineChars="0"/>
              <w:textAlignment w:val="auto"/>
              <w:rPr>
                <w:rFonts w:hint="default" w:ascii="仿宋" w:hAnsi="仿宋" w:eastAsia="仿宋" w:cs="仿宋"/>
                <w:color w:val="00000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投标人根据采购人设计图纸对</w:t>
            </w:r>
            <w:r>
              <w:rPr>
                <w:rFonts w:hint="eastAsia" w:ascii="仿宋" w:hAnsi="仿宋" w:eastAsia="仿宋" w:cs="仿宋"/>
                <w:b/>
                <w:bCs/>
                <w:i w:val="0"/>
                <w:iCs w:val="0"/>
                <w:color w:val="000000"/>
                <w:kern w:val="0"/>
                <w:sz w:val="24"/>
                <w:szCs w:val="24"/>
                <w:u w:val="none"/>
                <w:lang w:val="en-US" w:eastAsia="zh-CN" w:bidi="ar"/>
              </w:rPr>
              <w:t>亚洲象剧场音频系统进行优化设计</w:t>
            </w:r>
            <w:r>
              <w:rPr>
                <w:rFonts w:hint="eastAsia" w:ascii="仿宋" w:hAnsi="仿宋" w:eastAsia="仿宋" w:cs="仿宋"/>
                <w:i w:val="0"/>
                <w:iCs w:val="0"/>
                <w:color w:val="000000"/>
                <w:kern w:val="0"/>
                <w:sz w:val="24"/>
                <w:szCs w:val="24"/>
                <w:u w:val="none"/>
                <w:lang w:val="en-US" w:eastAsia="zh-CN" w:bidi="ar"/>
              </w:rPr>
              <w:t>（至少包含设备布置图、系统图）</w:t>
            </w:r>
            <w:r>
              <w:rPr>
                <w:rFonts w:hint="eastAsia" w:ascii="仿宋" w:hAnsi="仿宋" w:eastAsia="仿宋" w:cs="仿宋"/>
                <w:b w:val="0"/>
                <w:bCs w:val="0"/>
                <w:i w:val="0"/>
                <w:iCs w:val="0"/>
                <w:color w:val="000000"/>
                <w:kern w:val="0"/>
                <w:sz w:val="24"/>
                <w:szCs w:val="24"/>
                <w:u w:val="none"/>
                <w:lang w:val="en-US" w:eastAsia="zh-CN" w:bidi="ar"/>
              </w:rPr>
              <w:t>，技术图纸齐全且设计效果使用贴合度高的得2分，技术图纸齐全但设计效果使用贴合度一般得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b w:val="0"/>
                <w:bCs w:val="0"/>
                <w:i w:val="0"/>
                <w:iCs w:val="0"/>
                <w:color w:val="000000"/>
                <w:kern w:val="0"/>
                <w:sz w:val="24"/>
                <w:szCs w:val="24"/>
                <w:u w:val="none"/>
                <w:lang w:val="en-US" w:eastAsia="zh-CN" w:bidi="ar"/>
              </w:rPr>
              <w:t>技术图纸不全设计效果差的或者未提供的不得分。</w:t>
            </w:r>
          </w:p>
          <w:p>
            <w:pPr>
              <w:keepNext w:val="0"/>
              <w:keepLines w:val="0"/>
              <w:pageBreakBefore w:val="0"/>
              <w:widowControl w:val="0"/>
              <w:numPr>
                <w:ilvl w:val="0"/>
                <w:numId w:val="6"/>
              </w:numPr>
              <w:kinsoku/>
              <w:wordWrap/>
              <w:overflowPunct/>
              <w:topLinePunct w:val="0"/>
              <w:autoSpaceDE/>
              <w:autoSpaceDN/>
              <w:bidi w:val="0"/>
              <w:adjustRightInd w:val="0"/>
              <w:snapToGrid/>
              <w:spacing w:line="28" w:lineRule="atLeast"/>
              <w:ind w:left="0" w:leftChars="0" w:firstLine="0" w:firstLineChars="0"/>
              <w:textAlignment w:val="auto"/>
              <w:rPr>
                <w:rFonts w:hint="default" w:ascii="仿宋" w:hAnsi="仿宋" w:eastAsia="仿宋" w:cs="仿宋"/>
                <w:color w:val="00000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投标人根据采购人设计图纸对</w:t>
            </w:r>
            <w:r>
              <w:rPr>
                <w:rFonts w:hint="eastAsia" w:ascii="仿宋" w:hAnsi="仿宋" w:eastAsia="仿宋" w:cs="仿宋"/>
                <w:b/>
                <w:bCs/>
                <w:i w:val="0"/>
                <w:iCs w:val="0"/>
                <w:color w:val="000000"/>
                <w:kern w:val="0"/>
                <w:sz w:val="24"/>
                <w:szCs w:val="24"/>
                <w:u w:val="none"/>
                <w:lang w:val="en-US" w:eastAsia="zh-CN" w:bidi="ar"/>
              </w:rPr>
              <w:t>萌宠剧场声光系统进行优化设计</w:t>
            </w:r>
            <w:r>
              <w:rPr>
                <w:rFonts w:hint="eastAsia" w:ascii="仿宋" w:hAnsi="仿宋" w:eastAsia="仿宋" w:cs="仿宋"/>
                <w:i w:val="0"/>
                <w:iCs w:val="0"/>
                <w:color w:val="000000"/>
                <w:kern w:val="0"/>
                <w:sz w:val="24"/>
                <w:szCs w:val="24"/>
                <w:u w:val="none"/>
                <w:lang w:val="en-US" w:eastAsia="zh-CN" w:bidi="ar"/>
              </w:rPr>
              <w:t>（至少包含设备布置图、系统图）</w:t>
            </w:r>
            <w:r>
              <w:rPr>
                <w:rFonts w:hint="eastAsia" w:ascii="仿宋" w:hAnsi="仿宋" w:eastAsia="仿宋" w:cs="仿宋"/>
                <w:b w:val="0"/>
                <w:bCs w:val="0"/>
                <w:i w:val="0"/>
                <w:iCs w:val="0"/>
                <w:color w:val="000000"/>
                <w:kern w:val="0"/>
                <w:sz w:val="24"/>
                <w:szCs w:val="24"/>
                <w:u w:val="none"/>
                <w:lang w:val="en-US" w:eastAsia="zh-CN" w:bidi="ar"/>
              </w:rPr>
              <w:t>，技术图纸齐全且设计效果使用贴合度高的得2分，技术图纸齐全但设计效果使用贴合度一般得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b w:val="0"/>
                <w:bCs w:val="0"/>
                <w:i w:val="0"/>
                <w:iCs w:val="0"/>
                <w:color w:val="000000"/>
                <w:kern w:val="0"/>
                <w:sz w:val="24"/>
                <w:szCs w:val="24"/>
                <w:u w:val="none"/>
                <w:lang w:val="en-US" w:eastAsia="zh-CN" w:bidi="ar"/>
              </w:rPr>
              <w:t>技术图纸不全设计效果差的或者未提供的不得分。</w:t>
            </w:r>
          </w:p>
          <w:p>
            <w:pPr>
              <w:keepNext w:val="0"/>
              <w:keepLines w:val="0"/>
              <w:pageBreakBefore w:val="0"/>
              <w:widowControl w:val="0"/>
              <w:numPr>
                <w:ilvl w:val="0"/>
                <w:numId w:val="6"/>
              </w:numPr>
              <w:kinsoku/>
              <w:wordWrap/>
              <w:overflowPunct/>
              <w:topLinePunct w:val="0"/>
              <w:autoSpaceDE/>
              <w:autoSpaceDN/>
              <w:bidi w:val="0"/>
              <w:adjustRightInd w:val="0"/>
              <w:snapToGrid/>
              <w:spacing w:line="28" w:lineRule="atLeas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投标人根据采购人设计图纸对</w:t>
            </w:r>
            <w:r>
              <w:rPr>
                <w:rFonts w:hint="eastAsia" w:ascii="仿宋" w:hAnsi="仿宋" w:eastAsia="仿宋" w:cs="仿宋"/>
                <w:b/>
                <w:bCs/>
                <w:i w:val="0"/>
                <w:iCs w:val="0"/>
                <w:color w:val="000000"/>
                <w:kern w:val="0"/>
                <w:sz w:val="24"/>
                <w:szCs w:val="24"/>
                <w:u w:val="none"/>
                <w:lang w:val="en-US" w:eastAsia="zh-CN" w:bidi="ar"/>
              </w:rPr>
              <w:t>非洲区小舞台声光系统进行优化设计</w:t>
            </w:r>
            <w:r>
              <w:rPr>
                <w:rFonts w:hint="eastAsia" w:ascii="仿宋" w:hAnsi="仿宋" w:eastAsia="仿宋" w:cs="仿宋"/>
                <w:i w:val="0"/>
                <w:iCs w:val="0"/>
                <w:color w:val="000000"/>
                <w:kern w:val="0"/>
                <w:sz w:val="24"/>
                <w:szCs w:val="24"/>
                <w:u w:val="none"/>
                <w:lang w:val="en-US" w:eastAsia="zh-CN" w:bidi="ar"/>
              </w:rPr>
              <w:t>（至少包含设备布置图、系统图）</w:t>
            </w:r>
            <w:r>
              <w:rPr>
                <w:rFonts w:hint="eastAsia" w:ascii="仿宋" w:hAnsi="仿宋" w:eastAsia="仿宋" w:cs="仿宋"/>
                <w:b w:val="0"/>
                <w:bCs w:val="0"/>
                <w:i w:val="0"/>
                <w:iCs w:val="0"/>
                <w:color w:val="000000"/>
                <w:kern w:val="0"/>
                <w:sz w:val="24"/>
                <w:szCs w:val="24"/>
                <w:u w:val="none"/>
                <w:lang w:val="en-US" w:eastAsia="zh-CN" w:bidi="ar"/>
              </w:rPr>
              <w:t>，技术图纸齐全且设计效果使用贴合度高的得2分，技术图纸齐全但设计效果使用贴合度一般得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b w:val="0"/>
                <w:bCs w:val="0"/>
                <w:i w:val="0"/>
                <w:iCs w:val="0"/>
                <w:color w:val="000000"/>
                <w:kern w:val="0"/>
                <w:sz w:val="24"/>
                <w:szCs w:val="24"/>
                <w:u w:val="none"/>
                <w:lang w:val="en-US" w:eastAsia="zh-CN" w:bidi="ar"/>
              </w:rPr>
              <w:t>技术图纸不全设计效果差的或者未提供的不得分。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noWrap w:val="0"/>
            <w:vAlign w:val="center"/>
          </w:tcPr>
          <w:p>
            <w:pPr>
              <w:spacing w:line="360" w:lineRule="auto"/>
              <w:jc w:val="both"/>
              <w:rPr>
                <w:rFonts w:hint="eastAsia" w:ascii="仿宋" w:hAnsi="仿宋" w:eastAsia="仿宋" w:cs="仿宋"/>
                <w:i w:val="0"/>
                <w:iCs w:val="0"/>
                <w:color w:val="auto"/>
                <w:kern w:val="0"/>
                <w:sz w:val="24"/>
                <w:szCs w:val="24"/>
                <w:highlight w:val="none"/>
                <w:u w:val="none"/>
                <w:lang w:val="en-US" w:eastAsia="zh-CN" w:bidi="ar"/>
              </w:rPr>
            </w:pPr>
          </w:p>
          <w:p>
            <w:pPr>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项目实施方案</w:t>
            </w:r>
          </w:p>
        </w:tc>
        <w:tc>
          <w:tcPr>
            <w:tcW w:w="6063"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val="0"/>
              <w:spacing w:line="28" w:lineRule="atLeast"/>
              <w:ind w:left="0" w:leftChars="0" w:firstLine="0" w:firstLineChars="0"/>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投标人针对本项目提供项目实施方案，包含施工组织计划、安全保证措施、质量保证措施、进度保证措施和环境保证措施、关键技术解决能力、对系统需求的优化设计；本项目的技术难点分析、风险分析；规避风险措施等内容。方案的合理性、操作性强的得7-10分，方案的合理性、操作性一般的得3-7分，方案的合理性、操作性基本满足的得0.1-2.9分，差的或者未提供的不得分。</w:t>
            </w:r>
          </w:p>
          <w:p>
            <w:pPr>
              <w:keepNext w:val="0"/>
              <w:keepLines w:val="0"/>
              <w:pageBreakBefore w:val="0"/>
              <w:widowControl w:val="0"/>
              <w:numPr>
                <w:ilvl w:val="0"/>
                <w:numId w:val="0"/>
              </w:numPr>
              <w:kinsoku/>
              <w:wordWrap/>
              <w:overflowPunct/>
              <w:topLinePunct w:val="0"/>
              <w:autoSpaceDE/>
              <w:autoSpaceDN/>
              <w:bidi w:val="0"/>
              <w:adjustRightInd w:val="0"/>
              <w:spacing w:line="28" w:lineRule="atLeast"/>
              <w:ind w:left="0" w:leftChars="0"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方案需包含各相关系统之间的衔接及整合，特别是对本项目的建设与现有系统以及其它各相关信息系统之间的衔接，方案内容具备安全性、稳定性、成熟度高的得4.1-6分，安全性、稳定性、成熟度一般的得2.1-4分，安全性、稳定性、成熟度基本满足的得0.1-2分，差的或者未提供的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技术参</w:t>
            </w:r>
          </w:p>
          <w:p>
            <w:pPr>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highlight w:val="none"/>
              </w:rPr>
              <w:t>数响应</w:t>
            </w:r>
          </w:p>
        </w:tc>
        <w:tc>
          <w:tcPr>
            <w:tcW w:w="6063" w:type="dxa"/>
            <w:noWrap w:val="0"/>
            <w:vAlign w:val="center"/>
          </w:tcPr>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技术参数及要求指标每有一项负偏离的扣1分，直至扣完。</w:t>
            </w:r>
          </w:p>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注：投标文件中需提供承诺书，承诺响应招标文件中的产品技术指标要求，未响应的或者未提供的视为负偏离。</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noWrap w:val="0"/>
            <w:vAlign w:val="center"/>
          </w:tcPr>
          <w:p>
            <w:pPr>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项目培训</w:t>
            </w:r>
          </w:p>
        </w:tc>
        <w:tc>
          <w:tcPr>
            <w:tcW w:w="6063" w:type="dxa"/>
            <w:noWrap w:val="0"/>
            <w:vAlign w:val="center"/>
          </w:tcPr>
          <w:p>
            <w:pPr>
              <w:keepNext w:val="0"/>
              <w:keepLines w:val="0"/>
              <w:pageBreakBefore w:val="0"/>
              <w:widowControl w:val="0"/>
              <w:kinsoku/>
              <w:wordWrap/>
              <w:overflowPunct/>
              <w:topLinePunct w:val="0"/>
              <w:autoSpaceDE/>
              <w:autoSpaceDN/>
              <w:bidi w:val="0"/>
              <w:adjustRightInd w:val="0"/>
              <w:snapToGrid/>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投标人需提供项目培训方案，根据方案的课程安排、培训内容等进行打分。方案内容合理完善的</w:t>
            </w:r>
            <w:r>
              <w:rPr>
                <w:rFonts w:hint="eastAsia" w:ascii="仿宋" w:hAnsi="仿宋" w:eastAsia="仿宋" w:cs="仿宋"/>
                <w:b w:val="0"/>
                <w:bCs w:val="0"/>
                <w:i w:val="0"/>
                <w:iCs w:val="0"/>
                <w:color w:val="auto"/>
                <w:kern w:val="0"/>
                <w:sz w:val="24"/>
                <w:szCs w:val="24"/>
                <w:highlight w:val="none"/>
                <w:u w:val="none"/>
                <w:lang w:val="en-US" w:eastAsia="zh-CN" w:bidi="ar"/>
              </w:rPr>
              <w:t>得</w:t>
            </w:r>
            <w:r>
              <w:rPr>
                <w:rStyle w:val="19"/>
                <w:rFonts w:hint="eastAsia" w:ascii="仿宋" w:hAnsi="仿宋" w:eastAsia="仿宋" w:cs="仿宋"/>
                <w:b w:val="0"/>
                <w:bCs w:val="0"/>
                <w:color w:val="auto"/>
                <w:sz w:val="24"/>
                <w:szCs w:val="24"/>
                <w:highlight w:val="none"/>
                <w:lang w:val="en-US" w:eastAsia="zh-CN" w:bidi="ar"/>
              </w:rPr>
              <w:t>3</w:t>
            </w:r>
            <w:r>
              <w:rPr>
                <w:rStyle w:val="20"/>
                <w:rFonts w:hint="eastAsia" w:ascii="仿宋" w:hAnsi="仿宋" w:eastAsia="仿宋" w:cs="仿宋"/>
                <w:b w:val="0"/>
                <w:bCs w:val="0"/>
                <w:color w:val="auto"/>
                <w:sz w:val="24"/>
                <w:szCs w:val="24"/>
                <w:highlight w:val="none"/>
                <w:lang w:val="en-US" w:eastAsia="zh-CN" w:bidi="ar"/>
              </w:rPr>
              <w:t>分，</w:t>
            </w:r>
            <w:r>
              <w:rPr>
                <w:rFonts w:hint="eastAsia" w:ascii="仿宋" w:hAnsi="仿宋" w:eastAsia="仿宋" w:cs="仿宋"/>
                <w:b w:val="0"/>
                <w:bCs w:val="0"/>
                <w:i w:val="0"/>
                <w:iCs w:val="0"/>
                <w:color w:val="auto"/>
                <w:kern w:val="0"/>
                <w:sz w:val="24"/>
                <w:szCs w:val="24"/>
                <w:highlight w:val="none"/>
                <w:u w:val="none"/>
                <w:lang w:val="en-US" w:eastAsia="zh-CN" w:bidi="ar"/>
              </w:rPr>
              <w:t>方案内容较合理、较完善的</w:t>
            </w:r>
            <w:r>
              <w:rPr>
                <w:rStyle w:val="20"/>
                <w:rFonts w:hint="eastAsia" w:ascii="仿宋" w:hAnsi="仿宋" w:eastAsia="仿宋" w:cs="仿宋"/>
                <w:b w:val="0"/>
                <w:bCs w:val="0"/>
                <w:color w:val="auto"/>
                <w:sz w:val="24"/>
                <w:szCs w:val="24"/>
                <w:highlight w:val="none"/>
                <w:lang w:val="en-US" w:eastAsia="zh-CN" w:bidi="ar"/>
              </w:rPr>
              <w:t>得1分，</w:t>
            </w:r>
            <w:r>
              <w:rPr>
                <w:rStyle w:val="20"/>
                <w:rFonts w:hint="eastAsia" w:ascii="仿宋" w:hAnsi="仿宋" w:eastAsia="仿宋" w:cs="仿宋"/>
                <w:color w:val="auto"/>
                <w:sz w:val="24"/>
                <w:szCs w:val="24"/>
                <w:highlight w:val="none"/>
                <w:lang w:val="en-US" w:eastAsia="zh-CN" w:bidi="ar"/>
              </w:rPr>
              <w:t>方案内容不合理、不完善或未提供的不得分。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vMerge w:val="restart"/>
            <w:noWrap w:val="0"/>
            <w:vAlign w:val="center"/>
          </w:tcPr>
          <w:p>
            <w:pPr>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售后服务</w:t>
            </w:r>
          </w:p>
        </w:tc>
        <w:tc>
          <w:tcPr>
            <w:tcW w:w="6063" w:type="dxa"/>
            <w:noWrap w:val="0"/>
            <w:vAlign w:val="center"/>
          </w:tcPr>
          <w:p>
            <w:pPr>
              <w:keepNext w:val="0"/>
              <w:keepLines w:val="0"/>
              <w:pageBreakBefore w:val="0"/>
              <w:widowControl w:val="0"/>
              <w:kinsoku/>
              <w:wordWrap/>
              <w:overflowPunct/>
              <w:topLinePunct w:val="0"/>
              <w:autoSpaceDE/>
              <w:autoSpaceDN/>
              <w:bidi w:val="0"/>
              <w:adjustRightInd w:val="0"/>
              <w:snapToGrid/>
              <w:spacing w:line="28" w:lineRule="atLeast"/>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1、投标人需提供售后服务方案，方案全面周到得2分，方案合理、内容较全面的得1分，方案缺乏合理性、内容片面或者未提供的不得分。</w:t>
            </w:r>
          </w:p>
          <w:p>
            <w:pPr>
              <w:keepNext w:val="0"/>
              <w:keepLines w:val="0"/>
              <w:pageBreakBefore w:val="0"/>
              <w:widowControl w:val="0"/>
              <w:kinsoku/>
              <w:wordWrap/>
              <w:overflowPunct/>
              <w:topLinePunct w:val="0"/>
              <w:autoSpaceDE/>
              <w:autoSpaceDN/>
              <w:bidi w:val="0"/>
              <w:adjustRightInd w:val="0"/>
              <w:snapToGrid/>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2、根据投标人售后服务网点及售后服务响应时间进行打分，服务网点广、售后响应时间快的得2分，服务网点少、售后响应时间一般的得1分，无服务网点、售后响应时间较慢的不得分。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widowControl/>
              <w:spacing w:line="360" w:lineRule="auto"/>
              <w:jc w:val="center"/>
              <w:rPr>
                <w:rFonts w:hint="eastAsia" w:ascii="仿宋" w:hAnsi="仿宋" w:eastAsia="仿宋" w:cs="仿宋"/>
                <w:color w:val="000000"/>
                <w:sz w:val="24"/>
                <w:szCs w:val="24"/>
                <w:highlight w:val="none"/>
              </w:rPr>
            </w:pPr>
          </w:p>
        </w:tc>
        <w:tc>
          <w:tcPr>
            <w:tcW w:w="1056" w:type="dxa"/>
            <w:vMerge w:val="continue"/>
            <w:noWrap w:val="0"/>
            <w:vAlign w:val="center"/>
          </w:tcPr>
          <w:p>
            <w:pPr>
              <w:spacing w:line="360" w:lineRule="auto"/>
              <w:jc w:val="center"/>
              <w:rPr>
                <w:rFonts w:hint="eastAsia" w:ascii="仿宋" w:hAnsi="仿宋" w:eastAsia="仿宋" w:cs="仿宋"/>
                <w:i w:val="0"/>
                <w:iCs w:val="0"/>
                <w:color w:val="000000"/>
                <w:kern w:val="0"/>
                <w:sz w:val="24"/>
                <w:szCs w:val="24"/>
                <w:u w:val="none"/>
                <w:lang w:val="en-US" w:eastAsia="zh-CN" w:bidi="ar"/>
              </w:rPr>
            </w:pPr>
          </w:p>
        </w:tc>
        <w:tc>
          <w:tcPr>
            <w:tcW w:w="6063" w:type="dxa"/>
            <w:noWrap w:val="0"/>
            <w:vAlign w:val="center"/>
          </w:tcPr>
          <w:p>
            <w:pPr>
              <w:keepNext w:val="0"/>
              <w:keepLines w:val="0"/>
              <w:pageBreakBefore w:val="0"/>
              <w:widowControl w:val="0"/>
              <w:kinsoku/>
              <w:wordWrap/>
              <w:overflowPunct/>
              <w:topLinePunct w:val="0"/>
              <w:autoSpaceDE/>
              <w:autoSpaceDN/>
              <w:bidi w:val="0"/>
              <w:adjustRightInd w:val="0"/>
              <w:spacing w:line="28" w:lineRule="atLeast"/>
              <w:textAlignment w:val="auto"/>
              <w:rPr>
                <w:rStyle w:val="20"/>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w:t>
            </w:r>
            <w:r>
              <w:rPr>
                <w:rFonts w:hint="eastAsia" w:ascii="仿宋" w:hAnsi="仿宋" w:eastAsia="仿宋" w:cs="仿宋"/>
                <w:b w:val="0"/>
                <w:bCs w:val="0"/>
                <w:i w:val="0"/>
                <w:iCs w:val="0"/>
                <w:color w:val="auto"/>
                <w:kern w:val="0"/>
                <w:sz w:val="24"/>
                <w:szCs w:val="24"/>
                <w:highlight w:val="none"/>
                <w:u w:val="none"/>
                <w:lang w:val="en-US" w:eastAsia="zh-CN" w:bidi="ar"/>
              </w:rPr>
              <w:t>项目质保期要求</w:t>
            </w:r>
            <w:r>
              <w:rPr>
                <w:rStyle w:val="19"/>
                <w:rFonts w:hint="eastAsia" w:ascii="仿宋" w:hAnsi="仿宋" w:eastAsia="仿宋" w:cs="仿宋"/>
                <w:b w:val="0"/>
                <w:bCs w:val="0"/>
                <w:color w:val="auto"/>
                <w:sz w:val="24"/>
                <w:szCs w:val="24"/>
                <w:highlight w:val="none"/>
                <w:lang w:val="en-US" w:eastAsia="zh-CN" w:bidi="ar"/>
              </w:rPr>
              <w:t>2</w:t>
            </w:r>
            <w:r>
              <w:rPr>
                <w:rStyle w:val="20"/>
                <w:rFonts w:hint="eastAsia" w:ascii="仿宋" w:hAnsi="仿宋" w:eastAsia="仿宋" w:cs="仿宋"/>
                <w:b w:val="0"/>
                <w:bCs w:val="0"/>
                <w:color w:val="auto"/>
                <w:sz w:val="24"/>
                <w:szCs w:val="24"/>
                <w:highlight w:val="none"/>
                <w:lang w:val="en-US" w:eastAsia="zh-CN" w:bidi="ar"/>
              </w:rPr>
              <w:t>年，投标人承诺每增加</w:t>
            </w:r>
            <w:r>
              <w:rPr>
                <w:rStyle w:val="19"/>
                <w:rFonts w:hint="eastAsia" w:ascii="仿宋" w:hAnsi="仿宋" w:eastAsia="仿宋" w:cs="仿宋"/>
                <w:b w:val="0"/>
                <w:bCs w:val="0"/>
                <w:color w:val="auto"/>
                <w:sz w:val="24"/>
                <w:szCs w:val="24"/>
                <w:highlight w:val="none"/>
                <w:lang w:val="en-US" w:eastAsia="zh-CN" w:bidi="ar"/>
              </w:rPr>
              <w:t>1</w:t>
            </w:r>
            <w:r>
              <w:rPr>
                <w:rStyle w:val="20"/>
                <w:rFonts w:hint="eastAsia" w:ascii="仿宋" w:hAnsi="仿宋" w:eastAsia="仿宋" w:cs="仿宋"/>
                <w:b w:val="0"/>
                <w:bCs w:val="0"/>
                <w:color w:val="auto"/>
                <w:sz w:val="24"/>
                <w:szCs w:val="24"/>
                <w:highlight w:val="none"/>
                <w:lang w:val="en-US" w:eastAsia="zh-CN" w:bidi="ar"/>
              </w:rPr>
              <w:t>年得</w:t>
            </w:r>
            <w:r>
              <w:rPr>
                <w:rStyle w:val="19"/>
                <w:rFonts w:hint="eastAsia" w:ascii="仿宋" w:hAnsi="仿宋" w:eastAsia="仿宋" w:cs="仿宋"/>
                <w:b w:val="0"/>
                <w:bCs w:val="0"/>
                <w:color w:val="auto"/>
                <w:sz w:val="24"/>
                <w:szCs w:val="24"/>
                <w:highlight w:val="none"/>
                <w:lang w:val="en-US" w:eastAsia="zh-CN" w:bidi="ar"/>
              </w:rPr>
              <w:t>1</w:t>
            </w:r>
            <w:r>
              <w:rPr>
                <w:rStyle w:val="20"/>
                <w:rFonts w:hint="eastAsia" w:ascii="仿宋" w:hAnsi="仿宋" w:eastAsia="仿宋" w:cs="仿宋"/>
                <w:b w:val="0"/>
                <w:bCs w:val="0"/>
                <w:color w:val="auto"/>
                <w:sz w:val="24"/>
                <w:szCs w:val="24"/>
                <w:highlight w:val="none"/>
                <w:lang w:val="en-US" w:eastAsia="zh-CN" w:bidi="ar"/>
              </w:rPr>
              <w:t>分，最高得</w:t>
            </w:r>
            <w:r>
              <w:rPr>
                <w:rStyle w:val="19"/>
                <w:rFonts w:hint="eastAsia" w:ascii="仿宋" w:hAnsi="仿宋" w:eastAsia="仿宋" w:cs="仿宋"/>
                <w:b w:val="0"/>
                <w:bCs w:val="0"/>
                <w:color w:val="auto"/>
                <w:sz w:val="24"/>
                <w:szCs w:val="24"/>
                <w:highlight w:val="none"/>
                <w:lang w:val="en-US" w:eastAsia="zh-CN" w:bidi="ar"/>
              </w:rPr>
              <w:t>2</w:t>
            </w:r>
            <w:r>
              <w:rPr>
                <w:rStyle w:val="20"/>
                <w:rFonts w:hint="eastAsia" w:ascii="仿宋" w:hAnsi="仿宋" w:eastAsia="仿宋" w:cs="仿宋"/>
                <w:b w:val="0"/>
                <w:bCs w:val="0"/>
                <w:color w:val="auto"/>
                <w:sz w:val="24"/>
                <w:szCs w:val="24"/>
                <w:highlight w:val="none"/>
                <w:lang w:val="en-US" w:eastAsia="zh-CN" w:bidi="ar"/>
              </w:rPr>
              <w:t>分。</w:t>
            </w:r>
          </w:p>
          <w:p>
            <w:pPr>
              <w:keepNext w:val="0"/>
              <w:keepLines w:val="0"/>
              <w:pageBreakBefore w:val="0"/>
              <w:widowControl w:val="0"/>
              <w:kinsoku/>
              <w:wordWrap/>
              <w:overflowPunct/>
              <w:topLinePunct w:val="0"/>
              <w:autoSpaceDE/>
              <w:autoSpaceDN/>
              <w:bidi w:val="0"/>
              <w:adjustRightInd w:val="0"/>
              <w:spacing w:line="28" w:lineRule="atLeast"/>
              <w:textAlignment w:val="auto"/>
              <w:rPr>
                <w:rFonts w:hint="eastAsia" w:ascii="仿宋" w:hAnsi="仿宋" w:eastAsia="仿宋" w:cs="仿宋"/>
                <w:i w:val="0"/>
                <w:iCs w:val="0"/>
                <w:color w:val="000000"/>
                <w:kern w:val="0"/>
                <w:sz w:val="24"/>
                <w:szCs w:val="24"/>
                <w:u w:val="none"/>
                <w:lang w:val="en-US" w:eastAsia="zh-CN" w:bidi="ar"/>
              </w:rPr>
            </w:pPr>
            <w:r>
              <w:rPr>
                <w:rStyle w:val="20"/>
                <w:rFonts w:hint="eastAsia" w:ascii="仿宋" w:hAnsi="仿宋" w:eastAsia="仿宋" w:cs="仿宋"/>
                <w:b/>
                <w:bCs/>
                <w:color w:val="auto"/>
                <w:sz w:val="24"/>
                <w:szCs w:val="24"/>
                <w:highlight w:val="none"/>
                <w:lang w:val="en-US" w:eastAsia="zh-CN" w:bidi="ar"/>
              </w:rPr>
              <w:t>注：投标文件中需提供承诺书并加盖公章，未提供不得分。</w:t>
            </w:r>
          </w:p>
        </w:tc>
        <w:tc>
          <w:tcPr>
            <w:tcW w:w="893" w:type="dxa"/>
            <w:noWrap w:val="0"/>
            <w:vAlign w:val="center"/>
          </w:tcPr>
          <w:p>
            <w:pPr>
              <w:spacing w:line="360" w:lineRule="auto"/>
              <w:ind w:left="-115" w:leftChars="-55" w:right="-115" w:rightChars="-55"/>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bl>
    <w:p>
      <w:pPr>
        <w:widowControl/>
        <w:spacing w:line="360" w:lineRule="auto"/>
        <w:jc w:val="right"/>
        <w:rPr>
          <w:rFonts w:hint="eastAsia" w:ascii="仿宋" w:hAnsi="仿宋" w:eastAsia="仿宋" w:cs="仿宋_GB2312"/>
          <w:color w:val="000000"/>
          <w:sz w:val="24"/>
        </w:rPr>
      </w:pPr>
    </w:p>
    <w:p>
      <w:pPr>
        <w:widowControl/>
        <w:spacing w:line="360" w:lineRule="auto"/>
        <w:jc w:val="right"/>
        <w:rPr>
          <w:rFonts w:hint="eastAsia" w:ascii="仿宋" w:hAnsi="仿宋" w:eastAsia="仿宋" w:cs="仿宋_GB2312"/>
          <w:color w:val="000000"/>
          <w:sz w:val="24"/>
        </w:rPr>
      </w:pPr>
      <w:r>
        <w:rPr>
          <w:rFonts w:hint="eastAsia" w:ascii="仿宋" w:hAnsi="仿宋" w:eastAsia="仿宋" w:cs="仿宋_GB2312"/>
          <w:color w:val="000000"/>
          <w:sz w:val="24"/>
        </w:rPr>
        <w:t>（计算得分时，按其算术平均值保留小数点后2位）</w:t>
      </w:r>
    </w:p>
    <w:p>
      <w:pPr>
        <w:widowControl/>
        <w:spacing w:line="360" w:lineRule="auto"/>
        <w:rPr>
          <w:rFonts w:ascii="仿宋" w:hAnsi="仿宋" w:eastAsia="仿宋" w:cs="仿宋_GB2312"/>
          <w:color w:val="000000"/>
          <w:sz w:val="24"/>
        </w:rPr>
      </w:pPr>
    </w:p>
    <w:p>
      <w:pPr>
        <w:widowControl/>
        <w:spacing w:line="360" w:lineRule="auto"/>
        <w:ind w:firstLine="480" w:firstLineChars="200"/>
        <w:rPr>
          <w:rFonts w:hint="eastAsia" w:ascii="仿宋" w:hAnsi="仿宋" w:eastAsia="仿宋"/>
          <w:b/>
          <w:color w:val="0000FF"/>
          <w:sz w:val="24"/>
          <w:szCs w:val="20"/>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lang w:val="en-US" w:eastAsia="zh-CN"/>
        </w:rPr>
        <w:t>30</w:t>
      </w:r>
      <w:r>
        <w:rPr>
          <w:rFonts w:hint="eastAsia" w:ascii="仿宋" w:hAnsi="仿宋" w:eastAsia="仿宋" w:cs="仿宋_GB2312"/>
          <w:sz w:val="2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240" w:lineRule="auto"/>
              <w:jc w:val="center"/>
              <w:rPr>
                <w:rFonts w:hint="eastAsia" w:ascii="仿宋" w:hAnsi="仿宋" w:eastAsia="仿宋"/>
                <w:color w:val="auto"/>
                <w:sz w:val="24"/>
                <w:szCs w:val="20"/>
                <w:highlight w:val="none"/>
              </w:rPr>
            </w:pPr>
            <w:r>
              <w:rPr>
                <w:rFonts w:hint="eastAsia" w:ascii="仿宋" w:hAnsi="仿宋" w:eastAsia="仿宋"/>
                <w:color w:val="auto"/>
                <w:sz w:val="24"/>
                <w:szCs w:val="20"/>
                <w:highlight w:val="none"/>
              </w:rPr>
              <w:t>价格分</w:t>
            </w:r>
          </w:p>
          <w:p>
            <w:pPr>
              <w:widowControl/>
              <w:spacing w:line="240" w:lineRule="auto"/>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满分基准价分值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80" w:firstLineChars="20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olor w:val="auto"/>
                <w:sz w:val="24"/>
                <w:szCs w:val="20"/>
                <w:highlight w:val="none"/>
              </w:rPr>
            </w:pP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分</w:t>
            </w:r>
          </w:p>
        </w:tc>
        <w:tc>
          <w:tcPr>
            <w:tcW w:w="659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1、所有有效报价的算术平均值为满分基准价（当有效报价在</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家及以上时，先在有效报价中去掉1个最高报价、1个最低报价后进行算术平均）；（当有效报价在5-</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家时，在有效报价中去掉1个最高报价后进行算术平均）；当有效报价在4家及以下时，直接以最低有效报价为评标基准价，算术平均值四舍五入后保留小数点后两位；</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2、各投标人的有效报价每高于满分基准价1个百分点扣</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分，低于满分基准价1个百分点扣</w:t>
            </w:r>
            <w:r>
              <w:rPr>
                <w:rFonts w:hint="eastAsia" w:ascii="仿宋" w:hAnsi="仿宋" w:eastAsia="仿宋" w:cs="仿宋"/>
                <w:bCs/>
                <w:color w:val="auto"/>
                <w:sz w:val="24"/>
                <w:szCs w:val="24"/>
                <w:highlight w:val="none"/>
                <w:lang w:val="en-US" w:eastAsia="zh-CN"/>
              </w:rPr>
              <w:t>0.6</w:t>
            </w:r>
            <w:r>
              <w:rPr>
                <w:rFonts w:hint="eastAsia" w:ascii="仿宋" w:hAnsi="仿宋" w:eastAsia="仿宋" w:cs="仿宋"/>
                <w:bCs/>
                <w:color w:val="auto"/>
                <w:sz w:val="24"/>
                <w:szCs w:val="24"/>
                <w:highlight w:val="none"/>
              </w:rPr>
              <w:t>分，不足部分按比例扣分，扣完为止，得分四舍五入保留小数点后二位（例如：满分基准价3000000元，投标报价为3030000元时，扣</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分，投标报价为2970000元时，扣</w:t>
            </w:r>
            <w:r>
              <w:rPr>
                <w:rFonts w:hint="eastAsia" w:ascii="仿宋" w:hAnsi="仿宋" w:eastAsia="仿宋" w:cs="仿宋"/>
                <w:bCs/>
                <w:color w:val="auto"/>
                <w:sz w:val="24"/>
                <w:szCs w:val="24"/>
                <w:highlight w:val="none"/>
                <w:lang w:val="en-US" w:eastAsia="zh-CN"/>
              </w:rPr>
              <w:t>0.6</w:t>
            </w:r>
            <w:r>
              <w:rPr>
                <w:rFonts w:hint="eastAsia" w:ascii="仿宋" w:hAnsi="仿宋" w:eastAsia="仿宋" w:cs="仿宋"/>
                <w:bCs/>
                <w:color w:val="auto"/>
                <w:sz w:val="24"/>
                <w:szCs w:val="24"/>
                <w:highlight w:val="none"/>
              </w:rPr>
              <w:t>分）；</w:t>
            </w:r>
          </w:p>
          <w:p>
            <w:pPr>
              <w:spacing w:line="360" w:lineRule="auto"/>
              <w:ind w:firstLine="480" w:firstLineChars="200"/>
              <w:rPr>
                <w:rFonts w:ascii="仿宋" w:hAnsi="仿宋" w:eastAsia="仿宋"/>
                <w:b/>
                <w:color w:val="auto"/>
                <w:sz w:val="24"/>
                <w:szCs w:val="20"/>
                <w:highlight w:val="none"/>
              </w:rPr>
            </w:pPr>
            <w:r>
              <w:rPr>
                <w:rFonts w:hint="eastAsia" w:ascii="仿宋" w:hAnsi="仿宋" w:eastAsia="仿宋" w:cs="仿宋"/>
                <w:bCs/>
                <w:color w:val="auto"/>
                <w:sz w:val="24"/>
                <w:szCs w:val="24"/>
                <w:highlight w:val="none"/>
              </w:rPr>
              <w:t>3、去掉的最高、最低报价仍进行价格标评审(最高或最低报价出现并列个数超过去掉个数时，例如：去掉2个最高报价，报价出现3000000元、3000000元、3000000元、2970000元时，去掉的最高报价为3000000元、3000000元)。</w:t>
            </w:r>
          </w:p>
        </w:tc>
      </w:tr>
    </w:tbl>
    <w:p>
      <w:pPr>
        <w:widowControl/>
        <w:spacing w:line="360" w:lineRule="auto"/>
        <w:jc w:val="both"/>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hint="eastAsia" w:ascii="仿宋" w:eastAsia="仿宋"/>
          <w:b/>
          <w:bCs/>
          <w:color w:val="000000"/>
          <w:kern w:val="0"/>
          <w:sz w:val="24"/>
          <w:u w:val="single"/>
        </w:rPr>
      </w:pPr>
      <w:bookmarkStart w:id="428" w:name="第五部分"/>
      <w:bookmarkStart w:id="429"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关于项目编号为      的（标项及名称）项目的国企采购交易结果，签署本合同。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21"/>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21"/>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21"/>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3.本合同未尽事宜，遵照《中华人民共和国民法典》有关条文执行。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5"/>
        <w:snapToGrid w:val="0"/>
        <w:spacing w:line="360" w:lineRule="auto"/>
        <w:rPr>
          <w:rFonts w:hint="eastAsia" w:ascii="仿宋" w:hAnsi="仿宋" w:eastAsia="仿宋" w:cs="仿宋_GB2312"/>
          <w:color w:val="000000"/>
          <w:lang w:val="en-US"/>
        </w:rPr>
      </w:pPr>
    </w:p>
    <w:p>
      <w:pPr>
        <w:snapToGrid w:val="0"/>
        <w:spacing w:line="360" w:lineRule="auto"/>
        <w:jc w:val="center"/>
        <w:rPr>
          <w:rFonts w:hint="eastAsia"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28"/>
      <w:r>
        <w:rPr>
          <w:rFonts w:hint="eastAsia" w:ascii="仿宋" w:hAnsi="仿宋" w:eastAsia="仿宋" w:cs="仿宋_GB2312"/>
          <w:b/>
          <w:color w:val="000000"/>
          <w:sz w:val="36"/>
          <w:szCs w:val="20"/>
        </w:rPr>
        <w:t xml:space="preserve"> </w:t>
      </w:r>
      <w:bookmarkEnd w:id="429"/>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3</w:t>
      </w:r>
      <w:r>
        <w:rPr>
          <w:rFonts w:hint="eastAsia" w:ascii="仿宋" w:hAnsi="仿宋" w:eastAsia="仿宋" w:cs="仿宋_GB2312"/>
          <w:color w:val="000000"/>
          <w:kern w:val="0"/>
          <w:sz w:val="24"/>
        </w:rPr>
        <w:t>）法定代表人授权委托书 …………………………………………………（页码）</w:t>
      </w:r>
    </w:p>
    <w:p>
      <w:pPr>
        <w:spacing w:line="360" w:lineRule="auto"/>
        <w:ind w:firstLine="480" w:firstLineChars="200"/>
        <w:jc w:val="left"/>
        <w:rPr>
          <w:rFonts w:hint="eastAsia" w:ascii="仿宋" w:hAnsi="仿宋" w:eastAsia="仿宋" w:cs="仿宋_GB2312"/>
          <w:color w:val="00000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4</w:t>
      </w:r>
      <w:r>
        <w:rPr>
          <w:rFonts w:hint="eastAsia" w:ascii="仿宋" w:hAnsi="仿宋" w:eastAsia="仿宋" w:cs="仿宋_GB2312"/>
          <w:color w:val="000000"/>
          <w:kern w:val="0"/>
          <w:sz w:val="24"/>
        </w:rPr>
        <w:t>）法定代表人及其授权代表的身份证（复印件） ………………………（页码）</w:t>
      </w: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2、我方承诺已经具备《中华人民共和国政府采购法》第二十二条规定的条件。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sz w:val="24"/>
        </w:rPr>
        <w:t>5、我方保证所供货物质量符合国家强制性规范和标准，达到采购文件规定的要求</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9、我方承诺若违反法律、法规规定，愿接受依法处理。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lang w:val="zh-CN"/>
        </w:rPr>
      </w:pP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lang w:val="en-US" w:eastAsia="zh-CN"/>
        </w:rPr>
        <w:t>三</w:t>
      </w:r>
      <w:r>
        <w:rPr>
          <w:rFonts w:hint="eastAsia" w:ascii="仿宋" w:hAnsi="仿宋" w:eastAsia="仿宋" w:cs="仿宋_GB2312"/>
          <w:b/>
          <w:color w:val="000000"/>
          <w:kern w:val="0"/>
          <w:sz w:val="32"/>
          <w:szCs w:val="32"/>
        </w:rPr>
        <w:t>、法定代表人授权委托书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sz w:val="32"/>
          <w:szCs w:val="32"/>
          <w:lang w:val="en-US" w:eastAsia="zh-CN"/>
        </w:rPr>
        <w:t>四</w:t>
      </w:r>
      <w:r>
        <w:rPr>
          <w:rFonts w:hint="eastAsia" w:ascii="仿宋" w:hAnsi="仿宋" w:eastAsia="仿宋" w:cs="仿宋_GB2312"/>
          <w:b/>
          <w:color w:val="000000"/>
          <w:kern w:val="0"/>
          <w:sz w:val="32"/>
          <w:szCs w:val="32"/>
        </w:rPr>
        <w:t>、法定代表人及其授权代表的身份证（复印件）</w:t>
      </w: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22"/>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22"/>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22"/>
        <w:spacing w:line="360" w:lineRule="auto"/>
        <w:rPr>
          <w:rFonts w:hint="eastAsia" w:ascii="仿宋" w:eastAsia="仿宋" w:cs="仿宋_GB2312"/>
          <w:color w:val="000000"/>
        </w:rPr>
      </w:pPr>
      <w:bookmarkStart w:id="430" w:name="OLE_LINK7"/>
      <w:bookmarkStart w:id="431" w:name="OLE_LINK6"/>
      <w:bookmarkStart w:id="432"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30"/>
      <w:bookmarkEnd w:id="431"/>
    </w:p>
    <w:bookmarkEnd w:id="432"/>
    <w:p>
      <w:pPr>
        <w:pStyle w:val="22"/>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highlight w:val="none"/>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w:t>
      </w:r>
      <w:r>
        <w:rPr>
          <w:rFonts w:hint="eastAsia" w:ascii="仿宋" w:hAnsi="仿宋" w:eastAsia="仿宋" w:cs="仿宋_GB2312"/>
          <w:b/>
          <w:bCs/>
          <w:sz w:val="24"/>
        </w:rPr>
        <w:t>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both"/>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4"/>
        <w:snapToGrid w:val="0"/>
        <w:rPr>
          <w:rFonts w:ascii="仿宋" w:hAnsi="仿宋" w:eastAsia="仿宋"/>
          <w:sz w:val="30"/>
          <w:szCs w:val="30"/>
          <w:u w:val="single"/>
        </w:rPr>
      </w:pPr>
      <w:r>
        <w:rPr>
          <w:rFonts w:hint="eastAsia" w:ascii="仿宋" w:hAnsi="仿宋" w:eastAsia="仿宋"/>
          <w:sz w:val="30"/>
          <w:szCs w:val="30"/>
        </w:rPr>
        <w:t xml:space="preserve"> </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hint="eastAsia" w:ascii="仿宋" w:hAnsi="仿宋" w:eastAsia="仿宋" w:cs="仿宋_GB2312"/>
          <w:b/>
          <w:bCs/>
          <w:color w:val="000000"/>
          <w:sz w:val="32"/>
          <w:szCs w:val="32"/>
        </w:rPr>
        <w:sectPr>
          <w:headerReference r:id="rId8" w:type="first"/>
          <w:footerReference r:id="rId10" w:type="first"/>
          <w:footerReference r:id="rId9" w:type="default"/>
          <w:pgSz w:w="11906" w:h="16838"/>
          <w:pgMar w:top="1247" w:right="1418" w:bottom="1276"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pPr>
        <w:pStyle w:val="4"/>
        <w:snapToGrid w:val="0"/>
        <w:jc w:val="center"/>
        <w:rPr>
          <w:rFonts w:hint="eastAsia" w:ascii="仿宋" w:hAnsi="仿宋" w:eastAsia="仿宋"/>
          <w:spacing w:val="6"/>
          <w:sz w:val="32"/>
          <w:szCs w:val="32"/>
          <w:lang w:val="en-US" w:eastAsia="zh-CN"/>
        </w:rPr>
      </w:pPr>
      <w:r>
        <w:rPr>
          <w:rFonts w:hint="eastAsia" w:ascii="仿宋" w:hAnsi="仿宋" w:eastAsia="仿宋"/>
          <w:spacing w:val="6"/>
          <w:sz w:val="32"/>
          <w:szCs w:val="32"/>
          <w:lang w:val="en-US" w:eastAsia="zh-CN"/>
        </w:rPr>
        <w:t>二、投标产品规格配置清单</w:t>
      </w:r>
    </w:p>
    <w:p>
      <w:pPr>
        <w:snapToGrid w:val="0"/>
        <w:spacing w:before="120" w:beforeLines="50"/>
        <w:rPr>
          <w:rFonts w:ascii="仿宋" w:hAnsi="仿宋" w:eastAsia="仿宋"/>
          <w:sz w:val="24"/>
        </w:rPr>
      </w:pPr>
    </w:p>
    <w:tbl>
      <w:tblPr>
        <w:tblStyle w:val="11"/>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仿宋" w:hAnsi="仿宋" w:eastAsia="仿宋"/>
                <w:sz w:val="24"/>
              </w:rPr>
            </w:pPr>
            <w:bookmarkStart w:id="433" w:name="_Toc64369799"/>
            <w:r>
              <w:rPr>
                <w:rFonts w:hint="eastAsia" w:ascii="仿宋" w:hAnsi="仿宋" w:eastAsia="仿宋"/>
                <w:sz w:val="24"/>
              </w:rPr>
              <w:t>货物部分</w:t>
            </w:r>
            <w:bookmarkEnd w:id="4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4" w:name="_Toc64369800"/>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1"/>
            <w:bookmarkStart w:id="436"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7"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04"/>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06"/>
            <w:r>
              <w:rPr>
                <w:rFonts w:hint="eastAsia" w:ascii="仿宋" w:hAnsi="仿宋" w:eastAsia="仿宋"/>
                <w:sz w:val="24"/>
              </w:rPr>
              <w:t>…</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4"/>
        <w:snapToGrid w:val="0"/>
        <w:jc w:val="center"/>
        <w:rPr>
          <w:rFonts w:hint="eastAsia" w:ascii="仿宋" w:eastAsia="仿宋"/>
          <w:spacing w:val="40"/>
          <w:kern w:val="0"/>
          <w:sz w:val="36"/>
          <w:szCs w:val="36"/>
          <w:lang w:val="en-US" w:eastAsia="zh-CN"/>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类别</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0" w:name="_Toc64369816"/>
            <w:r>
              <w:rPr>
                <w:rFonts w:hint="eastAsia" w:ascii="仿宋" w:hAnsi="仿宋" w:eastAsia="仿宋"/>
                <w:sz w:val="24"/>
              </w:rPr>
              <w:t>采购文件要求</w:t>
            </w:r>
            <w:bookmarkEnd w:id="440"/>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1" w:name="_Toc64369817"/>
            <w:r>
              <w:rPr>
                <w:rFonts w:hint="eastAsia" w:ascii="仿宋" w:hAnsi="仿宋" w:eastAsia="仿宋"/>
                <w:sz w:val="24"/>
              </w:rPr>
              <w:t>投标文件响应</w:t>
            </w:r>
            <w:bookmarkEnd w:id="441"/>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8"/>
            <w:r>
              <w:rPr>
                <w:rFonts w:hint="eastAsia" w:ascii="仿宋" w:hAnsi="仿宋" w:eastAsia="仿宋"/>
                <w:sz w:val="24"/>
              </w:rPr>
              <w:t>偏离情况</w:t>
            </w:r>
            <w:bookmarkEnd w:id="4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rPr>
            </w:pPr>
            <w:r>
              <w:rPr>
                <w:rFonts w:hint="eastAsia" w:ascii="仿宋" w:hAnsi="仿宋" w:eastAsia="仿宋" w:cs="Times New Roman"/>
                <w:sz w:val="24"/>
              </w:rPr>
              <w:t>供货期</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rPr>
            </w:pPr>
            <w:r>
              <w:rPr>
                <w:rFonts w:hint="eastAsia" w:ascii="仿宋" w:hAnsi="仿宋" w:eastAsia="仿宋" w:cs="Times New Roman"/>
                <w:sz w:val="24"/>
              </w:rPr>
              <w:t>供货地点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rPr>
            </w:pPr>
            <w:r>
              <w:rPr>
                <w:rFonts w:hint="eastAsia" w:ascii="仿宋" w:hAnsi="仿宋" w:eastAsia="仿宋" w:cs="Times New Roman"/>
                <w:sz w:val="24"/>
              </w:rPr>
              <w:t>质保期</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highlight w:val="none"/>
              </w:rPr>
            </w:pPr>
            <w:r>
              <w:rPr>
                <w:rFonts w:hint="eastAsia" w:ascii="仿宋" w:hAnsi="仿宋" w:eastAsia="仿宋" w:cs="Times New Roman"/>
                <w:sz w:val="24"/>
                <w:highlight w:val="none"/>
              </w:rPr>
              <w:t>培训服务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lang w:val="en-US" w:eastAsia="zh-Hans"/>
              </w:rPr>
            </w:pPr>
            <w:r>
              <w:rPr>
                <w:rFonts w:hint="eastAsia" w:ascii="仿宋" w:hAnsi="仿宋" w:eastAsia="仿宋" w:cs="Times New Roman"/>
                <w:sz w:val="24"/>
                <w:lang w:val="en-US" w:eastAsia="zh-Hans"/>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rPr>
            </w:pPr>
            <w:r>
              <w:rPr>
                <w:rFonts w:hint="eastAsia" w:ascii="仿宋" w:hAnsi="仿宋" w:eastAsia="仿宋" w:cs="Times New Roman"/>
                <w:sz w:val="24"/>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Times New Roman"/>
                <w:sz w:val="24"/>
              </w:rPr>
            </w:pPr>
            <w:r>
              <w:rPr>
                <w:rFonts w:hint="eastAsia" w:ascii="仿宋" w:hAnsi="仿宋" w:eastAsia="仿宋" w:cs="Times New Roman"/>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验收要求、标准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hint="eastAsia" w:ascii="仿宋" w:hAnsi="仿宋" w:eastAsia="仿宋" w:cs="仿宋_GB2312"/>
          <w:color w:val="000000"/>
          <w:sz w:val="24"/>
        </w:rPr>
      </w:pPr>
    </w:p>
    <w:tbl>
      <w:tblPr>
        <w:tblStyle w:val="11"/>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hint="eastAsia" w:ascii="仿宋" w:hAnsi="仿宋" w:eastAsia="仿宋" w:cs="仿宋_GB2312"/>
          <w:color w:val="000000"/>
          <w:sz w:val="24"/>
        </w:rPr>
      </w:pPr>
    </w:p>
    <w:tbl>
      <w:tblPr>
        <w:tblStyle w:val="1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rPr>
          <w:rFonts w:hint="eastAsia" w:ascii="仿宋" w:hAnsi="仿宋" w:eastAsia="仿宋" w:cs="仿宋_GB2312"/>
          <w:sz w:val="24"/>
        </w:rPr>
      </w:pPr>
    </w:p>
    <w:p>
      <w:pPr>
        <w:spacing w:line="360" w:lineRule="auto"/>
        <w:rPr>
          <w:rFonts w:ascii="仿宋" w:hAnsi="仿宋" w:eastAsia="仿宋" w:cs="仿宋_GB2312"/>
          <w:b/>
          <w:bCs/>
          <w:sz w:val="32"/>
          <w:szCs w:val="32"/>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九、</w:t>
      </w:r>
      <w:r>
        <w:rPr>
          <w:rFonts w:hint="eastAsia" w:ascii="仿宋" w:hAnsi="仿宋" w:eastAsia="仿宋" w:cs="仿宋_GB2312"/>
          <w:b/>
          <w:kern w:val="0"/>
          <w:sz w:val="32"/>
          <w:szCs w:val="32"/>
          <w:lang w:val="zh-CN"/>
        </w:rPr>
        <w:t>优惠条件及特殊承诺（如有）</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120"/>
        <w:rPr>
          <w:rFonts w:hint="eastAsia" w:ascii="仿宋" w:hAnsi="仿宋" w:eastAsia="仿宋" w:cs="仿宋_GB2312"/>
          <w:kern w:val="0"/>
          <w:sz w:val="24"/>
        </w:rPr>
      </w:pPr>
    </w:p>
    <w:p>
      <w:pPr>
        <w:autoSpaceDE w:val="0"/>
        <w:autoSpaceDN w:val="0"/>
        <w:spacing w:line="360" w:lineRule="auto"/>
        <w:ind w:firstLine="120"/>
        <w:rPr>
          <w:rFonts w:hint="eastAsia" w:ascii="仿宋" w:hAnsi="仿宋" w:eastAsia="仿宋" w:cs="仿宋_GB2312"/>
          <w:sz w:val="24"/>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十、投标人认为需要的其他商务技术文件或说明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pStyle w:val="2"/>
        <w:rPr>
          <w:rFonts w:hint="eastAsia" w:ascii="仿宋" w:hAnsi="仿宋" w:eastAsia="仿宋" w:cs="仿宋_GB2312"/>
          <w:sz w:val="24"/>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
        <w:jc w:val="center"/>
        <w:rPr>
          <w:rFonts w:hint="eastAsia" w:ascii="仿宋" w:hAnsi="仿宋" w:eastAsia="仿宋" w:cs="仿宋_GB2312"/>
          <w:b/>
          <w:bCs/>
          <w:snapToGrid/>
          <w:color w:val="auto"/>
          <w:kern w:val="2"/>
          <w:sz w:val="32"/>
          <w:szCs w:val="32"/>
          <w:highlight w:val="yellow"/>
          <w:lang w:val="en-US" w:eastAsia="zh-Hans" w:bidi="ar-SA"/>
        </w:rPr>
      </w:pPr>
    </w:p>
    <w:p>
      <w:pPr>
        <w:pStyle w:val="23"/>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23"/>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4" w:type="first"/>
          <w:footerReference r:id="rId12" w:type="default"/>
          <w:headerReference r:id="rId11" w:type="even"/>
          <w:footerReference r:id="rId13" w:type="even"/>
          <w:pgSz w:w="11906" w:h="16838"/>
          <w:pgMar w:top="1247" w:right="1418" w:bottom="1276"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pPr>
        <w:pStyle w:val="23"/>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43"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11"/>
        <w:tblW w:w="8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
        <w:gridCol w:w="1645"/>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bookmarkStart w:id="444" w:name="OLE_LINK1" w:colFirst="0" w:colLast="5"/>
            <w:r>
              <w:rPr>
                <w:rFonts w:hint="eastAsia" w:ascii="仿宋" w:hAnsi="仿宋" w:eastAsia="仿宋" w:cs="仿宋"/>
                <w:b/>
                <w:bCs/>
                <w:i w:val="0"/>
                <w:iCs w:val="0"/>
                <w:color w:val="000000"/>
                <w:kern w:val="0"/>
                <w:sz w:val="24"/>
                <w:szCs w:val="24"/>
                <w:u w:val="none"/>
                <w:lang w:val="en-US" w:eastAsia="zh-CN" w:bidi="ar"/>
              </w:rPr>
              <w:t>序号</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产地（国产/进口）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辅助防水线阵音箱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主扩防水线阵低音音箱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线阵音箱吊挂架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VIP区音箱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返听防水音箱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辅助防水线阵音箱功放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主扩防水线阵低音音箱功放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VIP区音箱功放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返听防水音箱功放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调音台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封闭式监听耳机</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有源监听音箱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手持无线话筒套装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头戴无线话筒套装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指向无源天线</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1：4信号放大分配器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专业CD播放机</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电源时序器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电动葫芦</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控制系统</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管线及桥架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侧光安装架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200W防水成像灯</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44台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放大器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电脑控台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24路智能保护供电直通电源柜</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铝合金灯钩</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44个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保险绳</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44条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3*1.5电缆线</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450米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信号线</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450米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观众区防水线阵低音音箱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表演区防水线阵音箱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线阵列吊架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5套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拉声像音箱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后场补声音箱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落地超低音箱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观众区防水线阵低音音箱功放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拉声像音箱功放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后场补声音箱功放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落地超低音箱功放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调音台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封闭式监听耳机</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有源监听音箱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头戴无线话筒套装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指向无源天线</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1：4信号放大分配器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专业CD播放机</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电源时序器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摄像头</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观众区防水全频线阵音箱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观众区防水线阵低音音箱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舞台区防水线阵音箱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8只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线阵列吊架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线阵音箱支架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观众区防水全频线阵音箱功放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观众区防水线阵低音音箱功放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舞台区防水线阵音箱功放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调音台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封闭式监听耳机</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有源监听音箱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头戴无线话筒套装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指向无源天线</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1：4信号放大分配器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电源时序器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中高频线阵音箱（有源）</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中低频低音音箱（有源）</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撑杆线阵支架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专用航空箱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专用航空箱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返送全频音箱（有源）</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调音台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有源监听音箱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头戴无线话筒套装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电源时序器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带UPS移动机柜</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防水帕灯</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40台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380防水光束灯</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14台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LED防水频闪灯</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5台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电脑灯控台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网络扩展器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24路数字网络电柜</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智能时序控制器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8路信号放大器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防水光束的灯钩多功能</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28个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铝合金灯钩</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45个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保险绳</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59条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灯具安装设备</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中高频线阵音箱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中低频低音音箱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撑杆线阵支架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返送全频音箱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主扩音箱功放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低音音箱功放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返听音箱功放</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数字音频处理器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调音台</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有源监听音箱</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头戴无线话筒套装</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电源时序器</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管线桥架预埋及附件接插件</w:t>
            </w: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0"/>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bookmarkEnd w:id="44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9"/>
                <w:rFonts w:hint="eastAsia" w:ascii="仿宋" w:hAnsi="仿宋" w:eastAsia="仿宋" w:cs="仿宋"/>
                <w:sz w:val="24"/>
                <w:szCs w:val="24"/>
                <w:lang w:val="en-US" w:eastAsia="zh-CN" w:bidi="ar"/>
              </w:rPr>
              <w:t>…</w:t>
            </w:r>
          </w:p>
        </w:tc>
        <w:tc>
          <w:tcPr>
            <w:tcW w:w="1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5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投标总价合计金额大写：                  小写： ￥</w:t>
            </w:r>
          </w:p>
        </w:tc>
      </w:tr>
    </w:tbl>
    <w:p>
      <w:pPr>
        <w:snapToGrid w:val="0"/>
        <w:spacing w:line="360" w:lineRule="auto"/>
        <w:ind w:firstLine="482" w:firstLineChars="20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000000"/>
          <w:kern w:val="0"/>
          <w:sz w:val="24"/>
          <w:lang w:val="zh-CN"/>
        </w:rPr>
      </w:pPr>
    </w:p>
    <w:p>
      <w:pPr>
        <w:snapToGrid w:val="0"/>
        <w:spacing w:line="360" w:lineRule="auto"/>
        <w:ind w:firstLine="482" w:firstLineChars="200"/>
        <w:jc w:val="right"/>
        <w:rPr>
          <w:rFonts w:hint="eastAsia" w:ascii="仿宋" w:hAnsi="仿宋" w:eastAsia="仿宋"/>
          <w:b/>
          <w:color w:val="000000"/>
          <w:kern w:val="0"/>
          <w:sz w:val="24"/>
        </w:rPr>
      </w:pPr>
    </w:p>
    <w:p>
      <w:pPr>
        <w:jc w:val="right"/>
        <w:rPr>
          <w:rFonts w:hint="eastAsia" w:ascii="仿宋" w:hAnsi="仿宋" w:eastAsia="仿宋" w:cs="仿宋_GB2312"/>
          <w:color w:val="000000"/>
          <w:sz w:val="24"/>
        </w:rPr>
      </w:pPr>
      <w:r>
        <w:rPr>
          <w:rFonts w:hint="eastAsia" w:ascii="仿宋" w:hAnsi="仿宋" w:eastAsia="仿宋" w:cs="仿宋_GB2312"/>
          <w:color w:val="000000"/>
          <w:sz w:val="24"/>
        </w:rPr>
        <w:t xml:space="preserve">投投标人名称（电子签名）：                                                                                   </w:t>
      </w:r>
    </w:p>
    <w:p>
      <w:pPr>
        <w:jc w:val="right"/>
      </w:pPr>
      <w:r>
        <w:rPr>
          <w:rFonts w:hint="eastAsia" w:ascii="仿宋" w:hAnsi="仿宋" w:eastAsia="仿宋" w:cs="仿宋_GB2312"/>
          <w:color w:val="000000"/>
          <w:sz w:val="24"/>
        </w:rPr>
        <w:t xml:space="preserve">日期：  年   月   </w:t>
      </w:r>
      <w:bookmarkEnd w:id="443"/>
      <w:r>
        <w:rPr>
          <w:rFonts w:hint="eastAsia" w:ascii="仿宋" w:hAnsi="仿宋" w:eastAsia="仿宋" w:cs="仿宋_GB2312"/>
          <w:color w:val="000000"/>
          <w:sz w:val="24"/>
          <w:lang w:val="en-US" w:eastAsia="zh-CN"/>
        </w:rPr>
        <w:t>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fldChar w:fldCharType="end"/>
    </w:r>
  </w:p>
  <w:p>
    <w:pPr>
      <w:pStyle w:val="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绍兴市柯桥区国有企业采购公开招标文件</w:t>
    </w:r>
  </w:p>
  <w:p>
    <w:pPr>
      <w:pStyle w:val="10"/>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r>
      <w:t xml:space="preserve">  </w:t>
    </w:r>
    <w:r>
      <w:rPr>
        <w:rFonts w:hint="eastAsia"/>
      </w:rPr>
      <w:t xml:space="preserve">                                                        绍兴市柯桥区国有企业采购公开招标文件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2FC1A"/>
    <w:multiLevelType w:val="singleLevel"/>
    <w:tmpl w:val="E312FC1A"/>
    <w:lvl w:ilvl="0" w:tentative="0">
      <w:start w:val="1"/>
      <w:numFmt w:val="decimal"/>
      <w:suff w:val="nothing"/>
      <w:lvlText w:val="（%1）"/>
      <w:lvlJc w:val="left"/>
    </w:lvl>
  </w:abstractNum>
  <w:abstractNum w:abstractNumId="1">
    <w:nsid w:val="F1253EA4"/>
    <w:multiLevelType w:val="singleLevel"/>
    <w:tmpl w:val="F1253EA4"/>
    <w:lvl w:ilvl="0" w:tentative="0">
      <w:start w:val="1"/>
      <w:numFmt w:val="decimal"/>
      <w:lvlText w:val="%1."/>
      <w:lvlJc w:val="left"/>
      <w:pPr>
        <w:tabs>
          <w:tab w:val="left" w:pos="312"/>
        </w:tabs>
      </w:pPr>
    </w:lvl>
  </w:abstractNum>
  <w:abstractNum w:abstractNumId="2">
    <w:nsid w:val="F7E30CF3"/>
    <w:multiLevelType w:val="singleLevel"/>
    <w:tmpl w:val="F7E30CF3"/>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8E8ED09"/>
    <w:multiLevelType w:val="singleLevel"/>
    <w:tmpl w:val="08E8ED09"/>
    <w:lvl w:ilvl="0" w:tentative="0">
      <w:start w:val="1"/>
      <w:numFmt w:val="decimal"/>
      <w:suff w:val="nothing"/>
      <w:lvlText w:val="%1、"/>
      <w:lvlJc w:val="left"/>
    </w:lvl>
  </w:abstractNum>
  <w:abstractNum w:abstractNumId="6">
    <w:nsid w:val="6BE3CCB0"/>
    <w:multiLevelType w:val="singleLevel"/>
    <w:tmpl w:val="6BE3CCB0"/>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DkxOGY1ZjMzYzk2MmRlZGQxYTI2N2U4ZTAzNzQifQ=="/>
  </w:docVars>
  <w:rsids>
    <w:rsidRoot w:val="5DDC6A67"/>
    <w:rsid w:val="00AF1302"/>
    <w:rsid w:val="01DC49DF"/>
    <w:rsid w:val="01EF572E"/>
    <w:rsid w:val="02FE3E7B"/>
    <w:rsid w:val="03433F84"/>
    <w:rsid w:val="03842A05"/>
    <w:rsid w:val="056703FD"/>
    <w:rsid w:val="056F1060"/>
    <w:rsid w:val="059C797B"/>
    <w:rsid w:val="066F6E3E"/>
    <w:rsid w:val="07013F3A"/>
    <w:rsid w:val="07204799"/>
    <w:rsid w:val="08935065"/>
    <w:rsid w:val="08AA23AF"/>
    <w:rsid w:val="0AA1322F"/>
    <w:rsid w:val="0BCB0FBA"/>
    <w:rsid w:val="0D1D5845"/>
    <w:rsid w:val="0EAC0C2F"/>
    <w:rsid w:val="10606175"/>
    <w:rsid w:val="107D1566"/>
    <w:rsid w:val="11586E4C"/>
    <w:rsid w:val="11641C95"/>
    <w:rsid w:val="1192330C"/>
    <w:rsid w:val="12274A70"/>
    <w:rsid w:val="12723F3D"/>
    <w:rsid w:val="13737F6D"/>
    <w:rsid w:val="13AB6FA7"/>
    <w:rsid w:val="14294AD0"/>
    <w:rsid w:val="17125CEF"/>
    <w:rsid w:val="19E65E29"/>
    <w:rsid w:val="1C117A27"/>
    <w:rsid w:val="1C14160E"/>
    <w:rsid w:val="1DA04055"/>
    <w:rsid w:val="1E7B061E"/>
    <w:rsid w:val="20A9278A"/>
    <w:rsid w:val="217750CC"/>
    <w:rsid w:val="227966E5"/>
    <w:rsid w:val="22853819"/>
    <w:rsid w:val="23A45F21"/>
    <w:rsid w:val="23B02B18"/>
    <w:rsid w:val="24CD76F9"/>
    <w:rsid w:val="24DB1E16"/>
    <w:rsid w:val="24DB5972"/>
    <w:rsid w:val="25311A36"/>
    <w:rsid w:val="28DA266E"/>
    <w:rsid w:val="29215D3F"/>
    <w:rsid w:val="2AC1385C"/>
    <w:rsid w:val="2C3862A8"/>
    <w:rsid w:val="2C584CFB"/>
    <w:rsid w:val="2CE13D42"/>
    <w:rsid w:val="2D0D4B37"/>
    <w:rsid w:val="2DB47ECD"/>
    <w:rsid w:val="2E8E7EF9"/>
    <w:rsid w:val="2F0E519C"/>
    <w:rsid w:val="2FD227CE"/>
    <w:rsid w:val="301F68BD"/>
    <w:rsid w:val="313E34C7"/>
    <w:rsid w:val="314E71B8"/>
    <w:rsid w:val="32C91500"/>
    <w:rsid w:val="330E67C6"/>
    <w:rsid w:val="33A45AC9"/>
    <w:rsid w:val="33D97E69"/>
    <w:rsid w:val="34B34216"/>
    <w:rsid w:val="34F30AB6"/>
    <w:rsid w:val="34F34F5A"/>
    <w:rsid w:val="351D5413"/>
    <w:rsid w:val="37B3452D"/>
    <w:rsid w:val="38675A43"/>
    <w:rsid w:val="3A63558C"/>
    <w:rsid w:val="3AC70A1B"/>
    <w:rsid w:val="3ACC25B1"/>
    <w:rsid w:val="3B2220F5"/>
    <w:rsid w:val="3B286FE0"/>
    <w:rsid w:val="3BC431AC"/>
    <w:rsid w:val="3F8E7D59"/>
    <w:rsid w:val="40AB493B"/>
    <w:rsid w:val="424F77F4"/>
    <w:rsid w:val="42817701"/>
    <w:rsid w:val="43140575"/>
    <w:rsid w:val="436B215F"/>
    <w:rsid w:val="43AA2C88"/>
    <w:rsid w:val="443469F5"/>
    <w:rsid w:val="445E0E7D"/>
    <w:rsid w:val="4508235C"/>
    <w:rsid w:val="453F5652"/>
    <w:rsid w:val="4613720A"/>
    <w:rsid w:val="4662784A"/>
    <w:rsid w:val="47352042"/>
    <w:rsid w:val="48035ECE"/>
    <w:rsid w:val="4BC863A1"/>
    <w:rsid w:val="4D1A1F7D"/>
    <w:rsid w:val="4ED43B62"/>
    <w:rsid w:val="4F6D1C62"/>
    <w:rsid w:val="4FFE6835"/>
    <w:rsid w:val="50096F88"/>
    <w:rsid w:val="52045C59"/>
    <w:rsid w:val="5257222D"/>
    <w:rsid w:val="527831BB"/>
    <w:rsid w:val="549A582E"/>
    <w:rsid w:val="54A224C3"/>
    <w:rsid w:val="552D1C3E"/>
    <w:rsid w:val="55597D89"/>
    <w:rsid w:val="559317CE"/>
    <w:rsid w:val="56206DD9"/>
    <w:rsid w:val="56552F27"/>
    <w:rsid w:val="573576C8"/>
    <w:rsid w:val="579231DD"/>
    <w:rsid w:val="5B5D1941"/>
    <w:rsid w:val="5B9E711E"/>
    <w:rsid w:val="5C3F445D"/>
    <w:rsid w:val="5C606182"/>
    <w:rsid w:val="5D027239"/>
    <w:rsid w:val="5D884EF0"/>
    <w:rsid w:val="5DDC6A67"/>
    <w:rsid w:val="5ECC6A57"/>
    <w:rsid w:val="5ECC7AFE"/>
    <w:rsid w:val="5FAD160A"/>
    <w:rsid w:val="60A56859"/>
    <w:rsid w:val="60EC4488"/>
    <w:rsid w:val="61406582"/>
    <w:rsid w:val="62685D90"/>
    <w:rsid w:val="62E573E1"/>
    <w:rsid w:val="63982185"/>
    <w:rsid w:val="639D5F0D"/>
    <w:rsid w:val="64801AB7"/>
    <w:rsid w:val="64AC6408"/>
    <w:rsid w:val="665925BF"/>
    <w:rsid w:val="682409AB"/>
    <w:rsid w:val="687D30E0"/>
    <w:rsid w:val="68C857DA"/>
    <w:rsid w:val="6A350C4E"/>
    <w:rsid w:val="6AB53B3C"/>
    <w:rsid w:val="6D1C7EA3"/>
    <w:rsid w:val="6D372F2F"/>
    <w:rsid w:val="6EB94513"/>
    <w:rsid w:val="7060279C"/>
    <w:rsid w:val="71DE1BCB"/>
    <w:rsid w:val="733777E5"/>
    <w:rsid w:val="73C60B68"/>
    <w:rsid w:val="73F92CEC"/>
    <w:rsid w:val="756D3991"/>
    <w:rsid w:val="75C537CD"/>
    <w:rsid w:val="7699546F"/>
    <w:rsid w:val="78F429F5"/>
    <w:rsid w:val="794F0A18"/>
    <w:rsid w:val="7BE81FC4"/>
    <w:rsid w:val="7D2A03BA"/>
    <w:rsid w:val="7E0B3D48"/>
    <w:rsid w:val="7E553215"/>
    <w:rsid w:val="7E971A7F"/>
    <w:rsid w:val="7FD1280A"/>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4">
    <w:name w:val="caption"/>
    <w:basedOn w:val="1"/>
    <w:next w:val="1"/>
    <w:qFormat/>
    <w:uiPriority w:val="0"/>
    <w:rPr>
      <w:b/>
      <w:sz w:val="28"/>
      <w:szCs w:val="20"/>
    </w:rPr>
  </w:style>
  <w:style w:type="paragraph" w:styleId="5">
    <w:name w:val="Body Text Indent"/>
    <w:basedOn w:val="1"/>
    <w:qFormat/>
    <w:uiPriority w:val="0"/>
    <w:pPr>
      <w:spacing w:line="480" w:lineRule="exact"/>
      <w:ind w:firstLine="480" w:firstLineChars="200"/>
    </w:pPr>
    <w:rPr>
      <w:rFonts w:ascii="宋体" w:hAnsi="宋体"/>
      <w:sz w:val="24"/>
    </w:rPr>
  </w:style>
  <w:style w:type="paragraph" w:styleId="6">
    <w:name w:val="Plain Text"/>
    <w:basedOn w:val="1"/>
    <w:next w:val="7"/>
    <w:qFormat/>
    <w:uiPriority w:val="0"/>
    <w:rPr>
      <w:rFonts w:ascii="宋体" w:hAnsi="Courier New" w:cs="Arial"/>
      <w:snapToGrid w:val="0"/>
      <w:szCs w:val="21"/>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13">
    <w:name w:val="page number"/>
    <w:basedOn w:val="12"/>
    <w:qFormat/>
    <w:uiPriority w:val="0"/>
  </w:style>
  <w:style w:type="character" w:styleId="14">
    <w:name w:val="Hyperlink"/>
    <w:qFormat/>
    <w:uiPriority w:val="0"/>
    <w:rPr>
      <w:rFonts w:ascii="Arial" w:hAnsi="Arial" w:eastAsia="黑体" w:cs="Arial"/>
      <w:snapToGrid w:val="0"/>
      <w:color w:val="000000"/>
      <w:kern w:val="0"/>
      <w:sz w:val="18"/>
      <w:szCs w:val="18"/>
      <w:u w:val="none"/>
    </w:rPr>
  </w:style>
  <w:style w:type="paragraph" w:customStyle="1" w:styleId="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
    <w:name w:val="正文2"/>
    <w:basedOn w:val="1"/>
    <w:qFormat/>
    <w:uiPriority w:val="0"/>
    <w:pPr>
      <w:spacing w:before="156" w:beforeLines="0" w:line="360" w:lineRule="auto"/>
      <w:ind w:firstLine="510" w:firstLineChars="200"/>
    </w:pPr>
    <w:rPr>
      <w:sz w:val="24"/>
      <w:szCs w:val="20"/>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41"/>
    <w:basedOn w:val="12"/>
    <w:qFormat/>
    <w:uiPriority w:val="0"/>
    <w:rPr>
      <w:rFonts w:hint="eastAsia" w:ascii="仿宋" w:hAnsi="仿宋" w:eastAsia="仿宋" w:cs="仿宋"/>
      <w:b/>
      <w:bCs/>
      <w:color w:val="000000"/>
      <w:sz w:val="24"/>
      <w:szCs w:val="24"/>
      <w:u w:val="none"/>
    </w:rPr>
  </w:style>
  <w:style w:type="character" w:customStyle="1" w:styleId="20">
    <w:name w:val="font31"/>
    <w:basedOn w:val="12"/>
    <w:qFormat/>
    <w:uiPriority w:val="0"/>
    <w:rPr>
      <w:rFonts w:hint="eastAsia" w:ascii="仿宋" w:hAnsi="仿宋" w:eastAsia="仿宋" w:cs="仿宋"/>
      <w:color w:val="000000"/>
      <w:sz w:val="24"/>
      <w:szCs w:val="24"/>
      <w:u w:val="none"/>
    </w:rPr>
  </w:style>
  <w:style w:type="paragraph" w:customStyle="1" w:styleId="21">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122</Pages>
  <Words>51102</Words>
  <Characters>65242</Characters>
  <Lines>0</Lines>
  <Paragraphs>0</Paragraphs>
  <TotalTime>114</TotalTime>
  <ScaleCrop>false</ScaleCrop>
  <LinksUpToDate>false</LinksUpToDate>
  <CharactersWithSpaces>71473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2023-11-10T01:16:00Z</dcterms:created>
  <dc:creator>win10</dc:creator>
  <cp:lastModifiedBy>For</cp:lastModifiedBy>
  <dcterms:modified xsi:type="dcterms:W3CDTF">2023-11-16T07:15:13Z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9A6D8EC2DEDD4055814FD04E854079F4_13</vt:lpwstr>
  </property>
</Properties>
</file>