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/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北京天达共和（杭州）律师事务所成交报价：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法律顾问服务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费：</w:t>
      </w:r>
      <w:r>
        <w:rPr>
          <w:rFonts w:hint="eastAsia" w:ascii="宋体" w:hAnsi="宋体" w:eastAsia="宋体" w:cs="宋体"/>
          <w:sz w:val="21"/>
          <w:szCs w:val="21"/>
        </w:rPr>
        <w:t xml:space="preserve">（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 xml:space="preserve">   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</w:t>
      </w:r>
      <w:r>
        <w:rPr>
          <w:rFonts w:hint="eastAsia" w:ascii="宋体" w:hAnsi="宋体" w:eastAsia="宋体" w:cs="宋体"/>
          <w:sz w:val="21"/>
          <w:szCs w:val="21"/>
        </w:rPr>
        <w:t>元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行政诉讼案件代理费（不涉及财产关系）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numPr>
          <w:ilvl w:val="0"/>
          <w:numId w:val="0"/>
        </w:numPr>
        <w:jc w:val="both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1）</w:t>
      </w:r>
      <w:r>
        <w:rPr>
          <w:rFonts w:hint="eastAsia" w:ascii="宋体" w:hAnsi="宋体" w:eastAsia="宋体" w:cs="宋体"/>
          <w:sz w:val="21"/>
          <w:szCs w:val="21"/>
        </w:rPr>
        <w:t>一审案件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2000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/件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2）</w:t>
      </w:r>
      <w:r>
        <w:rPr>
          <w:rFonts w:hint="eastAsia" w:ascii="宋体" w:hAnsi="宋体" w:eastAsia="宋体" w:cs="宋体"/>
          <w:sz w:val="21"/>
          <w:szCs w:val="21"/>
        </w:rPr>
        <w:t>二审案件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/件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sz w:val="21"/>
          <w:szCs w:val="21"/>
        </w:rPr>
        <w:t>再审案件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/件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行政诉讼案件代理费（涉及财产关系）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</w:p>
    <w:tbl>
      <w:tblPr>
        <w:tblStyle w:val="6"/>
        <w:tblpPr w:leftFromText="180" w:rightFromText="180" w:vertAnchor="text" w:horzAnchor="page" w:tblpXSpec="center" w:tblpY="149"/>
        <w:tblOverlap w:val="never"/>
        <w:tblW w:w="6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1470"/>
        <w:gridCol w:w="124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32385</wp:posOffset>
                      </wp:positionV>
                      <wp:extent cx="1585595" cy="753110"/>
                      <wp:effectExtent l="1905" t="4445" r="12700" b="444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5595" cy="7531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35pt;margin-top:2.55pt;height:59.3pt;width:124.85pt;z-index:251659264;mso-width-relative:page;mso-height-relative:page;" filled="f" stroked="t" coordsize="21600,21600" o:gfxdata="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fPdv9YAAAAIAQAADwAA&#10;AAAAAAABACAAAAAiAAAAZHJzL2Rvd25yZXYueG1sUEsBAhQAFAAAAAgAh07iQMkwEzTfAQAAmwMA&#10;AA4AAAAAAAAAAQAgAAAAJQ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  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  类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一审案件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费率）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二审案件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费率）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再审案件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费率）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30万元以下（含）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0.5%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0.25%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30-100万（含100万）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0.4%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0.2%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100-500万（含500万）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0.1%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0.05%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500-1000万（含1000万）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0.04%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0.02%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1000万以上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0.02%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0.01%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0.01%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民商事案件代理费</w:t>
      </w:r>
    </w:p>
    <w:tbl>
      <w:tblPr>
        <w:tblStyle w:val="6"/>
        <w:tblpPr w:leftFromText="180" w:rightFromText="180" w:vertAnchor="text" w:horzAnchor="page" w:tblpXSpec="center" w:tblpY="309"/>
        <w:tblOverlap w:val="never"/>
        <w:tblW w:w="6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1470"/>
        <w:gridCol w:w="123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29210</wp:posOffset>
                      </wp:positionV>
                      <wp:extent cx="1570990" cy="752475"/>
                      <wp:effectExtent l="1905" t="4445" r="8255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0990" cy="7524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pt;margin-top:2.3pt;height:59.25pt;width:123.7pt;z-index:251658240;mso-width-relative:page;mso-height-relative:page;" filled="f" stroked="t" coordsize="21600,21600" o:gfxdata="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SZedn1gAAAAgBAAAPAAAA&#10;AAAAAAEAIAAAACIAAABkcnMvZG93bnJldi54bWxQSwECFAAUAAAACACHTuJAerblSN4BAACbAwAA&#10;DgAAAAAAAAABACAAAAAl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  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  类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一审案件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费率）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二审案件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费率）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再审案件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费率）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30万元以下（含）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0.5%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0.25%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30-100万（含100万）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0.4%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0.2%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100-500万（含500万）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0.1%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0.05%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500-1000万（含1000万）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0.04%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0.02%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1000万以上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0.02%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0.01%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0.01%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 w:firstLine="420" w:firstLine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注：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</w:rPr>
        <w:t>行政诉讼案件代理费（不涉及财产关系）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每年总金额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不超过1万元。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行政诉讼案件代理费（涉及财产关系）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每年总金额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不超过1万元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民商事案件代理费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每年总金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额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不超过1万元。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EF2B"/>
    <w:multiLevelType w:val="singleLevel"/>
    <w:tmpl w:val="0D29EF2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504FA"/>
    <w:rsid w:val="400C7260"/>
    <w:rsid w:val="4E4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iPriority w:val="0"/>
    <w:pPr>
      <w:widowControl w:val="0"/>
      <w:autoSpaceDE w:val="0"/>
      <w:autoSpaceDN w:val="0"/>
      <w:adjustRightInd w:val="0"/>
    </w:pPr>
    <w:rPr>
      <w:rFonts w:ascii="楷体" w:hAnsi="Arial" w:eastAsia="楷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2020-06-10T09:33:00Z</dcterms:created>
  <dc:creator>小猫</dc:creator>
  <cp:lastModifiedBy>小猫</cp:lastModifiedBy>
  <dcterms:modified xsi:type="dcterms:W3CDTF">2020-06-10T09:38:25Z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