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cs="宋体"/>
          <w:bCs/>
          <w:color w:val="auto"/>
        </w:rPr>
      </w:pPr>
      <w:r>
        <w:rPr>
          <w:rFonts w:hint="eastAsia" w:cs="宋体"/>
          <w:bCs/>
          <w:color w:val="auto"/>
        </w:rPr>
        <w:t>采购需求</w:t>
      </w:r>
    </w:p>
    <w:p>
      <w:pPr>
        <w:pStyle w:val="5"/>
        <w:rPr>
          <w:color w:val="auto"/>
        </w:rPr>
      </w:pPr>
      <w:r>
        <w:rPr>
          <w:rFonts w:hint="eastAsia"/>
          <w:color w:val="auto"/>
          <w:lang w:val="zh-CN"/>
        </w:rPr>
        <w:t>一、</w:t>
      </w:r>
      <w:r>
        <w:rPr>
          <w:rFonts w:hint="eastAsia"/>
          <w:color w:val="auto"/>
        </w:rPr>
        <w:t>维保服务内容</w:t>
      </w:r>
    </w:p>
    <w:p>
      <w:pPr>
        <w:rPr>
          <w:rFonts w:ascii="宋体" w:hAnsi="宋体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东芝空调机及精密空调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室外机变频控制器、控制主板清洁；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室外机热交换器的清洗；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冷媒系统气密性检测；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电器的绝缘性能安全性能检测；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电源端子，压缩机电器端子的松紧检测；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信号传输的检测；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保温层的修补；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冷凝排水系统的检测．清洁；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室内机滤网及外机冷凝翅片清洗（换季各安排一次全面清洗）；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室外、室内机振动、噪声的检测调整；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各种传感器件的阻值测试；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换季时对系统进行全面调试，并用东芝VRV专用检测器检测系统；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欧科空调</w:t>
      </w:r>
    </w:p>
    <w:p>
      <w:pPr>
        <w:tabs>
          <w:tab w:val="left" w:pos="360"/>
        </w:tabs>
        <w:spacing w:line="360" w:lineRule="auto"/>
        <w:ind w:firstLine="240" w:firstLineChars="1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常规检查</w:t>
      </w:r>
      <w:r>
        <w:rPr>
          <w:rFonts w:hint="eastAsia" w:ascii="宋体" w:hAnsi="宋体"/>
        </w:rPr>
        <w:t>（包含但不仅限于）</w:t>
      </w:r>
      <w:r>
        <w:rPr>
          <w:rFonts w:hint="eastAsia" w:ascii="宋体" w:hAnsi="宋体"/>
          <w:bCs/>
        </w:rPr>
        <w:t>：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具体工作内容如下：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检查及调整机组运行时的压力、温度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检查及调整主机、电脑安全保护及运作情况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检查主机启动柜触点及电路上的保护熔断器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检查油箱油位和油加热器的工作情况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清理启动柜及检查各主线的接线端子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检查润滑油如有需要通知客户进行更换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检查油过滤器如有需要通知客户进行更换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检查控制回路的电压及电控柜温升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ind w:hanging="573"/>
        <w:jc w:val="left"/>
        <w:rPr>
          <w:rFonts w:ascii="宋体" w:hAnsi="宋体"/>
        </w:rPr>
      </w:pPr>
      <w:r>
        <w:rPr>
          <w:rFonts w:hint="eastAsia" w:ascii="宋体" w:hAnsi="宋体"/>
        </w:rPr>
        <w:t>检查机组运行时增减载机构的动作情况</w:t>
      </w:r>
    </w:p>
    <w:p>
      <w:pPr>
        <w:tabs>
          <w:tab w:val="left" w:pos="839"/>
        </w:tabs>
        <w:spacing w:line="360" w:lineRule="auto"/>
        <w:ind w:firstLine="240" w:firstLineChars="100"/>
        <w:rPr>
          <w:rFonts w:ascii="宋体" w:hAnsi="宋体"/>
        </w:rPr>
      </w:pPr>
      <w:r>
        <w:rPr>
          <w:rFonts w:hint="eastAsia" w:ascii="宋体" w:hAnsi="宋体"/>
        </w:rPr>
        <w:t>3.水泵保养（包含但不仅限于）：每月一次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检查噪音，固定，外观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水泵功能检查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检测连轴器的密封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润滑油检查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检测转动方向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检查电压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检查水泵工作电流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检查工作温度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检查电机绝缘</w:t>
      </w:r>
    </w:p>
    <w:p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防锈处理 </w:t>
      </w:r>
    </w:p>
    <w:p>
      <w:pPr>
        <w:tabs>
          <w:tab w:val="left" w:pos="360"/>
        </w:tabs>
        <w:suppressAutoHyphens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4. 风机盘管保养内容（包含但不仅限于）：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检查及调整盘管运行时的压力、温度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工作电流及电压检查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电器部分检查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保温管检查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回风过滤网检查及清理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内机运行检查及维修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电器部分维修及检查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积水盘清理及疏通</w:t>
      </w:r>
    </w:p>
    <w:p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Y型过滤器清理</w:t>
      </w:r>
    </w:p>
    <w:p>
      <w:pPr>
        <w:tabs>
          <w:tab w:val="left" w:pos="360"/>
        </w:tabs>
        <w:suppressAutoHyphens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5.水处理保养内容：</w:t>
      </w:r>
    </w:p>
    <w:p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每年度两次物理清洗</w:t>
      </w:r>
    </w:p>
    <w:p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每年度换水保养</w:t>
      </w:r>
    </w:p>
    <w:p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水泵水过滤器清洗</w:t>
      </w:r>
    </w:p>
    <w:p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每月份水质监测</w:t>
      </w:r>
    </w:p>
    <w:p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空调系统排污检查</w:t>
      </w:r>
    </w:p>
    <w:p>
      <w:pPr>
        <w:tabs>
          <w:tab w:val="left" w:pos="360"/>
        </w:tabs>
        <w:suppressAutoHyphens/>
        <w:spacing w:line="360" w:lineRule="auto"/>
        <w:ind w:left="1080"/>
        <w:rPr>
          <w:rFonts w:hint="eastAsia" w:ascii="宋体" w:hAnsi="宋体"/>
        </w:rPr>
      </w:pPr>
      <w:r>
        <w:rPr>
          <w:rFonts w:hint="eastAsia" w:ascii="宋体" w:hAnsi="宋体"/>
        </w:rPr>
        <w:t>2-5项的检查及保养工作内容，乙方均需记录在每月的维护检查记录表中，并由甲方签字确认。</w:t>
      </w:r>
    </w:p>
    <w:p>
      <w:pPr>
        <w:pStyle w:val="6"/>
        <w:rPr>
          <w:rFonts w:hint="eastAsia" w:hAnsi="宋体"/>
          <w:sz w:val="24"/>
          <w:szCs w:val="24"/>
        </w:rPr>
      </w:pP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二</w:t>
      </w:r>
      <w:r>
        <w:rPr>
          <w:rFonts w:hint="eastAsia"/>
          <w:color w:val="auto"/>
          <w:lang w:val="zh-CN"/>
        </w:rPr>
        <w:t>、</w:t>
      </w:r>
      <w:r>
        <w:rPr>
          <w:rFonts w:hint="eastAsia"/>
          <w:color w:val="auto"/>
        </w:rPr>
        <w:t>设备清单</w:t>
      </w:r>
    </w:p>
    <w:p>
      <w:pPr>
        <w:pStyle w:val="6"/>
        <w:rPr>
          <w:rFonts w:hint="eastAsia" w:hAnsi="宋体"/>
          <w:sz w:val="24"/>
          <w:szCs w:val="24"/>
        </w:rPr>
      </w:pPr>
    </w:p>
    <w:tbl>
      <w:tblPr>
        <w:tblStyle w:val="7"/>
        <w:tblW w:w="50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441"/>
        <w:gridCol w:w="1814"/>
        <w:gridCol w:w="1000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项目名称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型号和规格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</w:t>
            </w: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佳力图精密空调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MEAU301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4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1、正常每月巡检保养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2、快速响应叫修服务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3、春秋季清洗（含翅片、进出风滤网等）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4、维修配件另计。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佳力图精密空调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MEAU251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4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佳力图精密空调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13AU20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佳力图精密空调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13AU15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4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/>
        </w:rPr>
      </w:pPr>
    </w:p>
    <w:tbl>
      <w:tblPr>
        <w:tblStyle w:val="7"/>
        <w:tblW w:w="49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211"/>
        <w:gridCol w:w="3033"/>
        <w:gridCol w:w="693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项目名称</w:t>
            </w: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型号和规格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东芝多联室外机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MMY-HP3014HTC-C1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09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正常每月巡检保养</w:t>
            </w:r>
            <w:r>
              <w:rPr>
                <w:rFonts w:hint="eastAsia" w:ascii="宋体" w:hAnsi="宋体"/>
                <w:kern w:val="0"/>
              </w:rPr>
              <w:br w:type="textWrapping"/>
            </w:r>
            <w:r>
              <w:rPr>
                <w:rFonts w:hint="eastAsia" w:ascii="宋体" w:hAnsi="宋体"/>
                <w:kern w:val="0"/>
              </w:rPr>
              <w:t>2、快速响应叫修服务</w:t>
            </w:r>
            <w:r>
              <w:rPr>
                <w:rFonts w:hint="eastAsia" w:ascii="宋体" w:hAnsi="宋体"/>
                <w:kern w:val="0"/>
              </w:rPr>
              <w:br w:type="textWrapping"/>
            </w:r>
            <w:r>
              <w:rPr>
                <w:rFonts w:hint="eastAsia" w:ascii="宋体" w:hAnsi="宋体"/>
                <w:kern w:val="0"/>
              </w:rPr>
              <w:t>3、春秋季清洗（含翅片、进出风滤网等）</w:t>
            </w:r>
          </w:p>
          <w:p>
            <w:pPr>
              <w:widowControl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4、维修配件另计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东芝多联室外机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MMY-HP3214HTC-C1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东芝多联室外机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MMY-HP3414HTC-C1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落地内藏式室内外机组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MML-AP0154BH-C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落地内藏式室内外机组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MML-AP0184BH-C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内藏风管式室内机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MMD-AP0156MPHY-C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内藏风管式室内机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MMD-AP0186MPHY-C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内藏风管式室内机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MMD-AP0246MPHY-C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沃姆新风机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WMF560DOR/WMF560DI5600R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东芝集中遥控制器</w:t>
            </w: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BMS-CM1280TLE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0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</w:tbl>
    <w:p>
      <w:pPr>
        <w:pStyle w:val="6"/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401"/>
        <w:gridCol w:w="2884"/>
        <w:gridCol w:w="103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项目名称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型号和规格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</w:t>
            </w: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欧科风冷模块机组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EKAC460BR1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922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1、正常每月巡检保养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2、随时叫修服务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3、春秋季清洗（含翅片、进出风滤网等）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4、风柜、风箱、风盘清洗，水回路及过滤网清洗服务                    5、维修配件另计。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K-B1-1 EKDM1016HE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K-B1-2 EKDM0814HE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K-B1-3 EKDM0811HE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K-B1-4 EKDM0818HE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K-B1-5 EKDM1117HE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K-B1-6 EKDM0814HE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K-B1-7 EKDM0611VE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K-1-1 EKDM0915HE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K-1-2 EKDM1118HE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K-3-1 EKDM1823HE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K-4-1 EKDM1319HE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K-4-2 EKDM1723HE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欧科冷冻水型恒温恒湿机组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K-4-3 EKDM1115HE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欧科柜式空调机组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X-B1-1EKDM0608HE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欧科风机盘管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FP6.3-WAI-Z-GEKCW500AC5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欧科风机盘管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FP10-VSD-L-EKCW800CC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欧科风机盘管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FP810-WAI-Y-G EKCW600AC5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1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风柜滤网更换</w:t>
            </w:r>
          </w:p>
        </w:tc>
        <w:tc>
          <w:tcPr>
            <w:tcW w:w="169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G4</w:t>
            </w:r>
          </w:p>
        </w:tc>
        <w:tc>
          <w:tcPr>
            <w:tcW w:w="60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149</w:t>
            </w:r>
          </w:p>
        </w:tc>
        <w:tc>
          <w:tcPr>
            <w:tcW w:w="922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</w:tr>
    </w:tbl>
    <w:p>
      <w:pPr>
        <w:pStyle w:val="6"/>
      </w:pP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二、服务期</w:t>
      </w:r>
    </w:p>
    <w:p>
      <w:pPr>
        <w:tabs>
          <w:tab w:val="left" w:pos="426"/>
        </w:tabs>
        <w:spacing w:line="360" w:lineRule="auto"/>
        <w:ind w:firstLine="484" w:firstLineChars="202"/>
        <w:rPr>
          <w:rFonts w:ascii="宋体" w:hAnsi="宋体"/>
        </w:rPr>
      </w:pPr>
      <w:r>
        <w:rPr>
          <w:rFonts w:hint="eastAsia" w:ascii="宋体" w:hAnsi="宋体"/>
          <w:lang w:val="zh-CN"/>
        </w:rPr>
        <w:t>服务期：</w:t>
      </w: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zh-CN"/>
        </w:rPr>
        <w:t>年。</w:t>
      </w: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三、付款方式</w:t>
      </w:r>
    </w:p>
    <w:p>
      <w:pPr>
        <w:tabs>
          <w:tab w:val="left" w:pos="426"/>
        </w:tabs>
        <w:spacing w:line="360" w:lineRule="auto"/>
        <w:ind w:firstLine="484" w:firstLineChars="20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zh-CN"/>
        </w:rPr>
        <w:t>合同履行一个月后支付合同金额的50%，合同期满后一星期内支付余下所有款项。</w:t>
      </w:r>
    </w:p>
    <w:p>
      <w:pPr>
        <w:tabs>
          <w:tab w:val="left" w:pos="426"/>
        </w:tabs>
        <w:spacing w:line="360" w:lineRule="auto"/>
        <w:ind w:firstLine="484" w:firstLineChars="202"/>
        <w:rPr>
          <w:rFonts w:hint="eastAsia" w:ascii="宋体" w:hAnsi="宋体"/>
          <w:lang w:val="zh-CN"/>
        </w:rPr>
      </w:pPr>
      <w:r>
        <w:rPr>
          <w:rFonts w:hint="eastAsia" w:ascii="宋体" w:hAnsi="宋体"/>
          <w:lang w:val="zh-CN"/>
        </w:rPr>
        <w:t>每次支付前，中标方需开具相应正式发票。</w:t>
      </w:r>
    </w:p>
    <w:p>
      <w:pPr>
        <w:pStyle w:val="5"/>
        <w:rPr>
          <w:rFonts w:hint="eastAsia"/>
          <w:color w:val="auto"/>
        </w:rPr>
      </w:pPr>
      <w:r>
        <w:rPr>
          <w:rFonts w:hint="eastAsia"/>
          <w:color w:val="auto"/>
        </w:rPr>
        <w:t>四、履约保证金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合同总价的5%作为履约保证金，合同签订后7个工作日内由乙方交入甲方账户，履约保证金在合同履行过程中无服务质量问题，验收合格满12个月退还（不计息）。（遇寒暑假及国家法定假日顺延）。</w:t>
      </w:r>
    </w:p>
    <w:p>
      <w:pPr>
        <w:pStyle w:val="5"/>
        <w:rPr>
          <w:rFonts w:hint="eastAsia"/>
          <w:color w:val="auto"/>
        </w:rPr>
      </w:pPr>
      <w:r>
        <w:rPr>
          <w:rFonts w:hint="eastAsia"/>
          <w:color w:val="auto"/>
        </w:rPr>
        <w:t>五、其他要求：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供应商应认真研究本项目的特点，根据学校的实际情况并结合现场考察情况，按照磋商文件要求提供切实可行的具体的实施方案等，并承诺其方案将根据实际需要进行完善和补充，在工作内容不改变的情况下不得追加任何费用。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2.供应商提供的管理方案和人员配备方案必须满足学校的实际需求，在工作内容和工作量不变的情况下，使用单位不再支付因供应商方案不完整而引起的任何费用。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3.供应商应对所有的报价内容进行报价，不允许只对部分内容进行报价。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C2817"/>
    <w:multiLevelType w:val="singleLevel"/>
    <w:tmpl w:val="AA2C28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)"/>
      <w:lvlJc w:val="left"/>
      <w:pPr>
        <w:tabs>
          <w:tab w:val="left" w:pos="839"/>
        </w:tabs>
        <w:ind w:left="839" w:hanging="360"/>
      </w:pPr>
    </w:lvl>
  </w:abstractNum>
  <w:abstractNum w:abstractNumId="2">
    <w:nsid w:val="00000008"/>
    <w:multiLevelType w:val="multilevel"/>
    <w:tmpl w:val="00000008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83F7898"/>
    <w:multiLevelType w:val="multilevel"/>
    <w:tmpl w:val="083F7898"/>
    <w:lvl w:ilvl="0" w:tentative="0">
      <w:start w:val="1"/>
      <w:numFmt w:val="decimal"/>
      <w:lvlText w:val="%1）"/>
      <w:lvlJc w:val="left"/>
      <w:pPr>
        <w:tabs>
          <w:tab w:val="left" w:pos="1140"/>
        </w:tabs>
        <w:ind w:left="1140" w:hanging="420"/>
      </w:pPr>
      <w:rPr>
        <w:rFonts w:ascii="仿宋_GB2312" w:hAnsi="Corbel" w:eastAsia="仿宋_GB2312" w:cs="Times New Roman"/>
      </w:rPr>
    </w:lvl>
    <w:lvl w:ilvl="1" w:tentative="0">
      <w:start w:val="1"/>
      <w:numFmt w:val="decimal"/>
      <w:lvlText w:val="%2）"/>
      <w:lvlJc w:val="left"/>
      <w:pPr>
        <w:tabs>
          <w:tab w:val="left" w:pos="1095"/>
        </w:tabs>
        <w:ind w:left="1095" w:hanging="375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739"/>
        </w:tabs>
        <w:ind w:left="1739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9"/>
        </w:tabs>
        <w:ind w:left="215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9"/>
        </w:tabs>
        <w:ind w:left="257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9"/>
        </w:tabs>
        <w:ind w:left="299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9"/>
        </w:tabs>
        <w:ind w:left="341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9"/>
        </w:tabs>
        <w:ind w:left="383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9"/>
        </w:tabs>
        <w:ind w:left="4259" w:hanging="420"/>
      </w:pPr>
    </w:lvl>
  </w:abstractNum>
  <w:abstractNum w:abstractNumId="4">
    <w:nsid w:val="0B2F34F8"/>
    <w:multiLevelType w:val="multilevel"/>
    <w:tmpl w:val="0B2F34F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AF4671"/>
    <w:multiLevelType w:val="multilevel"/>
    <w:tmpl w:val="43AF4671"/>
    <w:lvl w:ilvl="0" w:tentative="0">
      <w:start w:val="1"/>
      <w:numFmt w:val="decimal"/>
      <w:lvlText w:val="%1）"/>
      <w:lvlJc w:val="left"/>
      <w:pPr>
        <w:tabs>
          <w:tab w:val="left" w:pos="943"/>
        </w:tabs>
        <w:ind w:left="943" w:hanging="375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A52C8D"/>
    <w:multiLevelType w:val="multilevel"/>
    <w:tmpl w:val="5EA52C8D"/>
    <w:lvl w:ilvl="0" w:tentative="0">
      <w:start w:val="1"/>
      <w:numFmt w:val="decimal"/>
      <w:lvlText w:val="%1）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602D6"/>
    <w:rsid w:val="2B9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2020-05-20T12:20:00Z</dcterms:created>
  <dc:creator>TZ</dc:creator>
  <cp:lastModifiedBy>TZ</cp:lastModifiedBy>
  <dcterms:modified xsi:type="dcterms:W3CDTF">2020-05-20T12:21:18Z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