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pacing w:line="480" w:lineRule="auto"/>
        <w:jc w:val="left"/>
        <w:textAlignment w:val="auto"/>
        <w:rPr>
          <w:rFonts w:hint="default" w:ascii="宋体" w:hAnsi="宋体" w:eastAsia="宋体"/>
          <w:color w:val="auto"/>
          <w:highlight w:val="none"/>
          <w:lang w:val="en-US" w:eastAsia="zh-CN"/>
        </w:rPr>
      </w:pPr>
      <w:bookmarkStart w:id="0" w:name="_Toc2416"/>
      <w:bookmarkStart w:id="1" w:name="_Toc16244"/>
      <w:bookmarkStart w:id="2" w:name="_Toc30001"/>
      <w:bookmarkStart w:id="3" w:name="_Toc6541"/>
      <w:bookmarkStart w:id="4" w:name="_Toc32222"/>
      <w:bookmarkStart w:id="5" w:name="_Toc31836"/>
      <w:bookmarkStart w:id="6" w:name="_Toc31559"/>
      <w:r>
        <w:rPr>
          <w:rFonts w:hint="eastAsia" w:ascii="宋体" w:hAnsi="宋体"/>
          <w:color w:val="auto"/>
          <w:highlight w:val="none"/>
        </w:rPr>
        <w:t>一、</w:t>
      </w:r>
      <w:bookmarkEnd w:id="0"/>
      <w:bookmarkEnd w:id="1"/>
      <w:bookmarkEnd w:id="2"/>
      <w:bookmarkEnd w:id="3"/>
      <w:bookmarkEnd w:id="4"/>
      <w:bookmarkEnd w:id="5"/>
      <w:bookmarkEnd w:id="6"/>
      <w:r>
        <w:rPr>
          <w:rFonts w:hint="eastAsia" w:ascii="宋体" w:hAnsi="宋体"/>
          <w:color w:val="auto"/>
          <w:highlight w:val="none"/>
          <w:lang w:val="en-US" w:eastAsia="zh-CN"/>
        </w:rPr>
        <w:t>采购内容</w:t>
      </w:r>
    </w:p>
    <w:p>
      <w:pPr>
        <w:pStyle w:val="4"/>
        <w:keepNext w:val="0"/>
        <w:keepLines w:val="0"/>
        <w:pageBreakBefore w:val="0"/>
        <w:widowControl w:val="0"/>
        <w:kinsoku/>
        <w:wordWrap/>
        <w:overflowPunct/>
        <w:topLinePunct w:val="0"/>
        <w:autoSpaceDE/>
        <w:autoSpaceDN/>
        <w:bidi w:val="0"/>
        <w:adjustRightInd/>
        <w:snapToGrid w:val="0"/>
        <w:spacing w:beforeLines="0" w:afterLines="0" w:line="480" w:lineRule="auto"/>
        <w:ind w:firstLine="480" w:firstLineChars="200"/>
        <w:textAlignment w:val="auto"/>
        <w:rPr>
          <w:rFonts w:hint="eastAsia" w:ascii="宋体" w:hAnsi="宋体"/>
          <w:b/>
          <w:color w:val="auto"/>
          <w:spacing w:val="-6"/>
          <w:sz w:val="24"/>
          <w:highlight w:val="none"/>
        </w:rPr>
      </w:pPr>
      <w:r>
        <w:rPr>
          <w:rFonts w:hint="default" w:hAnsi="宋体"/>
          <w:color w:val="auto"/>
          <w:highlight w:val="none"/>
          <w:lang w:val="en-US" w:eastAsia="zh-CN"/>
        </w:rPr>
        <w:t>校方责任险投保人、被保险人：浙江中医药大学、浙江中医药大学滨江学院</w:t>
      </w:r>
      <w:r>
        <w:rPr>
          <w:rFonts w:hint="eastAsia" w:hAnsi="宋体"/>
          <w:color w:val="auto"/>
          <w:highlight w:val="none"/>
          <w:lang w:val="en-US" w:eastAsia="zh-CN"/>
        </w:rPr>
        <w:t>。</w:t>
      </w:r>
    </w:p>
    <w:p>
      <w:pPr>
        <w:spacing w:line="288" w:lineRule="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方案内容（基本要求，投标人可高于学校要求的最低保险金额）</w:t>
      </w:r>
    </w:p>
    <w:tbl>
      <w:tblPr>
        <w:tblStyle w:val="5"/>
        <w:tblW w:w="96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644"/>
        <w:gridCol w:w="1236"/>
        <w:gridCol w:w="1647"/>
        <w:gridCol w:w="1878"/>
        <w:gridCol w:w="19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246"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保障项目</w:t>
            </w:r>
          </w:p>
        </w:tc>
        <w:tc>
          <w:tcPr>
            <w:tcW w:w="1644"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每次事故个人赔偿额度</w:t>
            </w:r>
          </w:p>
        </w:tc>
        <w:tc>
          <w:tcPr>
            <w:tcW w:w="1236"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投保范围</w:t>
            </w:r>
          </w:p>
        </w:tc>
        <w:tc>
          <w:tcPr>
            <w:tcW w:w="1647"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最高价格</w:t>
            </w:r>
          </w:p>
        </w:tc>
        <w:tc>
          <w:tcPr>
            <w:tcW w:w="1878" w:type="dxa"/>
            <w:noWrap w:val="0"/>
            <w:vAlign w:val="center"/>
          </w:tcPr>
          <w:p>
            <w:pPr>
              <w:tabs>
                <w:tab w:val="left" w:pos="1418"/>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每次事故赔偿限额</w:t>
            </w:r>
          </w:p>
        </w:tc>
        <w:tc>
          <w:tcPr>
            <w:tcW w:w="1966" w:type="dxa"/>
            <w:noWrap w:val="0"/>
            <w:vAlign w:val="center"/>
          </w:tcPr>
          <w:p>
            <w:pPr>
              <w:tabs>
                <w:tab w:val="left" w:pos="1418"/>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每校累计赔偿限额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1246"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校方责任险</w:t>
            </w:r>
          </w:p>
        </w:tc>
        <w:tc>
          <w:tcPr>
            <w:tcW w:w="1644"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50万</w:t>
            </w:r>
          </w:p>
        </w:tc>
        <w:tc>
          <w:tcPr>
            <w:tcW w:w="1236" w:type="dxa"/>
            <w:vMerge w:val="restart"/>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全部在册学生(预估1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000人)</w:t>
            </w:r>
          </w:p>
        </w:tc>
        <w:tc>
          <w:tcPr>
            <w:tcW w:w="1647" w:type="dxa"/>
            <w:vMerge w:val="restart"/>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10元/人</w:t>
            </w:r>
          </w:p>
        </w:tc>
        <w:tc>
          <w:tcPr>
            <w:tcW w:w="1878" w:type="dxa"/>
            <w:noWrap w:val="0"/>
            <w:vAlign w:val="center"/>
          </w:tcPr>
          <w:p>
            <w:pPr>
              <w:tabs>
                <w:tab w:val="left" w:pos="1418"/>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1000万</w:t>
            </w:r>
          </w:p>
        </w:tc>
        <w:tc>
          <w:tcPr>
            <w:tcW w:w="1966" w:type="dxa"/>
            <w:noWrap w:val="0"/>
            <w:vAlign w:val="center"/>
          </w:tcPr>
          <w:p>
            <w:pPr>
              <w:tabs>
                <w:tab w:val="left" w:pos="1418"/>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2000万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1246"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无过失责任险</w:t>
            </w:r>
          </w:p>
        </w:tc>
        <w:tc>
          <w:tcPr>
            <w:tcW w:w="1644" w:type="dxa"/>
            <w:noWrap w:val="0"/>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10万</w:t>
            </w:r>
          </w:p>
        </w:tc>
        <w:tc>
          <w:tcPr>
            <w:tcW w:w="1236" w:type="dxa"/>
            <w:vMerge w:val="continue"/>
            <w:noWrap w:val="0"/>
            <w:vAlign w:val="center"/>
          </w:tcPr>
          <w:p>
            <w:pPr>
              <w:spacing w:line="288" w:lineRule="auto"/>
              <w:jc w:val="center"/>
              <w:rPr>
                <w:rFonts w:ascii="宋体" w:hAnsi="宋体"/>
                <w:color w:val="auto"/>
                <w:sz w:val="21"/>
                <w:szCs w:val="21"/>
                <w:highlight w:val="none"/>
              </w:rPr>
            </w:pPr>
          </w:p>
        </w:tc>
        <w:tc>
          <w:tcPr>
            <w:tcW w:w="1647" w:type="dxa"/>
            <w:vMerge w:val="continue"/>
            <w:noWrap w:val="0"/>
            <w:vAlign w:val="center"/>
          </w:tcPr>
          <w:p>
            <w:pPr>
              <w:spacing w:line="288" w:lineRule="auto"/>
              <w:jc w:val="center"/>
              <w:rPr>
                <w:rFonts w:ascii="宋体" w:hAnsi="宋体"/>
                <w:color w:val="auto"/>
                <w:sz w:val="21"/>
                <w:szCs w:val="21"/>
                <w:highlight w:val="none"/>
              </w:rPr>
            </w:pPr>
          </w:p>
        </w:tc>
        <w:tc>
          <w:tcPr>
            <w:tcW w:w="1878" w:type="dxa"/>
            <w:noWrap w:val="0"/>
            <w:vAlign w:val="center"/>
          </w:tcPr>
          <w:p>
            <w:pPr>
              <w:tabs>
                <w:tab w:val="left" w:pos="1418"/>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100万</w:t>
            </w:r>
          </w:p>
        </w:tc>
        <w:tc>
          <w:tcPr>
            <w:tcW w:w="1966" w:type="dxa"/>
            <w:noWrap w:val="0"/>
            <w:vAlign w:val="center"/>
          </w:tcPr>
          <w:p>
            <w:pPr>
              <w:tabs>
                <w:tab w:val="left" w:pos="1418"/>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200万</w:t>
            </w:r>
          </w:p>
        </w:tc>
      </w:tr>
    </w:tbl>
    <w:p>
      <w:pPr>
        <w:bidi w:val="0"/>
        <w:rPr>
          <w:rFonts w:hint="eastAsia"/>
          <w:color w:val="auto"/>
          <w:highlight w:val="none"/>
        </w:rPr>
      </w:pPr>
    </w:p>
    <w:p>
      <w:pPr>
        <w:pStyle w:val="3"/>
        <w:jc w:val="left"/>
        <w:rPr>
          <w:rFonts w:hint="default" w:ascii="宋体" w:hAnsi="宋体" w:eastAsia="宋体"/>
          <w:color w:val="auto"/>
          <w:highlight w:val="none"/>
          <w:lang w:val="en-US" w:eastAsia="zh-CN"/>
        </w:rPr>
      </w:pPr>
      <w:r>
        <w:rPr>
          <w:rFonts w:hint="eastAsia" w:ascii="宋体" w:hAnsi="宋体"/>
          <w:color w:val="auto"/>
          <w:highlight w:val="none"/>
          <w:lang w:val="en-US" w:eastAsia="zh-CN"/>
        </w:rPr>
        <w:t>二</w:t>
      </w:r>
      <w:r>
        <w:rPr>
          <w:rFonts w:hint="eastAsia" w:ascii="宋体" w:hAnsi="宋体"/>
          <w:color w:val="auto"/>
          <w:highlight w:val="none"/>
        </w:rPr>
        <w:t>、</w:t>
      </w:r>
      <w:r>
        <w:rPr>
          <w:rFonts w:hint="eastAsia" w:ascii="宋体" w:hAnsi="宋体"/>
          <w:color w:val="auto"/>
          <w:highlight w:val="none"/>
          <w:lang w:val="en-US" w:eastAsia="zh-CN"/>
        </w:rPr>
        <w:t>基本要求</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default" w:hAnsi="宋体"/>
          <w:color w:val="auto"/>
          <w:highlight w:val="none"/>
          <w:lang w:val="en-US" w:eastAsia="zh-CN"/>
        </w:rPr>
      </w:pPr>
      <w:r>
        <w:rPr>
          <w:rFonts w:hint="eastAsia" w:hAnsi="宋体"/>
          <w:color w:val="auto"/>
          <w:highlight w:val="none"/>
          <w:lang w:val="en-US" w:eastAsia="zh-CN"/>
        </w:rPr>
        <w:t>1.服务效率：合同期内出现问题后，成交方接到采购人通知后，应在不超过2个小时内做出响应，4小时内赶到现场。</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2.服务期限：1年（具体时间有双方协定）</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3.服务对象：覆盖在校全体学生（本科生、研究生、留学生），含交换生。</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default" w:hAnsi="宋体"/>
          <w:color w:val="auto"/>
          <w:highlight w:val="none"/>
          <w:lang w:val="en-US" w:eastAsia="zh-CN"/>
        </w:rPr>
      </w:pPr>
      <w:r>
        <w:rPr>
          <w:rFonts w:hint="eastAsia" w:hAnsi="宋体"/>
          <w:color w:val="auto"/>
          <w:highlight w:val="none"/>
          <w:lang w:val="en-US" w:eastAsia="zh-CN"/>
        </w:rPr>
        <w:t>4.校方责任险：</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lang w:eastAsia="zh-CN"/>
        </w:rPr>
        <w:t>在本保险期限内，被保险人在其校园内或由统一组织带领下的校园外活动中（</w:t>
      </w:r>
      <w:r>
        <w:rPr>
          <w:rFonts w:hint="eastAsia" w:hAnsi="宋体"/>
          <w:color w:val="auto"/>
          <w:highlight w:val="none"/>
        </w:rPr>
        <w:t>限中国境内，港澳台地区除外)，由于疏忽或过失造</w:t>
      </w:r>
      <w:r>
        <w:rPr>
          <w:rFonts w:hint="eastAsia" w:hAnsi="宋体"/>
          <w:color w:val="auto"/>
          <w:highlight w:val="none"/>
          <w:lang w:eastAsia="zh-CN"/>
        </w:rPr>
        <w:t>成</w:t>
      </w:r>
      <w:r>
        <w:rPr>
          <w:rFonts w:hint="eastAsia" w:hAnsi="宋体"/>
          <w:color w:val="auto"/>
          <w:highlight w:val="none"/>
        </w:rPr>
        <w:t>依法应由被保险人承担的经济赔偿责任</w:t>
      </w:r>
      <w:r>
        <w:rPr>
          <w:rFonts w:hint="eastAsia" w:hAnsi="宋体"/>
          <w:color w:val="auto"/>
          <w:highlight w:val="none"/>
          <w:lang w:eastAsia="zh-CN"/>
        </w:rPr>
        <w:t>，</w:t>
      </w:r>
      <w:r>
        <w:rPr>
          <w:rFonts w:hint="eastAsia" w:hAnsi="宋体"/>
          <w:color w:val="auto"/>
          <w:highlight w:val="none"/>
        </w:rPr>
        <w:t>保险人负责赔偿，各险种赔付相互独立(包括学生在校期间或学校组织的各类社会调研及社会实践活动)。</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rPr>
      </w:pPr>
      <w:r>
        <w:rPr>
          <w:rFonts w:hint="eastAsia" w:hAnsi="宋体"/>
          <w:color w:val="auto"/>
          <w:highlight w:val="none"/>
          <w:lang w:eastAsia="zh-CN"/>
        </w:rPr>
        <w:t>本保险包含附加无过失责任险，指在本保险单列明的保险期间及承包区域范围内，因</w:t>
      </w:r>
      <w:r>
        <w:rPr>
          <w:rFonts w:hint="eastAsia" w:hAnsi="宋体"/>
          <w:color w:val="auto"/>
          <w:highlight w:val="none"/>
        </w:rPr>
        <w:t>自然灾害、学生自身原因</w:t>
      </w:r>
      <w:r>
        <w:rPr>
          <w:rFonts w:hint="eastAsia" w:hAnsi="宋体"/>
          <w:color w:val="auto"/>
          <w:highlight w:val="none"/>
          <w:lang w:eastAsia="zh-CN"/>
        </w:rPr>
        <w:t>、</w:t>
      </w:r>
      <w:r>
        <w:rPr>
          <w:rFonts w:hint="eastAsia" w:hAnsi="宋体"/>
          <w:color w:val="auto"/>
          <w:highlight w:val="none"/>
        </w:rPr>
        <w:t>学生体质差异、</w:t>
      </w:r>
      <w:r>
        <w:rPr>
          <w:rFonts w:hint="eastAsia" w:hAnsi="宋体"/>
          <w:color w:val="auto"/>
          <w:highlight w:val="none"/>
          <w:lang w:eastAsia="zh-CN"/>
        </w:rPr>
        <w:t>校</w:t>
      </w:r>
      <w:r>
        <w:rPr>
          <w:rFonts w:hint="eastAsia" w:hAnsi="宋体"/>
          <w:color w:val="auto"/>
          <w:highlight w:val="none"/>
        </w:rPr>
        <w:t>外的突发性侵害而导致被保险人的在校学生发生人身伤亡，被保险人已履行相应职责，行为并无不当，但是依法仍需对受伤害学生给予经济补偿责任时，保险人根据本附加保险合同的约定负责赔偿。</w:t>
      </w:r>
    </w:p>
    <w:p>
      <w:pPr>
        <w:pStyle w:val="3"/>
        <w:jc w:val="left"/>
        <w:rPr>
          <w:rFonts w:hint="eastAsia" w:ascii="宋体" w:hAnsi="宋体" w:eastAsia="宋体"/>
          <w:color w:val="auto"/>
          <w:highlight w:val="none"/>
          <w:lang w:val="en-US" w:eastAsia="zh-CN"/>
        </w:rPr>
      </w:pPr>
      <w:r>
        <w:rPr>
          <w:rFonts w:hint="eastAsia" w:ascii="宋体" w:hAnsi="宋体"/>
          <w:color w:val="auto"/>
          <w:highlight w:val="none"/>
          <w:lang w:val="en-US" w:eastAsia="zh-CN"/>
        </w:rPr>
        <w:t>三</w:t>
      </w:r>
      <w:r>
        <w:rPr>
          <w:rFonts w:hint="eastAsia" w:ascii="宋体" w:hAnsi="宋体"/>
          <w:color w:val="auto"/>
          <w:highlight w:val="none"/>
        </w:rPr>
        <w:t>、</w:t>
      </w:r>
      <w:r>
        <w:rPr>
          <w:rFonts w:hint="eastAsia" w:ascii="宋体" w:hAnsi="宋体"/>
          <w:color w:val="auto"/>
          <w:highlight w:val="none"/>
          <w:lang w:val="en-US" w:eastAsia="zh-CN"/>
        </w:rPr>
        <w:t>其他</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rPr>
      </w:pP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int="eastAsia" w:hAnsi="宋体"/>
          <w:b/>
          <w:bCs/>
          <w:color w:val="auto"/>
          <w:highlight w:val="none"/>
          <w:lang w:val="en-US" w:eastAsia="zh-CN"/>
        </w:rPr>
      </w:pPr>
      <w:r>
        <w:rPr>
          <w:rFonts w:hint="eastAsia" w:hAnsi="宋体"/>
          <w:b/>
          <w:bCs/>
          <w:color w:val="auto"/>
          <w:highlight w:val="none"/>
          <w:lang w:val="en-US" w:eastAsia="zh-CN"/>
        </w:rPr>
        <w:t>1.履约（质量）保证金</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成交单位须于合同签订后7个工作日内向采购人支付履约保证金2000元，服务结束后经采购人书面确认乙方无违约行为后无息返还给成交供应商（遇寒暑假及国定假日顺延）。</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履约保证金的交付方式：支票、汇票、保函等非现金方式。</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int="eastAsia" w:hAnsi="宋体"/>
          <w:b/>
          <w:bCs/>
          <w:color w:val="auto"/>
          <w:highlight w:val="none"/>
          <w:lang w:val="en-US" w:eastAsia="zh-CN"/>
        </w:rPr>
      </w:pPr>
      <w:r>
        <w:rPr>
          <w:rFonts w:hint="eastAsia" w:hAnsi="宋体"/>
          <w:b/>
          <w:bCs/>
          <w:color w:val="auto"/>
          <w:highlight w:val="none"/>
          <w:lang w:val="en-US" w:eastAsia="zh-CN"/>
        </w:rPr>
        <w:t>2.合同履行</w:t>
      </w:r>
    </w:p>
    <w:p>
      <w:pPr>
        <w:pStyle w:val="4"/>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必须由投标主体履行合同。</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金山简黑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47676"/>
    <w:rsid w:val="6144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3">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rPr>
      <w:rFonts w:ascii="金山简黑体" w:hAnsi="金山简黑体" w:eastAsia="金山简黑体"/>
      <w:b/>
      <w:spacing w:val="-8"/>
      <w:sz w:val="44"/>
      <w:szCs w:val="20"/>
    </w:rPr>
  </w:style>
  <w:style w:type="paragraph" w:styleId="4">
    <w:name w:val="Plain Text"/>
    <w:basedOn w:val="1"/>
    <w:qFormat/>
    <w:uiPriority w:val="0"/>
    <w:pPr>
      <w:spacing w:beforeLines="50" w:afterLines="50" w:line="400" w:lineRule="atLeast"/>
    </w:pPr>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2020-04-09T02:19:00Z</dcterms:created>
  <dc:creator>TZ</dc:creator>
  <cp:lastModifiedBy>TZ</cp:lastModifiedBy>
  <dcterms:modified xsi:type="dcterms:W3CDTF">2020-04-09T02:19:59Z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