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ind w:firstLine="0"/>
        <w:outlineLvl w:val="1"/>
        <w:rPr>
          <w:rFonts w:hint="eastAsia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color w:val="auto"/>
          <w:sz w:val="28"/>
          <w:szCs w:val="28"/>
          <w:highlight w:val="none"/>
        </w:rPr>
        <w:t>具体要求</w:t>
      </w:r>
    </w:p>
    <w:tbl>
      <w:tblPr>
        <w:tblStyle w:val="4"/>
        <w:tblW w:w="499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7"/>
        <w:gridCol w:w="4636"/>
        <w:gridCol w:w="696"/>
        <w:gridCol w:w="776"/>
        <w:gridCol w:w="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6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272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规格型号、技术参数</w:t>
            </w:r>
          </w:p>
        </w:tc>
        <w:tc>
          <w:tcPr>
            <w:tcW w:w="4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4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6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身份认证系统</w:t>
            </w:r>
          </w:p>
        </w:tc>
        <w:tc>
          <w:tcPr>
            <w:tcW w:w="2723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★</w:t>
            </w:r>
            <w:r>
              <w:rPr>
                <w:rFonts w:ascii="宋体" w:hAnsi="宋体"/>
                <w:szCs w:val="21"/>
                <w:highlight w:val="none"/>
              </w:rPr>
              <w:t>2U标准机架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ascii="宋体" w:hAnsi="宋体"/>
                <w:szCs w:val="21"/>
                <w:highlight w:val="none"/>
              </w:rPr>
              <w:t>软硬件一体化万兆网关认证设备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ascii="宋体" w:hAnsi="宋体"/>
                <w:szCs w:val="21"/>
                <w:highlight w:val="none"/>
              </w:rPr>
              <w:t>含用户连接</w:t>
            </w:r>
            <w:r>
              <w:rPr>
                <w:rFonts w:hint="eastAsia" w:ascii="宋体" w:hAnsi="宋体"/>
                <w:szCs w:val="21"/>
                <w:highlight w:val="none"/>
              </w:rPr>
              <w:t>公</w:t>
            </w:r>
            <w:r>
              <w:rPr>
                <w:rFonts w:ascii="宋体" w:hAnsi="宋体"/>
                <w:szCs w:val="21"/>
                <w:highlight w:val="none"/>
              </w:rPr>
              <w:t>网实名制认证、带宽管理，计费、在线监控等功能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ascii="宋体" w:hAnsi="宋体"/>
                <w:szCs w:val="21"/>
                <w:highlight w:val="none"/>
              </w:rPr>
              <w:t>支持radius server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ascii="宋体" w:hAnsi="宋体"/>
                <w:szCs w:val="21"/>
                <w:highlight w:val="none"/>
              </w:rPr>
              <w:t>处理能力≥</w:t>
            </w:r>
            <w:r>
              <w:rPr>
                <w:rFonts w:hint="eastAsia" w:ascii="宋体" w:hAnsi="宋体"/>
                <w:szCs w:val="21"/>
                <w:highlight w:val="none"/>
              </w:rPr>
              <w:t>20Gbps</w:t>
            </w:r>
            <w:r>
              <w:rPr>
                <w:rFonts w:ascii="宋体" w:hAnsi="宋体"/>
                <w:szCs w:val="21"/>
                <w:highlight w:val="none"/>
              </w:rPr>
              <w:t>，实现总用户数≥30000，并发用户数≥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  <w:r>
              <w:rPr>
                <w:rFonts w:ascii="宋体" w:hAnsi="宋体"/>
                <w:szCs w:val="21"/>
                <w:highlight w:val="none"/>
              </w:rPr>
              <w:t>000，总端口≥5个（10000Mbps光口≥4个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ascii="宋体" w:hAnsi="宋体"/>
                <w:szCs w:val="21"/>
                <w:highlight w:val="none"/>
              </w:rPr>
              <w:t>100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  <w:r>
              <w:rPr>
                <w:rFonts w:ascii="宋体" w:hAnsi="宋体"/>
                <w:szCs w:val="21"/>
                <w:highlight w:val="none"/>
              </w:rPr>
              <w:t>Mbps电口≥1个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ascii="宋体" w:hAnsi="宋体"/>
                <w:szCs w:val="21"/>
                <w:highlight w:val="none"/>
              </w:rPr>
              <w:t>带万兆多模模块）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/>
                <w:szCs w:val="21"/>
                <w:highlight w:val="none"/>
              </w:rPr>
              <w:t>设备实现桥接和旁路两种模式；系统管理平台支持B/S</w:t>
            </w:r>
            <w:r>
              <w:rPr>
                <w:rFonts w:hint="eastAsia" w:ascii="宋体" w:hAnsi="宋体"/>
                <w:szCs w:val="21"/>
                <w:highlight w:val="none"/>
              </w:rPr>
              <w:t>、C</w:t>
            </w:r>
            <w:r>
              <w:rPr>
                <w:rFonts w:ascii="宋体" w:hAnsi="宋体"/>
                <w:szCs w:val="21"/>
                <w:highlight w:val="none"/>
              </w:rPr>
              <w:t>/S架构</w:t>
            </w:r>
            <w:r>
              <w:rPr>
                <w:rFonts w:hint="eastAsia" w:ascii="宋体" w:hAnsi="宋体"/>
                <w:szCs w:val="21"/>
                <w:highlight w:val="none"/>
              </w:rPr>
              <w:t>非OEM产品，产品必须采用第三方独立接入认证硬件网关系统，以实现对多品牌网络设备的良好兼容性。支持数据库SQL版本和Oracle版本。</w:t>
            </w:r>
            <w:r>
              <w:rPr>
                <w:rFonts w:hint="eastAsia"/>
                <w:szCs w:val="21"/>
                <w:highlight w:val="none"/>
              </w:rPr>
              <w:t>支持IPv4/IPv6双栈协议和混合认证计费。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支持桥接和旁路两种模式；系统管理平台支持主流的B/S和C/S架构方式。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支持国际标准认证方式（WEB、PPPOE、802.1x、PPTP等），web、client、802.1X、PPPOE混合同时接入。设备本身就能实现PPPOE专业认证功能，不需要另加其他设备。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支持基于MAC地址的认证、支持基于IP地址的认证、基于VLAN ID认证。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支持访问目的IP的service服务类型和ACL功能，可指定某些目的IP或IP组不可访问，从而防止上网者访问某些非法网站。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网关支持RADIUS CLIENT、RADIUS SERVER、RADIUS CACHE功能，使网关与第三方无线控制器、第三方RADIUS SERVER（漫游账号）无缝对接。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支持多种无感知部署方式，包括：串接、扁平化方式、对接无线AC/胖AP、三层网络DHCP采集、基于cmcc portal协议方式、跨三层网络SMNP采集。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支持不同用户实现不同的无感知策略、支持无感知终端类型、终端数量、无感知有效期、超限自动清理、登录自动延长无感知有效期等功能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支持用户上网的时段控制；支持基于不同时间段实现不同的控制策略。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用户web自注册开户功能；用户组的用户管理和方便的开户模板方式。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可实时监控在线用户当前账号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支持IPv4和IPv6分别统计流量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同一账号支持多个设备同时上网；费用计入同一账号下；用户账户余额为零时可实时停机，避免出现欠费现象。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公安部颁发的产品销售许可证</w:t>
            </w:r>
          </w:p>
          <w:p>
            <w:pPr>
              <w:numPr>
                <w:ilvl w:val="0"/>
                <w:numId w:val="2"/>
              </w:numPr>
              <w:jc w:val="lef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IPv6 Ready认证证书。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信息产业部颁发的具备生产资质的入网许可证。</w:t>
            </w:r>
          </w:p>
        </w:tc>
        <w:tc>
          <w:tcPr>
            <w:tcW w:w="4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5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滨江校区网络中心9号楼2楼</w:t>
            </w:r>
          </w:p>
        </w:tc>
      </w:tr>
    </w:tbl>
    <w:p>
      <w:pPr>
        <w:rPr>
          <w:rFonts w:hint="eastAsia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三、</w:t>
      </w:r>
      <w:r>
        <w:rPr>
          <w:rFonts w:hint="eastAsia"/>
          <w:highlight w:val="none"/>
        </w:rPr>
        <w:t>商务要求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★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(一)交货期及交货地点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交货时间：合同签订后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20个工作日内供货</w:t>
      </w:r>
      <w:r>
        <w:rPr>
          <w:rFonts w:hint="eastAsia" w:ascii="宋体" w:hAnsi="宋体" w:eastAsia="宋体" w:cs="宋体"/>
          <w:color w:val="auto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浙江机电职业技术学院，滨江校区网络中心9号楼2楼，</w:t>
      </w:r>
      <w:r>
        <w:rPr>
          <w:rFonts w:hint="eastAsia" w:ascii="宋体" w:hAnsi="宋体" w:eastAsia="宋体" w:cs="宋体"/>
          <w:color w:val="auto"/>
          <w:highlight w:val="none"/>
        </w:rPr>
        <w:t>甲方指定地点；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质保期：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年，验收合格第2个月起算。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F8925"/>
    <w:multiLevelType w:val="singleLevel"/>
    <w:tmpl w:val="A02F89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607C14"/>
    <w:multiLevelType w:val="multilevel"/>
    <w:tmpl w:val="64607C1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C1DC0"/>
    <w:rsid w:val="4CD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2020-10-20T01:23:00Z</dcterms:created>
  <dc:creator>TZ</dc:creator>
  <cp:lastModifiedBy>TZ</cp:lastModifiedBy>
  <dcterms:modified xsi:type="dcterms:W3CDTF">2020-10-20T01:23:46Z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