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宋体" w:hAnsi="宋体"/>
          <w:color w:val="auto"/>
          <w:highlight w:val="none"/>
        </w:rPr>
      </w:pPr>
      <w:bookmarkStart w:id="0" w:name="_Toc2416"/>
      <w:bookmarkStart w:id="1" w:name="_Toc32222"/>
      <w:bookmarkStart w:id="2" w:name="_Toc31559"/>
      <w:bookmarkStart w:id="3" w:name="_Toc31836"/>
      <w:bookmarkStart w:id="4" w:name="_Toc15176"/>
      <w:bookmarkStart w:id="5" w:name="_Toc8770"/>
      <w:r>
        <w:rPr>
          <w:rFonts w:hint="eastAsia" w:ascii="宋体" w:hAnsi="宋体"/>
          <w:color w:val="auto"/>
          <w:highlight w:val="none"/>
        </w:rPr>
        <w:t>一、</w:t>
      </w:r>
      <w:bookmarkEnd w:id="0"/>
      <w:bookmarkEnd w:id="1"/>
      <w:bookmarkEnd w:id="2"/>
      <w:bookmarkEnd w:id="3"/>
      <w:r>
        <w:rPr>
          <w:rFonts w:hint="eastAsia" w:ascii="宋体" w:hAnsi="宋体"/>
          <w:color w:val="auto"/>
          <w:highlight w:val="none"/>
        </w:rPr>
        <w:t>服务内容</w:t>
      </w:r>
      <w:bookmarkEnd w:id="4"/>
      <w:bookmarkEnd w:id="5"/>
    </w:p>
    <w:p>
      <w:pPr>
        <w:pStyle w:val="5"/>
        <w:snapToGrid w:val="0"/>
        <w:spacing w:before="120" w:after="120" w:line="440" w:lineRule="exact"/>
        <w:ind w:firstLine="480" w:firstLineChars="200"/>
        <w:rPr>
          <w:rFonts w:hint="eastAsia" w:hAnsi="宋体" w:cs="宋体"/>
          <w:color w:val="auto"/>
          <w:highlight w:val="none"/>
        </w:rPr>
      </w:pPr>
      <w:r>
        <w:rPr>
          <w:rFonts w:hint="eastAsia" w:hAnsi="宋体" w:cs="宋体"/>
          <w:color w:val="auto"/>
          <w:highlight w:val="none"/>
        </w:rPr>
        <w:t>1.含有机卤化物废物，危险废物编号“261-084-45”，约1吨/年</w:t>
      </w:r>
    </w:p>
    <w:p>
      <w:pPr>
        <w:pStyle w:val="5"/>
        <w:snapToGrid w:val="0"/>
        <w:spacing w:before="120" w:after="120" w:line="440" w:lineRule="exact"/>
        <w:ind w:firstLine="480" w:firstLineChars="200"/>
        <w:rPr>
          <w:rFonts w:hint="eastAsia" w:hAnsi="宋体" w:cs="宋体"/>
          <w:color w:val="auto"/>
          <w:highlight w:val="none"/>
        </w:rPr>
      </w:pPr>
      <w:r>
        <w:rPr>
          <w:rFonts w:hint="eastAsia" w:hAnsi="宋体" w:cs="宋体"/>
          <w:color w:val="auto"/>
          <w:highlight w:val="none"/>
        </w:rPr>
        <w:t>2.废有机溶剂废物，危险废物编号“261-005-06”，约5吨/年</w:t>
      </w:r>
    </w:p>
    <w:p>
      <w:pPr>
        <w:pStyle w:val="5"/>
        <w:snapToGrid w:val="0"/>
        <w:spacing w:before="120" w:after="120" w:line="440" w:lineRule="exact"/>
        <w:ind w:firstLine="480" w:firstLineChars="200"/>
        <w:rPr>
          <w:rFonts w:hint="eastAsia" w:hAnsi="宋体" w:cs="宋体"/>
          <w:color w:val="auto"/>
          <w:highlight w:val="none"/>
        </w:rPr>
      </w:pPr>
      <w:r>
        <w:rPr>
          <w:rFonts w:hint="eastAsia" w:hAnsi="宋体" w:cs="宋体"/>
          <w:color w:val="auto"/>
          <w:highlight w:val="none"/>
        </w:rPr>
        <w:t>3.废酸，危险废物编号“323-001-34,406-007-34”，约1吨/年</w:t>
      </w:r>
    </w:p>
    <w:p>
      <w:pPr>
        <w:pStyle w:val="5"/>
        <w:snapToGrid w:val="0"/>
        <w:spacing w:before="120" w:after="120" w:line="440" w:lineRule="exact"/>
        <w:ind w:firstLine="480" w:firstLineChars="200"/>
        <w:rPr>
          <w:rFonts w:hint="eastAsia" w:hAnsi="宋体" w:cs="宋体"/>
          <w:color w:val="auto"/>
          <w:highlight w:val="none"/>
        </w:rPr>
      </w:pPr>
      <w:r>
        <w:rPr>
          <w:rFonts w:hint="eastAsia" w:hAnsi="宋体" w:cs="宋体"/>
          <w:color w:val="auto"/>
          <w:highlight w:val="none"/>
        </w:rPr>
        <w:t>4.废碱，危险废物编号“900-399-35”，约1吨/年</w:t>
      </w:r>
    </w:p>
    <w:p>
      <w:pPr>
        <w:pStyle w:val="5"/>
        <w:snapToGrid w:val="0"/>
        <w:spacing w:before="120" w:after="120" w:line="440" w:lineRule="exact"/>
        <w:ind w:firstLine="480" w:firstLineChars="200"/>
        <w:rPr>
          <w:rFonts w:hint="eastAsia" w:hAnsi="宋体" w:cs="宋体"/>
          <w:color w:val="auto"/>
          <w:highlight w:val="none"/>
        </w:rPr>
      </w:pPr>
      <w:r>
        <w:rPr>
          <w:rFonts w:hint="eastAsia" w:hAnsi="宋体" w:cs="宋体"/>
          <w:color w:val="auto"/>
          <w:highlight w:val="none"/>
        </w:rPr>
        <w:t>5.危险化学品包装物，危险废物编号“900-041-49”，约5吨/年</w:t>
      </w:r>
    </w:p>
    <w:p>
      <w:pPr>
        <w:pStyle w:val="5"/>
        <w:snapToGrid w:val="0"/>
        <w:spacing w:before="120" w:after="120" w:line="440" w:lineRule="exact"/>
        <w:ind w:firstLine="480" w:firstLineChars="200"/>
        <w:rPr>
          <w:rFonts w:hint="eastAsia"/>
          <w:color w:val="auto"/>
          <w:highlight w:val="none"/>
        </w:rPr>
      </w:pPr>
      <w:r>
        <w:rPr>
          <w:rFonts w:hint="eastAsia" w:hAnsi="宋体" w:cs="宋体"/>
          <w:color w:val="auto"/>
          <w:highlight w:val="none"/>
        </w:rPr>
        <w:t>6.实验室瓶装废试剂，危险废物编号“900-047-49”，约1吨/年</w:t>
      </w:r>
    </w:p>
    <w:p>
      <w:pPr>
        <w:pStyle w:val="3"/>
        <w:numPr>
          <w:ilvl w:val="0"/>
          <w:numId w:val="1"/>
        </w:numPr>
        <w:jc w:val="left"/>
        <w:rPr>
          <w:rFonts w:hint="eastAsia"/>
          <w:color w:val="auto"/>
          <w:highlight w:val="none"/>
        </w:rPr>
      </w:pPr>
      <w:bookmarkStart w:id="6" w:name="_Toc29740"/>
      <w:bookmarkStart w:id="7" w:name="_Toc4993"/>
      <w:bookmarkStart w:id="8" w:name="_Toc23646"/>
      <w:bookmarkStart w:id="9" w:name="_Toc26908"/>
      <w:bookmarkStart w:id="10" w:name="_Toc24705"/>
      <w:bookmarkStart w:id="11" w:name="_Toc11714"/>
      <w:r>
        <w:rPr>
          <w:rFonts w:hint="eastAsia"/>
          <w:color w:val="auto"/>
          <w:highlight w:val="none"/>
        </w:rPr>
        <w:t>具体要求</w:t>
      </w:r>
      <w:bookmarkEnd w:id="6"/>
      <w:bookmarkEnd w:id="7"/>
      <w:bookmarkEnd w:id="8"/>
      <w:bookmarkEnd w:id="9"/>
      <w:bookmarkEnd w:id="10"/>
      <w:bookmarkEnd w:id="11"/>
    </w:p>
    <w:p>
      <w:pPr>
        <w:pStyle w:val="5"/>
        <w:snapToGrid w:val="0"/>
        <w:spacing w:before="120" w:after="120" w:line="440" w:lineRule="exact"/>
        <w:ind w:firstLine="480" w:firstLineChars="200"/>
        <w:rPr>
          <w:rFonts w:hint="eastAsia" w:hAnsi="宋体" w:cs="宋体"/>
          <w:color w:val="auto"/>
          <w:highlight w:val="none"/>
        </w:rPr>
      </w:pPr>
      <w:r>
        <w:rPr>
          <w:rFonts w:hint="eastAsia" w:hAnsi="宋体" w:cs="宋体"/>
          <w:color w:val="auto"/>
          <w:highlight w:val="none"/>
        </w:rPr>
        <w:t>1.供应商必须具有危险废物经营许可证，保证所持有的相关证件合法有效（提供证书复印件等证明材料）。</w:t>
      </w:r>
    </w:p>
    <w:p>
      <w:pPr>
        <w:pStyle w:val="5"/>
        <w:snapToGrid w:val="0"/>
        <w:spacing w:before="120" w:after="120" w:line="440" w:lineRule="exact"/>
        <w:ind w:firstLine="480" w:firstLineChars="200"/>
        <w:rPr>
          <w:rFonts w:hint="eastAsia" w:hAnsi="宋体" w:cs="宋体"/>
          <w:color w:val="auto"/>
          <w:highlight w:val="none"/>
        </w:rPr>
      </w:pPr>
      <w:r>
        <w:rPr>
          <w:rFonts w:hint="eastAsia" w:hAnsi="宋体" w:cs="宋体"/>
          <w:color w:val="auto"/>
          <w:highlight w:val="none"/>
        </w:rPr>
        <w:t>2.供应商可委托具有道路危险货物运输许可证的运输公司负责运输，保证所持有的相关证件合法有效（提供证书复印件等证明材料）。</w:t>
      </w:r>
    </w:p>
    <w:p>
      <w:pPr>
        <w:pStyle w:val="5"/>
        <w:snapToGrid w:val="0"/>
        <w:spacing w:before="120" w:after="120" w:line="440" w:lineRule="exact"/>
        <w:ind w:firstLine="480" w:firstLineChars="200"/>
        <w:rPr>
          <w:rFonts w:hint="eastAsia" w:hAnsi="宋体" w:cs="宋体"/>
          <w:color w:val="auto"/>
          <w:highlight w:val="none"/>
        </w:rPr>
      </w:pPr>
      <w:r>
        <w:rPr>
          <w:rFonts w:hint="eastAsia" w:hAnsi="宋体" w:cs="宋体"/>
          <w:color w:val="auto"/>
          <w:highlight w:val="none"/>
        </w:rPr>
        <w:t>3.供应商应具备处理实验室危险废弃物所需的条件和设施，保证各项处理条件和设施符合国家法律、法规对处理实验室危险废弃物的技术要求，并在运输和处置过程中，不产生对环境的二次污染。</w:t>
      </w:r>
    </w:p>
    <w:p>
      <w:pPr>
        <w:pStyle w:val="5"/>
        <w:snapToGrid w:val="0"/>
        <w:spacing w:before="120" w:after="120" w:line="440" w:lineRule="exact"/>
        <w:ind w:firstLine="480" w:firstLineChars="200"/>
        <w:rPr>
          <w:rFonts w:hint="eastAsia" w:hAnsi="宋体" w:cs="宋体"/>
          <w:color w:val="auto"/>
          <w:highlight w:val="none"/>
        </w:rPr>
      </w:pPr>
      <w:r>
        <w:rPr>
          <w:rFonts w:hint="eastAsia" w:hAnsi="宋体" w:cs="宋体"/>
          <w:color w:val="auto"/>
          <w:highlight w:val="none"/>
        </w:rPr>
        <w:t>4.供应商运输车辆和装卸人员到采购人指定地点收取实验室危险废弃物，不得影响校园正常的教学活动，遵守采购人的相关环境以及安全管理规定。</w:t>
      </w:r>
    </w:p>
    <w:p>
      <w:pPr>
        <w:pStyle w:val="5"/>
        <w:snapToGrid w:val="0"/>
        <w:spacing w:before="120" w:after="120" w:line="440" w:lineRule="exact"/>
        <w:ind w:firstLine="480" w:firstLineChars="200"/>
        <w:rPr>
          <w:rFonts w:hint="eastAsia" w:hAnsi="宋体" w:cs="宋体"/>
          <w:color w:val="auto"/>
          <w:highlight w:val="none"/>
        </w:rPr>
      </w:pPr>
      <w:r>
        <w:rPr>
          <w:rFonts w:hint="eastAsia" w:hAnsi="宋体" w:cs="宋体"/>
          <w:color w:val="auto"/>
          <w:highlight w:val="none"/>
        </w:rPr>
        <w:t>5.实验室危险废弃物交供应商签收之后，若发生意外或者事故，责任由供应商承担。</w:t>
      </w: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金山简黑体">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5BD7C4"/>
    <w:multiLevelType w:val="singleLevel"/>
    <w:tmpl w:val="C45BD7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826F1"/>
    <w:rsid w:val="1C482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3">
    <w:name w:val="heading 2"/>
    <w:basedOn w:val="1"/>
    <w:next w:val="1"/>
    <w:qFormat/>
    <w:uiPriority w:val="0"/>
    <w:pPr>
      <w:keepNext/>
      <w:keepLines/>
      <w:spacing w:line="360" w:lineRule="auto"/>
      <w:jc w:val="center"/>
      <w:outlineLvl w:val="1"/>
    </w:pPr>
    <w:rPr>
      <w:rFonts w:ascii="Calibri" w:hAnsi="Calibri"/>
      <w:b/>
      <w:bCs/>
      <w:color w:val="000000"/>
      <w:spacing w:val="-6"/>
      <w:sz w:val="30"/>
      <w:szCs w:val="30"/>
    </w:rPr>
  </w:style>
  <w:style w:type="paragraph" w:styleId="4">
    <w:name w:val="heading 3"/>
    <w:basedOn w:val="1"/>
    <w:next w:val="1"/>
    <w:qFormat/>
    <w:uiPriority w:val="0"/>
    <w:pPr>
      <w:keepNext/>
      <w:keepLines/>
      <w:spacing w:before="120" w:after="120"/>
      <w:jc w:val="left"/>
      <w:outlineLvl w:val="2"/>
    </w:pPr>
    <w:rPr>
      <w:rFonts w:cs="Times New Roman"/>
      <w:b/>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uiPriority w:val="99"/>
    <w:rPr>
      <w:rFonts w:ascii="金山简黑体" w:hAnsi="金山简黑体" w:eastAsia="金山简黑体"/>
      <w:b/>
      <w:spacing w:val="-8"/>
      <w:sz w:val="44"/>
      <w:szCs w:val="20"/>
    </w:rPr>
  </w:style>
  <w:style w:type="paragraph" w:styleId="5">
    <w:name w:val="Plain Text"/>
    <w:basedOn w:val="1"/>
    <w:qFormat/>
    <w:uiPriority w:val="0"/>
    <w:pPr>
      <w:spacing w:beforeLines="50" w:afterLines="50" w:line="400" w:lineRule="atLeast"/>
    </w:pPr>
    <w:rPr>
      <w:rFonts w:ascii="宋体" w:hAnsi="Courier New"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2020-01-13T09:22:00Z</dcterms:created>
  <dc:creator>dell</dc:creator>
  <cp:lastModifiedBy>dell</cp:lastModifiedBy>
  <dcterms:modified xsi:type="dcterms:W3CDTF">2020-01-13T09:23:23Z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