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bookmarkStart w:id="79" w:name="_GoBack"/>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之江实验室</w:t>
      </w:r>
    </w:p>
    <w:p>
      <w:pPr>
        <w:spacing w:line="60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一期工程精密实验室工艺设计</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招标项目：一期工程精密实验室工艺设计</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招标编号：ZJWSBJ-ZJLAB-201901G</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人：之江实验室</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间：二〇一九年六月</w:t>
      </w:r>
    </w:p>
    <w:p>
      <w:pPr>
        <w:pStyle w:val="77"/>
        <w:ind w:firstLine="422"/>
        <w:jc w:val="center"/>
        <w:rPr>
          <w:rFonts w:hint="eastAsia" w:ascii="宋体" w:hAnsi="宋体" w:eastAsia="宋体" w:cs="宋体"/>
          <w:color w:val="auto"/>
          <w:sz w:val="24"/>
          <w:szCs w:val="24"/>
          <w:highlight w:val="none"/>
        </w:rPr>
      </w:pPr>
      <w:bookmarkStart w:id="0" w:name="_Toc32639"/>
      <w:bookmarkStart w:id="1" w:name="_Toc3107"/>
      <w:r>
        <w:rPr>
          <w:rFonts w:hint="eastAsia" w:ascii="宋体" w:hAnsi="宋体" w:eastAsia="宋体" w:cs="宋体"/>
          <w:color w:val="auto"/>
          <w:sz w:val="28"/>
          <w:highlight w:val="none"/>
          <w:lang w:val="zh-CN"/>
        </w:rPr>
        <w:t>目</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zh-CN"/>
        </w:rPr>
        <w:t>录</w:t>
      </w:r>
      <w:bookmarkEnd w:id="0"/>
      <w:bookmarkEnd w:id="1"/>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\u </w:instrText>
      </w:r>
      <w:r>
        <w:rPr>
          <w:rFonts w:hint="eastAsia" w:ascii="宋体" w:hAnsi="宋体" w:eastAsia="宋体" w:cs="宋体"/>
          <w:color w:val="auto"/>
          <w:sz w:val="24"/>
          <w:szCs w:val="24"/>
          <w:highlight w:val="none"/>
        </w:rPr>
        <w:fldChar w:fldCharType="separate"/>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ind w:firstLine="480"/>
        <w:jc w:val="center"/>
        <w:rPr>
          <w:rFonts w:hint="eastAsia" w:ascii="宋体" w:hAnsi="宋体" w:eastAsia="宋体" w:cs="宋体"/>
          <w:color w:val="auto"/>
          <w:szCs w:val="32"/>
          <w:highlight w:val="none"/>
        </w:rPr>
      </w:pPr>
      <w:r>
        <w:rPr>
          <w:rFonts w:hint="eastAsia" w:ascii="宋体" w:hAnsi="宋体" w:eastAsia="宋体" w:cs="宋体"/>
          <w:color w:val="auto"/>
          <w:highlight w:val="none"/>
        </w:rPr>
        <w:fldChar w:fldCharType="end"/>
      </w:r>
    </w:p>
    <w:p>
      <w:pPr>
        <w:snapToGrid w:val="0"/>
        <w:ind w:firstLine="720"/>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color w:val="auto"/>
          <w:highlight w:val="none"/>
        </w:rPr>
      </w:pPr>
      <w:bookmarkStart w:id="2" w:name="_Toc12690"/>
      <w:bookmarkStart w:id="3" w:name="_Toc12653"/>
      <w:bookmarkStart w:id="4" w:name="_Toc452457411"/>
      <w:r>
        <w:rPr>
          <w:rFonts w:hint="eastAsia" w:ascii="宋体" w:hAnsi="宋体" w:eastAsia="宋体" w:cs="宋体"/>
          <w:color w:val="auto"/>
          <w:highlight w:val="none"/>
        </w:rPr>
        <w:t>第一章 招标公告</w:t>
      </w:r>
      <w:bookmarkEnd w:id="2"/>
      <w:bookmarkEnd w:id="3"/>
    </w:p>
    <w:p>
      <w:pPr>
        <w:pStyle w:val="4"/>
        <w:jc w:val="center"/>
        <w:rPr>
          <w:rFonts w:hint="eastAsia" w:ascii="宋体" w:hAnsi="宋体" w:eastAsia="宋体" w:cs="宋体"/>
          <w:color w:val="auto"/>
          <w:highlight w:val="none"/>
        </w:rPr>
      </w:pPr>
      <w:bookmarkStart w:id="5" w:name="_Toc23989"/>
      <w:bookmarkStart w:id="6" w:name="_Toc18001"/>
      <w:r>
        <w:rPr>
          <w:rFonts w:hint="eastAsia" w:ascii="宋体" w:hAnsi="宋体" w:eastAsia="宋体" w:cs="宋体"/>
          <w:color w:val="auto"/>
          <w:highlight w:val="none"/>
        </w:rPr>
        <w:t>关于之江实验室一期工程精密实验室工艺设计的公开招标公告</w:t>
      </w:r>
      <w:bookmarkEnd w:id="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w:t>
      </w:r>
      <w:r>
        <w:rPr>
          <w:rFonts w:hint="eastAsia" w:ascii="宋体" w:hAnsi="宋体" w:eastAsia="宋体" w:cs="宋体"/>
          <w:color w:val="auto"/>
          <w:highlight w:val="none"/>
        </w:rPr>
        <w:t>府采购法》等有关规定，浙江五石工程咨询有限公司受之江实验室委托，就之江实验室一期工程精密实验室工艺设计进行公开招标采购，欢迎国内合格的供应商前来投标。具体如下：</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一、招标项目编号：ZJWSBJ-ZJLAB-201901G</w:t>
      </w:r>
    </w:p>
    <w:p>
      <w:pPr>
        <w:pStyle w:val="5"/>
        <w:rPr>
          <w:rFonts w:hint="eastAsia" w:ascii="宋体" w:hAnsi="宋体" w:eastAsia="宋体" w:cs="宋体"/>
          <w:color w:val="auto"/>
          <w:szCs w:val="24"/>
          <w:highlight w:val="none"/>
        </w:rPr>
      </w:pPr>
      <w:r>
        <w:rPr>
          <w:rStyle w:val="41"/>
          <w:rFonts w:hint="eastAsia" w:ascii="宋体" w:hAnsi="宋体" w:eastAsia="宋体" w:cs="宋体"/>
          <w:b/>
          <w:color w:val="auto"/>
          <w:szCs w:val="24"/>
          <w:highlight w:val="none"/>
        </w:rPr>
        <w:t>二、招标项目名称：</w:t>
      </w:r>
      <w:r>
        <w:rPr>
          <w:rFonts w:hint="eastAsia" w:ascii="宋体" w:hAnsi="宋体" w:eastAsia="宋体" w:cs="宋体"/>
          <w:color w:val="auto"/>
          <w:highlight w:val="none"/>
        </w:rPr>
        <w:t>一期工程精密实验室工艺设计</w:t>
      </w:r>
    </w:p>
    <w:p>
      <w:pPr>
        <w:pStyle w:val="5"/>
        <w:rPr>
          <w:rFonts w:hint="eastAsia" w:ascii="宋体" w:hAnsi="宋体" w:eastAsia="宋体" w:cs="宋体"/>
          <w:color w:val="auto"/>
          <w:highlight w:val="none"/>
        </w:rPr>
      </w:pPr>
      <w:r>
        <w:rPr>
          <w:rFonts w:hint="eastAsia" w:ascii="宋体" w:hAnsi="宋体" w:eastAsia="宋体" w:cs="宋体"/>
          <w:color w:val="auto"/>
          <w:szCs w:val="24"/>
          <w:highlight w:val="none"/>
        </w:rPr>
        <w:t>三、采购组织类型</w:t>
      </w:r>
      <w:r>
        <w:rPr>
          <w:rStyle w:val="41"/>
          <w:rFonts w:hint="eastAsia" w:ascii="宋体" w:hAnsi="宋体" w:eastAsia="宋体" w:cs="宋体"/>
          <w:b/>
          <w:color w:val="auto"/>
          <w:szCs w:val="24"/>
          <w:highlight w:val="none"/>
        </w:rPr>
        <w:t>：委托代理机构</w:t>
      </w:r>
    </w:p>
    <w:p>
      <w:pPr>
        <w:pStyle w:val="5"/>
        <w:rPr>
          <w:rFonts w:hint="eastAsia" w:ascii="宋体" w:hAnsi="宋体" w:eastAsia="宋体" w:cs="宋体"/>
          <w:color w:val="auto"/>
          <w:szCs w:val="24"/>
          <w:highlight w:val="none"/>
        </w:rPr>
      </w:pPr>
      <w:r>
        <w:rPr>
          <w:rStyle w:val="41"/>
          <w:rFonts w:hint="eastAsia" w:ascii="宋体" w:hAnsi="宋体" w:eastAsia="宋体" w:cs="宋体"/>
          <w:b/>
          <w:color w:val="auto"/>
          <w:szCs w:val="24"/>
          <w:highlight w:val="none"/>
        </w:rPr>
        <w:t>四、招标项目概况：</w:t>
      </w:r>
    </w:p>
    <w:tbl>
      <w:tblPr>
        <w:tblStyle w:val="38"/>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0"/>
        <w:gridCol w:w="2267"/>
        <w:gridCol w:w="866"/>
        <w:gridCol w:w="919"/>
        <w:gridCol w:w="1891"/>
        <w:gridCol w:w="146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0"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序号</w:t>
            </w:r>
          </w:p>
        </w:tc>
        <w:tc>
          <w:tcPr>
            <w:tcW w:w="2267"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标项名称</w:t>
            </w:r>
          </w:p>
        </w:tc>
        <w:tc>
          <w:tcPr>
            <w:tcW w:w="866"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数量</w:t>
            </w:r>
          </w:p>
        </w:tc>
        <w:tc>
          <w:tcPr>
            <w:tcW w:w="919"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单位</w:t>
            </w:r>
          </w:p>
        </w:tc>
        <w:tc>
          <w:tcPr>
            <w:tcW w:w="1891"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463"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采购预算</w:t>
            </w:r>
            <w:r>
              <w:rPr>
                <w:rFonts w:hint="eastAsia" w:ascii="宋体" w:hAnsi="宋体" w:eastAsia="宋体" w:cs="宋体"/>
                <w:color w:val="auto"/>
                <w:kern w:val="0"/>
                <w:highlight w:val="none"/>
                <w:lang w:eastAsia="zh-CN"/>
              </w:rPr>
              <w:t>（万元）</w:t>
            </w:r>
          </w:p>
        </w:tc>
        <w:tc>
          <w:tcPr>
            <w:tcW w:w="1307" w:type="dxa"/>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1" w:hRule="atLeast"/>
        </w:trPr>
        <w:tc>
          <w:tcPr>
            <w:tcW w:w="860"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2267"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号楼工艺设计</w:t>
            </w:r>
          </w:p>
        </w:tc>
        <w:tc>
          <w:tcPr>
            <w:tcW w:w="866"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919"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项</w:t>
            </w:r>
          </w:p>
        </w:tc>
        <w:tc>
          <w:tcPr>
            <w:tcW w:w="1891" w:type="dxa"/>
            <w:vMerge w:val="restart"/>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eastAsia="zh-CN"/>
              </w:rPr>
              <w:t>详见招标文件</w:t>
            </w:r>
          </w:p>
        </w:tc>
        <w:tc>
          <w:tcPr>
            <w:tcW w:w="1463"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300</w:t>
            </w:r>
          </w:p>
        </w:tc>
        <w:tc>
          <w:tcPr>
            <w:tcW w:w="1307" w:type="dxa"/>
            <w:vMerge w:val="restart"/>
          </w:tcPr>
          <w:p>
            <w:pPr>
              <w:widowControl/>
              <w:spacing w:line="240" w:lineRule="auto"/>
              <w:ind w:firstLine="0" w:firstLineChars="0"/>
              <w:jc w:val="center"/>
              <w:rPr>
                <w:rFonts w:hint="eastAsia" w:ascii="宋体" w:hAnsi="宋体" w:eastAsia="宋体" w:cs="宋体"/>
                <w:color w:val="auto"/>
                <w:highlight w:val="none"/>
                <w:lang w:val="en-US" w:eastAsia="zh-CN"/>
              </w:rPr>
            </w:pPr>
          </w:p>
          <w:p>
            <w:pPr>
              <w:widowControl/>
              <w:spacing w:line="240" w:lineRule="auto"/>
              <w:ind w:firstLine="0" w:firstLineChars="0"/>
              <w:jc w:val="center"/>
              <w:rPr>
                <w:rFonts w:hint="eastAsia" w:ascii="宋体" w:hAnsi="宋体" w:eastAsia="宋体" w:cs="宋体"/>
                <w:color w:val="auto"/>
                <w:highlight w:val="none"/>
                <w:lang w:val="en-US" w:eastAsia="zh-CN"/>
              </w:rPr>
            </w:pPr>
          </w:p>
          <w:p>
            <w:pPr>
              <w:widowControl/>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0"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267"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二号楼工艺设计</w:t>
            </w:r>
            <w:r>
              <w:rPr>
                <w:rFonts w:hint="eastAsia" w:ascii="宋体" w:hAnsi="宋体" w:eastAsia="宋体" w:cs="宋体"/>
                <w:color w:val="auto"/>
                <w:highlight w:val="none"/>
                <w:lang w:eastAsia="zh-CN"/>
              </w:rPr>
              <w:t>，三、四号楼防微振动专项设计</w:t>
            </w:r>
          </w:p>
        </w:tc>
        <w:tc>
          <w:tcPr>
            <w:tcW w:w="866"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919"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项</w:t>
            </w:r>
          </w:p>
        </w:tc>
        <w:tc>
          <w:tcPr>
            <w:tcW w:w="1891" w:type="dxa"/>
            <w:vMerge w:val="continue"/>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463" w:type="dxa"/>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240</w:t>
            </w:r>
          </w:p>
        </w:tc>
        <w:tc>
          <w:tcPr>
            <w:tcW w:w="1307" w:type="dxa"/>
            <w:vMerge w:val="continue"/>
          </w:tcPr>
          <w:p>
            <w:pPr>
              <w:widowControl/>
              <w:spacing w:line="240" w:lineRule="auto"/>
              <w:ind w:firstLine="0" w:firstLineChars="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0"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2267"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四号楼工艺设计</w:t>
            </w:r>
          </w:p>
        </w:tc>
        <w:tc>
          <w:tcPr>
            <w:tcW w:w="866"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p>
        </w:tc>
        <w:tc>
          <w:tcPr>
            <w:tcW w:w="919" w:type="dxa"/>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项</w:t>
            </w:r>
          </w:p>
        </w:tc>
        <w:tc>
          <w:tcPr>
            <w:tcW w:w="1891" w:type="dxa"/>
            <w:vMerge w:val="continue"/>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highlight w:val="none"/>
              </w:rPr>
            </w:pPr>
          </w:p>
        </w:tc>
        <w:tc>
          <w:tcPr>
            <w:tcW w:w="1463" w:type="dxa"/>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66</w:t>
            </w:r>
          </w:p>
        </w:tc>
        <w:tc>
          <w:tcPr>
            <w:tcW w:w="1307" w:type="dxa"/>
            <w:vMerge w:val="continue"/>
          </w:tcPr>
          <w:p>
            <w:pPr>
              <w:widowControl/>
              <w:spacing w:line="240" w:lineRule="auto"/>
              <w:ind w:firstLine="0" w:firstLineChars="0"/>
              <w:jc w:val="center"/>
              <w:rPr>
                <w:rFonts w:hint="eastAsia" w:ascii="宋体" w:hAnsi="宋体" w:eastAsia="宋体" w:cs="宋体"/>
                <w:color w:val="auto"/>
                <w:highlight w:val="none"/>
              </w:rPr>
            </w:pPr>
          </w:p>
        </w:tc>
      </w:tr>
    </w:tbl>
    <w:p>
      <w:pPr>
        <w:pStyle w:val="5"/>
        <w:rPr>
          <w:rFonts w:hint="eastAsia" w:ascii="宋体" w:hAnsi="宋体" w:eastAsia="宋体" w:cs="宋体"/>
          <w:color w:val="auto"/>
          <w:szCs w:val="24"/>
          <w:highlight w:val="none"/>
        </w:rPr>
      </w:pPr>
      <w:r>
        <w:rPr>
          <w:rStyle w:val="41"/>
          <w:rFonts w:hint="eastAsia" w:ascii="宋体" w:hAnsi="宋体" w:eastAsia="宋体" w:cs="宋体"/>
          <w:b/>
          <w:color w:val="auto"/>
          <w:szCs w:val="24"/>
          <w:highlight w:val="none"/>
        </w:rPr>
        <w:t>五、投标供应商资格要求: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pStyle w:val="34"/>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pStyle w:val="34"/>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4"/>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具有</w:t>
      </w:r>
      <w:r>
        <w:rPr>
          <w:rFonts w:hint="eastAsia" w:ascii="宋体" w:hAnsi="宋体" w:eastAsia="宋体" w:cs="宋体"/>
          <w:b/>
          <w:bCs/>
          <w:color w:val="auto"/>
          <w:szCs w:val="32"/>
          <w:highlight w:val="none"/>
        </w:rPr>
        <w:t>工程设计综合甲级资质</w:t>
      </w:r>
    </w:p>
    <w:p>
      <w:pPr>
        <w:pStyle w:val="34"/>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5"/>
        <w:rPr>
          <w:rFonts w:hint="eastAsia" w:ascii="宋体" w:hAnsi="宋体" w:eastAsia="宋体" w:cs="宋体"/>
          <w:color w:val="auto"/>
          <w:szCs w:val="24"/>
          <w:highlight w:val="none"/>
        </w:rPr>
      </w:pPr>
      <w:r>
        <w:rPr>
          <w:rStyle w:val="41"/>
          <w:rFonts w:hint="eastAsia" w:ascii="宋体" w:hAnsi="宋体" w:eastAsia="宋体" w:cs="宋体"/>
          <w:b/>
          <w:color w:val="auto"/>
          <w:szCs w:val="24"/>
          <w:highlight w:val="none"/>
        </w:rPr>
        <w:t>六、招标文件的报名/发售时间、地址、售价:</w:t>
      </w:r>
    </w:p>
    <w:p>
      <w:pPr>
        <w:ind w:firstLine="482"/>
        <w:rPr>
          <w:rFonts w:hint="eastAsia" w:ascii="宋体" w:hAnsi="宋体" w:eastAsia="宋体" w:cs="宋体"/>
          <w:color w:val="auto"/>
          <w:highlight w:val="none"/>
          <w:u w:val="single"/>
        </w:rPr>
      </w:pPr>
      <w:r>
        <w:rPr>
          <w:rStyle w:val="41"/>
          <w:rFonts w:hint="eastAsia" w:ascii="宋体" w:hAnsi="宋体" w:eastAsia="宋体" w:cs="宋体"/>
          <w:color w:val="auto"/>
          <w:highlight w:val="none"/>
        </w:rPr>
        <w:t>1．报名（发售／获取）时间：2019年06月</w:t>
      </w:r>
      <w:r>
        <w:rPr>
          <w:rStyle w:val="41"/>
          <w:rFonts w:hint="eastAsia" w:ascii="宋体" w:hAnsi="宋体" w:eastAsia="宋体" w:cs="宋体"/>
          <w:color w:val="auto"/>
          <w:highlight w:val="none"/>
          <w:lang w:val="en-US" w:eastAsia="zh-CN"/>
        </w:rPr>
        <w:t>15</w:t>
      </w:r>
      <w:r>
        <w:rPr>
          <w:rStyle w:val="41"/>
          <w:rFonts w:hint="eastAsia" w:ascii="宋体" w:hAnsi="宋体" w:eastAsia="宋体" w:cs="宋体"/>
          <w:color w:val="auto"/>
          <w:highlight w:val="none"/>
        </w:rPr>
        <w:t>日至2019年06月</w:t>
      </w:r>
      <w:r>
        <w:rPr>
          <w:rStyle w:val="41"/>
          <w:rFonts w:hint="eastAsia" w:ascii="宋体" w:hAnsi="宋体" w:eastAsia="宋体" w:cs="宋体"/>
          <w:color w:val="auto"/>
          <w:highlight w:val="none"/>
          <w:lang w:val="en-US" w:eastAsia="zh-CN"/>
        </w:rPr>
        <w:t>22</w:t>
      </w:r>
      <w:r>
        <w:rPr>
          <w:rStyle w:val="41"/>
          <w:rFonts w:hint="eastAsia" w:ascii="宋体" w:hAnsi="宋体" w:eastAsia="宋体" w:cs="宋体"/>
          <w:color w:val="auto"/>
          <w:highlight w:val="none"/>
        </w:rPr>
        <w:t>日</w:t>
      </w:r>
    </w:p>
    <w:p>
      <w:pPr>
        <w:ind w:firstLine="964" w:firstLineChars="400"/>
        <w:rPr>
          <w:rFonts w:hint="eastAsia" w:ascii="宋体" w:hAnsi="宋体" w:eastAsia="宋体" w:cs="宋体"/>
          <w:color w:val="auto"/>
          <w:highlight w:val="none"/>
        </w:rPr>
      </w:pPr>
      <w:r>
        <w:rPr>
          <w:rStyle w:val="41"/>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1"/>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u w:val="single"/>
        </w:rPr>
      </w:pPr>
      <w:r>
        <w:rPr>
          <w:rStyle w:val="41"/>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1"/>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1"/>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（5）特定资格要求证明材料（如有）；</w:t>
      </w:r>
    </w:p>
    <w:p>
      <w:pPr>
        <w:pStyle w:val="5"/>
        <w:rPr>
          <w:rFonts w:hint="eastAsia" w:ascii="宋体" w:hAnsi="宋体" w:eastAsia="宋体" w:cs="宋体"/>
          <w:color w:val="auto"/>
          <w:highlight w:val="none"/>
          <w:lang w:eastAsia="zh-CN"/>
        </w:rPr>
      </w:pPr>
      <w:r>
        <w:rPr>
          <w:rStyle w:val="41"/>
          <w:rFonts w:hint="eastAsia" w:ascii="宋体" w:hAnsi="宋体" w:eastAsia="宋体" w:cs="宋体"/>
          <w:b/>
          <w:color w:val="auto"/>
          <w:highlight w:val="none"/>
        </w:rPr>
        <w:t>七、投标截止</w:t>
      </w: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2019-07-05 14:00:00</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八、投标地址：杭州市西湖区西园八路11号杭州数字信息产业园G座603室 </w:t>
      </w:r>
    </w:p>
    <w:p>
      <w:pPr>
        <w:pStyle w:val="5"/>
        <w:rPr>
          <w:rFonts w:hint="eastAsia" w:ascii="宋体" w:hAnsi="宋体" w:eastAsia="宋体" w:cs="宋体"/>
          <w:color w:val="auto"/>
          <w:highlight w:val="none"/>
          <w:lang w:eastAsia="zh-CN"/>
        </w:rPr>
      </w:pPr>
      <w:r>
        <w:rPr>
          <w:rFonts w:hint="eastAsia" w:ascii="宋体" w:hAnsi="宋体" w:eastAsia="宋体" w:cs="宋体"/>
          <w:color w:val="auto"/>
          <w:highlight w:val="none"/>
        </w:rPr>
        <w:t>九、开标时间：</w:t>
      </w:r>
      <w:r>
        <w:rPr>
          <w:rFonts w:hint="eastAsia" w:ascii="宋体" w:hAnsi="宋体" w:eastAsia="宋体" w:cs="宋体"/>
          <w:color w:val="auto"/>
          <w:highlight w:val="none"/>
          <w:lang w:eastAsia="zh-CN"/>
        </w:rPr>
        <w:t>2019-07-05 14:00:00</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十、开标地址：杭州市西湖区西园八路11号杭州数字信息产业园G座603室</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十一、投标保证金：本项目不缴纳投标保证金 </w:t>
      </w:r>
    </w:p>
    <w:p>
      <w:pPr>
        <w:pStyle w:val="5"/>
        <w:rPr>
          <w:rFonts w:hint="eastAsia" w:ascii="宋体" w:hAnsi="宋体" w:eastAsia="宋体" w:cs="宋体"/>
          <w:color w:val="auto"/>
          <w:szCs w:val="24"/>
          <w:highlight w:val="none"/>
        </w:rPr>
      </w:pPr>
      <w:r>
        <w:rPr>
          <w:rStyle w:val="41"/>
          <w:rFonts w:hint="eastAsia" w:ascii="宋体" w:hAnsi="宋体" w:eastAsia="宋体" w:cs="宋体"/>
          <w:b/>
          <w:color w:val="auto"/>
          <w:szCs w:val="24"/>
          <w:highlight w:val="none"/>
        </w:rPr>
        <w:t>十二、</w:t>
      </w:r>
      <w:bookmarkStart w:id="7" w:name="_Toc22762"/>
      <w:r>
        <w:rPr>
          <w:rStyle w:val="41"/>
          <w:rFonts w:hint="eastAsia" w:ascii="宋体" w:hAnsi="宋体" w:eastAsia="宋体" w:cs="宋体"/>
          <w:b/>
          <w:color w:val="auto"/>
          <w:szCs w:val="24"/>
          <w:highlight w:val="none"/>
        </w:rPr>
        <w:t>其他事项：</w:t>
      </w:r>
      <w:bookmarkEnd w:id="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w:t>
      </w:r>
      <w:r>
        <w:rPr>
          <w:rFonts w:hint="eastAsia" w:ascii="宋体" w:hAnsi="宋体" w:eastAsia="宋体" w:cs="宋体"/>
          <w:color w:val="auto"/>
          <w:highlight w:val="none"/>
        </w:rPr>
        <w:t>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投标人未在采购代理机构办理报名手续的投标文件予以拒收。</w:t>
      </w:r>
    </w:p>
    <w:p>
      <w:pPr>
        <w:pStyle w:val="5"/>
        <w:rPr>
          <w:rFonts w:hint="eastAsia" w:ascii="宋体" w:hAnsi="宋体" w:eastAsia="宋体" w:cs="宋体"/>
          <w:color w:val="auto"/>
          <w:szCs w:val="24"/>
          <w:highlight w:val="none"/>
        </w:rPr>
      </w:pPr>
      <w:bookmarkStart w:id="8" w:name="_Toc10657"/>
      <w:r>
        <w:rPr>
          <w:rStyle w:val="41"/>
          <w:rFonts w:hint="eastAsia" w:ascii="宋体" w:hAnsi="宋体" w:eastAsia="宋体" w:cs="宋体"/>
          <w:b/>
          <w:color w:val="auto"/>
          <w:szCs w:val="24"/>
          <w:highlight w:val="none"/>
        </w:rPr>
        <w:t>十三、联系方式</w:t>
      </w:r>
      <w:bookmarkEnd w:id="8"/>
      <w:r>
        <w:rPr>
          <w:rStyle w:val="41"/>
          <w:rFonts w:hint="eastAsia" w:ascii="宋体" w:hAnsi="宋体" w:eastAsia="宋体" w:cs="宋体"/>
          <w:b/>
          <w:color w:val="auto"/>
          <w:szCs w:val="24"/>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2.采购人名称：之江实验室</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联系人：钟老师</w:t>
      </w:r>
    </w:p>
    <w:p>
      <w:pPr>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0571-56390603</w:t>
      </w:r>
    </w:p>
    <w:p>
      <w:pPr>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采购项目联系人：钮老师</w:t>
      </w:r>
    </w:p>
    <w:p>
      <w:pPr>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联系电话：0571-56390556</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w:t>
      </w:r>
      <w:bookmarkEnd w:id="4"/>
      <w:bookmarkEnd w:id="6"/>
      <w:r>
        <w:rPr>
          <w:rFonts w:hint="eastAsia" w:ascii="宋体" w:hAnsi="宋体" w:eastAsia="宋体" w:cs="宋体"/>
          <w:color w:val="auto"/>
          <w:highlight w:val="none"/>
        </w:rPr>
        <w:t>浙江杭州市文一西路1818号之江实验室</w:t>
      </w:r>
    </w:p>
    <w:p>
      <w:pPr>
        <w:ind w:firstLine="720" w:firstLineChars="300"/>
        <w:rPr>
          <w:rFonts w:hint="eastAsia" w:ascii="宋体" w:hAnsi="宋体" w:eastAsia="宋体"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3"/>
        <w:rPr>
          <w:rFonts w:hint="eastAsia" w:ascii="宋体" w:hAnsi="宋体" w:eastAsia="宋体" w:cs="宋体"/>
          <w:color w:val="auto"/>
          <w:highlight w:val="none"/>
        </w:rPr>
      </w:pPr>
      <w:bookmarkStart w:id="9" w:name="_Toc27886"/>
      <w:r>
        <w:rPr>
          <w:rFonts w:hint="eastAsia" w:ascii="宋体" w:hAnsi="宋体" w:eastAsia="宋体" w:cs="宋体"/>
          <w:color w:val="auto"/>
          <w:highlight w:val="none"/>
        </w:rPr>
        <w:t>第二章 项目需求说明</w:t>
      </w:r>
      <w:bookmarkEnd w:id="9"/>
    </w:p>
    <w:p>
      <w:pPr>
        <w:pStyle w:val="4"/>
        <w:rPr>
          <w:rFonts w:hint="eastAsia" w:ascii="宋体" w:hAnsi="宋体" w:eastAsia="宋体" w:cs="宋体"/>
          <w:color w:val="auto"/>
          <w:highlight w:val="none"/>
        </w:rPr>
      </w:pPr>
      <w:bookmarkStart w:id="10" w:name="_Toc26013"/>
      <w:bookmarkStart w:id="11" w:name="_Toc1899"/>
      <w:bookmarkStart w:id="12" w:name="_Toc19804"/>
      <w:bookmarkStart w:id="13" w:name="_Toc31327"/>
      <w:bookmarkStart w:id="14" w:name="_Toc450840085"/>
      <w:r>
        <w:rPr>
          <w:rFonts w:hint="eastAsia" w:ascii="宋体" w:hAnsi="宋体" w:eastAsia="宋体" w:cs="宋体"/>
          <w:color w:val="auto"/>
          <w:highlight w:val="none"/>
        </w:rPr>
        <w:t>一、</w:t>
      </w:r>
      <w:bookmarkEnd w:id="10"/>
      <w:bookmarkEnd w:id="11"/>
      <w:r>
        <w:rPr>
          <w:rFonts w:hint="eastAsia" w:ascii="宋体" w:hAnsi="宋体" w:eastAsia="宋体" w:cs="宋体"/>
          <w:color w:val="auto"/>
          <w:highlight w:val="none"/>
        </w:rPr>
        <w:t>采购需求</w:t>
      </w:r>
      <w:bookmarkEnd w:id="12"/>
      <w:bookmarkEnd w:id="13"/>
    </w:p>
    <w:p>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标项一：</w:t>
      </w:r>
      <w:r>
        <w:rPr>
          <w:rFonts w:hint="eastAsia" w:ascii="宋体" w:hAnsi="宋体" w:eastAsia="宋体" w:cs="宋体"/>
          <w:color w:val="auto"/>
          <w:highlight w:val="none"/>
          <w:lang w:val="en-US" w:eastAsia="zh-CN"/>
        </w:rPr>
        <w:t>六号楼工艺设计</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（一）项目概况</w:t>
      </w:r>
    </w:p>
    <w:p>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本项目为之江实验室</w:t>
      </w:r>
      <w:r>
        <w:rPr>
          <w:rFonts w:hint="eastAsia" w:ascii="宋体" w:hAnsi="宋体" w:eastAsia="宋体" w:cs="宋体"/>
          <w:color w:val="auto"/>
          <w:highlight w:val="none"/>
          <w:lang w:val="en-US" w:eastAsia="zh-CN"/>
        </w:rPr>
        <w:t>6号楼实验室工艺设计。</w:t>
      </w:r>
    </w:p>
    <w:p>
      <w:pPr>
        <w:pStyle w:val="6"/>
        <w:bidi w:val="0"/>
        <w:rPr>
          <w:rFonts w:hint="eastAsia" w:ascii="宋体" w:hAnsi="宋体" w:eastAsia="宋体" w:cs="宋体"/>
          <w:b/>
          <w:color w:val="auto"/>
          <w:kern w:val="0"/>
          <w:highlight w:val="none"/>
        </w:rPr>
      </w:pPr>
      <w:r>
        <w:rPr>
          <w:rFonts w:hint="eastAsia" w:ascii="宋体" w:hAnsi="宋体" w:eastAsia="宋体" w:cs="宋体"/>
          <w:b/>
          <w:color w:val="auto"/>
          <w:highlight w:val="none"/>
        </w:rPr>
        <w:t>（二）</w:t>
      </w:r>
      <w:r>
        <w:rPr>
          <w:rFonts w:hint="eastAsia" w:ascii="宋体" w:hAnsi="宋体" w:eastAsia="宋体" w:cs="宋体"/>
          <w:b/>
          <w:color w:val="auto"/>
          <w:kern w:val="0"/>
          <w:highlight w:val="none"/>
        </w:rPr>
        <w:t>设计依据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行政主管部门相关规划批复意见；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适用的法律、行政法规及部门规章；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与工程有关的规范、标准、规程、图集等；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本工程勘察文件等工程基础资料及发包人对本项目提出的外观、布局、工艺条件、使用功能等具体要求等其他文件；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其他设计依据。</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（三）现有基本条件情况</w:t>
      </w:r>
    </w:p>
    <w:p>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.建设规模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本项目拟新建专项实验室，建筑面积约2.2万平方米，地上五层，地下一层。</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（四）设计方案要求</w:t>
      </w:r>
    </w:p>
    <w:p>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1.总体设计要求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服务范围为本项目专项实验室工艺及相关配套条件专业施工图设计，包括：提供技术交底，提供现场技术支持和参加项目竣工验收等，配合专业分包单位完成相应施工图深化设计并进行审核确认。工作完成深度在满足国家相关规范要求时，结合项目实际更需完成建设目标要求。设计服务期限：中标单位签定设计合同至招标项目完成竣工验收正式投入使用并完成项目结算。</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设计原则</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各类实验室作为本项目的主要建筑组成和使用空间，规划设计应吸纳和借鉴当今世界的先进设计理念，特别要注意适应计量科技工作发展趋势，实验室用房采用现代科研建筑较为典型的标准单元式（或称“模块化”）设计思路，通过标准单元式空间的灵活组合和分隔，以及对用房环境控制水平和公用工程配套条件的统一规划、标准化设计并适当预留，可以充分、有效地满足不断发展变化的科研需求，</w:t>
      </w:r>
      <w:r>
        <w:rPr>
          <w:rFonts w:hint="eastAsia" w:ascii="宋体" w:hAnsi="宋体" w:eastAsia="宋体" w:cs="宋体"/>
          <w:color w:val="auto"/>
          <w:highlight w:val="none"/>
          <w:lang w:eastAsia="zh-CN"/>
        </w:rPr>
        <w:t>保证</w:t>
      </w:r>
      <w:r>
        <w:rPr>
          <w:rFonts w:hint="eastAsia" w:ascii="宋体" w:hAnsi="宋体" w:eastAsia="宋体" w:cs="宋体"/>
          <w:color w:val="auto"/>
          <w:highlight w:val="none"/>
        </w:rPr>
        <w:t>未来对实验室用房功能和使用条件进行改造完善的实现可能性和便捷性。</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科研工艺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对实验用房的工作空间以及环境要求有着特殊和严格的要求，在进行规划设计时要对各类用房的组织流线关系、科研工艺条件、技术特征和使用需求予以重点考虑，分别从建筑、结构、强电、弱电（含安防等）、暖通空调、给排水、工艺等各个专业的角度，重点研究和解决本项目涉及的建筑隔振、温/湿度控制、洁净度控制、电磁屏蔽、生物安全、洁净电源、实验室公用设施配套等关键性技术问题，同时包含建筑能耗统计相关设计。</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实验室建筑规模及工艺条件要求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（1）专项实验室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专项实验室环境控制要求如下：温度控制±0.5℃~±1℃，湿度控制±5%RH，洁净度要求百级、千级、万级、十万级等，防微振要求NIM-</w:t>
      </w:r>
      <w:r>
        <w:rPr>
          <w:rFonts w:hint="eastAsia" w:cs="宋体"/>
          <w:color w:val="auto"/>
          <w:highlight w:val="none"/>
          <w:lang w:val="en-US" w:eastAsia="zh-CN"/>
        </w:rPr>
        <w:t>4</w:t>
      </w:r>
      <w:r>
        <w:rPr>
          <w:rFonts w:hint="eastAsia" w:ascii="宋体" w:hAnsi="宋体" w:eastAsia="宋体" w:cs="宋体"/>
          <w:color w:val="auto"/>
          <w:highlight w:val="none"/>
        </w:rPr>
        <w:t>~NIM</w:t>
      </w:r>
      <w:r>
        <w:rPr>
          <w:rFonts w:hint="eastAsia" w:cs="宋体"/>
          <w:color w:val="auto"/>
          <w:highlight w:val="none"/>
          <w:lang w:val="en-US" w:eastAsia="zh-CN"/>
        </w:rPr>
        <w:t>-</w:t>
      </w:r>
      <w:r>
        <w:rPr>
          <w:rFonts w:hint="eastAsia" w:ascii="宋体" w:hAnsi="宋体" w:eastAsia="宋体" w:cs="宋体"/>
          <w:color w:val="auto"/>
          <w:highlight w:val="none"/>
        </w:rPr>
        <w:t>5（参数详见表1），个别实验室有电磁屏蔽要求。在公共设施方面，不同实验室对普通稳压电源、净化稳压电源、UPS、直流电源、独立接地、上下水、特殊气体、冷却水等有具体要求，以发包人确认后的工艺条件为准。</w:t>
      </w:r>
    </w:p>
    <w:p>
      <w:pPr>
        <w:bidi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表1  振动控制标准</w:t>
      </w:r>
    </w:p>
    <w:tbl>
      <w:tblPr>
        <w:tblStyle w:val="38"/>
        <w:tblW w:w="83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10"/>
        <w:gridCol w:w="1143"/>
        <w:gridCol w:w="1186"/>
        <w:gridCol w:w="1313"/>
        <w:gridCol w:w="1171"/>
        <w:gridCol w:w="1468"/>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83" w:hRule="atLeast"/>
          <w:tblHeader/>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振动标准名称</w:t>
            </w:r>
          </w:p>
        </w:tc>
        <w:tc>
          <w:tcPr>
            <w:tcW w:w="1186"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参考</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标准</w:t>
            </w:r>
          </w:p>
        </w:tc>
        <w:tc>
          <w:tcPr>
            <w:tcW w:w="5123" w:type="dxa"/>
            <w:gridSpan w:val="4"/>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振动控制指标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83" w:hRule="atLeast"/>
          <w:tblHeader/>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186"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313"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频率</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范围</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（Hz）</w:t>
            </w:r>
          </w:p>
        </w:tc>
        <w:tc>
          <w:tcPr>
            <w:tcW w:w="3810" w:type="dxa"/>
            <w:gridSpan w:val="3"/>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振动幅度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83" w:hRule="atLeast"/>
          <w:tblHeader/>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186"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313"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位移</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（um）</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速度</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（um/s）</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加速度</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（ug）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83"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NIM-5</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VC-C</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JV-B</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1～100</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12.5</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83"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NIM-4</w:t>
            </w:r>
          </w:p>
        </w:tc>
        <w:tc>
          <w:tcPr>
            <w:tcW w:w="1186"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VC-D</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1～100</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6.25</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02" w:hRule="atLeast"/>
          <w:jc w:val="center"/>
        </w:trPr>
        <w:tc>
          <w:tcPr>
            <w:tcW w:w="910"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3</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NIM-3</w:t>
            </w:r>
          </w:p>
        </w:tc>
        <w:tc>
          <w:tcPr>
            <w:tcW w:w="1186" w:type="dxa"/>
            <w:vMerge w:val="restart"/>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VC-E</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BBN</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cs="宋体"/>
                <w:color w:val="auto"/>
                <w:highlight w:val="none"/>
                <w:lang w:val="en-US" w:eastAsia="zh-CN"/>
              </w:rPr>
            </w:pPr>
            <w:r>
              <w:rPr>
                <w:rFonts w:hint="eastAsia" w:ascii="宋体" w:hAnsi="宋体" w:eastAsia="宋体" w:cs="宋体"/>
                <w:color w:val="auto"/>
                <w:highlight w:val="none"/>
                <w:lang w:val="en-US" w:eastAsia="zh-CN"/>
              </w:rPr>
              <w:t>NIST-A</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1</w:t>
            </w:r>
            <w:r>
              <w:rPr>
                <w:rFonts w:hint="eastAsia" w:ascii="宋体" w:hAnsi="宋体" w:eastAsia="宋体" w:cs="宋体"/>
                <w:color w:val="auto"/>
                <w:highlight w:val="none"/>
              </w:rPr>
              <w:t>～</w:t>
            </w:r>
            <w:r>
              <w:rPr>
                <w:rFonts w:hint="eastAsia" w:cs="宋体"/>
                <w:color w:val="auto"/>
                <w:highlight w:val="none"/>
                <w:lang w:val="en-US" w:eastAsia="zh-CN"/>
              </w:rPr>
              <w:t>20</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0.025</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02" w:hRule="atLeast"/>
          <w:jc w:val="center"/>
        </w:trPr>
        <w:tc>
          <w:tcPr>
            <w:tcW w:w="910"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highlight w:val="none"/>
              </w:rPr>
            </w:pP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highlight w:val="none"/>
              </w:rPr>
            </w:pPr>
          </w:p>
        </w:tc>
        <w:tc>
          <w:tcPr>
            <w:tcW w:w="1186" w:type="dxa"/>
            <w:vMerge w:val="continue"/>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highlight w:val="none"/>
              </w:rPr>
            </w:pPr>
          </w:p>
        </w:tc>
        <w:tc>
          <w:tcPr>
            <w:tcW w:w="1313"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cs="宋体"/>
                <w:color w:val="auto"/>
                <w:highlight w:val="none"/>
                <w:lang w:val="en-US" w:eastAsia="zh-CN"/>
              </w:rPr>
              <w:t>20</w:t>
            </w:r>
            <w:r>
              <w:rPr>
                <w:rFonts w:hint="eastAsia" w:ascii="宋体" w:hAnsi="宋体" w:eastAsia="宋体" w:cs="宋体"/>
                <w:color w:val="auto"/>
                <w:highlight w:val="none"/>
              </w:rPr>
              <w:t>～100</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3.12</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r>
    </w:tbl>
    <w:p>
      <w:pPr>
        <w:bidi w:val="0"/>
        <w:rPr>
          <w:rFonts w:hint="eastAsia" w:ascii="宋体" w:hAnsi="宋体" w:eastAsia="宋体" w:cs="宋体"/>
          <w:color w:val="auto"/>
          <w:highlight w:val="none"/>
        </w:rPr>
      </w:pPr>
      <w:r>
        <w:rPr>
          <w:rFonts w:hint="eastAsia" w:ascii="宋体" w:hAnsi="宋体" w:eastAsia="宋体" w:cs="宋体"/>
          <w:color w:val="auto"/>
          <w:highlight w:val="none"/>
        </w:rPr>
        <w:t>（2）设备层</w:t>
      </w:r>
    </w:p>
    <w:p>
      <w:pPr>
        <w:bidi w:val="0"/>
        <w:rPr>
          <w:rFonts w:hint="eastAsia" w:ascii="宋体" w:hAnsi="宋体" w:eastAsia="宋体" w:cs="宋体"/>
          <w:color w:val="auto"/>
          <w:kern w:val="0"/>
          <w:szCs w:val="21"/>
          <w:highlight w:val="none"/>
        </w:rPr>
      </w:pPr>
      <w:r>
        <w:rPr>
          <w:rFonts w:hint="eastAsia" w:ascii="宋体" w:hAnsi="宋体" w:eastAsia="宋体" w:cs="宋体"/>
          <w:color w:val="auto"/>
          <w:highlight w:val="none"/>
        </w:rPr>
        <w:t>集中排布各类空调送排风、冷热水、实验气/液体等工艺管道及相关机械设备。本项目采用一对一单独空调，以确保系统运行及维护的可靠性。</w:t>
      </w:r>
    </w:p>
    <w:p>
      <w:pPr>
        <w:autoSpaceDE w:val="0"/>
        <w:autoSpaceDN w:val="0"/>
        <w:adjustRightInd w:val="0"/>
        <w:spacing w:before="81"/>
        <w:ind w:right="-20"/>
        <w:jc w:val="left"/>
        <w:rPr>
          <w:rFonts w:hint="eastAsia" w:ascii="宋体" w:hAnsi="宋体" w:eastAsia="宋体" w:cs="宋体"/>
          <w:color w:val="auto"/>
          <w:kern w:val="0"/>
          <w:szCs w:val="21"/>
          <w:highlight w:val="none"/>
        </w:rPr>
        <w:sectPr>
          <w:pgSz w:w="11906" w:h="16838"/>
          <w:pgMar w:top="1440" w:right="1800" w:bottom="1440" w:left="1800" w:header="851" w:footer="992" w:gutter="0"/>
          <w:cols w:space="425" w:num="1"/>
          <w:docGrid w:type="lines" w:linePitch="312" w:charSpace="0"/>
        </w:sectPr>
      </w:pP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工艺需求表</w:t>
      </w:r>
    </w:p>
    <w:tbl>
      <w:tblPr>
        <w:tblStyle w:val="39"/>
        <w:tblW w:w="14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571"/>
        <w:gridCol w:w="1776"/>
        <w:gridCol w:w="1416"/>
        <w:gridCol w:w="885"/>
        <w:gridCol w:w="1108"/>
        <w:gridCol w:w="1108"/>
        <w:gridCol w:w="1330"/>
        <w:gridCol w:w="1108"/>
        <w:gridCol w:w="1108"/>
        <w:gridCol w:w="579"/>
        <w:gridCol w:w="88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61"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层数</w:t>
            </w:r>
          </w:p>
        </w:tc>
        <w:tc>
          <w:tcPr>
            <w:tcW w:w="1571"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实验室名称</w:t>
            </w:r>
          </w:p>
        </w:tc>
        <w:tc>
          <w:tcPr>
            <w:tcW w:w="1776"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实验室工作内容</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建筑面积</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防微振</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温度控制</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湿度控制</w:t>
            </w:r>
          </w:p>
        </w:tc>
        <w:tc>
          <w:tcPr>
            <w:tcW w:w="1330"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洁净度控制</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屏蔽要求</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接地电阻</w:t>
            </w:r>
          </w:p>
        </w:tc>
        <w:tc>
          <w:tcPr>
            <w:tcW w:w="579"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UPS</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冷却水</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超高灵敏极弱磁测量装置实验室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超高灵敏极弱磁测量及其应用装置研究</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800平米，净高6m</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温度控制精度±0.5℃</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1层200平米，2层1300平米</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超高灵敏极弱磁测量关键技术研究实验室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超高灵敏极弱磁测量设计的各项关键技术</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1500平米</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温度控制精度±1℃</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超高灵敏惯性测量装置研究实验室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进行超高灵敏惯性测量科学装置研究、集成测试.以及单项技术测试。</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900平米</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温度控制精度±0.5℃</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一层及以上</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超高灵敏惯性测量单项技术测试平台</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进行单项技术研发</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1500平米。</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温度控制精度±1℃</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861"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脑磁心磁测量单项技术攻关实验室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进行单项技术研发</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800平米</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常规</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常规</w:t>
            </w:r>
          </w:p>
        </w:tc>
        <w:tc>
          <w:tcPr>
            <w:tcW w:w="1330"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579"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常规</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861"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脑磁心磁测量实验室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高精度磁探头、脑磁测量装置、心磁测量装置研制</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800平方米，净高8m</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温度控制精度±1℃</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50±5%</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noWrap/>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常规</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加速度和极弱力大科学装置实验室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加速度测量和极弱力测量研究</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600平方</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温度控制精度±0.5℃</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预留冷却水接口</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1层及以上</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大科学装置关键技术验证实验室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科学装置的关键技术研究平台</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400平方</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温度控制精度±0.5℃</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50±10%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86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地下一层</w:t>
            </w: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重力仪研发实验室</w:t>
            </w:r>
          </w:p>
        </w:tc>
        <w:tc>
          <w:tcPr>
            <w:tcW w:w="177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重力仪研发及测试</w:t>
            </w:r>
          </w:p>
        </w:tc>
        <w:tc>
          <w:tcPr>
            <w:tcW w:w="141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18m*18m*4m</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温度控制精度±0.5℃</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50±20%</w:t>
            </w:r>
          </w:p>
        </w:tc>
        <w:tc>
          <w:tcPr>
            <w:tcW w:w="133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10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5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有</w:t>
            </w:r>
          </w:p>
        </w:tc>
        <w:tc>
          <w:tcPr>
            <w:tcW w:w="88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45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auto"/>
                <w:highlight w:val="none"/>
              </w:rPr>
            </w:pPr>
          </w:p>
        </w:tc>
      </w:tr>
    </w:tbl>
    <w:p>
      <w:pPr>
        <w:autoSpaceDE w:val="0"/>
        <w:autoSpaceDN w:val="0"/>
        <w:adjustRightInd w:val="0"/>
        <w:spacing w:before="81"/>
        <w:ind w:right="-20"/>
        <w:jc w:val="left"/>
        <w:rPr>
          <w:rFonts w:hint="eastAsia" w:ascii="宋体" w:hAnsi="宋体" w:eastAsia="宋体" w:cs="宋体"/>
          <w:color w:val="auto"/>
          <w:kern w:val="0"/>
          <w:szCs w:val="21"/>
          <w:highlight w:val="none"/>
        </w:rPr>
        <w:sectPr>
          <w:pgSz w:w="16838" w:h="11906" w:orient="landscape"/>
          <w:pgMar w:top="1800" w:right="1440" w:bottom="1800" w:left="1440" w:header="851" w:footer="992" w:gutter="0"/>
          <w:cols w:space="425" w:num="1"/>
          <w:docGrid w:type="lines" w:linePitch="312" w:charSpace="0"/>
        </w:sectPr>
      </w:pPr>
    </w:p>
    <w:p>
      <w:pPr>
        <w:bidi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pacing w:val="-2"/>
          <w:kern w:val="0"/>
          <w:szCs w:val="21"/>
          <w:highlight w:val="none"/>
        </w:rPr>
        <w:t>设</w:t>
      </w:r>
      <w:r>
        <w:rPr>
          <w:rFonts w:hint="eastAsia" w:ascii="宋体" w:hAnsi="宋体" w:eastAsia="宋体" w:cs="宋体"/>
          <w:b/>
          <w:bCs/>
          <w:color w:val="auto"/>
          <w:kern w:val="0"/>
          <w:szCs w:val="21"/>
          <w:highlight w:val="none"/>
        </w:rPr>
        <w:t>计</w:t>
      </w:r>
      <w:r>
        <w:rPr>
          <w:rFonts w:hint="eastAsia" w:ascii="宋体" w:hAnsi="宋体" w:eastAsia="宋体" w:cs="宋体"/>
          <w:b/>
          <w:bCs/>
          <w:color w:val="auto"/>
          <w:spacing w:val="-2"/>
          <w:kern w:val="0"/>
          <w:szCs w:val="21"/>
          <w:highlight w:val="none"/>
        </w:rPr>
        <w:t>人</w:t>
      </w:r>
      <w:r>
        <w:rPr>
          <w:rFonts w:hint="eastAsia" w:ascii="宋体" w:hAnsi="宋体" w:eastAsia="宋体" w:cs="宋体"/>
          <w:b/>
          <w:bCs/>
          <w:color w:val="auto"/>
          <w:kern w:val="0"/>
          <w:szCs w:val="21"/>
          <w:highlight w:val="none"/>
        </w:rPr>
        <w:t>员</w:t>
      </w:r>
      <w:r>
        <w:rPr>
          <w:rFonts w:hint="eastAsia" w:ascii="宋体" w:hAnsi="宋体" w:eastAsia="宋体" w:cs="宋体"/>
          <w:b/>
          <w:bCs/>
          <w:color w:val="auto"/>
          <w:spacing w:val="-2"/>
          <w:kern w:val="0"/>
          <w:szCs w:val="21"/>
          <w:highlight w:val="none"/>
        </w:rPr>
        <w:t>要</w:t>
      </w:r>
      <w:r>
        <w:rPr>
          <w:rFonts w:hint="eastAsia" w:ascii="宋体" w:hAnsi="宋体" w:eastAsia="宋体" w:cs="宋体"/>
          <w:b/>
          <w:bCs/>
          <w:color w:val="auto"/>
          <w:kern w:val="0"/>
          <w:szCs w:val="21"/>
          <w:highlight w:val="none"/>
        </w:rPr>
        <w:t>求</w:t>
      </w:r>
    </w:p>
    <w:p>
      <w:pPr>
        <w:autoSpaceDE w:val="0"/>
        <w:autoSpaceDN w:val="0"/>
        <w:adjustRightInd w:val="0"/>
        <w:spacing w:before="81"/>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招标项目涉及各专业人员配备齐全；</w:t>
      </w:r>
    </w:p>
    <w:p>
      <w:pPr>
        <w:autoSpaceDE w:val="0"/>
        <w:autoSpaceDN w:val="0"/>
        <w:adjustRightInd w:val="0"/>
        <w:spacing w:before="81"/>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设计及现场经验丰富，团队年龄结构合理；</w:t>
      </w:r>
    </w:p>
    <w:p>
      <w:pPr>
        <w:autoSpaceDE w:val="0"/>
        <w:autoSpaceDN w:val="0"/>
        <w:adjustRightInd w:val="0"/>
        <w:spacing w:before="81"/>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各专业之间相互协调配合，具有团队合作精神；</w:t>
      </w:r>
    </w:p>
    <w:p>
      <w:pPr>
        <w:autoSpaceDE w:val="0"/>
        <w:autoSpaceDN w:val="0"/>
        <w:adjustRightInd w:val="0"/>
        <w:spacing w:before="81"/>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具有优良服务意识，响应及时有效。</w:t>
      </w:r>
    </w:p>
    <w:p>
      <w:pPr>
        <w:bidi w:val="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spacing w:val="-2"/>
          <w:kern w:val="0"/>
          <w:szCs w:val="21"/>
          <w:highlight w:val="none"/>
        </w:rPr>
        <w:t>其</w:t>
      </w:r>
      <w:r>
        <w:rPr>
          <w:rFonts w:hint="eastAsia" w:ascii="宋体" w:hAnsi="宋体" w:eastAsia="宋体" w:cs="宋体"/>
          <w:b/>
          <w:bCs/>
          <w:color w:val="auto"/>
          <w:kern w:val="0"/>
          <w:szCs w:val="21"/>
          <w:highlight w:val="none"/>
        </w:rPr>
        <w:t>他</w:t>
      </w:r>
      <w:r>
        <w:rPr>
          <w:rFonts w:hint="eastAsia" w:ascii="宋体" w:hAnsi="宋体" w:eastAsia="宋体" w:cs="宋体"/>
          <w:b/>
          <w:bCs/>
          <w:color w:val="auto"/>
          <w:spacing w:val="-2"/>
          <w:kern w:val="0"/>
          <w:szCs w:val="21"/>
          <w:highlight w:val="none"/>
        </w:rPr>
        <w:t>要</w:t>
      </w:r>
      <w:r>
        <w:rPr>
          <w:rFonts w:hint="eastAsia" w:ascii="宋体" w:hAnsi="宋体" w:eastAsia="宋体" w:cs="宋体"/>
          <w:b/>
          <w:bCs/>
          <w:color w:val="auto"/>
          <w:kern w:val="0"/>
          <w:szCs w:val="21"/>
          <w:highlight w:val="none"/>
        </w:rPr>
        <w:t>求</w:t>
      </w:r>
    </w:p>
    <w:p>
      <w:pPr>
        <w:autoSpaceDE w:val="0"/>
        <w:autoSpaceDN w:val="0"/>
        <w:adjustRightInd w:val="0"/>
        <w:spacing w:before="83"/>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本项目提出的各实验室工艺参数须同时满足，各设计成果文件须具实际可操作性；</w:t>
      </w:r>
    </w:p>
    <w:p>
      <w:pPr>
        <w:autoSpaceDE w:val="0"/>
        <w:autoSpaceDN w:val="0"/>
        <w:adjustRightInd w:val="0"/>
        <w:spacing w:before="83"/>
        <w:ind w:left="46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各项设计成果文件须满足相应设计阶段成果深度的规范要求，且不得因本项进行施工图深化设计而将部分成果简化或省略；</w:t>
      </w:r>
    </w:p>
    <w:p>
      <w:pPr>
        <w:autoSpaceDE w:val="0"/>
        <w:autoSpaceDN w:val="0"/>
        <w:adjustRightInd w:val="0"/>
        <w:spacing w:before="83"/>
        <w:ind w:left="460" w:right="-20"/>
        <w:jc w:val="left"/>
        <w:rPr>
          <w:rFonts w:hint="eastAsia"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设计人应做好各专业设计总图及综合排布工作</w:t>
      </w:r>
      <w:r>
        <w:rPr>
          <w:rFonts w:hint="eastAsia" w:cs="宋体"/>
          <w:color w:val="auto"/>
          <w:kern w:val="0"/>
          <w:szCs w:val="21"/>
          <w:highlight w:val="none"/>
          <w:lang w:eastAsia="zh-CN"/>
        </w:rPr>
        <w:t>；</w:t>
      </w:r>
    </w:p>
    <w:p>
      <w:pPr>
        <w:autoSpaceDE w:val="0"/>
        <w:autoSpaceDN w:val="0"/>
        <w:adjustRightInd w:val="0"/>
        <w:spacing w:before="83"/>
        <w:ind w:left="460" w:right="-20"/>
        <w:jc w:val="left"/>
        <w:rPr>
          <w:rFonts w:hint="eastAsia" w:cs="宋体"/>
          <w:color w:val="auto"/>
          <w:sz w:val="24"/>
          <w:szCs w:val="24"/>
          <w:highlight w:val="none"/>
          <w:lang w:eastAsia="zh-CN"/>
        </w:rPr>
      </w:pPr>
      <w:r>
        <w:rPr>
          <w:rFonts w:hint="eastAsia" w:cs="宋体"/>
          <w:color w:val="auto"/>
          <w:kern w:val="0"/>
          <w:szCs w:val="21"/>
          <w:highlight w:val="none"/>
          <w:lang w:eastAsia="zh-CN"/>
        </w:rPr>
        <w:t>（</w:t>
      </w:r>
      <w:r>
        <w:rPr>
          <w:rFonts w:hint="eastAsia" w:cs="宋体"/>
          <w:color w:val="auto"/>
          <w:kern w:val="0"/>
          <w:szCs w:val="21"/>
          <w:highlight w:val="none"/>
          <w:lang w:val="en-US" w:eastAsia="zh-CN"/>
        </w:rPr>
        <w:t>4</w:t>
      </w:r>
      <w:r>
        <w:rPr>
          <w:rFonts w:hint="eastAsia" w:cs="宋体"/>
          <w:color w:val="auto"/>
          <w:kern w:val="0"/>
          <w:szCs w:val="21"/>
          <w:highlight w:val="none"/>
          <w:lang w:eastAsia="zh-CN"/>
        </w:rPr>
        <w:t>）</w:t>
      </w:r>
      <w:r>
        <w:rPr>
          <w:rFonts w:hint="eastAsia" w:ascii="宋体" w:hAnsi="宋体" w:eastAsia="宋体" w:cs="宋体"/>
          <w:color w:val="auto"/>
          <w:sz w:val="24"/>
          <w:szCs w:val="24"/>
          <w:highlight w:val="none"/>
          <w:lang w:eastAsia="zh-CN"/>
        </w:rPr>
        <w:t>本工程位于地下二层，须按现行规范要求设置消防系统，包括建筑消防系统、水消防系统、防排烟系统及火灾自动报警系统等</w:t>
      </w:r>
      <w:r>
        <w:rPr>
          <w:rFonts w:hint="eastAsia" w:cs="宋体"/>
          <w:color w:val="auto"/>
          <w:sz w:val="24"/>
          <w:szCs w:val="24"/>
          <w:highlight w:val="none"/>
          <w:lang w:eastAsia="zh-CN"/>
        </w:rPr>
        <w:t>；</w:t>
      </w:r>
    </w:p>
    <w:p>
      <w:pPr>
        <w:autoSpaceDE w:val="0"/>
        <w:autoSpaceDN w:val="0"/>
        <w:adjustRightInd w:val="0"/>
        <w:spacing w:before="83"/>
        <w:ind w:left="460" w:right="-20"/>
        <w:jc w:val="left"/>
        <w:rPr>
          <w:rFonts w:hint="default" w:ascii="宋体" w:hAnsi="宋体" w:eastAsia="宋体" w:cs="宋体"/>
          <w:color w:val="auto"/>
          <w:kern w:val="0"/>
          <w:szCs w:val="21"/>
          <w:highlight w:val="none"/>
          <w:lang w:val="en-US"/>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5</w:t>
      </w:r>
      <w:r>
        <w:rPr>
          <w:rFonts w:hint="eastAsia" w:cs="宋体"/>
          <w:color w:val="auto"/>
          <w:sz w:val="24"/>
          <w:szCs w:val="24"/>
          <w:highlight w:val="none"/>
          <w:lang w:eastAsia="zh-CN"/>
        </w:rPr>
        <w:t>）根据业主提出的智慧园区运维需求，提供感知、监测和控制的接口。为确保实验室空间满足用户的日常科研活动需求，并在运营阶段实现数字化环境监控，要求工艺设计单位对实验室每个系统的工作原理进行系统性设计后提资给设计院，供其整体设计实施。</w:t>
      </w:r>
    </w:p>
    <w:p>
      <w:pPr>
        <w:pStyle w:val="6"/>
        <w:bidi w:val="0"/>
        <w:rPr>
          <w:rFonts w:hint="eastAsia" w:ascii="宋体" w:hAnsi="宋体" w:eastAsia="宋体" w:cs="宋体"/>
          <w:color w:val="auto"/>
          <w:highlight w:val="none"/>
        </w:rPr>
        <w:sectPr>
          <w:footerReference r:id="rId14" w:type="default"/>
          <w:pgSz w:w="11907" w:h="16840"/>
          <w:pgMar w:top="1247" w:right="1304" w:bottom="1021" w:left="1304" w:header="720" w:footer="720" w:gutter="0"/>
          <w:cols w:space="720" w:num="1"/>
          <w:docGrid w:linePitch="32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标项二：二号楼工艺设计</w:t>
      </w:r>
      <w:r>
        <w:rPr>
          <w:rFonts w:hint="eastAsia" w:ascii="宋体" w:hAnsi="宋体" w:eastAsia="宋体" w:cs="宋体"/>
          <w:color w:val="auto"/>
          <w:highlight w:val="none"/>
          <w:lang w:eastAsia="zh-CN"/>
        </w:rPr>
        <w:t>，三、四号楼防微振动专项设计</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（一）项目概况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本项目位于之江实验室2#楼，地上四层，面积约8000平方米（按实）。</w:t>
      </w:r>
    </w:p>
    <w:p>
      <w:pPr>
        <w:pStyle w:val="6"/>
        <w:bidi w:val="0"/>
        <w:rPr>
          <w:rFonts w:hint="eastAsia" w:ascii="宋体" w:hAnsi="宋体" w:eastAsia="宋体" w:cs="宋体"/>
          <w:b/>
          <w:color w:val="auto"/>
          <w:kern w:val="0"/>
          <w:highlight w:val="none"/>
        </w:rPr>
      </w:pPr>
      <w:r>
        <w:rPr>
          <w:rFonts w:hint="eastAsia" w:ascii="宋体" w:hAnsi="宋体" w:eastAsia="宋体" w:cs="宋体"/>
          <w:b/>
          <w:color w:val="auto"/>
          <w:highlight w:val="none"/>
        </w:rPr>
        <w:t>（二）</w:t>
      </w:r>
      <w:r>
        <w:rPr>
          <w:rFonts w:hint="eastAsia" w:ascii="宋体" w:hAnsi="宋体" w:eastAsia="宋体" w:cs="宋体"/>
          <w:b/>
          <w:color w:val="auto"/>
          <w:kern w:val="0"/>
          <w:highlight w:val="none"/>
        </w:rPr>
        <w:t>设计依据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项目须满足现行规范要求设计。</w:t>
      </w:r>
    </w:p>
    <w:p>
      <w:pPr>
        <w:pStyle w:val="6"/>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实验室功能要求</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一楼：</w:t>
      </w:r>
    </w:p>
    <w:p>
      <w:pPr>
        <w:pStyle w:val="75"/>
        <w:spacing w:line="360" w:lineRule="auto"/>
        <w:ind w:firstLine="0" w:firstLineChars="0"/>
        <w:jc w:val="center"/>
        <w:rPr>
          <w:rFonts w:hint="eastAsia" w:ascii="宋体" w:hAnsi="宋体" w:eastAsia="宋体" w:cs="宋体"/>
          <w:color w:val="auto"/>
          <w:sz w:val="24"/>
          <w:szCs w:val="24"/>
          <w:highlight w:val="none"/>
        </w:rPr>
      </w:pPr>
      <w:bookmarkStart w:id="15" w:name="_Toc373667876"/>
      <w:r>
        <w:rPr>
          <w:rFonts w:hint="eastAsia" w:ascii="宋体" w:hAnsi="宋体" w:eastAsia="宋体" w:cs="宋体"/>
          <w:color w:val="auto"/>
          <w:highlight w:val="none"/>
        </w:rPr>
        <w:drawing>
          <wp:inline distT="0" distB="0" distL="0" distR="0">
            <wp:extent cx="5940425" cy="4746625"/>
            <wp:effectExtent l="0" t="0" r="317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5940425" cy="4746625"/>
                    </a:xfrm>
                    <a:prstGeom prst="rect">
                      <a:avLst/>
                    </a:prstGeom>
                  </pic:spPr>
                </pic:pic>
              </a:graphicData>
            </a:graphic>
          </wp:inline>
        </w:drawing>
      </w:r>
    </w:p>
    <w:p>
      <w:pPr>
        <w:pStyle w:val="75"/>
        <w:spacing w:line="360" w:lineRule="auto"/>
        <w:ind w:firstLine="0" w:firstLineChars="0"/>
        <w:rPr>
          <w:rFonts w:hint="eastAsia" w:ascii="宋体" w:hAnsi="宋体" w:eastAsia="宋体" w:cs="宋体"/>
          <w:bCs/>
          <w:color w:val="auto"/>
          <w:sz w:val="28"/>
          <w:szCs w:val="28"/>
          <w:highlight w:val="none"/>
        </w:rPr>
        <w:sectPr>
          <w:pgSz w:w="11907" w:h="16840"/>
          <w:pgMar w:top="1247" w:right="1304" w:bottom="1021" w:left="1304" w:header="720" w:footer="720" w:gutter="0"/>
          <w:cols w:space="720" w:num="1"/>
          <w:docGrid w:linePitch="326" w:charSpace="0"/>
        </w:sect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二楼：</w:t>
      </w:r>
    </w:p>
    <w:p>
      <w:pPr>
        <w:pStyle w:val="75"/>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inline distT="0" distB="0" distL="0" distR="0">
            <wp:extent cx="5940425" cy="4631055"/>
            <wp:effectExtent l="0" t="0" r="317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5940425" cy="4631055"/>
                    </a:xfrm>
                    <a:prstGeom prst="rect">
                      <a:avLst/>
                    </a:prstGeom>
                  </pic:spPr>
                </pic:pic>
              </a:graphicData>
            </a:graphic>
          </wp:inline>
        </w:drawing>
      </w:r>
    </w:p>
    <w:p>
      <w:pPr>
        <w:pStyle w:val="75"/>
        <w:spacing w:line="360" w:lineRule="auto"/>
        <w:ind w:firstLine="0" w:firstLineChars="0"/>
        <w:rPr>
          <w:rFonts w:hint="eastAsia" w:ascii="宋体" w:hAnsi="宋体" w:eastAsia="宋体" w:cs="宋体"/>
          <w:bCs/>
          <w:color w:val="auto"/>
          <w:sz w:val="28"/>
          <w:szCs w:val="28"/>
          <w:highlight w:val="none"/>
        </w:rPr>
        <w:sectPr>
          <w:pgSz w:w="11907" w:h="16840"/>
          <w:pgMar w:top="1247" w:right="1304" w:bottom="1021" w:left="1304" w:header="720" w:footer="720" w:gutter="0"/>
          <w:cols w:space="720" w:num="1"/>
          <w:docGrid w:linePitch="326" w:charSpace="0"/>
        </w:sect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三楼：</w:t>
      </w:r>
    </w:p>
    <w:p>
      <w:pPr>
        <w:pStyle w:val="75"/>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inline distT="0" distB="0" distL="0" distR="0">
            <wp:extent cx="5940425" cy="4608195"/>
            <wp:effectExtent l="0" t="0" r="317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5940425" cy="4608195"/>
                    </a:xfrm>
                    <a:prstGeom prst="rect">
                      <a:avLst/>
                    </a:prstGeom>
                  </pic:spPr>
                </pic:pic>
              </a:graphicData>
            </a:graphic>
          </wp:inline>
        </w:drawing>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四楼：</w:t>
      </w:r>
    </w:p>
    <w:p>
      <w:pPr>
        <w:pStyle w:val="75"/>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inline distT="0" distB="0" distL="0" distR="0">
            <wp:extent cx="5940425" cy="625475"/>
            <wp:effectExtent l="0" t="0" r="317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5940425" cy="625475"/>
                    </a:xfrm>
                    <a:prstGeom prst="rect">
                      <a:avLst/>
                    </a:prstGeom>
                  </pic:spPr>
                </pic:pic>
              </a:graphicData>
            </a:graphic>
          </wp:inline>
        </w:drawing>
      </w:r>
    </w:p>
    <w:bookmarkEnd w:id="15"/>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人流描述：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实验室人员由西侧入口进入2#楼A区，经过缓冲间（带门卫登记功能）后进入换鞋处，脱鞋脱外衣后进入二更，换上洁净服后进入各洁净实验区。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各楼层情况大致相同。</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物流描述：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物料由西侧入口进入2#楼A区，在缓冲间拆包后进入洁净实验室。二至四层通过楼梯或电梯送至各楼层，再经过缓冲间拆包后进入洁净实验室。</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设备move in及检修描述：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设备move in及检修由东侧设备入口进出。二至四层通过电梯送至各楼层。</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人员：</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本项目为实验室项目，人员单班制，每层约50人，总共200人。</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 xml:space="preserve">公用介质： </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自来水。</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配电、大宗气体、冷源、热源。</w:t>
      </w:r>
    </w:p>
    <w:p>
      <w:pPr>
        <w:pStyle w:val="6"/>
        <w:bidi w:val="0"/>
        <w:rPr>
          <w:rFonts w:hint="eastAsia" w:ascii="宋体" w:hAnsi="宋体" w:eastAsia="宋体" w:cs="宋体"/>
          <w:color w:val="auto"/>
          <w:highlight w:val="none"/>
        </w:rPr>
      </w:pPr>
      <w:bookmarkStart w:id="16" w:name="_Toc373667885"/>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实验室公用系统设计要求</w:t>
      </w:r>
      <w:bookmarkEnd w:id="16"/>
      <w:r>
        <w:rPr>
          <w:rFonts w:hint="eastAsia" w:ascii="宋体" w:hAnsi="宋体" w:eastAsia="宋体" w:cs="宋体"/>
          <w:color w:val="auto"/>
          <w:highlight w:val="none"/>
        </w:rPr>
        <w:t xml:space="preserve"> </w:t>
      </w:r>
    </w:p>
    <w:p>
      <w:pPr>
        <w:bidi w:val="0"/>
        <w:rPr>
          <w:rFonts w:hint="eastAsia" w:ascii="宋体" w:hAnsi="宋体" w:eastAsia="宋体" w:cs="宋体"/>
          <w:b/>
          <w:bCs/>
          <w:color w:val="auto"/>
          <w:highlight w:val="none"/>
        </w:rPr>
      </w:pPr>
      <w:bookmarkStart w:id="17" w:name="_Toc373667886"/>
      <w:r>
        <w:rPr>
          <w:rFonts w:hint="eastAsia" w:ascii="宋体" w:hAnsi="宋体" w:eastAsia="宋体" w:cs="宋体"/>
          <w:b/>
          <w:bCs/>
          <w:color w:val="auto"/>
          <w:highlight w:val="none"/>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总则</w:t>
      </w:r>
      <w:bookmarkEnd w:id="17"/>
      <w:r>
        <w:rPr>
          <w:rFonts w:hint="eastAsia" w:ascii="宋体" w:hAnsi="宋体" w:eastAsia="宋体" w:cs="宋体"/>
          <w:b/>
          <w:bCs/>
          <w:color w:val="auto"/>
          <w:highlight w:val="none"/>
        </w:rPr>
        <w:t xml:space="preserve"> </w:t>
      </w:r>
    </w:p>
    <w:tbl>
      <w:tblPr>
        <w:tblStyle w:val="3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需求编号</w:t>
            </w:r>
          </w:p>
        </w:tc>
        <w:tc>
          <w:tcPr>
            <w:tcW w:w="7798"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240"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aps/>
                <w:snapToGrid/>
                <w:color w:val="auto"/>
                <w:sz w:val="24"/>
                <w:szCs w:val="24"/>
                <w:highlight w:val="none"/>
                <w:lang w:eastAsia="zh-CN"/>
              </w:rPr>
            </w:pPr>
            <w:r>
              <w:rPr>
                <w:rFonts w:hint="eastAsia" w:ascii="宋体" w:hAnsi="宋体" w:eastAsia="宋体" w:cs="宋体"/>
                <w:bCs/>
                <w:caps/>
                <w:snapToGrid/>
                <w:color w:val="auto"/>
                <w:sz w:val="24"/>
                <w:szCs w:val="24"/>
                <w:highlight w:val="none"/>
                <w:lang w:eastAsia="en-US"/>
              </w:rPr>
              <w:t>0</w:t>
            </w:r>
            <w:r>
              <w:rPr>
                <w:rFonts w:hint="eastAsia" w:ascii="宋体" w:hAnsi="宋体" w:eastAsia="宋体" w:cs="宋体"/>
                <w:bCs/>
                <w:caps/>
                <w:snapToGrid/>
                <w:color w:val="auto"/>
                <w:sz w:val="24"/>
                <w:szCs w:val="24"/>
                <w:highlight w:val="none"/>
                <w:lang w:eastAsia="zh-CN"/>
              </w:rPr>
              <w:t>01</w:t>
            </w:r>
          </w:p>
        </w:tc>
        <w:tc>
          <w:tcPr>
            <w:tcW w:w="779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实验室公用系统设计应本着节能、环保思路考虑。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002</w:t>
            </w:r>
          </w:p>
        </w:tc>
        <w:tc>
          <w:tcPr>
            <w:tcW w:w="779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实验室的用电、冷源、热源、自来水由外部接入。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004</w:t>
            </w:r>
          </w:p>
        </w:tc>
        <w:tc>
          <w:tcPr>
            <w:tcW w:w="779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配合主体结构设计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005</w:t>
            </w:r>
          </w:p>
        </w:tc>
        <w:tc>
          <w:tcPr>
            <w:tcW w:w="779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配合施工深化图的bim建模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006</w:t>
            </w:r>
          </w:p>
        </w:tc>
        <w:tc>
          <w:tcPr>
            <w:tcW w:w="779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Cs w:val="24"/>
                <w:highlight w:val="none"/>
                <w:lang w:val="en-US" w:eastAsia="zh-CN"/>
              </w:rPr>
            </w:pPr>
            <w:r>
              <w:rPr>
                <w:rFonts w:hint="eastAsia" w:ascii="宋体" w:hAnsi="宋体" w:eastAsia="宋体" w:cs="宋体"/>
                <w:b w:val="0"/>
                <w:bCs/>
                <w:color w:val="auto"/>
                <w:szCs w:val="24"/>
                <w:highlight w:val="none"/>
                <w:lang w:eastAsia="zh-CN"/>
              </w:rPr>
              <w:t>关键节点到现场指导工作</w:t>
            </w:r>
          </w:p>
        </w:tc>
      </w:tr>
    </w:tbl>
    <w:p>
      <w:pPr>
        <w:spacing w:line="360" w:lineRule="auto"/>
        <w:rPr>
          <w:rFonts w:hint="eastAsia" w:ascii="宋体" w:hAnsi="宋体" w:eastAsia="宋体" w:cs="宋体"/>
          <w:b/>
          <w:color w:val="auto"/>
          <w:sz w:val="24"/>
          <w:szCs w:val="24"/>
          <w:highlight w:val="none"/>
        </w:rPr>
      </w:pPr>
      <w:bookmarkStart w:id="18" w:name="_Toc373667887"/>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细则</w:t>
      </w:r>
      <w:bookmarkEnd w:id="18"/>
      <w:r>
        <w:rPr>
          <w:rFonts w:hint="eastAsia" w:ascii="宋体" w:hAnsi="宋体" w:eastAsia="宋体" w:cs="宋体"/>
          <w:b/>
          <w:bCs/>
          <w:color w:val="auto"/>
          <w:highlight w:val="none"/>
        </w:rPr>
        <w:t xml:space="preserve"> </w:t>
      </w:r>
    </w:p>
    <w:tbl>
      <w:tblPr>
        <w:tblStyle w:val="3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blHeade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需求编号</w:t>
            </w:r>
          </w:p>
        </w:tc>
        <w:tc>
          <w:tcPr>
            <w:tcW w:w="7798"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0"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aps/>
                <w:snapToGrid/>
                <w:color w:val="auto"/>
                <w:sz w:val="24"/>
                <w:szCs w:val="24"/>
                <w:highlight w:val="none"/>
                <w:lang w:eastAsia="zh-CN"/>
              </w:rPr>
            </w:pPr>
            <w:r>
              <w:rPr>
                <w:rFonts w:hint="eastAsia" w:ascii="宋体" w:hAnsi="宋体" w:eastAsia="宋体" w:cs="宋体"/>
                <w:bCs/>
                <w:caps/>
                <w:snapToGrid/>
                <w:color w:val="auto"/>
                <w:sz w:val="24"/>
                <w:szCs w:val="24"/>
                <w:highlight w:val="none"/>
                <w:lang w:eastAsia="en-US"/>
              </w:rPr>
              <w:t>0</w:t>
            </w:r>
            <w:r>
              <w:rPr>
                <w:rFonts w:hint="eastAsia" w:ascii="宋体" w:hAnsi="宋体" w:eastAsia="宋体" w:cs="宋体"/>
                <w:bCs/>
                <w:caps/>
                <w:snapToGrid/>
                <w:color w:val="auto"/>
                <w:sz w:val="24"/>
                <w:szCs w:val="24"/>
                <w:highlight w:val="none"/>
                <w:lang w:eastAsia="zh-CN"/>
              </w:rPr>
              <w:t>01</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消防要求：</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本工程须按现行规范要求设置消防系统，包括建筑消防系统、水消防系统、防排烟系统及火灾自动报警系统等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002</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内装要求：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）地面：洁净实验室采用防静电PVC地板</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）内部墙面：彩钢板</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）洁净室吊顶：FFU轻钢龙骨吊顶，吊顶高度为3米，其中精密测试区局部吊顶高度为3.5米。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003</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抗微振要求：</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精密测试区、核磁陀螺装置和Serf陀螺装置实验室要求VC-D，需要设隔振基础。其中，精密测试区中3个2*3m的隔振基础共用一个基础，3*3m的隔振基础单独设置，其余设备共用一个隔振基础。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004</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水系统：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）原子气室制备间需设置自来水上水点</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）原子气室制备间需设置废水点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6" w:hRule="atLeast"/>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005</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大宗气体系统：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 xml:space="preserve">）实验室需设置大宗气体系统，大宗气体系统包括氮气、氧气和氢气。 </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）指标如下：</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left="72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0" distR="0">
                  <wp:extent cx="3914140" cy="2199640"/>
                  <wp:effectExtent l="0" t="0" r="10160" b="10160"/>
                  <wp:docPr id="7" name="图片 7" descr="C:\Users\edri049\AppData\Local\Temp\WeChat Files\f62c353154b8db404c98f3f633f44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edri049\AppData\Local\Temp\WeChat Files\f62c353154b8db404c98f3f633f44c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962360" cy="222675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006</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空调系统：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）空调系统设计应符合法规要求。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）实验室的空调系统均按照分区设计。</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）采用PLC或DDC控制系统，温湿度、风量能自控。</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）排风和回风应同时设计，应有节能措施。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007</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冷源：</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）冷源由园区动力站接入，主要用于空调除湿、降温使用，设计方计算热负荷后反馈冷负荷需求。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）空调用冷水能够保证洁净区内的工艺房间湿度能够达到工艺要求。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bCs/>
                <w:color w:val="auto"/>
                <w:szCs w:val="24"/>
                <w:highlight w:val="none"/>
                <w:lang w:eastAsia="zh-CN"/>
              </w:rPr>
              <w:t>008</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热源：</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热源由园区动力站接入，主要用于空调加热使用，设计方计算热负荷后反馈热负荷需求。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24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009</w:t>
            </w:r>
          </w:p>
        </w:tc>
        <w:tc>
          <w:tcPr>
            <w:tcW w:w="779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电气要求：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）常用220/380V电源，由园区变电站引来。</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）有接地要求。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）各功能间需预留电话、网络及监控，更衣室及实验室设置门禁。</w:t>
            </w:r>
          </w:p>
        </w:tc>
      </w:tr>
    </w:tbl>
    <w:p>
      <w:pPr>
        <w:pStyle w:val="6"/>
        <w:bidi w:val="0"/>
        <w:rPr>
          <w:rFonts w:hint="default"/>
          <w:highlight w:val="none"/>
          <w:lang w:val="en-US"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其他要求</w:t>
      </w:r>
    </w:p>
    <w:p>
      <w:pPr>
        <w:bidi w:val="0"/>
        <w:rPr>
          <w:rFonts w:hint="eastAsia"/>
          <w:highlight w:val="none"/>
        </w:rPr>
        <w:sectPr>
          <w:pgSz w:w="11907" w:h="16840"/>
          <w:pgMar w:top="1247" w:right="1304" w:bottom="1021" w:left="1304" w:header="720" w:footer="720" w:gutter="0"/>
          <w:cols w:space="720" w:num="1"/>
          <w:docGrid w:linePitch="326" w:charSpace="0"/>
        </w:sectPr>
      </w:pPr>
      <w:r>
        <w:rPr>
          <w:rFonts w:hint="eastAsia"/>
          <w:highlight w:val="none"/>
          <w:lang w:eastAsia="zh-CN"/>
        </w:rPr>
        <w:t>根据业主提出的智慧园区运维需求，提供感知、监测和控制的接口。为确保实验室空间满足用户的日常科研活动需求，并在运营阶段实现数字化环境监控，要求工艺设计单位对实验室每个系统的工作原理进行系统性设计后提资给设计院，供其整体设计实施。</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标项</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四号楼工艺设计</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rPr>
        <w:t>（一）项目概况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本项目位于之江实验室4#楼，</w:t>
      </w:r>
      <w:r>
        <w:rPr>
          <w:rFonts w:hint="eastAsia"/>
          <w:b/>
          <w:bCs/>
          <w:highlight w:val="none"/>
          <w:lang w:val="en-US" w:eastAsia="zh-CN"/>
        </w:rPr>
        <w:t>四号楼工艺设计招标范围为1-5层，共计约9000平方米（按实），无明确使用需求的区域按照相关通用工艺设计并进行预留</w:t>
      </w:r>
      <w:r>
        <w:rPr>
          <w:rFonts w:hint="eastAsia" w:ascii="宋体" w:hAnsi="宋体" w:eastAsia="宋体" w:cs="宋体"/>
          <w:color w:val="auto"/>
          <w:highlight w:val="none"/>
        </w:rPr>
        <w:t>。</w:t>
      </w:r>
    </w:p>
    <w:p>
      <w:pPr>
        <w:pStyle w:val="6"/>
        <w:bidi w:val="0"/>
        <w:rPr>
          <w:rFonts w:hint="eastAsia" w:ascii="宋体" w:hAnsi="宋体" w:eastAsia="宋体" w:cs="宋体"/>
          <w:b/>
          <w:color w:val="auto"/>
          <w:kern w:val="0"/>
          <w:highlight w:val="none"/>
        </w:rPr>
      </w:pPr>
      <w:r>
        <w:rPr>
          <w:rFonts w:hint="eastAsia" w:ascii="宋体" w:hAnsi="宋体" w:eastAsia="宋体" w:cs="宋体"/>
          <w:b/>
          <w:color w:val="auto"/>
          <w:highlight w:val="none"/>
        </w:rPr>
        <w:t>（二）</w:t>
      </w:r>
      <w:r>
        <w:rPr>
          <w:rFonts w:hint="eastAsia" w:ascii="宋体" w:hAnsi="宋体" w:eastAsia="宋体" w:cs="宋体"/>
          <w:b/>
          <w:color w:val="auto"/>
          <w:kern w:val="0"/>
          <w:highlight w:val="none"/>
        </w:rPr>
        <w:t>设计依据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项目须满足现行规范要求设计。</w:t>
      </w:r>
    </w:p>
    <w:p>
      <w:pPr>
        <w:pStyle w:val="6"/>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实验室功能要求</w:t>
      </w:r>
    </w:p>
    <w:p>
      <w:pPr>
        <w:pStyle w:val="2"/>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drawing>
          <wp:inline distT="0" distB="0" distL="0" distR="0">
            <wp:extent cx="5519420" cy="2000885"/>
            <wp:effectExtent l="0" t="0" r="5080" b="18415"/>
            <wp:docPr id="3" name="图片 3" descr="C:\Users\edri030\AppData\Local\Temp\15602687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edri030\AppData\Local\Temp\1560268748(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55614" cy="2014393"/>
                    </a:xfrm>
                    <a:prstGeom prst="rect">
                      <a:avLst/>
                    </a:prstGeom>
                    <a:noFill/>
                    <a:ln>
                      <a:noFill/>
                    </a:ln>
                  </pic:spPr>
                </pic:pic>
              </a:graphicData>
            </a:graphic>
          </wp:inline>
        </w:drawing>
      </w:r>
    </w:p>
    <w:p>
      <w:pPr>
        <w:pStyle w:val="2"/>
        <w:rPr>
          <w:rFonts w:hint="eastAsia" w:ascii="宋体" w:hAnsi="宋体" w:eastAsia="宋体" w:cs="宋体"/>
          <w:color w:val="auto"/>
          <w:highlight w:val="none"/>
        </w:rPr>
      </w:pP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人流描述：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实验室人员由北侧楼梯或客梯进入地下二层，通过走道至更衣室，脱鞋脱外衣后通过风淋进入缓冲间，缓冲间放置二更衣物，换上洁净服后进入操作间、万级洁净光学暗室及千级洁净光学暗室。</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物流描述：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物料由南侧楼梯或电梯进入地下二层，在缓冲间拆包后进入洁净室。</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设备move in及检修描述</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设备move in及检修由南侧电梯进出。</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人员：</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本项目为实验室项目，人员单班制，约10人。</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 xml:space="preserve">公用介质：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①自来水。</w:t>
      </w:r>
    </w:p>
    <w:p>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②</w:t>
      </w:r>
      <w:r>
        <w:rPr>
          <w:rFonts w:hint="eastAsia" w:ascii="宋体" w:hAnsi="宋体" w:eastAsia="宋体" w:cs="宋体"/>
          <w:color w:val="auto"/>
          <w:highlight w:val="none"/>
        </w:rPr>
        <w:t>配电、空压、真空、大宗气体、冷源、热源.</w:t>
      </w:r>
    </w:p>
    <w:p>
      <w:pPr>
        <w:spacing w:line="360" w:lineRule="auto"/>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326" w:charSpace="0"/>
        </w:sectPr>
      </w:pP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 xml:space="preserve">实验室公用系统设计要求 </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 xml:space="preserve">总则 </w:t>
      </w:r>
    </w:p>
    <w:tbl>
      <w:tblPr>
        <w:tblStyle w:val="3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需求编号</w:t>
            </w:r>
          </w:p>
        </w:tc>
        <w:tc>
          <w:tcPr>
            <w:tcW w:w="7748"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aps/>
                <w:snapToGrid/>
                <w:color w:val="auto"/>
                <w:sz w:val="24"/>
                <w:szCs w:val="24"/>
                <w:highlight w:val="none"/>
                <w:lang w:eastAsia="zh-CN"/>
              </w:rPr>
            </w:pPr>
            <w:r>
              <w:rPr>
                <w:rFonts w:hint="eastAsia" w:ascii="宋体" w:hAnsi="宋体" w:eastAsia="宋体" w:cs="宋体"/>
                <w:bCs/>
                <w:caps/>
                <w:snapToGrid/>
                <w:color w:val="auto"/>
                <w:sz w:val="24"/>
                <w:szCs w:val="24"/>
                <w:highlight w:val="none"/>
                <w:lang w:eastAsia="en-US"/>
              </w:rPr>
              <w:t>0</w:t>
            </w:r>
            <w:r>
              <w:rPr>
                <w:rFonts w:hint="eastAsia" w:ascii="宋体" w:hAnsi="宋体" w:eastAsia="宋体" w:cs="宋体"/>
                <w:bCs/>
                <w:caps/>
                <w:snapToGrid/>
                <w:color w:val="auto"/>
                <w:sz w:val="24"/>
                <w:szCs w:val="24"/>
                <w:highlight w:val="none"/>
                <w:lang w:eastAsia="zh-CN"/>
              </w:rPr>
              <w:t>01</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实验室公用系统设计应本着节能、环保思路考虑。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002</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实验室的排水根据排水的性质分类收集。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003</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实验室的冷源、热源、电、自来水由外部接入。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004</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配合主体结构设计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005</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配合施工深化图的bim建模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006</w:t>
            </w:r>
          </w:p>
        </w:tc>
        <w:tc>
          <w:tcPr>
            <w:tcW w:w="7748" w:type="dxa"/>
            <w:vAlign w:val="center"/>
          </w:tcPr>
          <w:p>
            <w:pPr>
              <w:pStyle w:val="183"/>
              <w:keepNext w:val="0"/>
              <w:keepLines w:val="0"/>
              <w:pageBreakBefore w:val="0"/>
              <w:widowControl/>
              <w:tabs>
                <w:tab w:val="center" w:pos="2268"/>
                <w:tab w:val="right" w:pos="5387"/>
              </w:tabs>
              <w:kinsoku/>
              <w:wordWrap/>
              <w:overflowPunct/>
              <w:topLinePunct w:val="0"/>
              <w:autoSpaceDE/>
              <w:autoSpaceDN/>
              <w:bidi w:val="0"/>
              <w:adjustRightInd/>
              <w:snapToGrid/>
              <w:spacing w:before="0" w:after="0" w:line="360" w:lineRule="auto"/>
              <w:ind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关键节点到现场指导工作</w:t>
            </w:r>
          </w:p>
        </w:tc>
      </w:tr>
    </w:tbl>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 xml:space="preserve">细则 </w:t>
      </w:r>
    </w:p>
    <w:tbl>
      <w:tblPr>
        <w:tblStyle w:val="3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需求编号</w:t>
            </w:r>
          </w:p>
        </w:tc>
        <w:tc>
          <w:tcPr>
            <w:tcW w:w="7748"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aps/>
                <w:snapToGrid/>
                <w:color w:val="auto"/>
                <w:sz w:val="24"/>
                <w:szCs w:val="24"/>
                <w:highlight w:val="none"/>
                <w:lang w:eastAsia="zh-CN"/>
              </w:rPr>
            </w:pPr>
            <w:r>
              <w:rPr>
                <w:rFonts w:hint="eastAsia" w:ascii="宋体" w:hAnsi="宋体" w:eastAsia="宋体" w:cs="宋体"/>
                <w:bCs/>
                <w:caps/>
                <w:snapToGrid/>
                <w:color w:val="auto"/>
                <w:sz w:val="24"/>
                <w:szCs w:val="24"/>
                <w:highlight w:val="none"/>
                <w:lang w:eastAsia="en-US"/>
              </w:rPr>
              <w:t>0</w:t>
            </w:r>
            <w:r>
              <w:rPr>
                <w:rFonts w:hint="eastAsia" w:ascii="宋体" w:hAnsi="宋体" w:eastAsia="宋体" w:cs="宋体"/>
                <w:bCs/>
                <w:caps/>
                <w:snapToGrid/>
                <w:color w:val="auto"/>
                <w:sz w:val="24"/>
                <w:szCs w:val="24"/>
                <w:highlight w:val="none"/>
                <w:lang w:eastAsia="zh-CN"/>
              </w:rPr>
              <w:t>01</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消防要求：</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本工程位于地下二层，须按现行规范要求设置消防系统，包括建筑消防系统、水消防系统、防排烟系统及火灾自动报警系统等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002</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内装要求：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）地面：光学暗室采用防静电PVC地板，空调机房采用环氧自流平，其余采用PVC地板</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）墙面：50mm优质玻镁彩钢板</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）吊顶：50mm玻镁彩钢板，其中光学暗室吊顶净高6米，空调机房无吊顶，其余吊顶净高3米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003</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抗微振要求：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）千级洁净光学暗室一、三及万级洁净光学暗室抗微振等级VC-D48，千级洁净光学暗室二抗微振等级VC-D36，需要设减振基坑。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004</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水系统：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）操作间及光学暗室设置自来水上水点</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）操作间及光学暗室设置有机及无机废水点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005</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大宗气体系统：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）实验室需要设置大宗气体系统，大宗气体系统有氮气、氦气、二氧化碳及氩气。 .</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）指标如下：</w:t>
            </w:r>
          </w:p>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left="72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0" distR="0">
                  <wp:extent cx="3743325" cy="1807210"/>
                  <wp:effectExtent l="0" t="0" r="9525" b="2540"/>
                  <wp:docPr id="1" name="图片 1" descr="C:\Users\edri030\AppData\Local\Temp\1560265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ri030\AppData\Local\Temp\156026591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20086" cy="184406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006</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压缩空气系统：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）实验室需要设置压缩空气系统。 .</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）指标：压力露点≤-40℃，压力8.5±1.5kg/cm2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007</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真空系统：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）实验室需要设置制程真空系统。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）指标：＜-84KPa。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007</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空调系统：</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）空调系统设计应符合法规要求。 .</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）实验室的空调系统均按照分区设计。</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）采用PLC或DDC控制系统，温湿度、风量能自控。</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）排风和回风应同时设计，应有节能措施。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008</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冷源：</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）冷源由园区动力站接入，主要用于空调除湿、降温使用，设计方计算热负荷后反馈冷负荷需求。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）空调用冷水能够保证洁净区内的工艺房间湿度能够达到相对湿度＜50%。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color w:val="auto"/>
                <w:szCs w:val="24"/>
                <w:highlight w:val="none"/>
                <w:lang w:val="en-US" w:eastAsia="zh-CN"/>
              </w:rPr>
            </w:pPr>
            <w:r>
              <w:rPr>
                <w:rFonts w:hint="eastAsia" w:ascii="宋体" w:hAnsi="宋体" w:eastAsia="宋体" w:cs="宋体"/>
                <w:b w:val="0"/>
                <w:bCs/>
                <w:color w:val="auto"/>
                <w:szCs w:val="24"/>
                <w:highlight w:val="none"/>
                <w:lang w:eastAsia="zh-CN"/>
              </w:rPr>
              <w:t>009</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热源：</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热源由园区动力站接入，主要用于空调加热使用，设计方计算热负荷后反馈热负荷需求。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290" w:type="dxa"/>
            <w:vAlign w:val="center"/>
          </w:tcPr>
          <w:p>
            <w:pPr>
              <w:pStyle w:val="183"/>
              <w:keepNext w:val="0"/>
              <w:keepLines w:val="0"/>
              <w:pageBreakBefore w:val="0"/>
              <w:widowControl/>
              <w:tabs>
                <w:tab w:val="center" w:pos="2268"/>
                <w:tab w:val="right" w:pos="5387"/>
                <w:tab w:val="clear" w:pos="4820"/>
                <w:tab w:val="clear" w:pos="9639"/>
              </w:tabs>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color w:val="auto"/>
                <w:szCs w:val="24"/>
                <w:highlight w:val="none"/>
                <w:lang w:eastAsia="zh-CN"/>
              </w:rPr>
            </w:pPr>
            <w:r>
              <w:rPr>
                <w:rFonts w:hint="eastAsia" w:ascii="宋体" w:hAnsi="宋体" w:eastAsia="宋体" w:cs="宋体"/>
                <w:b w:val="0"/>
                <w:bCs/>
                <w:color w:val="auto"/>
                <w:szCs w:val="24"/>
                <w:highlight w:val="none"/>
                <w:lang w:eastAsia="zh-CN"/>
              </w:rPr>
              <w:t>010</w:t>
            </w:r>
          </w:p>
        </w:tc>
        <w:tc>
          <w:tcPr>
            <w:tcW w:w="7748" w:type="dxa"/>
            <w:vAlign w:val="center"/>
          </w:tcPr>
          <w:p>
            <w:pPr>
              <w:pStyle w:val="184"/>
              <w:keepNext w:val="0"/>
              <w:keepLines w:val="0"/>
              <w:pageBreakBefore w:val="0"/>
              <w:widowControl/>
              <w:tabs>
                <w:tab w:val="center" w:pos="2268"/>
                <w:tab w:val="right" w:pos="5387"/>
              </w:tabs>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电气要求：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常用220/380V电源，由园区变电站引来。</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）光学暗室无接地要求。</w:t>
            </w:r>
          </w:p>
          <w:p>
            <w:pPr>
              <w:pStyle w:val="184"/>
              <w:keepNext w:val="0"/>
              <w:keepLines w:val="0"/>
              <w:pageBreakBefore w:val="0"/>
              <w:widowControl/>
              <w:numPr>
                <w:ilvl w:val="0"/>
                <w:numId w:val="0"/>
              </w:numPr>
              <w:tabs>
                <w:tab w:val="center" w:pos="2268"/>
                <w:tab w:val="right" w:pos="538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）各功能间需预留电话、网络及监控，更衣室设置门禁</w:t>
            </w:r>
          </w:p>
        </w:tc>
      </w:tr>
    </w:tbl>
    <w:p>
      <w:pPr>
        <w:pStyle w:val="6"/>
        <w:bidi w:val="0"/>
        <w:rPr>
          <w:rFonts w:hint="default"/>
          <w:highlight w:val="none"/>
          <w:lang w:val="en-US"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其他要求</w:t>
      </w:r>
    </w:p>
    <w:p>
      <w:pPr>
        <w:bidi w:val="0"/>
        <w:rPr>
          <w:rFonts w:hint="eastAsia"/>
          <w:highlight w:val="none"/>
        </w:rPr>
        <w:sectPr>
          <w:pgSz w:w="11907" w:h="16840"/>
          <w:pgMar w:top="1247" w:right="1304" w:bottom="1021" w:left="1304" w:header="720" w:footer="720" w:gutter="0"/>
          <w:cols w:space="720" w:num="1"/>
          <w:docGrid w:linePitch="326" w:charSpace="0"/>
        </w:sectPr>
      </w:pPr>
      <w:r>
        <w:rPr>
          <w:rFonts w:hint="eastAsia"/>
          <w:highlight w:val="none"/>
          <w:lang w:eastAsia="zh-CN"/>
        </w:rPr>
        <w:t>根据业主提出的智慧园区运维需求，提供感知、监测和控制的接口。为确保实验室空间满足用户的日常科研活动需求，并在运营阶段实现数字化环境监控，要求工艺设计单位对实验室每个系统的工作原理进行系统性设计后提资给设计院，供其整体设计实施。</w:t>
      </w:r>
    </w:p>
    <w:p>
      <w:pPr>
        <w:pStyle w:val="4"/>
        <w:rPr>
          <w:rFonts w:hint="eastAsia" w:ascii="宋体" w:hAnsi="宋体" w:eastAsia="宋体" w:cs="宋体"/>
          <w:color w:val="auto"/>
          <w:highlight w:val="none"/>
        </w:rPr>
      </w:pPr>
      <w:bookmarkStart w:id="19" w:name="_Toc450840086"/>
      <w:bookmarkStart w:id="20" w:name="_Toc23621"/>
      <w:bookmarkStart w:id="21" w:name="_Toc3325"/>
      <w:r>
        <w:rPr>
          <w:rFonts w:hint="eastAsia" w:ascii="宋体" w:hAnsi="宋体" w:eastAsia="宋体" w:cs="宋体"/>
          <w:color w:val="auto"/>
          <w:highlight w:val="none"/>
        </w:rPr>
        <w:t>二、商务</w:t>
      </w:r>
      <w:bookmarkEnd w:id="19"/>
      <w:r>
        <w:rPr>
          <w:rFonts w:hint="eastAsia" w:ascii="宋体" w:hAnsi="宋体" w:eastAsia="宋体" w:cs="宋体"/>
          <w:color w:val="auto"/>
          <w:highlight w:val="none"/>
        </w:rPr>
        <w:t>要求</w:t>
      </w:r>
      <w:bookmarkEnd w:id="20"/>
      <w:bookmarkEnd w:id="21"/>
    </w:p>
    <w:p>
      <w:pPr>
        <w:pStyle w:val="5"/>
        <w:rPr>
          <w:rFonts w:hint="eastAsia" w:ascii="宋体" w:hAnsi="宋体" w:eastAsia="宋体" w:cs="宋体"/>
          <w:color w:val="auto"/>
          <w:highlight w:val="none"/>
        </w:rPr>
      </w:pPr>
      <w:bookmarkStart w:id="22" w:name="_Toc3405"/>
      <w:bookmarkStart w:id="23" w:name="_Toc501022792"/>
      <w:r>
        <w:rPr>
          <w:rFonts w:hint="eastAsia" w:ascii="宋体" w:hAnsi="宋体" w:eastAsia="宋体" w:cs="宋体"/>
          <w:color w:val="auto"/>
          <w:highlight w:val="none"/>
        </w:rPr>
        <w:t>（一）设计周期</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方案确定后</w:t>
      </w:r>
      <w:r>
        <w:rPr>
          <w:rFonts w:hint="eastAsia" w:cs="宋体"/>
          <w:color w:val="auto"/>
          <w:highlight w:val="none"/>
          <w:lang w:val="en-US" w:eastAsia="zh-CN"/>
        </w:rPr>
        <w:t>45</w:t>
      </w:r>
      <w:r>
        <w:rPr>
          <w:rFonts w:hint="eastAsia" w:ascii="宋体" w:hAnsi="宋体" w:eastAsia="宋体" w:cs="宋体"/>
          <w:color w:val="auto"/>
          <w:highlight w:val="none"/>
        </w:rPr>
        <w:t>天</w:t>
      </w:r>
      <w:r>
        <w:rPr>
          <w:rFonts w:hint="eastAsia" w:ascii="宋体" w:hAnsi="宋体" w:eastAsia="宋体" w:cs="宋体"/>
          <w:color w:val="auto"/>
          <w:highlight w:val="none"/>
        </w:rPr>
        <w:t>内完</w:t>
      </w:r>
      <w:r>
        <w:rPr>
          <w:rFonts w:hint="eastAsia" w:ascii="宋体" w:hAnsi="宋体" w:eastAsia="宋体" w:cs="宋体"/>
          <w:color w:val="auto"/>
          <w:highlight w:val="none"/>
        </w:rPr>
        <w:t>成施工图纸，施工图纸</w:t>
      </w:r>
      <w:r>
        <w:rPr>
          <w:rFonts w:hint="eastAsia" w:ascii="宋体" w:hAnsi="宋体" w:eastAsia="宋体" w:cs="宋体"/>
          <w:color w:val="auto"/>
          <w:highlight w:val="none"/>
        </w:rPr>
        <w:t>深度由采购人负责审核，设计单位应根据采购人审核意见进行修改和完善</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（二）项目实施地点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之江实验室指定地点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1.合同金额</w:t>
      </w:r>
      <w:r>
        <w:rPr>
          <w:rFonts w:hint="eastAsia" w:ascii="宋体" w:hAnsi="宋体" w:eastAsia="宋体" w:cs="宋体"/>
          <w:color w:val="auto"/>
          <w:szCs w:val="32"/>
          <w:highlight w:val="none"/>
        </w:rPr>
        <w:t>的5%（四</w:t>
      </w:r>
      <w:r>
        <w:rPr>
          <w:rFonts w:hint="eastAsia" w:ascii="宋体" w:hAnsi="宋体" w:eastAsia="宋体" w:cs="宋体"/>
          <w:color w:val="auto"/>
          <w:szCs w:val="32"/>
          <w:highlight w:val="none"/>
        </w:rPr>
        <w:t>舍五入至千元）作为履约保证金，中标人在合同签订时提交至采购人。履约保证金在</w:t>
      </w:r>
      <w:r>
        <w:rPr>
          <w:rFonts w:hint="eastAsia" w:cs="宋体"/>
          <w:color w:val="auto"/>
          <w:szCs w:val="32"/>
          <w:highlight w:val="none"/>
          <w:lang w:eastAsia="zh-CN"/>
        </w:rPr>
        <w:t>项目竣工验收后无违约，10个工作日内无息退还</w:t>
      </w:r>
      <w:r>
        <w:rPr>
          <w:rFonts w:hint="eastAsia" w:ascii="宋体" w:hAnsi="宋体" w:eastAsia="宋体" w:cs="宋体"/>
          <w:color w:val="auto"/>
          <w:szCs w:val="32"/>
          <w:highlight w:val="none"/>
        </w:rPr>
        <w:t>。</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pStyle w:val="5"/>
        <w:bidi w:val="0"/>
        <w:rPr>
          <w:rFonts w:hint="eastAsia"/>
          <w:color w:val="auto"/>
          <w:highlight w:val="none"/>
        </w:rPr>
      </w:pPr>
      <w:r>
        <w:rPr>
          <w:rFonts w:hint="eastAsia"/>
          <w:color w:val="auto"/>
          <w:highlight w:val="none"/>
        </w:rPr>
        <w:t>（四）</w:t>
      </w:r>
      <w:bookmarkEnd w:id="22"/>
      <w:bookmarkEnd w:id="23"/>
      <w:bookmarkStart w:id="24" w:name="_Toc23976"/>
      <w:r>
        <w:rPr>
          <w:rFonts w:hint="eastAsia"/>
          <w:color w:val="auto"/>
          <w:highlight w:val="none"/>
        </w:rPr>
        <w:t>付款方式</w:t>
      </w:r>
    </w:p>
    <w:p>
      <w:pPr>
        <w:bidi w:val="0"/>
        <w:rPr>
          <w:rFonts w:hint="default" w:eastAsia="宋体"/>
          <w:color w:val="auto"/>
          <w:highlight w:val="none"/>
          <w:lang w:val="en-US" w:eastAsia="zh-CN"/>
        </w:rPr>
      </w:pPr>
      <w:r>
        <w:rPr>
          <w:rFonts w:hint="eastAsia"/>
          <w:color w:val="auto"/>
          <w:highlight w:val="none"/>
          <w:lang w:eastAsia="zh-CN"/>
        </w:rPr>
        <w:t>合同签订且收到中标人的履约保证金后十日内支付</w:t>
      </w:r>
      <w:r>
        <w:rPr>
          <w:rFonts w:hint="eastAsia"/>
          <w:color w:val="auto"/>
          <w:highlight w:val="none"/>
          <w:lang w:val="en-US" w:eastAsia="zh-CN"/>
        </w:rPr>
        <w:t>合同金额的</w:t>
      </w:r>
      <w:r>
        <w:rPr>
          <w:rFonts w:hint="eastAsia"/>
          <w:color w:val="auto"/>
          <w:highlight w:val="none"/>
          <w:lang w:eastAsia="zh-CN"/>
        </w:rPr>
        <w:t>20%，提交施工图文件并通过施工图审查后十日内支付</w:t>
      </w:r>
      <w:r>
        <w:rPr>
          <w:rFonts w:hint="eastAsia"/>
          <w:color w:val="auto"/>
          <w:highlight w:val="none"/>
          <w:lang w:val="en-US" w:eastAsia="zh-CN"/>
        </w:rPr>
        <w:t>合同金额</w:t>
      </w:r>
      <w:r>
        <w:rPr>
          <w:rFonts w:hint="eastAsia"/>
          <w:color w:val="auto"/>
          <w:highlight w:val="none"/>
          <w:lang w:eastAsia="zh-CN"/>
        </w:rPr>
        <w:t>的70%，竣工验收后十日内支付</w:t>
      </w:r>
      <w:r>
        <w:rPr>
          <w:rFonts w:hint="eastAsia"/>
          <w:color w:val="auto"/>
          <w:highlight w:val="none"/>
          <w:lang w:val="en-US" w:eastAsia="zh-CN"/>
        </w:rPr>
        <w:t>合同金额</w:t>
      </w:r>
      <w:r>
        <w:rPr>
          <w:rFonts w:hint="eastAsia"/>
          <w:color w:val="auto"/>
          <w:highlight w:val="none"/>
          <w:lang w:eastAsia="zh-CN"/>
        </w:rPr>
        <w:t>的10%。</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）合同履行</w:t>
      </w:r>
      <w:bookmarkEnd w:id="24"/>
    </w:p>
    <w:p>
      <w:pPr>
        <w:ind w:firstLine="48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14"/>
    <w:p>
      <w:pPr>
        <w:pStyle w:val="3"/>
        <w:rPr>
          <w:rFonts w:hint="eastAsia" w:ascii="宋体" w:hAnsi="宋体" w:eastAsia="宋体" w:cs="宋体"/>
          <w:color w:val="auto"/>
          <w:highlight w:val="none"/>
        </w:rPr>
      </w:pPr>
      <w:bookmarkStart w:id="25" w:name="_Toc19339"/>
      <w:r>
        <w:rPr>
          <w:rFonts w:hint="eastAsia" w:ascii="宋体" w:hAnsi="宋体" w:eastAsia="宋体" w:cs="宋体"/>
          <w:color w:val="auto"/>
          <w:highlight w:val="none"/>
        </w:rPr>
        <w:t>第三章 投标人须知</w:t>
      </w:r>
      <w:bookmarkEnd w:id="25"/>
    </w:p>
    <w:p>
      <w:pPr>
        <w:pStyle w:val="4"/>
        <w:jc w:val="center"/>
        <w:rPr>
          <w:rFonts w:hint="eastAsia" w:ascii="宋体" w:hAnsi="宋体" w:eastAsia="宋体" w:cs="宋体"/>
          <w:color w:val="auto"/>
          <w:highlight w:val="none"/>
        </w:rPr>
      </w:pPr>
      <w:bookmarkStart w:id="26" w:name="_Toc30462"/>
      <w:bookmarkStart w:id="27" w:name="_Toc452457413"/>
      <w:bookmarkStart w:id="28" w:name="_Toc2290"/>
      <w:r>
        <w:rPr>
          <w:rFonts w:hint="eastAsia" w:ascii="宋体" w:hAnsi="宋体" w:eastAsia="宋体" w:cs="宋体"/>
          <w:color w:val="auto"/>
          <w:highlight w:val="none"/>
        </w:rPr>
        <w:t>前附表</w:t>
      </w:r>
      <w:bookmarkEnd w:id="26"/>
      <w:bookmarkEnd w:id="27"/>
      <w:bookmarkEnd w:id="28"/>
    </w:p>
    <w:tbl>
      <w:tblPr>
        <w:tblStyle w:val="38"/>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项目名称：一期工程精密实验室工艺设计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招标编号：ZJWSBJ-ZJLAB-201901G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采购人名称：之江实验室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联系人：钟老师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联系电话：0571-56390603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采购项目联系人：钮老师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联系电话：0571-56390556</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地址：浙江杭州市文一西路1818号之江实验室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highlight w:val="none"/>
              </w:rPr>
              <w:t>2810140286@qq.com</w:t>
            </w:r>
            <w:r>
              <w:rPr>
                <w:rStyle w:val="45"/>
                <w:rFonts w:hint="eastAsia" w:ascii="宋体" w:hAnsi="宋体" w:eastAsia="宋体" w:cs="宋体"/>
                <w:color w:val="auto"/>
                <w:highlight w:val="none"/>
              </w:rPr>
              <w:fldChar w:fldCharType="end"/>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投标书递交至：杭州市西湖区西园八路11号杭州数字信息产业园G座603室。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w:t>
            </w:r>
            <w:r>
              <w:rPr>
                <w:rFonts w:hint="eastAsia" w:ascii="宋体" w:hAnsi="宋体" w:eastAsia="宋体" w:cs="宋体"/>
                <w:color w:val="auto"/>
                <w:highlight w:val="none"/>
                <w:lang w:eastAsia="zh-CN"/>
              </w:rPr>
              <w:t>2019年07月05日14时00分</w:t>
            </w:r>
            <w:r>
              <w:rPr>
                <w:rFonts w:hint="eastAsia" w:ascii="宋体" w:hAnsi="宋体" w:eastAsia="宋体" w:cs="宋体"/>
                <w:color w:val="auto"/>
                <w:highlight w:val="none"/>
              </w:rPr>
              <w:t>(北京时间)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w:t>
            </w:r>
            <w:r>
              <w:rPr>
                <w:rFonts w:hint="eastAsia" w:ascii="宋体" w:hAnsi="宋体" w:eastAsia="宋体" w:cs="宋体"/>
                <w:color w:val="auto"/>
                <w:highlight w:val="none"/>
                <w:lang w:eastAsia="zh-CN"/>
              </w:rPr>
              <w:t>2019年07月05日14时00分</w:t>
            </w:r>
            <w:r>
              <w:rPr>
                <w:rFonts w:hint="eastAsia" w:ascii="宋体" w:hAnsi="宋体" w:eastAsia="宋体" w:cs="宋体"/>
                <w:color w:val="auto"/>
                <w:highlight w:val="none"/>
              </w:rPr>
              <w:t>(北京时间)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lang w:eastAsia="zh-CN"/>
              </w:rPr>
              <w:t>2019年07月05日14时00分</w:t>
            </w:r>
            <w:r>
              <w:rPr>
                <w:rFonts w:hint="eastAsia" w:ascii="宋体" w:hAnsi="宋体" w:eastAsia="宋体" w:cs="宋体"/>
                <w:color w:val="auto"/>
                <w:highlight w:val="none"/>
              </w:rPr>
              <w:t>(北京时间)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1.投标报价是指一次性报出不得更改的价格。</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本项目采用总价包干</w:t>
            </w:r>
            <w:r>
              <w:rPr>
                <w:rFonts w:hint="eastAsia" w:ascii="宋体" w:hAnsi="宋体" w:eastAsia="宋体" w:cs="宋体"/>
                <w:color w:val="auto"/>
                <w:highlight w:val="none"/>
              </w:rPr>
              <w:t>，投标报价是履行合同的最终价格，投标报价包括</w:t>
            </w:r>
            <w:r>
              <w:rPr>
                <w:rFonts w:hint="eastAsia" w:cs="宋体"/>
                <w:color w:val="auto"/>
                <w:highlight w:val="none"/>
                <w:lang w:eastAsia="zh-CN"/>
              </w:rPr>
              <w:t>设计费</w:t>
            </w:r>
            <w:r>
              <w:rPr>
                <w:rFonts w:hint="eastAsia" w:ascii="宋体" w:hAnsi="宋体" w:eastAsia="宋体" w:cs="宋体"/>
                <w:color w:val="auto"/>
                <w:highlight w:val="none"/>
              </w:rPr>
              <w:t>、人工费、保险、招标代理服务费、通过验收直至交付使用单位，达到使用要求及质量标准等完成本项目所需的全部费用。</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3.投标人所报的价格在合同执行过程中是固定不变的，不得以任何理由予以变更，任何包含价格调整要求，将被认为是非响应性报价而予以拒绝</w:t>
            </w:r>
            <w:r>
              <w:rPr>
                <w:rFonts w:hint="eastAsia" w:ascii="宋体" w:hAnsi="宋体" w:eastAsia="宋体" w:cs="宋体"/>
                <w:color w:val="auto"/>
                <w:highlight w:val="none"/>
                <w:lang w:eastAsia="zh-CN"/>
              </w:rPr>
              <w:t>；</w:t>
            </w:r>
          </w:p>
          <w:p>
            <w:pPr>
              <w:ind w:firstLine="0" w:firstLineChars="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4.最高限价：标项一：300万元</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标项二：</w:t>
            </w:r>
            <w:r>
              <w:rPr>
                <w:rFonts w:hint="eastAsia" w:cs="宋体"/>
                <w:b/>
                <w:bCs/>
                <w:color w:val="auto"/>
                <w:highlight w:val="none"/>
                <w:lang w:val="en-US" w:eastAsia="zh-CN"/>
              </w:rPr>
              <w:t>240</w:t>
            </w:r>
            <w:r>
              <w:rPr>
                <w:rFonts w:hint="eastAsia" w:ascii="宋体" w:hAnsi="宋体" w:eastAsia="宋体" w:cs="宋体"/>
                <w:b/>
                <w:bCs/>
                <w:color w:val="auto"/>
                <w:highlight w:val="none"/>
                <w:lang w:eastAsia="zh-CN"/>
              </w:rPr>
              <w:t>万元；标项三：</w:t>
            </w:r>
            <w:r>
              <w:rPr>
                <w:rFonts w:hint="eastAsia" w:cs="宋体"/>
                <w:b/>
                <w:bCs/>
                <w:color w:val="auto"/>
                <w:highlight w:val="none"/>
                <w:lang w:val="en-US" w:eastAsia="zh-CN"/>
              </w:rPr>
              <w:t>66</w:t>
            </w:r>
            <w:r>
              <w:rPr>
                <w:rFonts w:hint="eastAsia" w:ascii="宋体" w:hAnsi="宋体" w:eastAsia="宋体" w:cs="宋体"/>
                <w:b/>
                <w:bCs/>
                <w:color w:val="auto"/>
                <w:highlight w:val="none"/>
                <w:lang w:eastAsia="zh-CN"/>
              </w:rPr>
              <w:t>万元。超出最高限价的投标报价无效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（1）参照国家发改委发改办价格[2003]857号通知和原国家计[2002]1980号文件规定的招标费率标准5折收取服务费，不足3000元按3000元收取。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（5）服务费缴纳账号：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对采购公告信息（含投标人资格条件）提出质疑的，质疑期限自采购公告发布之日起计算。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对招标文件提出质疑的，质疑期限自投标人获得招标文件之日起计算。（发售截止日之后报名的供应商，质疑起算日期以发售截止日起计算）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对招标过程提出质疑的，为各招标程序环节结束之日。否则，被质疑人可不予接受。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eastAsia="宋体" w:cs="宋体"/>
          <w:color w:val="auto"/>
          <w:highlight w:val="none"/>
        </w:rPr>
      </w:pPr>
      <w:bookmarkStart w:id="29" w:name="_Toc247085689"/>
      <w:bookmarkStart w:id="30" w:name="_Toc296602420"/>
      <w:bookmarkStart w:id="31" w:name="_Toc144974497"/>
      <w:bookmarkStart w:id="32" w:name="_Toc246996175"/>
      <w:bookmarkStart w:id="33" w:name="_Toc179632546"/>
      <w:bookmarkStart w:id="34" w:name="_Toc246996918"/>
      <w:bookmarkStart w:id="35" w:name="_Toc152045529"/>
      <w:bookmarkStart w:id="36" w:name="_Toc452457414"/>
      <w:bookmarkStart w:id="37" w:name="_Toc152042305"/>
      <w:r>
        <w:rPr>
          <w:rFonts w:hint="eastAsia" w:ascii="宋体" w:hAnsi="宋体" w:eastAsia="宋体" w:cs="宋体"/>
          <w:color w:val="auto"/>
          <w:highlight w:val="none"/>
        </w:rPr>
        <w:br w:type="page"/>
      </w:r>
      <w:bookmarkEnd w:id="29"/>
      <w:bookmarkEnd w:id="30"/>
      <w:bookmarkEnd w:id="31"/>
      <w:bookmarkEnd w:id="32"/>
      <w:bookmarkEnd w:id="33"/>
      <w:bookmarkEnd w:id="34"/>
      <w:bookmarkEnd w:id="35"/>
      <w:bookmarkEnd w:id="36"/>
      <w:bookmarkEnd w:id="37"/>
      <w:bookmarkStart w:id="38" w:name="_Toc2440"/>
      <w:bookmarkStart w:id="39" w:name="_Toc24831"/>
      <w:bookmarkStart w:id="40" w:name="_Toc144974498"/>
      <w:bookmarkStart w:id="41" w:name="_Toc152042306"/>
      <w:bookmarkStart w:id="42" w:name="_Toc247085690"/>
      <w:bookmarkStart w:id="43" w:name="_Toc152045530"/>
      <w:bookmarkStart w:id="44" w:name="_Toc179632547"/>
      <w:bookmarkStart w:id="45" w:name="_Toc246996919"/>
      <w:bookmarkStart w:id="46" w:name="_Toc246996176"/>
      <w:bookmarkStart w:id="47" w:name="_Toc296602421"/>
      <w:r>
        <w:rPr>
          <w:rFonts w:hint="eastAsia" w:ascii="宋体" w:hAnsi="宋体" w:eastAsia="宋体" w:cs="宋体"/>
          <w:color w:val="auto"/>
          <w:highlight w:val="none"/>
        </w:rPr>
        <w:t>第一节 总则</w:t>
      </w:r>
      <w:bookmarkEnd w:id="38"/>
      <w:bookmarkEnd w:id="39"/>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1.“采购人”系指之江实验室。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”系指实质性要求条款，投标人应做出实质性响应；“▲”系指重要条款。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2.中标人在领取中标通知书前，应向招标代理机构交纳招标代理服务费，收费标准见“第三章 投标人须知 前附表-13”。</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48" w:name="_Toc21367"/>
      <w:bookmarkStart w:id="49" w:name="_Toc14558"/>
      <w:r>
        <w:rPr>
          <w:rFonts w:hint="eastAsia" w:ascii="宋体" w:hAnsi="宋体" w:eastAsia="宋体" w:cs="宋体"/>
          <w:color w:val="auto"/>
          <w:highlight w:val="none"/>
        </w:rPr>
        <w:t>第二节 招标文件</w:t>
      </w:r>
      <w:bookmarkEnd w:id="48"/>
      <w:bookmarkEnd w:id="49"/>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50" w:name="_Toc1096"/>
      <w:bookmarkStart w:id="51" w:name="_Toc450840075"/>
      <w:bookmarkStart w:id="52" w:name="_Toc82873324"/>
      <w:bookmarkStart w:id="53" w:name="_Toc82338241"/>
      <w:bookmarkStart w:id="54" w:name="_Toc7884"/>
      <w:r>
        <w:rPr>
          <w:rFonts w:hint="eastAsia" w:ascii="宋体" w:hAnsi="宋体" w:eastAsia="宋体" w:cs="宋体"/>
          <w:color w:val="auto"/>
          <w:highlight w:val="none"/>
        </w:rPr>
        <w:t>第三节 投标文件</w:t>
      </w:r>
      <w:bookmarkEnd w:id="50"/>
      <w:bookmarkEnd w:id="51"/>
      <w:bookmarkEnd w:id="52"/>
      <w:bookmarkEnd w:id="53"/>
      <w:bookmarkEnd w:id="54"/>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2.提供2019年1月-2019年6月任意一个月有效的依法缴纳税收证明（完税凭证或税务部门出具的证明，新成立单位出具银行资信证明）；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3.提供2019年1月-2019年6月任意一个月有效的依法缴纳社会保障资金证明（缴纳凭证或人社部门出具的证明）；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5.具有履行合同所必需的设备和专业技术能力的承诺函（格式自拟）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法定代表人证明书，法定代表人授权书（见附件十）（法定代表人参加投标的无须提供）、授权委托人身份证复印件、授权委托人社保证明（被委托人必须为本单位在职员工，并提供2019年1月-2019年6月任意一个月的社保证明）；本项不作为资格证明文件审查内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8.特定资格要求证明材料（如有）。</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（4）法定代表人证明书，法定代表人授权书（见附件十）（法定代表人参加投标的无须提供）、授权委托人身份证复印件、授权委托人社保证明（被委托人必须为本单位在职员工，并提供2019年1月-2019年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2017年或</w:t>
      </w:r>
      <w:r>
        <w:rPr>
          <w:rFonts w:hint="eastAsia" w:ascii="宋体" w:hAnsi="宋体" w:eastAsia="宋体" w:cs="宋体"/>
          <w:color w:val="auto"/>
          <w:highlight w:val="none"/>
        </w:rPr>
        <w:t>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（11）残疾人福利性单位声明函（附件十二）</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（1）投标人应提供针对项目的完整服务方案：提供详细的设计方案，包括但不限于设计理念、设计建议、设计说明、含效果图、立面图、剖面图、设计说明书、详细图纸等；（格式自拟）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需求偏离表：供应商在投标文件中，应对项目采购需求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（3）拟投入本项目所需的设备与工具（附件六）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（4）项目人员组成情况，包括拟派项目负责人及项目管理班子人员组成、项目负责人业绩证明材料等（需提供资格证书复印件，具体根据评分细则要求及附件格式要求提供）（附件六）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（5）工作进度安排及质量保证措施；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（6）投标人针对该项目的各项服务承诺、合理化建议等（格式自拟）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（7）标人针对该项目突发事件服务承诺函（格式自拟）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（8）安全文明、应急工作措施和方案（格式自拟）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（9）招标文件要求的或者投标人认为需要的其他技术文件或说明。（格式自拟）</w:t>
      </w:r>
    </w:p>
    <w:p>
      <w:pPr>
        <w:pStyle w:val="5"/>
        <w:rPr>
          <w:rFonts w:hint="eastAsia" w:ascii="宋体" w:hAnsi="宋体" w:eastAsia="宋体" w:cs="宋体"/>
          <w:b w:val="0"/>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1.投标报价是指一次性报出不得更改的价格。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Theme="minorEastAsia" w:hAnsiTheme="minorEastAsia" w:eastAsiaTheme="minorEastAsia" w:cstheme="minorEastAsia"/>
          <w:color w:val="auto"/>
          <w:spacing w:val="-6"/>
          <w:highlight w:val="none"/>
          <w:lang w:eastAsia="zh-CN"/>
        </w:rPr>
        <w:t>本项目采用总价包干，投标报价是履行合同的最终价格</w:t>
      </w:r>
      <w:r>
        <w:rPr>
          <w:rFonts w:hint="eastAsia" w:asciiTheme="minorEastAsia" w:hAnsiTheme="minorEastAsia" w:eastAsiaTheme="minorEastAsia" w:cstheme="minorEastAsia"/>
          <w:color w:val="auto"/>
          <w:spacing w:val="-6"/>
          <w:highlight w:val="none"/>
        </w:rPr>
        <w:t>，投标报价</w:t>
      </w:r>
      <w:r>
        <w:rPr>
          <w:rFonts w:hint="eastAsia" w:asciiTheme="minorEastAsia" w:hAnsiTheme="minorEastAsia" w:eastAsiaTheme="minorEastAsia" w:cstheme="minorEastAsia"/>
          <w:color w:val="auto"/>
          <w:spacing w:val="-6"/>
          <w:highlight w:val="none"/>
          <w:lang w:eastAsia="zh-CN"/>
        </w:rPr>
        <w:t>包括设计费</w:t>
      </w:r>
      <w:r>
        <w:rPr>
          <w:rFonts w:hint="eastAsia" w:asciiTheme="minorEastAsia" w:hAnsiTheme="minorEastAsia" w:eastAsiaTheme="minorEastAsia" w:cstheme="minorEastAsia"/>
          <w:color w:val="auto"/>
          <w:spacing w:val="-6"/>
          <w:highlight w:val="none"/>
        </w:rPr>
        <w:t>、人工费</w:t>
      </w:r>
      <w:r>
        <w:rPr>
          <w:rFonts w:hint="eastAsia" w:asciiTheme="minorEastAsia" w:hAnsiTheme="minorEastAsia" w:eastAsiaTheme="minorEastAsia" w:cstheme="minorEastAsia"/>
          <w:color w:val="auto"/>
          <w:highlight w:val="none"/>
          <w:lang w:eastAsia="zh-CN"/>
        </w:rPr>
        <w:t>、保险、招标代理服务费、通过验收</w:t>
      </w:r>
      <w:r>
        <w:rPr>
          <w:rFonts w:hint="eastAsia" w:asciiTheme="minorEastAsia" w:hAnsiTheme="minorEastAsia" w:eastAsiaTheme="minorEastAsia" w:cstheme="minorEastAsia"/>
          <w:color w:val="auto"/>
          <w:highlight w:val="none"/>
        </w:rPr>
        <w:t>直至交付使用单位，达到使用要求及质量标准等完成本项目所需的全部费用。</w:t>
      </w:r>
    </w:p>
    <w:p>
      <w:pPr>
        <w:ind w:firstLine="480"/>
        <w:rPr>
          <w:rFonts w:hint="eastAsia" w:cs="宋体"/>
          <w:color w:val="auto"/>
          <w:highlight w:val="none"/>
          <w:lang w:val="en-US" w:eastAsia="zh-CN"/>
        </w:rPr>
      </w:pPr>
      <w:r>
        <w:rPr>
          <w:rFonts w:hint="eastAsia" w:ascii="宋体" w:hAnsi="宋体" w:eastAsia="宋体" w:cs="宋体"/>
          <w:color w:val="auto"/>
          <w:highlight w:val="none"/>
        </w:rPr>
        <w:t>3.投标人所报的价格在合同执行过程中是固定不变的，不得以任何理由予以变更，任何包含价格调整要求，将被认为是非响应性报价而予以拒绝</w:t>
      </w:r>
      <w:r>
        <w:rPr>
          <w:rFonts w:hint="eastAsia" w:cs="宋体"/>
          <w:color w:val="auto"/>
          <w:highlight w:val="none"/>
          <w:lang w:val="en-US" w:eastAsia="zh-CN"/>
        </w:rPr>
        <w:t>;</w:t>
      </w:r>
    </w:p>
    <w:p>
      <w:pPr>
        <w:ind w:firstLine="48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4.最高限价：标项一：300万元</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标项二：</w:t>
      </w:r>
      <w:r>
        <w:rPr>
          <w:rFonts w:hint="eastAsia" w:cs="宋体"/>
          <w:b/>
          <w:bCs/>
          <w:color w:val="auto"/>
          <w:highlight w:val="none"/>
          <w:lang w:val="en-US" w:eastAsia="zh-CN"/>
        </w:rPr>
        <w:t>240</w:t>
      </w:r>
      <w:r>
        <w:rPr>
          <w:rFonts w:hint="eastAsia" w:ascii="宋体" w:hAnsi="宋体" w:eastAsia="宋体" w:cs="宋体"/>
          <w:b/>
          <w:bCs/>
          <w:color w:val="auto"/>
          <w:highlight w:val="none"/>
          <w:lang w:eastAsia="zh-CN"/>
        </w:rPr>
        <w:t>万元；标项三：</w:t>
      </w:r>
      <w:r>
        <w:rPr>
          <w:rFonts w:hint="eastAsia" w:cs="宋体"/>
          <w:b/>
          <w:bCs/>
          <w:color w:val="auto"/>
          <w:highlight w:val="none"/>
          <w:lang w:val="en-US" w:eastAsia="zh-CN"/>
        </w:rPr>
        <w:t>66</w:t>
      </w:r>
      <w:r>
        <w:rPr>
          <w:rFonts w:hint="eastAsia" w:ascii="宋体" w:hAnsi="宋体" w:eastAsia="宋体" w:cs="宋体"/>
          <w:b/>
          <w:bCs/>
          <w:color w:val="auto"/>
          <w:highlight w:val="none"/>
          <w:lang w:eastAsia="zh-CN"/>
        </w:rPr>
        <w:t>万元。超出最高限价的投标报价无效</w:t>
      </w:r>
      <w:r>
        <w:rPr>
          <w:rFonts w:hint="eastAsia" w:cs="宋体"/>
          <w:b/>
          <w:bCs/>
          <w:color w:val="auto"/>
          <w:highlight w:val="none"/>
          <w:lang w:eastAsia="zh-CN"/>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highlight w:val="none"/>
        </w:rPr>
        <w:t>投标人应将资格证明文件单独装订成册，报价文件单独装订成册，商务技术文件合并装订成册（含电子文档一份）</w:t>
      </w:r>
      <w:r>
        <w:rPr>
          <w:rFonts w:hint="eastAsia" w:ascii="宋体" w:hAnsi="宋体" w:eastAsia="宋体" w:cs="宋体"/>
          <w:color w:val="auto"/>
          <w:highlight w:val="none"/>
        </w:rPr>
        <w:t>，其中正本一份、副本四份，投标文件的封面应注明“正本“、“副本”字样，以及采购人名称、招标编号、招标项目名称、投标文件名称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48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5.投标文件须由投标人在规定位置盖章并由投标人代表签署，投标人应写全称，并加盖骑缝章。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55" w:name="_Toc22229"/>
      <w:bookmarkStart w:id="56" w:name="_Toc12521"/>
      <w:r>
        <w:rPr>
          <w:rFonts w:hint="eastAsia" w:ascii="宋体" w:hAnsi="宋体" w:eastAsia="宋体" w:cs="宋体"/>
          <w:color w:val="auto"/>
          <w:highlight w:val="none"/>
        </w:rPr>
        <w:t>第四节 投标文件的递交</w:t>
      </w:r>
      <w:bookmarkEnd w:id="55"/>
      <w:bookmarkEnd w:id="56"/>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（报价文件、资格证明文件、商务技术文件）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2.投标方修改投标文件的书面村料，须密封送达招标方，同时应在封套上标明“修改投标文件（并注明招标编号）”和“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57" w:name="_Toc27893"/>
      <w:bookmarkStart w:id="58" w:name="_Toc6641"/>
      <w:r>
        <w:rPr>
          <w:rFonts w:hint="eastAsia" w:ascii="宋体" w:hAnsi="宋体" w:eastAsia="宋体" w:cs="宋体"/>
          <w:color w:val="auto"/>
          <w:highlight w:val="none"/>
        </w:rPr>
        <w:t>第五节 开标</w:t>
      </w:r>
      <w:bookmarkEnd w:id="57"/>
      <w:bookmarkEnd w:id="5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59" w:name="_Toc21731"/>
      <w:bookmarkStart w:id="60" w:name="_Toc13687"/>
      <w:r>
        <w:rPr>
          <w:rFonts w:hint="eastAsia" w:ascii="宋体" w:hAnsi="宋体" w:eastAsia="宋体" w:cs="宋体"/>
          <w:color w:val="auto"/>
          <w:highlight w:val="none"/>
        </w:rPr>
        <w:t>第六节 评标</w:t>
      </w:r>
      <w:bookmarkEnd w:id="59"/>
      <w:bookmarkEnd w:id="60"/>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（3）法定代表人委托授权代表参加投标但未提供投标授权委托书的；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61" w:name="_Toc1387"/>
      <w:bookmarkStart w:id="62" w:name="_Toc24239"/>
      <w:r>
        <w:rPr>
          <w:rFonts w:hint="eastAsia" w:ascii="宋体" w:hAnsi="宋体" w:eastAsia="宋体" w:cs="宋体"/>
          <w:color w:val="auto"/>
          <w:highlight w:val="none"/>
        </w:rPr>
        <w:t>第七节 授予合同</w:t>
      </w:r>
      <w:bookmarkEnd w:id="61"/>
      <w:bookmarkEnd w:id="62"/>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1.合同金额的5%（四舍五入至千元）作为履约保证金，中标人在合同签订时提交至采购人。履约保证金在</w:t>
      </w:r>
      <w:r>
        <w:rPr>
          <w:rFonts w:hint="eastAsia" w:cs="宋体"/>
          <w:color w:val="auto"/>
          <w:highlight w:val="none"/>
          <w:lang w:eastAsia="zh-CN"/>
        </w:rPr>
        <w:t>项目竣工验收后无违约，10个工作日内无息退还</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pStyle w:val="4"/>
        <w:jc w:val="center"/>
        <w:rPr>
          <w:rFonts w:hint="eastAsia" w:ascii="宋体" w:hAnsi="宋体" w:eastAsia="宋体" w:cs="宋体"/>
          <w:color w:val="auto"/>
          <w:highlight w:val="none"/>
        </w:rPr>
      </w:pPr>
      <w:bookmarkStart w:id="63" w:name="_Toc17703"/>
      <w:bookmarkStart w:id="64" w:name="_Toc12481"/>
      <w:r>
        <w:rPr>
          <w:rFonts w:hint="eastAsia" w:ascii="宋体" w:hAnsi="宋体" w:eastAsia="宋体" w:cs="宋体"/>
          <w:color w:val="auto"/>
          <w:highlight w:val="none"/>
        </w:rPr>
        <w:t>第八节 例外处理</w:t>
      </w:r>
      <w:bookmarkEnd w:id="63"/>
      <w:bookmarkEnd w:id="6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5"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2.可按同级财政部门的审批意见采用其他采购方式组织采购。</w:t>
      </w:r>
    </w:p>
    <w:p>
      <w:pPr>
        <w:pStyle w:val="3"/>
        <w:rPr>
          <w:rFonts w:hint="eastAsia" w:ascii="宋体" w:hAnsi="宋体" w:eastAsia="宋体" w:cs="宋体"/>
          <w:color w:val="auto"/>
          <w:highlight w:val="none"/>
        </w:rPr>
      </w:pPr>
      <w:bookmarkStart w:id="65" w:name="_Toc450840079"/>
      <w:bookmarkStart w:id="66" w:name="_Toc82873316"/>
      <w:bookmarkStart w:id="67" w:name="_Toc82338233"/>
      <w:bookmarkStart w:id="68" w:name="_Toc29095"/>
      <w:r>
        <w:rPr>
          <w:rFonts w:hint="eastAsia" w:ascii="宋体" w:hAnsi="宋体" w:eastAsia="宋体" w:cs="宋体"/>
          <w:color w:val="auto"/>
          <w:highlight w:val="none"/>
        </w:rPr>
        <w:t xml:space="preserve">第四章 </w:t>
      </w:r>
      <w:bookmarkEnd w:id="65"/>
      <w:bookmarkEnd w:id="66"/>
      <w:bookmarkEnd w:id="67"/>
      <w:r>
        <w:rPr>
          <w:rFonts w:hint="eastAsia" w:ascii="宋体" w:hAnsi="宋体" w:eastAsia="宋体" w:cs="宋体"/>
          <w:color w:val="auto"/>
          <w:highlight w:val="none"/>
        </w:rPr>
        <w:t>评标办法及评分标准</w:t>
      </w:r>
      <w:bookmarkEnd w:id="68"/>
    </w:p>
    <w:p>
      <w:pPr>
        <w:pStyle w:val="4"/>
        <w:rPr>
          <w:rFonts w:hint="eastAsia" w:ascii="宋体" w:hAnsi="宋体" w:eastAsia="宋体" w:cs="宋体"/>
          <w:color w:val="auto"/>
          <w:highlight w:val="none"/>
        </w:rPr>
      </w:pPr>
      <w:bookmarkStart w:id="69" w:name="_Toc18942"/>
      <w:bookmarkStart w:id="70" w:name="_Toc11391"/>
      <w:r>
        <w:rPr>
          <w:rFonts w:hint="eastAsia" w:ascii="宋体" w:hAnsi="宋体" w:eastAsia="宋体" w:cs="宋体"/>
          <w:color w:val="auto"/>
          <w:highlight w:val="none"/>
        </w:rPr>
        <w:t>一、评分总则</w:t>
      </w:r>
      <w:bookmarkEnd w:id="69"/>
      <w:bookmarkEnd w:id="7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bCs/>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商务分=（评标委员会所有成员商务评分合计数）/（评标委员会组成人员数）；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bookmarkStart w:id="71" w:name="_Toc1192"/>
      <w:r>
        <w:rPr>
          <w:rFonts w:hint="eastAsia" w:ascii="宋体" w:hAnsi="宋体" w:eastAsia="宋体" w:cs="宋体"/>
          <w:color w:val="auto"/>
          <w:highlight w:val="none"/>
        </w:rPr>
        <w:t>二、评分内容及标准</w:t>
      </w:r>
      <w:bookmarkEnd w:id="7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本评标标准是对“投标方须知”中“</w:t>
      </w:r>
      <w:r>
        <w:rPr>
          <w:rFonts w:hint="eastAsia" w:ascii="宋体" w:hAnsi="宋体" w:eastAsia="宋体" w:cs="宋体"/>
          <w:b/>
          <w:bCs/>
          <w:color w:val="auto"/>
          <w:highlight w:val="none"/>
        </w:rPr>
        <w:t>第五节开标</w:t>
      </w:r>
      <w:r>
        <w:rPr>
          <w:rFonts w:hint="eastAsia" w:ascii="宋体" w:hAnsi="宋体" w:eastAsia="宋体" w:cs="宋体"/>
          <w:color w:val="auto"/>
          <w:highlight w:val="none"/>
        </w:rPr>
        <w:t>”、“</w:t>
      </w:r>
      <w:r>
        <w:rPr>
          <w:rFonts w:hint="eastAsia" w:ascii="宋体" w:hAnsi="宋体" w:eastAsia="宋体" w:cs="宋体"/>
          <w:b/>
          <w:bCs/>
          <w:color w:val="auto"/>
          <w:highlight w:val="none"/>
        </w:rPr>
        <w:t>第六节评标</w:t>
      </w:r>
      <w:r>
        <w:rPr>
          <w:rFonts w:hint="eastAsia" w:ascii="宋体" w:hAnsi="宋体" w:eastAsia="宋体" w:cs="宋体"/>
          <w:color w:val="auto"/>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8"/>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709"/>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8"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6361" w:type="dxa"/>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1"/>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w:t>
            </w:r>
            <w:r>
              <w:rPr>
                <w:rFonts w:hint="eastAsia" w:ascii="宋体" w:hAnsi="宋体" w:eastAsia="宋体" w:cs="宋体"/>
                <w:b/>
                <w:bCs/>
                <w:color w:val="auto"/>
                <w:spacing w:val="-6"/>
                <w:kern w:val="2"/>
                <w:highlight w:val="none"/>
                <w:lang w:val="en-US" w:eastAsia="zh-CN"/>
              </w:rPr>
              <w:t>25</w:t>
            </w:r>
            <w:r>
              <w:rPr>
                <w:rFonts w:hint="eastAsia" w:ascii="宋体" w:hAnsi="宋体" w:eastAsia="宋体" w:cs="宋体"/>
                <w:b/>
                <w:bCs/>
                <w:color w:val="auto"/>
                <w:spacing w:val="-6"/>
                <w:kern w:val="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25</w:t>
            </w:r>
          </w:p>
        </w:tc>
        <w:tc>
          <w:tcPr>
            <w:tcW w:w="636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价格分=（评标基准价/投标报价）×</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%×100</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评标委员会成员</w:t>
            </w:r>
            <w:r>
              <w:rPr>
                <w:rFonts w:hint="eastAsia" w:ascii="宋体" w:hAnsi="宋体" w:eastAsia="宋体" w:cs="宋体"/>
                <w:color w:val="auto"/>
                <w:highlight w:val="none"/>
                <w:lang w:val="zh-CN"/>
              </w:rPr>
              <w:t>分析总报价及各个分项报价是否合理，报价范围是否完整，有否重大错漏项</w:t>
            </w:r>
            <w:r>
              <w:rPr>
                <w:rFonts w:hint="eastAsia" w:ascii="宋体" w:hAnsi="宋体" w:eastAsia="宋体" w:cs="宋体"/>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宋体" w:hAnsi="宋体" w:eastAsia="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498" w:type="dxa"/>
            <w:gridSpan w:val="3"/>
            <w:vAlign w:val="center"/>
          </w:tcPr>
          <w:p>
            <w:pPr>
              <w:pStyle w:val="5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14</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kern w:val="0"/>
                <w:szCs w:val="21"/>
                <w:highlight w:val="none"/>
              </w:rPr>
              <w:t>体系认证证书</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6361" w:type="dxa"/>
            <w:vAlign w:val="center"/>
          </w:tcPr>
          <w:p>
            <w:pPr>
              <w:pStyle w:val="104"/>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highlight w:val="none"/>
              </w:rPr>
              <w:t>具备规范的管理体系，如质量管理体系、环境管理体系、职业健康及安全管理体系等管理体系认证证书，每提供一份有效的认证证书得1分，最高得4分（提供复印件加盖公章，原件备查）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8</w:t>
            </w:r>
          </w:p>
        </w:tc>
        <w:tc>
          <w:tcPr>
            <w:tcW w:w="636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投标人自2016年1月1日以来（以签订合同时间为准）完成同类项目业绩，每个有效业绩得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分。（提供有效的合同复印件，须加盖供应商公章）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投标文件的编制情况</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2</w:t>
            </w:r>
          </w:p>
        </w:tc>
        <w:tc>
          <w:tcPr>
            <w:tcW w:w="6361" w:type="dxa"/>
            <w:vAlign w:val="center"/>
          </w:tcPr>
          <w:p>
            <w:pPr>
              <w:pStyle w:val="13"/>
              <w:spacing w:line="360" w:lineRule="auto"/>
              <w:ind w:firstLine="0"/>
              <w:rPr>
                <w:rFonts w:hint="eastAsia" w:ascii="宋体" w:hAnsi="宋体" w:eastAsia="宋体" w:cs="宋体"/>
                <w:color w:val="auto"/>
                <w:highlight w:val="none"/>
              </w:rPr>
            </w:pPr>
            <w:r>
              <w:rPr>
                <w:rFonts w:hint="eastAsia" w:ascii="宋体" w:hAnsi="宋体" w:eastAsia="宋体" w:cs="宋体"/>
                <w:color w:val="auto"/>
                <w:kern w:val="2"/>
                <w:szCs w:val="21"/>
                <w:highlight w:val="none"/>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w:t>
            </w:r>
            <w:r>
              <w:rPr>
                <w:rFonts w:hint="eastAsia" w:ascii="宋体" w:hAnsi="宋体" w:eastAsia="宋体" w:cs="宋体"/>
                <w:b/>
                <w:color w:val="auto"/>
                <w:spacing w:val="-6"/>
                <w:szCs w:val="24"/>
                <w:highlight w:val="none"/>
                <w:lang w:val="en-US" w:eastAsia="zh-CN"/>
              </w:rPr>
              <w:t>61</w:t>
            </w:r>
            <w:r>
              <w:rPr>
                <w:rFonts w:hint="eastAsia" w:ascii="宋体" w:hAnsi="宋体" w:eastAsia="宋体"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设计理念</w:t>
            </w:r>
          </w:p>
        </w:tc>
        <w:tc>
          <w:tcPr>
            <w:tcW w:w="709" w:type="dxa"/>
            <w:vAlign w:val="center"/>
          </w:tcPr>
          <w:p>
            <w:pPr>
              <w:ind w:firstLine="0" w:firstLineChars="0"/>
              <w:jc w:val="center"/>
              <w:rPr>
                <w:rFonts w:hint="default" w:ascii="宋体" w:hAnsi="宋体" w:eastAsia="宋体" w:cs="宋体"/>
                <w:color w:val="auto"/>
                <w:spacing w:val="-6"/>
                <w:highlight w:val="none"/>
                <w:lang w:val="en-US" w:eastAsia="zh-CN"/>
              </w:rPr>
            </w:pPr>
            <w:r>
              <w:rPr>
                <w:rFonts w:hint="eastAsia" w:ascii="宋体" w:hAnsi="宋体" w:eastAsia="宋体" w:cs="宋体"/>
                <w:color w:val="auto"/>
                <w:highlight w:val="none"/>
                <w:lang w:val="en-US" w:eastAsia="zh-CN"/>
              </w:rPr>
              <w:t>5</w:t>
            </w:r>
          </w:p>
        </w:tc>
        <w:tc>
          <w:tcPr>
            <w:tcW w:w="636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根据各投标人对本项目的理解、定位、设计理念、设计描述等情况进行打分。优得5分，良好得3-4分，一般得0-2分。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设计方案</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20</w:t>
            </w:r>
          </w:p>
        </w:tc>
        <w:tc>
          <w:tcPr>
            <w:tcW w:w="6361" w:type="dxa"/>
            <w:vAlign w:val="center"/>
          </w:tcPr>
          <w:p>
            <w:pPr>
              <w:spacing w:line="276"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根据各投标人提供的设计方案的合理性、对投标文件设计要求的满足情况等进行综合打分，满足所有招标文件要求且设计方案合理、精密的，得15-20分，只满足招标文件要求但设计方案有缺漏，不够完善的得9-14分，未满足所有招标文件要求的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28" w:type="dxa"/>
            <w:vAlign w:val="center"/>
          </w:tcPr>
          <w:p>
            <w:pPr>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现场讲解</w:t>
            </w:r>
          </w:p>
        </w:tc>
        <w:tc>
          <w:tcPr>
            <w:tcW w:w="709" w:type="dxa"/>
            <w:vAlign w:val="center"/>
          </w:tcPr>
          <w:p>
            <w:pPr>
              <w:ind w:firstLine="0" w:firstLineChars="0"/>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8</w:t>
            </w:r>
          </w:p>
        </w:tc>
        <w:tc>
          <w:tcPr>
            <w:tcW w:w="6361" w:type="dxa"/>
            <w:vAlign w:val="center"/>
          </w:tcPr>
          <w:p>
            <w:pPr>
              <w:spacing w:line="276" w:lineRule="auto"/>
              <w:ind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各投标人以</w:t>
            </w:r>
            <w:r>
              <w:rPr>
                <w:rFonts w:hint="eastAsia" w:ascii="宋体" w:hAnsi="宋体" w:eastAsia="宋体" w:cs="宋体"/>
                <w:color w:val="auto"/>
                <w:highlight w:val="none"/>
                <w:lang w:val="en-US" w:eastAsia="zh-CN"/>
              </w:rPr>
              <w:t>PPT的方式对拟定</w:t>
            </w:r>
            <w:r>
              <w:rPr>
                <w:rFonts w:hint="eastAsia" w:ascii="宋体" w:hAnsi="宋体" w:eastAsia="宋体" w:cs="宋体"/>
                <w:color w:val="auto"/>
                <w:highlight w:val="none"/>
                <w:lang w:eastAsia="zh-CN"/>
              </w:rPr>
              <w:t>的设计方案内容进行现场讲解，评审小组根据投标人讲解的内容情况对比打分。（未提供</w:t>
            </w:r>
            <w:r>
              <w:rPr>
                <w:rFonts w:hint="eastAsia" w:ascii="宋体" w:hAnsi="宋体" w:eastAsia="宋体" w:cs="宋体"/>
                <w:color w:val="auto"/>
                <w:highlight w:val="none"/>
                <w:lang w:val="en-US" w:eastAsia="zh-CN"/>
              </w:rPr>
              <w:t>PPT等演讲材料的不得分</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28"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图纸情况</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highlight w:val="none"/>
                <w:lang w:val="en-US" w:eastAsia="zh-CN"/>
              </w:rPr>
              <w:t>8</w:t>
            </w:r>
          </w:p>
        </w:tc>
        <w:tc>
          <w:tcPr>
            <w:tcW w:w="6361" w:type="dxa"/>
            <w:vAlign w:val="center"/>
          </w:tcPr>
          <w:p>
            <w:pPr>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根据投标人提供的效果图、立面图、剖面图等的合理性、精密程度等进行打分。优得</w:t>
            </w:r>
            <w:r>
              <w:rPr>
                <w:rFonts w:hint="eastAsia" w:ascii="宋体" w:hAnsi="宋体" w:eastAsia="宋体" w:cs="宋体"/>
                <w:color w:val="auto"/>
                <w:highlight w:val="none"/>
                <w:lang w:val="en-US" w:eastAsia="zh-CN"/>
              </w:rPr>
              <w:t>6-8</w:t>
            </w:r>
            <w:r>
              <w:rPr>
                <w:rFonts w:hint="eastAsia" w:ascii="宋体" w:hAnsi="宋体" w:eastAsia="宋体" w:cs="宋体"/>
                <w:color w:val="auto"/>
                <w:highlight w:val="none"/>
              </w:rPr>
              <w:t>分，良好得3-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分，一般得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-2分。</w:t>
            </w:r>
            <w:r>
              <w:rPr>
                <w:rFonts w:hint="eastAsia" w:ascii="宋体" w:hAnsi="宋体" w:eastAsia="宋体" w:cs="宋体"/>
                <w:color w:val="auto"/>
                <w:highlight w:val="none"/>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4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人员组成情况</w:t>
            </w:r>
          </w:p>
        </w:tc>
        <w:tc>
          <w:tcPr>
            <w:tcW w:w="709" w:type="dxa"/>
            <w:vAlign w:val="center"/>
          </w:tcPr>
          <w:p>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6361" w:type="dxa"/>
            <w:vAlign w:val="center"/>
          </w:tcPr>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highlight w:val="none"/>
              </w:rPr>
              <w:t>包括项目负责人及其它设计人员的人员素质、经验、职称等情况，有关人员需提供的相关专业技术资质证明和2019年1月至今任意一个月的职工社保参保有效证明</w:t>
            </w:r>
            <w:r>
              <w:rPr>
                <w:rFonts w:hint="eastAsia" w:ascii="宋体" w:hAnsi="宋体" w:eastAsia="宋体" w:cs="宋体"/>
                <w:color w:val="auto"/>
                <w:highlight w:val="none"/>
                <w:lang w:eastAsia="zh-CN"/>
              </w:rPr>
              <w:t>（未提供本项不得分）</w:t>
            </w:r>
            <w:r>
              <w:rPr>
                <w:rFonts w:hint="eastAsia" w:ascii="宋体" w:hAnsi="宋体" w:eastAsia="宋体" w:cs="宋体"/>
                <w:color w:val="auto"/>
                <w:highlight w:val="none"/>
              </w:rPr>
              <w:t>。综合评价优得6分，良得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分，一般得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4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工作进度安排</w:t>
            </w:r>
          </w:p>
        </w:tc>
        <w:tc>
          <w:tcPr>
            <w:tcW w:w="709" w:type="dxa"/>
            <w:vAlign w:val="center"/>
          </w:tcPr>
          <w:p>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636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对项目的实现目标、工作进度、时间安排、各阶段工作划分与衔接、预期交付成果等的明确程度及可行性实施计划。综合评价最优得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分，良好得3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分，较差得1-2分。未提供不得分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428"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pacing w:val="-6"/>
                <w:highlight w:val="none"/>
              </w:rPr>
              <w:t>质量保障措施</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highlight w:val="none"/>
                <w:lang w:val="en-US" w:eastAsia="zh-CN"/>
              </w:rPr>
              <w:t>6</w:t>
            </w:r>
          </w:p>
        </w:tc>
        <w:tc>
          <w:tcPr>
            <w:tcW w:w="6361" w:type="dxa"/>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t>根据投标单位提供的质量保障措施进行打分，综合评价最优得</w:t>
            </w:r>
            <w:r>
              <w:rPr>
                <w:rFonts w:hint="eastAsia" w:cs="宋体"/>
                <w:color w:val="auto"/>
                <w:highlight w:val="none"/>
                <w:lang w:val="en-US" w:eastAsia="zh-CN"/>
              </w:rPr>
              <w:t>6</w:t>
            </w:r>
            <w:r>
              <w:rPr>
                <w:rFonts w:hint="eastAsia" w:ascii="宋体" w:hAnsi="宋体" w:eastAsia="宋体" w:cs="宋体"/>
                <w:color w:val="auto"/>
                <w:highlight w:val="none"/>
              </w:rPr>
              <w:t>分，良好得3</w:t>
            </w:r>
            <w:r>
              <w:rPr>
                <w:rFonts w:hint="eastAsia" w:cs="宋体"/>
                <w:color w:val="auto"/>
                <w:highlight w:val="none"/>
                <w:lang w:val="en-US" w:eastAsia="zh-CN"/>
              </w:rPr>
              <w:t>-5</w:t>
            </w:r>
            <w:r>
              <w:rPr>
                <w:rFonts w:hint="eastAsia" w:ascii="宋体" w:hAnsi="宋体" w:eastAsia="宋体" w:cs="宋体"/>
                <w:color w:val="auto"/>
                <w:highlight w:val="none"/>
              </w:rPr>
              <w:t>分，较差得1-2分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428" w:type="dxa"/>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pacing w:val="-6"/>
                <w:highlight w:val="none"/>
              </w:rPr>
              <w:t>服务承诺及优惠条件</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highlight w:val="none"/>
                <w:lang w:val="en-US" w:eastAsia="zh-CN"/>
              </w:rPr>
              <w:t>2</w:t>
            </w:r>
          </w:p>
        </w:tc>
        <w:tc>
          <w:tcPr>
            <w:tcW w:w="6361" w:type="dxa"/>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t>根据投标人所承诺的服务承诺，其他售后优惠措施等打分。优得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分，良好得</w:t>
            </w:r>
            <w:r>
              <w:rPr>
                <w:rFonts w:hint="eastAsia"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未提供不得分</w:t>
            </w:r>
          </w:p>
        </w:tc>
      </w:tr>
    </w:tbl>
    <w:p>
      <w:pPr>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hint="eastAsia" w:ascii="宋体" w:hAnsi="宋体" w:eastAsia="宋体" w:cs="宋体"/>
          <w:color w:val="auto"/>
          <w:highlight w:val="none"/>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bCs/>
          <w:color w:val="auto"/>
          <w:spacing w:val="-6"/>
          <w:highlight w:val="none"/>
        </w:rPr>
        <w:t>4.残疾人福利性单位属于小型、微型企业的，不重复享受政策。</w:t>
      </w:r>
    </w:p>
    <w:p>
      <w:pPr>
        <w:pStyle w:val="3"/>
        <w:ind w:firstLine="643"/>
        <w:rPr>
          <w:rFonts w:hint="eastAsia" w:ascii="宋体" w:hAnsi="宋体" w:eastAsia="宋体" w:cs="宋体"/>
          <w:color w:val="auto"/>
          <w:szCs w:val="24"/>
          <w:highlight w:val="none"/>
        </w:rPr>
      </w:pPr>
      <w:bookmarkStart w:id="72" w:name="_Toc12811"/>
      <w:r>
        <w:rPr>
          <w:rFonts w:hint="eastAsia" w:ascii="宋体" w:hAnsi="宋体" w:eastAsia="宋体" w:cs="宋体"/>
          <w:color w:val="auto"/>
          <w:szCs w:val="32"/>
          <w:highlight w:val="none"/>
        </w:rPr>
        <w:t>第五章 合同格式</w:t>
      </w:r>
      <w:bookmarkEnd w:id="7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hint="eastAsia" w:ascii="宋体" w:hAnsi="宋体" w:eastAsia="宋体" w:cs="宋体"/>
          <w:bCs/>
          <w:color w:val="auto"/>
          <w:spacing w:val="60"/>
          <w:sz w:val="32"/>
          <w:szCs w:val="32"/>
          <w:highlight w:val="none"/>
        </w:rPr>
      </w:pPr>
      <w:r>
        <w:rPr>
          <w:rFonts w:hint="eastAsia" w:ascii="宋体" w:hAnsi="宋体" w:eastAsia="宋体" w:cs="宋体"/>
          <w:bCs/>
          <w:color w:val="auto"/>
          <w:spacing w:val="60"/>
          <w:sz w:val="32"/>
          <w:szCs w:val="32"/>
          <w:highlight w:val="none"/>
        </w:rPr>
        <w:t>拟签订的合同文本</w:t>
      </w:r>
    </w:p>
    <w:p>
      <w:pPr>
        <w:ind w:firstLine="1044"/>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建设工程设计合同</w:t>
      </w:r>
    </w:p>
    <w:p>
      <w:pPr>
        <w:ind w:firstLine="723"/>
        <w:rPr>
          <w:rFonts w:hint="eastAsia" w:ascii="宋体" w:hAnsi="宋体" w:eastAsia="宋体" w:cs="宋体"/>
          <w:b/>
          <w:color w:val="auto"/>
          <w:sz w:val="36"/>
          <w:highlight w:val="none"/>
        </w:rPr>
      </w:pP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工  程  名  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工  程  地  点：</w:t>
      </w:r>
      <w:r>
        <w:rPr>
          <w:rFonts w:hint="eastAsia" w:ascii="宋体" w:hAnsi="宋体" w:eastAsia="宋体" w:cs="宋体"/>
          <w:b/>
          <w:color w:val="auto"/>
          <w:sz w:val="28"/>
          <w:szCs w:val="28"/>
          <w:highlight w:val="none"/>
          <w:u w:val="single"/>
        </w:rPr>
        <w:t xml:space="preserve">      之江实验室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合  同  编  号：</w:t>
      </w:r>
      <w:r>
        <w:rPr>
          <w:rFonts w:hint="eastAsia" w:ascii="宋体" w:hAnsi="宋体" w:eastAsia="宋体" w:cs="宋体"/>
          <w:b/>
          <w:color w:val="auto"/>
          <w:sz w:val="28"/>
          <w:szCs w:val="28"/>
          <w:highlight w:val="none"/>
          <w:u w:val="single"/>
        </w:rPr>
        <w:t xml:space="preserve">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设计 证书 等级：</w:t>
      </w:r>
      <w:r>
        <w:rPr>
          <w:rFonts w:hint="eastAsia" w:ascii="宋体" w:hAnsi="宋体" w:eastAsia="宋体" w:cs="宋体"/>
          <w:b/>
          <w:color w:val="auto"/>
          <w:sz w:val="28"/>
          <w:szCs w:val="28"/>
          <w:highlight w:val="none"/>
          <w:u w:val="single"/>
        </w:rPr>
        <w:t xml:space="preserve">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发    包    人：</w:t>
      </w:r>
      <w:r>
        <w:rPr>
          <w:rFonts w:hint="eastAsia" w:ascii="宋体" w:hAnsi="宋体" w:eastAsia="宋体" w:cs="宋体"/>
          <w:b/>
          <w:color w:val="auto"/>
          <w:sz w:val="28"/>
          <w:szCs w:val="28"/>
          <w:highlight w:val="none"/>
          <w:u w:val="single"/>
        </w:rPr>
        <w:t xml:space="preserve">         之江实验室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设    计    人：</w:t>
      </w:r>
      <w:r>
        <w:rPr>
          <w:rFonts w:hint="eastAsia" w:ascii="宋体" w:hAnsi="宋体" w:eastAsia="宋体" w:cs="宋体"/>
          <w:b/>
          <w:color w:val="auto"/>
          <w:sz w:val="28"/>
          <w:szCs w:val="28"/>
          <w:highlight w:val="none"/>
          <w:u w:val="single"/>
        </w:rPr>
        <w:t xml:space="preserve">                 </w:t>
      </w:r>
    </w:p>
    <w:p>
      <w:pPr>
        <w:ind w:firstLine="5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签  订  日  期：</w:t>
      </w:r>
      <w:r>
        <w:rPr>
          <w:rFonts w:hint="eastAsia" w:ascii="宋体" w:hAnsi="宋体" w:eastAsia="宋体" w:cs="宋体"/>
          <w:b/>
          <w:color w:val="auto"/>
          <w:sz w:val="28"/>
          <w:szCs w:val="28"/>
          <w:highlight w:val="none"/>
          <w:u w:val="single"/>
        </w:rPr>
        <w:t xml:space="preserve">       年  月   日             </w:t>
      </w:r>
    </w:p>
    <w:p>
      <w:pPr>
        <w:pStyle w:val="2"/>
        <w:rPr>
          <w:rFonts w:hint="eastAsia" w:ascii="宋体" w:hAnsi="宋体" w:eastAsia="宋体" w:cs="宋体"/>
          <w:b/>
          <w:color w:val="auto"/>
          <w:sz w:val="36"/>
          <w:highlight w:val="none"/>
        </w:rPr>
        <w:sectPr>
          <w:footerReference r:id="rId16" w:type="default"/>
          <w:pgSz w:w="11907" w:h="16840"/>
          <w:pgMar w:top="1247" w:right="1304" w:bottom="1021" w:left="1304" w:header="720" w:footer="720" w:gutter="0"/>
          <w:cols w:space="720" w:num="1"/>
          <w:docGrid w:linePitch="286" w:charSpace="0"/>
        </w:sectPr>
      </w:pPr>
      <w:r>
        <w:rPr>
          <w:rFonts w:hint="eastAsia" w:ascii="宋体" w:hAnsi="宋体" w:eastAsia="宋体" w:cs="宋体"/>
          <w:b/>
          <w:color w:val="auto"/>
          <w:sz w:val="36"/>
          <w:highlight w:val="none"/>
        </w:rPr>
        <w:t xml:space="preserve"> </w:t>
      </w:r>
    </w:p>
    <w:p>
      <w:pPr>
        <w:ind w:firstLine="480"/>
        <w:jc w:val="left"/>
        <w:rPr>
          <w:highlight w:val="none"/>
          <w:u w:val="single"/>
        </w:rPr>
      </w:pPr>
      <w:r>
        <w:rPr>
          <w:rFonts w:hint="eastAsia"/>
          <w:highlight w:val="none"/>
        </w:rPr>
        <w:t>发包人：</w:t>
      </w:r>
      <w:r>
        <w:rPr>
          <w:rFonts w:hint="eastAsia"/>
          <w:highlight w:val="none"/>
          <w:u w:val="single"/>
        </w:rPr>
        <w:t>之江实验室</w:t>
      </w:r>
    </w:p>
    <w:p>
      <w:pPr>
        <w:ind w:firstLine="480"/>
        <w:jc w:val="left"/>
        <w:rPr>
          <w:highlight w:val="none"/>
          <w:u w:val="single"/>
        </w:rPr>
      </w:pPr>
      <w:r>
        <w:rPr>
          <w:rFonts w:hint="eastAsia"/>
          <w:highlight w:val="none"/>
        </w:rPr>
        <w:t>设计人：</w:t>
      </w:r>
    </w:p>
    <w:p>
      <w:pPr>
        <w:ind w:firstLine="480"/>
        <w:jc w:val="left"/>
        <w:rPr>
          <w:highlight w:val="none"/>
        </w:rPr>
      </w:pPr>
      <w:r>
        <w:rPr>
          <w:rFonts w:hint="eastAsia"/>
          <w:highlight w:val="none"/>
        </w:rPr>
        <w:t>发包人委托设计人承担工程设计，经双方协商一致，签订本合同。</w:t>
      </w:r>
    </w:p>
    <w:p>
      <w:pPr>
        <w:tabs>
          <w:tab w:val="left" w:pos="1790"/>
        </w:tabs>
        <w:ind w:firstLine="482"/>
        <w:jc w:val="left"/>
        <w:rPr>
          <w:b/>
          <w:highlight w:val="none"/>
        </w:rPr>
      </w:pPr>
      <w:r>
        <w:rPr>
          <w:rFonts w:hint="eastAsia"/>
          <w:b/>
          <w:highlight w:val="none"/>
        </w:rPr>
        <w:t>第一条本合同签订依据</w:t>
      </w:r>
    </w:p>
    <w:p>
      <w:pPr>
        <w:ind w:firstLine="480"/>
        <w:jc w:val="left"/>
        <w:rPr>
          <w:highlight w:val="none"/>
        </w:rPr>
      </w:pPr>
      <w:r>
        <w:rPr>
          <w:rFonts w:hint="eastAsia"/>
          <w:highlight w:val="none"/>
        </w:rPr>
        <w:t>1.1《中华人民共和国合同法》、《中华人民共和国建筑法》等有关法律规定。</w:t>
      </w:r>
    </w:p>
    <w:p>
      <w:pPr>
        <w:ind w:firstLine="480"/>
        <w:jc w:val="left"/>
        <w:rPr>
          <w:highlight w:val="none"/>
        </w:rPr>
      </w:pPr>
      <w:r>
        <w:rPr>
          <w:rFonts w:hint="eastAsia"/>
          <w:highlight w:val="none"/>
        </w:rPr>
        <w:t>1.2 国家及地方有关建设工程勘察设计管理法规、规章及规范性文件。</w:t>
      </w:r>
    </w:p>
    <w:p>
      <w:pPr>
        <w:pStyle w:val="75"/>
        <w:numPr>
          <w:ilvl w:val="1"/>
          <w:numId w:val="1"/>
        </w:numPr>
        <w:ind w:firstLineChars="0"/>
        <w:jc w:val="left"/>
        <w:rPr>
          <w:highlight w:val="none"/>
        </w:rPr>
      </w:pPr>
      <w:r>
        <w:rPr>
          <w:rFonts w:hint="eastAsia"/>
          <w:highlight w:val="none"/>
        </w:rPr>
        <w:t>建设工程批准文件。</w:t>
      </w:r>
    </w:p>
    <w:p>
      <w:pPr>
        <w:tabs>
          <w:tab w:val="left" w:pos="1790"/>
        </w:tabs>
        <w:ind w:firstLine="482"/>
        <w:jc w:val="left"/>
        <w:rPr>
          <w:b/>
          <w:highlight w:val="none"/>
        </w:rPr>
      </w:pPr>
      <w:r>
        <w:rPr>
          <w:rFonts w:hint="eastAsia"/>
          <w:b/>
          <w:highlight w:val="none"/>
        </w:rPr>
        <w:t>第二条设计依据</w:t>
      </w:r>
    </w:p>
    <w:p>
      <w:pPr>
        <w:ind w:firstLine="480"/>
        <w:jc w:val="left"/>
        <w:rPr>
          <w:highlight w:val="none"/>
        </w:rPr>
      </w:pPr>
      <w:r>
        <w:rPr>
          <w:rFonts w:hint="eastAsia"/>
          <w:highlight w:val="none"/>
        </w:rPr>
        <w:t>2.1 发包人给设计人的委托书或设计中标文件</w:t>
      </w:r>
    </w:p>
    <w:p>
      <w:pPr>
        <w:ind w:firstLine="480"/>
        <w:rPr>
          <w:highlight w:val="none"/>
          <w:u w:val="single"/>
        </w:rPr>
      </w:pPr>
      <w:r>
        <w:rPr>
          <w:rFonts w:hint="eastAsia"/>
          <w:highlight w:val="none"/>
        </w:rPr>
        <w:t>2.2 发包人提交的基础资料:</w:t>
      </w:r>
      <w:r>
        <w:rPr>
          <w:highlight w:val="none"/>
          <w:u w:val="single"/>
        </w:rPr>
        <w:t>根据设计要求进行提供</w:t>
      </w:r>
    </w:p>
    <w:p>
      <w:pPr>
        <w:ind w:firstLine="480"/>
        <w:rPr>
          <w:highlight w:val="none"/>
          <w:u w:val="single"/>
          <w:vertAlign w:val="subscript"/>
        </w:rPr>
      </w:pPr>
      <w:r>
        <w:rPr>
          <w:rFonts w:hint="eastAsia"/>
          <w:highlight w:val="none"/>
        </w:rPr>
        <w:t>2.3 设计人采用的主要技术标准是：</w:t>
      </w:r>
      <w:r>
        <w:rPr>
          <w:rFonts w:hint="eastAsia"/>
          <w:highlight w:val="none"/>
          <w:u w:val="single"/>
        </w:rPr>
        <w:t>国家、省、市及行业有关规范、标准。</w:t>
      </w:r>
    </w:p>
    <w:p>
      <w:pPr>
        <w:ind w:firstLine="482"/>
        <w:rPr>
          <w:b/>
          <w:highlight w:val="none"/>
        </w:rPr>
      </w:pPr>
      <w:r>
        <w:rPr>
          <w:rFonts w:hint="eastAsia"/>
          <w:b/>
          <w:highlight w:val="none"/>
        </w:rPr>
        <w:t>合同文件的优先次序</w:t>
      </w:r>
    </w:p>
    <w:p>
      <w:pPr>
        <w:ind w:firstLine="360" w:firstLineChars="150"/>
        <w:rPr>
          <w:highlight w:val="none"/>
        </w:rPr>
      </w:pPr>
      <w:r>
        <w:rPr>
          <w:rFonts w:hint="eastAsia"/>
          <w:highlight w:val="none"/>
        </w:rPr>
        <w:t>构成本合同的文件可视为是能互相说明的，如果合同文件存在歧义或不一致，则根据如下优先次序来判断：</w:t>
      </w:r>
    </w:p>
    <w:p>
      <w:pPr>
        <w:ind w:left="485" w:leftChars="202" w:firstLine="480"/>
        <w:rPr>
          <w:highlight w:val="none"/>
        </w:rPr>
      </w:pPr>
      <w:r>
        <w:rPr>
          <w:rFonts w:hint="eastAsia"/>
          <w:highlight w:val="none"/>
        </w:rPr>
        <w:t>3.1 合同书</w:t>
      </w:r>
    </w:p>
    <w:p>
      <w:pPr>
        <w:ind w:left="485" w:leftChars="202" w:firstLine="480"/>
        <w:rPr>
          <w:highlight w:val="none"/>
        </w:rPr>
      </w:pPr>
      <w:r>
        <w:rPr>
          <w:rFonts w:hint="eastAsia"/>
          <w:highlight w:val="none"/>
        </w:rPr>
        <w:t>3.2 中标函（文件）</w:t>
      </w:r>
    </w:p>
    <w:p>
      <w:pPr>
        <w:ind w:left="485" w:leftChars="202" w:firstLine="480"/>
        <w:rPr>
          <w:highlight w:val="none"/>
        </w:rPr>
      </w:pPr>
      <w:r>
        <w:rPr>
          <w:rFonts w:hint="eastAsia"/>
          <w:highlight w:val="none"/>
        </w:rPr>
        <w:t>3.3 发包人要求及委托书</w:t>
      </w:r>
    </w:p>
    <w:p>
      <w:pPr>
        <w:ind w:left="485" w:leftChars="202" w:firstLine="480"/>
        <w:rPr>
          <w:highlight w:val="none"/>
        </w:rPr>
      </w:pPr>
      <w:r>
        <w:rPr>
          <w:rFonts w:hint="eastAsia"/>
          <w:highlight w:val="none"/>
        </w:rPr>
        <w:t>3.4 投标书</w:t>
      </w:r>
    </w:p>
    <w:p>
      <w:pPr>
        <w:ind w:left="485" w:leftChars="202" w:firstLine="480"/>
        <w:rPr>
          <w:highlight w:val="none"/>
        </w:rPr>
      </w:pPr>
      <w:r>
        <w:rPr>
          <w:rFonts w:hint="eastAsia"/>
          <w:highlight w:val="none"/>
        </w:rPr>
        <w:t>3.5 招标文件</w:t>
      </w:r>
    </w:p>
    <w:p>
      <w:pPr>
        <w:ind w:firstLine="482"/>
        <w:rPr>
          <w:highlight w:val="none"/>
        </w:rPr>
      </w:pPr>
      <w:r>
        <w:rPr>
          <w:rFonts w:hint="eastAsia"/>
          <w:b/>
          <w:highlight w:val="none"/>
        </w:rPr>
        <w:t>第三条本合同设计项目的名称、规模、阶段、投资及设计内容，中标后按照投标文件承诺内容</w:t>
      </w:r>
      <w:r>
        <w:rPr>
          <w:rFonts w:hint="eastAsia"/>
          <w:highlight w:val="none"/>
        </w:rPr>
        <w:t>。</w:t>
      </w:r>
    </w:p>
    <w:tbl>
      <w:tblPr>
        <w:tblStyle w:val="3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25"/>
        <w:gridCol w:w="567"/>
        <w:gridCol w:w="1343"/>
        <w:gridCol w:w="762"/>
        <w:gridCol w:w="1173"/>
        <w:gridCol w:w="966"/>
        <w:gridCol w:w="966"/>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6" w:type="dxa"/>
            <w:vMerge w:val="restart"/>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25" w:type="dxa"/>
            <w:vMerge w:val="restart"/>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分项目名称</w:t>
            </w:r>
          </w:p>
        </w:tc>
        <w:tc>
          <w:tcPr>
            <w:tcW w:w="1910" w:type="dxa"/>
            <w:gridSpan w:val="2"/>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2901" w:type="dxa"/>
            <w:gridSpan w:val="3"/>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设计阶段及内容</w:t>
            </w:r>
          </w:p>
        </w:tc>
        <w:tc>
          <w:tcPr>
            <w:tcW w:w="966" w:type="dxa"/>
            <w:vMerge w:val="restart"/>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估算总投资</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967" w:type="dxa"/>
            <w:vMerge w:val="restart"/>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费率%</w:t>
            </w:r>
          </w:p>
        </w:tc>
        <w:tc>
          <w:tcPr>
            <w:tcW w:w="967" w:type="dxa"/>
            <w:vMerge w:val="restart"/>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26" w:type="dxa"/>
            <w:vMerge w:val="continue"/>
          </w:tcPr>
          <w:p>
            <w:pPr>
              <w:ind w:firstLine="0" w:firstLineChars="0"/>
              <w:jc w:val="left"/>
              <w:rPr>
                <w:rFonts w:hint="eastAsia" w:ascii="宋体" w:hAnsi="宋体" w:eastAsia="宋体" w:cs="宋体"/>
                <w:color w:val="auto"/>
                <w:highlight w:val="none"/>
              </w:rPr>
            </w:pPr>
          </w:p>
        </w:tc>
        <w:tc>
          <w:tcPr>
            <w:tcW w:w="1525" w:type="dxa"/>
            <w:vMerge w:val="continue"/>
          </w:tcPr>
          <w:p>
            <w:pPr>
              <w:ind w:firstLine="0" w:firstLineChars="0"/>
              <w:jc w:val="left"/>
              <w:rPr>
                <w:rFonts w:hint="eastAsia" w:ascii="宋体" w:hAnsi="宋体" w:eastAsia="宋体" w:cs="宋体"/>
                <w:color w:val="auto"/>
                <w:highlight w:val="none"/>
              </w:rPr>
            </w:pPr>
          </w:p>
        </w:tc>
        <w:tc>
          <w:tcPr>
            <w:tcW w:w="5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层数</w:t>
            </w:r>
          </w:p>
        </w:tc>
        <w:tc>
          <w:tcPr>
            <w:tcW w:w="134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建筑面积（m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w:t>
            </w:r>
          </w:p>
        </w:tc>
        <w:tc>
          <w:tcPr>
            <w:tcW w:w="76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方案</w:t>
            </w:r>
          </w:p>
        </w:tc>
        <w:tc>
          <w:tcPr>
            <w:tcW w:w="117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初步设计</w:t>
            </w:r>
          </w:p>
        </w:tc>
        <w:tc>
          <w:tcPr>
            <w:tcW w:w="9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施工图</w:t>
            </w:r>
          </w:p>
        </w:tc>
        <w:tc>
          <w:tcPr>
            <w:tcW w:w="966" w:type="dxa"/>
            <w:vMerge w:val="continue"/>
          </w:tcPr>
          <w:p>
            <w:pPr>
              <w:ind w:firstLine="0" w:firstLineChars="0"/>
              <w:jc w:val="left"/>
              <w:rPr>
                <w:rFonts w:hint="eastAsia" w:ascii="宋体" w:hAnsi="宋体" w:eastAsia="宋体" w:cs="宋体"/>
                <w:color w:val="auto"/>
                <w:highlight w:val="none"/>
              </w:rPr>
            </w:pPr>
          </w:p>
        </w:tc>
        <w:tc>
          <w:tcPr>
            <w:tcW w:w="967" w:type="dxa"/>
            <w:vMerge w:val="continue"/>
          </w:tcPr>
          <w:p>
            <w:pPr>
              <w:ind w:firstLine="0" w:firstLineChars="0"/>
              <w:jc w:val="left"/>
              <w:rPr>
                <w:rFonts w:hint="eastAsia" w:ascii="宋体" w:hAnsi="宋体" w:eastAsia="宋体" w:cs="宋体"/>
                <w:color w:val="auto"/>
                <w:highlight w:val="none"/>
              </w:rPr>
            </w:pPr>
          </w:p>
        </w:tc>
        <w:tc>
          <w:tcPr>
            <w:tcW w:w="967" w:type="dxa"/>
            <w:vMerge w:val="continue"/>
          </w:tcPr>
          <w:p>
            <w:pPr>
              <w:ind w:firstLine="0" w:firstLineChars="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25" w:type="dxa"/>
          </w:tcPr>
          <w:p>
            <w:pPr>
              <w:ind w:firstLine="0" w:firstLineChars="0"/>
              <w:jc w:val="left"/>
              <w:rPr>
                <w:rFonts w:hint="eastAsia" w:ascii="宋体" w:hAnsi="宋体" w:eastAsia="宋体" w:cs="宋体"/>
                <w:color w:val="auto"/>
                <w:highlight w:val="none"/>
              </w:rPr>
            </w:pPr>
          </w:p>
        </w:tc>
        <w:tc>
          <w:tcPr>
            <w:tcW w:w="567" w:type="dxa"/>
            <w:vAlign w:val="center"/>
          </w:tcPr>
          <w:p>
            <w:pPr>
              <w:ind w:firstLine="0" w:firstLineChars="0"/>
              <w:jc w:val="center"/>
              <w:rPr>
                <w:rFonts w:hint="eastAsia" w:ascii="宋体" w:hAnsi="宋体" w:eastAsia="宋体" w:cs="宋体"/>
                <w:color w:val="auto"/>
                <w:highlight w:val="none"/>
              </w:rPr>
            </w:pPr>
          </w:p>
        </w:tc>
        <w:tc>
          <w:tcPr>
            <w:tcW w:w="1343" w:type="dxa"/>
            <w:vAlign w:val="center"/>
          </w:tcPr>
          <w:p>
            <w:pPr>
              <w:ind w:firstLine="0" w:firstLineChars="0"/>
              <w:jc w:val="center"/>
              <w:rPr>
                <w:rFonts w:hint="eastAsia" w:ascii="宋体" w:hAnsi="宋体" w:eastAsia="宋体" w:cs="宋体"/>
                <w:color w:val="auto"/>
                <w:highlight w:val="none"/>
              </w:rPr>
            </w:pPr>
          </w:p>
        </w:tc>
        <w:tc>
          <w:tcPr>
            <w:tcW w:w="762" w:type="dxa"/>
            <w:vAlign w:val="center"/>
          </w:tcPr>
          <w:p>
            <w:pPr>
              <w:ind w:firstLine="0" w:firstLineChars="0"/>
              <w:jc w:val="center"/>
              <w:rPr>
                <w:rFonts w:hint="eastAsia" w:ascii="宋体" w:hAnsi="宋体" w:eastAsia="宋体" w:cs="宋体"/>
                <w:color w:val="auto"/>
                <w:highlight w:val="none"/>
              </w:rPr>
            </w:pPr>
          </w:p>
        </w:tc>
        <w:tc>
          <w:tcPr>
            <w:tcW w:w="1173" w:type="dxa"/>
            <w:vAlign w:val="center"/>
          </w:tcPr>
          <w:p>
            <w:pPr>
              <w:ind w:firstLine="0" w:firstLineChars="0"/>
              <w:jc w:val="center"/>
              <w:rPr>
                <w:rFonts w:hint="eastAsia" w:ascii="宋体" w:hAnsi="宋体" w:eastAsia="宋体" w:cs="宋体"/>
                <w:color w:val="auto"/>
                <w:highlight w:val="none"/>
              </w:rPr>
            </w:pPr>
          </w:p>
        </w:tc>
        <w:tc>
          <w:tcPr>
            <w:tcW w:w="966" w:type="dxa"/>
            <w:vAlign w:val="center"/>
          </w:tcPr>
          <w:p>
            <w:pPr>
              <w:ind w:firstLine="0" w:firstLineChars="0"/>
              <w:jc w:val="center"/>
              <w:rPr>
                <w:rFonts w:hint="eastAsia" w:ascii="宋体" w:hAnsi="宋体" w:eastAsia="宋体" w:cs="宋体"/>
                <w:color w:val="auto"/>
                <w:highlight w:val="none"/>
              </w:rPr>
            </w:pPr>
          </w:p>
        </w:tc>
        <w:tc>
          <w:tcPr>
            <w:tcW w:w="966" w:type="dxa"/>
          </w:tcPr>
          <w:p>
            <w:pPr>
              <w:ind w:firstLine="0" w:firstLineChars="0"/>
              <w:jc w:val="left"/>
              <w:rPr>
                <w:rFonts w:hint="eastAsia" w:ascii="宋体" w:hAnsi="宋体" w:eastAsia="宋体" w:cs="宋体"/>
                <w:color w:val="auto"/>
                <w:highlight w:val="none"/>
              </w:rPr>
            </w:pPr>
          </w:p>
        </w:tc>
        <w:tc>
          <w:tcPr>
            <w:tcW w:w="967" w:type="dxa"/>
          </w:tcPr>
          <w:p>
            <w:pPr>
              <w:ind w:firstLine="0" w:firstLineChars="0"/>
              <w:jc w:val="left"/>
              <w:rPr>
                <w:rFonts w:hint="eastAsia" w:ascii="宋体" w:hAnsi="宋体" w:eastAsia="宋体" w:cs="宋体"/>
                <w:color w:val="auto"/>
                <w:highlight w:val="none"/>
              </w:rPr>
            </w:pPr>
          </w:p>
        </w:tc>
        <w:tc>
          <w:tcPr>
            <w:tcW w:w="967" w:type="dxa"/>
          </w:tcPr>
          <w:p>
            <w:pPr>
              <w:ind w:firstLine="0" w:firstLineChars="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ind w:firstLine="0" w:firstLineChars="0"/>
              <w:jc w:val="left"/>
              <w:rPr>
                <w:rFonts w:hint="eastAsia" w:ascii="宋体" w:hAnsi="宋体" w:eastAsia="宋体" w:cs="宋体"/>
                <w:color w:val="auto"/>
                <w:highlight w:val="none"/>
              </w:rPr>
            </w:pPr>
          </w:p>
        </w:tc>
        <w:tc>
          <w:tcPr>
            <w:tcW w:w="1525" w:type="dxa"/>
          </w:tcPr>
          <w:p>
            <w:pPr>
              <w:ind w:firstLine="0" w:firstLineChars="0"/>
              <w:jc w:val="left"/>
              <w:rPr>
                <w:rFonts w:hint="eastAsia" w:ascii="宋体" w:hAnsi="宋体" w:eastAsia="宋体" w:cs="宋体"/>
                <w:color w:val="auto"/>
                <w:highlight w:val="none"/>
              </w:rPr>
            </w:pPr>
          </w:p>
        </w:tc>
        <w:tc>
          <w:tcPr>
            <w:tcW w:w="567" w:type="dxa"/>
          </w:tcPr>
          <w:p>
            <w:pPr>
              <w:ind w:firstLine="0" w:firstLineChars="0"/>
              <w:jc w:val="left"/>
              <w:rPr>
                <w:rFonts w:hint="eastAsia" w:ascii="宋体" w:hAnsi="宋体" w:eastAsia="宋体" w:cs="宋体"/>
                <w:color w:val="auto"/>
                <w:highlight w:val="none"/>
              </w:rPr>
            </w:pPr>
          </w:p>
        </w:tc>
        <w:tc>
          <w:tcPr>
            <w:tcW w:w="1343" w:type="dxa"/>
          </w:tcPr>
          <w:p>
            <w:pPr>
              <w:ind w:firstLine="0" w:firstLineChars="0"/>
              <w:jc w:val="left"/>
              <w:rPr>
                <w:rFonts w:hint="eastAsia" w:ascii="宋体" w:hAnsi="宋体" w:eastAsia="宋体" w:cs="宋体"/>
                <w:color w:val="auto"/>
                <w:highlight w:val="none"/>
              </w:rPr>
            </w:pPr>
          </w:p>
        </w:tc>
        <w:tc>
          <w:tcPr>
            <w:tcW w:w="762" w:type="dxa"/>
          </w:tcPr>
          <w:p>
            <w:pPr>
              <w:ind w:firstLine="0" w:firstLineChars="0"/>
              <w:jc w:val="left"/>
              <w:rPr>
                <w:rFonts w:hint="eastAsia" w:ascii="宋体" w:hAnsi="宋体" w:eastAsia="宋体" w:cs="宋体"/>
                <w:color w:val="auto"/>
                <w:highlight w:val="none"/>
              </w:rPr>
            </w:pPr>
          </w:p>
        </w:tc>
        <w:tc>
          <w:tcPr>
            <w:tcW w:w="1173" w:type="dxa"/>
          </w:tcPr>
          <w:p>
            <w:pPr>
              <w:ind w:firstLine="0" w:firstLineChars="0"/>
              <w:jc w:val="left"/>
              <w:rPr>
                <w:rFonts w:hint="eastAsia" w:ascii="宋体" w:hAnsi="宋体" w:eastAsia="宋体" w:cs="宋体"/>
                <w:color w:val="auto"/>
                <w:highlight w:val="none"/>
              </w:rPr>
            </w:pPr>
          </w:p>
        </w:tc>
        <w:tc>
          <w:tcPr>
            <w:tcW w:w="966" w:type="dxa"/>
          </w:tcPr>
          <w:p>
            <w:pPr>
              <w:ind w:firstLine="0" w:firstLineChars="0"/>
              <w:jc w:val="left"/>
              <w:rPr>
                <w:rFonts w:hint="eastAsia" w:ascii="宋体" w:hAnsi="宋体" w:eastAsia="宋体" w:cs="宋体"/>
                <w:color w:val="auto"/>
                <w:highlight w:val="none"/>
              </w:rPr>
            </w:pPr>
          </w:p>
        </w:tc>
        <w:tc>
          <w:tcPr>
            <w:tcW w:w="966" w:type="dxa"/>
          </w:tcPr>
          <w:p>
            <w:pPr>
              <w:ind w:firstLine="0" w:firstLineChars="0"/>
              <w:jc w:val="left"/>
              <w:rPr>
                <w:rFonts w:hint="eastAsia" w:ascii="宋体" w:hAnsi="宋体" w:eastAsia="宋体" w:cs="宋体"/>
                <w:color w:val="auto"/>
                <w:highlight w:val="none"/>
              </w:rPr>
            </w:pPr>
          </w:p>
        </w:tc>
        <w:tc>
          <w:tcPr>
            <w:tcW w:w="967" w:type="dxa"/>
          </w:tcPr>
          <w:p>
            <w:pPr>
              <w:ind w:firstLine="0" w:firstLineChars="0"/>
              <w:jc w:val="left"/>
              <w:rPr>
                <w:rFonts w:hint="eastAsia" w:ascii="宋体" w:hAnsi="宋体" w:eastAsia="宋体" w:cs="宋体"/>
                <w:color w:val="auto"/>
                <w:highlight w:val="none"/>
              </w:rPr>
            </w:pPr>
          </w:p>
        </w:tc>
        <w:tc>
          <w:tcPr>
            <w:tcW w:w="967" w:type="dxa"/>
          </w:tcPr>
          <w:p>
            <w:pPr>
              <w:ind w:firstLine="0" w:firstLineChars="0"/>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ind w:firstLine="0" w:firstLineChars="0"/>
              <w:jc w:val="left"/>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tc>
        <w:tc>
          <w:tcPr>
            <w:tcW w:w="9236" w:type="dxa"/>
            <w:gridSpan w:val="9"/>
          </w:tcPr>
          <w:p>
            <w:pPr>
              <w:ind w:left="252"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1、按投标文件报价执行；</w:t>
            </w:r>
          </w:p>
          <w:p>
            <w:pPr>
              <w:ind w:left="252" w:firstLine="0" w:firstLineChars="0"/>
              <w:rPr>
                <w:rFonts w:hint="eastAsia"/>
                <w:color w:val="auto"/>
                <w:sz w:val="24"/>
                <w:highlight w:val="none"/>
                <w:lang w:eastAsia="zh-CN"/>
              </w:rPr>
            </w:pPr>
            <w:r>
              <w:rPr>
                <w:rFonts w:hint="eastAsia" w:ascii="宋体" w:hAnsi="宋体" w:eastAsia="宋体" w:cs="宋体"/>
                <w:color w:val="auto"/>
                <w:highlight w:val="none"/>
              </w:rPr>
              <w:t>2、</w:t>
            </w:r>
            <w:r>
              <w:rPr>
                <w:rFonts w:hint="eastAsia"/>
                <w:color w:val="auto"/>
                <w:sz w:val="24"/>
                <w:highlight w:val="none"/>
              </w:rPr>
              <w:t>设计内容包括与实验室相关的建筑、结构、水、</w:t>
            </w:r>
            <w:r>
              <w:rPr>
                <w:rFonts w:hint="eastAsia"/>
                <w:b w:val="0"/>
                <w:bCs/>
                <w:color w:val="auto"/>
                <w:sz w:val="24"/>
                <w:highlight w:val="none"/>
              </w:rPr>
              <w:t>电（强、弱电）、</w:t>
            </w:r>
            <w:r>
              <w:rPr>
                <w:rFonts w:hint="eastAsia"/>
                <w:color w:val="auto"/>
                <w:sz w:val="24"/>
                <w:highlight w:val="none"/>
              </w:rPr>
              <w:t>动力、暖通、消防工程等</w:t>
            </w:r>
            <w:r>
              <w:rPr>
                <w:rFonts w:hint="eastAsia"/>
                <w:color w:val="auto"/>
                <w:sz w:val="24"/>
                <w:highlight w:val="none"/>
                <w:lang w:eastAsia="zh-CN"/>
              </w:rPr>
              <w:t>本项目所涉及</w:t>
            </w:r>
            <w:r>
              <w:rPr>
                <w:rFonts w:hint="eastAsia"/>
                <w:color w:val="auto"/>
                <w:sz w:val="24"/>
                <w:highlight w:val="none"/>
              </w:rPr>
              <w:t>的所有设计内容</w:t>
            </w:r>
            <w:r>
              <w:rPr>
                <w:rFonts w:hint="eastAsia"/>
                <w:color w:val="auto"/>
                <w:sz w:val="24"/>
                <w:highlight w:val="none"/>
                <w:lang w:eastAsia="zh-CN"/>
              </w:rPr>
              <w:t>。</w:t>
            </w:r>
          </w:p>
          <w:p>
            <w:pPr>
              <w:ind w:left="252"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3、施工图专项审查报批工作。</w:t>
            </w:r>
          </w:p>
        </w:tc>
      </w:tr>
    </w:tbl>
    <w:p>
      <w:pPr>
        <w:ind w:left="180" w:firstLine="482"/>
        <w:rPr>
          <w:b/>
          <w:highlight w:val="none"/>
        </w:rPr>
      </w:pPr>
    </w:p>
    <w:p>
      <w:pPr>
        <w:ind w:firstLine="482"/>
        <w:rPr>
          <w:b/>
          <w:highlight w:val="none"/>
        </w:rPr>
      </w:pPr>
      <w:r>
        <w:rPr>
          <w:rFonts w:hint="eastAsia"/>
          <w:b/>
          <w:highlight w:val="none"/>
        </w:rPr>
        <w:t>第四条发包人向设计人提交的有关资料、文件及时间：</w:t>
      </w:r>
    </w:p>
    <w:tbl>
      <w:tblPr>
        <w:tblStyle w:val="3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900"/>
        <w:gridCol w:w="180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ind w:firstLine="0" w:firstLineChars="0"/>
              <w:rPr>
                <w:highlight w:val="none"/>
              </w:rPr>
            </w:pPr>
            <w:r>
              <w:rPr>
                <w:rFonts w:hint="eastAsia"/>
                <w:highlight w:val="none"/>
              </w:rPr>
              <w:t>序号</w:t>
            </w:r>
          </w:p>
        </w:tc>
        <w:tc>
          <w:tcPr>
            <w:tcW w:w="3240" w:type="dxa"/>
            <w:noWrap w:val="0"/>
            <w:vAlign w:val="center"/>
          </w:tcPr>
          <w:p>
            <w:pPr>
              <w:ind w:firstLine="0" w:firstLineChars="0"/>
              <w:jc w:val="center"/>
              <w:rPr>
                <w:highlight w:val="none"/>
              </w:rPr>
            </w:pPr>
            <w:r>
              <w:rPr>
                <w:rFonts w:hint="eastAsia"/>
                <w:highlight w:val="none"/>
              </w:rPr>
              <w:t>资料及文件名称</w:t>
            </w:r>
          </w:p>
        </w:tc>
        <w:tc>
          <w:tcPr>
            <w:tcW w:w="900" w:type="dxa"/>
            <w:noWrap w:val="0"/>
            <w:vAlign w:val="top"/>
          </w:tcPr>
          <w:p>
            <w:pPr>
              <w:ind w:firstLine="0" w:firstLineChars="0"/>
              <w:rPr>
                <w:highlight w:val="none"/>
              </w:rPr>
            </w:pPr>
            <w:r>
              <w:rPr>
                <w:rFonts w:hint="eastAsia"/>
                <w:highlight w:val="none"/>
              </w:rPr>
              <w:t>份数</w:t>
            </w:r>
          </w:p>
        </w:tc>
        <w:tc>
          <w:tcPr>
            <w:tcW w:w="1800" w:type="dxa"/>
            <w:noWrap w:val="0"/>
            <w:vAlign w:val="center"/>
          </w:tcPr>
          <w:p>
            <w:pPr>
              <w:ind w:firstLine="0" w:firstLineChars="0"/>
              <w:jc w:val="center"/>
              <w:rPr>
                <w:highlight w:val="none"/>
              </w:rPr>
            </w:pPr>
            <w:r>
              <w:rPr>
                <w:rFonts w:hint="eastAsia"/>
                <w:highlight w:val="none"/>
              </w:rPr>
              <w:t>提交日期</w:t>
            </w:r>
          </w:p>
        </w:tc>
        <w:tc>
          <w:tcPr>
            <w:tcW w:w="3075" w:type="dxa"/>
            <w:noWrap w:val="0"/>
            <w:vAlign w:val="center"/>
          </w:tcPr>
          <w:p>
            <w:pPr>
              <w:ind w:firstLine="0" w:firstLineChars="0"/>
              <w:jc w:val="center"/>
              <w:rPr>
                <w:highlight w:val="none"/>
              </w:rPr>
            </w:pPr>
            <w:r>
              <w:rPr>
                <w:rFonts w:hint="eastAsia"/>
                <w:highlight w:val="none"/>
              </w:rPr>
              <w:t>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ind w:firstLine="0" w:firstLineChars="0"/>
              <w:jc w:val="center"/>
              <w:rPr>
                <w:highlight w:val="none"/>
              </w:rPr>
            </w:pPr>
          </w:p>
        </w:tc>
        <w:tc>
          <w:tcPr>
            <w:tcW w:w="3240" w:type="dxa"/>
            <w:noWrap w:val="0"/>
            <w:vAlign w:val="top"/>
          </w:tcPr>
          <w:p>
            <w:pPr>
              <w:ind w:firstLine="0" w:firstLineChars="0"/>
              <w:jc w:val="center"/>
              <w:rPr>
                <w:highlight w:val="none"/>
              </w:rPr>
            </w:pPr>
          </w:p>
        </w:tc>
        <w:tc>
          <w:tcPr>
            <w:tcW w:w="900" w:type="dxa"/>
            <w:noWrap w:val="0"/>
            <w:vAlign w:val="top"/>
          </w:tcPr>
          <w:p>
            <w:pPr>
              <w:ind w:firstLine="0" w:firstLineChars="0"/>
              <w:jc w:val="center"/>
              <w:rPr>
                <w:highlight w:val="none"/>
              </w:rPr>
            </w:pPr>
          </w:p>
        </w:tc>
        <w:tc>
          <w:tcPr>
            <w:tcW w:w="1800" w:type="dxa"/>
            <w:tcBorders>
              <w:bottom w:val="nil"/>
            </w:tcBorders>
            <w:noWrap w:val="0"/>
            <w:vAlign w:val="center"/>
          </w:tcPr>
          <w:p>
            <w:pPr>
              <w:ind w:firstLine="0" w:firstLineChars="0"/>
              <w:jc w:val="center"/>
              <w:rPr>
                <w:highlight w:val="none"/>
              </w:rPr>
            </w:pPr>
          </w:p>
        </w:tc>
        <w:tc>
          <w:tcPr>
            <w:tcW w:w="3075" w:type="dxa"/>
            <w:vMerge w:val="restart"/>
            <w:noWrap w:val="0"/>
            <w:vAlign w:val="top"/>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noWrap w:val="0"/>
            <w:vAlign w:val="top"/>
          </w:tcPr>
          <w:p>
            <w:pPr>
              <w:ind w:firstLine="0" w:firstLineChars="0"/>
              <w:jc w:val="center"/>
              <w:rPr>
                <w:highlight w:val="none"/>
              </w:rPr>
            </w:pPr>
          </w:p>
        </w:tc>
        <w:tc>
          <w:tcPr>
            <w:tcW w:w="3240" w:type="dxa"/>
            <w:noWrap w:val="0"/>
            <w:vAlign w:val="top"/>
          </w:tcPr>
          <w:p>
            <w:pPr>
              <w:ind w:firstLine="0" w:firstLineChars="0"/>
              <w:rPr>
                <w:highlight w:val="none"/>
              </w:rPr>
            </w:pPr>
          </w:p>
        </w:tc>
        <w:tc>
          <w:tcPr>
            <w:tcW w:w="900" w:type="dxa"/>
            <w:noWrap w:val="0"/>
            <w:vAlign w:val="top"/>
          </w:tcPr>
          <w:p>
            <w:pPr>
              <w:ind w:firstLine="0" w:firstLineChars="0"/>
              <w:jc w:val="center"/>
              <w:rPr>
                <w:highlight w:val="none"/>
              </w:rPr>
            </w:pPr>
          </w:p>
        </w:tc>
        <w:tc>
          <w:tcPr>
            <w:tcW w:w="1800" w:type="dxa"/>
            <w:noWrap w:val="0"/>
            <w:vAlign w:val="center"/>
          </w:tcPr>
          <w:p>
            <w:pPr>
              <w:ind w:firstLine="0" w:firstLineChars="0"/>
              <w:jc w:val="center"/>
              <w:rPr>
                <w:highlight w:val="none"/>
              </w:rPr>
            </w:pPr>
          </w:p>
        </w:tc>
        <w:tc>
          <w:tcPr>
            <w:tcW w:w="3075" w:type="dxa"/>
            <w:vMerge w:val="continue"/>
            <w:noWrap w:val="0"/>
            <w:vAlign w:val="top"/>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noWrap w:val="0"/>
            <w:vAlign w:val="top"/>
          </w:tcPr>
          <w:p>
            <w:pPr>
              <w:ind w:firstLine="0" w:firstLineChars="0"/>
              <w:jc w:val="center"/>
              <w:rPr>
                <w:highlight w:val="none"/>
              </w:rPr>
            </w:pPr>
          </w:p>
        </w:tc>
        <w:tc>
          <w:tcPr>
            <w:tcW w:w="3240" w:type="dxa"/>
            <w:noWrap w:val="0"/>
            <w:vAlign w:val="top"/>
          </w:tcPr>
          <w:p>
            <w:pPr>
              <w:ind w:firstLine="0" w:firstLineChars="0"/>
              <w:jc w:val="center"/>
              <w:rPr>
                <w:highlight w:val="none"/>
              </w:rPr>
            </w:pPr>
          </w:p>
        </w:tc>
        <w:tc>
          <w:tcPr>
            <w:tcW w:w="900" w:type="dxa"/>
            <w:noWrap w:val="0"/>
            <w:vAlign w:val="top"/>
          </w:tcPr>
          <w:p>
            <w:pPr>
              <w:ind w:firstLine="0" w:firstLineChars="0"/>
              <w:jc w:val="center"/>
              <w:rPr>
                <w:highlight w:val="none"/>
              </w:rPr>
            </w:pPr>
          </w:p>
        </w:tc>
        <w:tc>
          <w:tcPr>
            <w:tcW w:w="1800" w:type="dxa"/>
            <w:noWrap w:val="0"/>
            <w:vAlign w:val="center"/>
          </w:tcPr>
          <w:p>
            <w:pPr>
              <w:ind w:firstLine="0" w:firstLineChars="0"/>
              <w:jc w:val="center"/>
              <w:rPr>
                <w:highlight w:val="none"/>
              </w:rPr>
            </w:pPr>
          </w:p>
        </w:tc>
        <w:tc>
          <w:tcPr>
            <w:tcW w:w="3075" w:type="dxa"/>
            <w:vMerge w:val="continue"/>
            <w:noWrap w:val="0"/>
            <w:vAlign w:val="top"/>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noWrap w:val="0"/>
            <w:vAlign w:val="top"/>
          </w:tcPr>
          <w:p>
            <w:pPr>
              <w:ind w:firstLine="0" w:firstLineChars="0"/>
              <w:jc w:val="center"/>
              <w:rPr>
                <w:highlight w:val="none"/>
              </w:rPr>
            </w:pPr>
          </w:p>
        </w:tc>
        <w:tc>
          <w:tcPr>
            <w:tcW w:w="3240" w:type="dxa"/>
            <w:noWrap w:val="0"/>
            <w:vAlign w:val="top"/>
          </w:tcPr>
          <w:p>
            <w:pPr>
              <w:ind w:firstLine="0" w:firstLineChars="0"/>
              <w:jc w:val="center"/>
              <w:rPr>
                <w:highlight w:val="none"/>
              </w:rPr>
            </w:pPr>
          </w:p>
        </w:tc>
        <w:tc>
          <w:tcPr>
            <w:tcW w:w="900" w:type="dxa"/>
            <w:noWrap w:val="0"/>
            <w:vAlign w:val="top"/>
          </w:tcPr>
          <w:p>
            <w:pPr>
              <w:ind w:firstLine="0" w:firstLineChars="0"/>
              <w:jc w:val="center"/>
              <w:rPr>
                <w:highlight w:val="none"/>
              </w:rPr>
            </w:pPr>
          </w:p>
        </w:tc>
        <w:tc>
          <w:tcPr>
            <w:tcW w:w="1800" w:type="dxa"/>
            <w:noWrap w:val="0"/>
            <w:vAlign w:val="center"/>
          </w:tcPr>
          <w:p>
            <w:pPr>
              <w:ind w:firstLine="0" w:firstLineChars="0"/>
              <w:jc w:val="center"/>
              <w:rPr>
                <w:highlight w:val="none"/>
              </w:rPr>
            </w:pPr>
          </w:p>
        </w:tc>
        <w:tc>
          <w:tcPr>
            <w:tcW w:w="3075" w:type="dxa"/>
            <w:vMerge w:val="continue"/>
            <w:noWrap w:val="0"/>
            <w:vAlign w:val="top"/>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noWrap w:val="0"/>
            <w:vAlign w:val="top"/>
          </w:tcPr>
          <w:p>
            <w:pPr>
              <w:ind w:firstLine="0" w:firstLineChars="0"/>
              <w:jc w:val="center"/>
              <w:rPr>
                <w:highlight w:val="none"/>
              </w:rPr>
            </w:pPr>
          </w:p>
        </w:tc>
        <w:tc>
          <w:tcPr>
            <w:tcW w:w="3240" w:type="dxa"/>
            <w:noWrap w:val="0"/>
            <w:vAlign w:val="top"/>
          </w:tcPr>
          <w:p>
            <w:pPr>
              <w:ind w:firstLine="0" w:firstLineChars="0"/>
              <w:jc w:val="center"/>
              <w:rPr>
                <w:highlight w:val="none"/>
              </w:rPr>
            </w:pPr>
          </w:p>
        </w:tc>
        <w:tc>
          <w:tcPr>
            <w:tcW w:w="900" w:type="dxa"/>
            <w:noWrap w:val="0"/>
            <w:vAlign w:val="top"/>
          </w:tcPr>
          <w:p>
            <w:pPr>
              <w:ind w:firstLine="0" w:firstLineChars="0"/>
              <w:jc w:val="center"/>
              <w:rPr>
                <w:highlight w:val="none"/>
              </w:rPr>
            </w:pPr>
          </w:p>
        </w:tc>
        <w:tc>
          <w:tcPr>
            <w:tcW w:w="1800" w:type="dxa"/>
            <w:noWrap w:val="0"/>
            <w:vAlign w:val="center"/>
          </w:tcPr>
          <w:p>
            <w:pPr>
              <w:ind w:firstLine="0" w:firstLineChars="0"/>
              <w:jc w:val="center"/>
              <w:rPr>
                <w:highlight w:val="none"/>
              </w:rPr>
            </w:pPr>
          </w:p>
        </w:tc>
        <w:tc>
          <w:tcPr>
            <w:tcW w:w="3075" w:type="dxa"/>
            <w:vMerge w:val="continue"/>
            <w:noWrap w:val="0"/>
            <w:vAlign w:val="top"/>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noWrap w:val="0"/>
            <w:vAlign w:val="top"/>
          </w:tcPr>
          <w:p>
            <w:pPr>
              <w:ind w:firstLine="0" w:firstLineChars="0"/>
              <w:jc w:val="center"/>
              <w:rPr>
                <w:highlight w:val="none"/>
              </w:rPr>
            </w:pPr>
          </w:p>
        </w:tc>
        <w:tc>
          <w:tcPr>
            <w:tcW w:w="3240" w:type="dxa"/>
            <w:noWrap w:val="0"/>
            <w:vAlign w:val="top"/>
          </w:tcPr>
          <w:p>
            <w:pPr>
              <w:ind w:firstLine="0" w:firstLineChars="0"/>
              <w:jc w:val="center"/>
              <w:rPr>
                <w:highlight w:val="none"/>
              </w:rPr>
            </w:pPr>
          </w:p>
        </w:tc>
        <w:tc>
          <w:tcPr>
            <w:tcW w:w="900" w:type="dxa"/>
            <w:noWrap w:val="0"/>
            <w:vAlign w:val="top"/>
          </w:tcPr>
          <w:p>
            <w:pPr>
              <w:ind w:firstLine="0" w:firstLineChars="0"/>
              <w:jc w:val="center"/>
              <w:rPr>
                <w:highlight w:val="none"/>
              </w:rPr>
            </w:pPr>
          </w:p>
        </w:tc>
        <w:tc>
          <w:tcPr>
            <w:tcW w:w="1800" w:type="dxa"/>
            <w:tcBorders>
              <w:bottom w:val="single" w:color="auto" w:sz="4" w:space="0"/>
            </w:tcBorders>
            <w:noWrap w:val="0"/>
            <w:vAlign w:val="center"/>
          </w:tcPr>
          <w:p>
            <w:pPr>
              <w:ind w:firstLine="0" w:firstLineChars="0"/>
              <w:jc w:val="center"/>
              <w:rPr>
                <w:highlight w:val="none"/>
              </w:rPr>
            </w:pPr>
          </w:p>
        </w:tc>
        <w:tc>
          <w:tcPr>
            <w:tcW w:w="3075" w:type="dxa"/>
            <w:vMerge w:val="continue"/>
            <w:tcBorders>
              <w:bottom w:val="single" w:color="auto" w:sz="4" w:space="0"/>
            </w:tcBorders>
            <w:noWrap w:val="0"/>
            <w:vAlign w:val="top"/>
          </w:tcPr>
          <w:p>
            <w:pPr>
              <w:ind w:firstLine="0" w:firstLineChars="0"/>
              <w:rPr>
                <w:highlight w:val="none"/>
              </w:rPr>
            </w:pPr>
          </w:p>
        </w:tc>
      </w:tr>
    </w:tbl>
    <w:p>
      <w:pPr>
        <w:ind w:firstLine="482"/>
        <w:rPr>
          <w:b/>
          <w:highlight w:val="none"/>
        </w:rPr>
      </w:pPr>
      <w:r>
        <w:rPr>
          <w:rFonts w:hint="eastAsia"/>
          <w:b/>
          <w:highlight w:val="none"/>
        </w:rPr>
        <w:t>第五条设计人向发包人交付的设计文件、份数、时间：</w:t>
      </w:r>
    </w:p>
    <w:tbl>
      <w:tblPr>
        <w:tblStyle w:val="3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45"/>
        <w:gridCol w:w="1055"/>
        <w:gridCol w:w="3060"/>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noWrap w:val="0"/>
            <w:vAlign w:val="center"/>
          </w:tcPr>
          <w:p>
            <w:pPr>
              <w:ind w:firstLine="0" w:firstLineChars="0"/>
              <w:rPr>
                <w:highlight w:val="none"/>
              </w:rPr>
            </w:pPr>
            <w:r>
              <w:rPr>
                <w:rFonts w:hint="eastAsia"/>
                <w:highlight w:val="none"/>
              </w:rPr>
              <w:t>序号</w:t>
            </w:r>
          </w:p>
        </w:tc>
        <w:tc>
          <w:tcPr>
            <w:tcW w:w="2545" w:type="dxa"/>
            <w:noWrap w:val="0"/>
            <w:vAlign w:val="center"/>
          </w:tcPr>
          <w:p>
            <w:pPr>
              <w:ind w:firstLine="0" w:firstLineChars="0"/>
              <w:rPr>
                <w:highlight w:val="none"/>
              </w:rPr>
            </w:pPr>
            <w:r>
              <w:rPr>
                <w:rFonts w:hint="eastAsia"/>
                <w:highlight w:val="none"/>
              </w:rPr>
              <w:t>资料及文件名称</w:t>
            </w:r>
          </w:p>
        </w:tc>
        <w:tc>
          <w:tcPr>
            <w:tcW w:w="1055" w:type="dxa"/>
            <w:noWrap w:val="0"/>
            <w:vAlign w:val="center"/>
          </w:tcPr>
          <w:p>
            <w:pPr>
              <w:ind w:firstLine="0" w:firstLineChars="0"/>
              <w:rPr>
                <w:highlight w:val="none"/>
              </w:rPr>
            </w:pPr>
            <w:r>
              <w:rPr>
                <w:rFonts w:hint="eastAsia"/>
                <w:highlight w:val="none"/>
              </w:rPr>
              <w:t>份数</w:t>
            </w:r>
          </w:p>
        </w:tc>
        <w:tc>
          <w:tcPr>
            <w:tcW w:w="3060" w:type="dxa"/>
            <w:noWrap w:val="0"/>
            <w:vAlign w:val="center"/>
          </w:tcPr>
          <w:p>
            <w:pPr>
              <w:ind w:firstLine="0" w:firstLineChars="0"/>
              <w:rPr>
                <w:highlight w:val="none"/>
              </w:rPr>
            </w:pPr>
            <w:r>
              <w:rPr>
                <w:rFonts w:hint="eastAsia"/>
                <w:highlight w:val="none"/>
              </w:rPr>
              <w:t>提交日期</w:t>
            </w:r>
          </w:p>
        </w:tc>
        <w:tc>
          <w:tcPr>
            <w:tcW w:w="2463" w:type="dxa"/>
            <w:noWrap w:val="0"/>
            <w:vAlign w:val="center"/>
          </w:tcPr>
          <w:p>
            <w:pPr>
              <w:ind w:firstLine="0" w:firstLineChars="0"/>
              <w:rPr>
                <w:highlight w:val="none"/>
              </w:rPr>
            </w:pPr>
            <w:r>
              <w:rPr>
                <w:rFonts w:hint="eastAsia"/>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noWrap w:val="0"/>
            <w:vAlign w:val="center"/>
          </w:tcPr>
          <w:p>
            <w:pPr>
              <w:ind w:firstLine="0" w:firstLineChars="0"/>
              <w:rPr>
                <w:highlight w:val="none"/>
              </w:rPr>
            </w:pPr>
            <w:r>
              <w:rPr>
                <w:rFonts w:hint="eastAsia"/>
                <w:highlight w:val="none"/>
              </w:rPr>
              <w:t>1</w:t>
            </w:r>
          </w:p>
        </w:tc>
        <w:tc>
          <w:tcPr>
            <w:tcW w:w="2545" w:type="dxa"/>
            <w:noWrap w:val="0"/>
            <w:vAlign w:val="center"/>
          </w:tcPr>
          <w:p>
            <w:pPr>
              <w:ind w:firstLine="0" w:firstLineChars="0"/>
              <w:rPr>
                <w:highlight w:val="none"/>
              </w:rPr>
            </w:pPr>
            <w:r>
              <w:rPr>
                <w:rFonts w:hint="eastAsia"/>
                <w:highlight w:val="none"/>
              </w:rPr>
              <w:t>调整后方案设计文件（含估算）</w:t>
            </w:r>
          </w:p>
        </w:tc>
        <w:tc>
          <w:tcPr>
            <w:tcW w:w="1055" w:type="dxa"/>
            <w:noWrap w:val="0"/>
            <w:vAlign w:val="center"/>
          </w:tcPr>
          <w:p>
            <w:pPr>
              <w:ind w:firstLine="0" w:firstLineChars="0"/>
              <w:rPr>
                <w:highlight w:val="none"/>
              </w:rPr>
            </w:pPr>
            <w:r>
              <w:rPr>
                <w:rFonts w:hint="eastAsia"/>
                <w:highlight w:val="none"/>
              </w:rPr>
              <w:t>按发包人要求</w:t>
            </w:r>
          </w:p>
        </w:tc>
        <w:tc>
          <w:tcPr>
            <w:tcW w:w="3060" w:type="dxa"/>
            <w:tcBorders>
              <w:bottom w:val="nil"/>
            </w:tcBorders>
            <w:noWrap w:val="0"/>
            <w:vAlign w:val="center"/>
          </w:tcPr>
          <w:p>
            <w:pPr>
              <w:ind w:firstLine="0" w:firstLineChars="0"/>
              <w:rPr>
                <w:highlight w:val="none"/>
              </w:rPr>
            </w:pPr>
            <w:r>
              <w:rPr>
                <w:rFonts w:hint="eastAsia"/>
                <w:highlight w:val="none"/>
              </w:rPr>
              <w:t>方案修改意见提出后 1</w:t>
            </w:r>
            <w:r>
              <w:rPr>
                <w:rFonts w:hint="eastAsia"/>
                <w:highlight w:val="none"/>
                <w:lang w:val="en-US" w:eastAsia="zh-CN"/>
              </w:rPr>
              <w:t>5</w:t>
            </w:r>
            <w:r>
              <w:rPr>
                <w:rFonts w:hint="eastAsia"/>
                <w:highlight w:val="none"/>
              </w:rPr>
              <w:t xml:space="preserve">    天内</w:t>
            </w:r>
          </w:p>
        </w:tc>
        <w:tc>
          <w:tcPr>
            <w:tcW w:w="2463" w:type="dxa"/>
            <w:vMerge w:val="restart"/>
            <w:noWrap w:val="0"/>
            <w:vAlign w:val="center"/>
          </w:tcPr>
          <w:p>
            <w:pPr>
              <w:ind w:firstLine="0" w:firstLineChars="0"/>
              <w:rPr>
                <w:highlight w:val="none"/>
              </w:rPr>
            </w:pPr>
            <w:r>
              <w:rPr>
                <w:rFonts w:hint="eastAsia"/>
                <w:highlight w:val="none"/>
              </w:rPr>
              <w:t>提供各阶段电子文件（包括DWG格式文件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ind w:firstLine="0" w:firstLineChars="0"/>
              <w:rPr>
                <w:highlight w:val="none"/>
              </w:rPr>
            </w:pPr>
            <w:r>
              <w:rPr>
                <w:rFonts w:hint="eastAsia"/>
                <w:highlight w:val="none"/>
              </w:rPr>
              <w:t>2</w:t>
            </w:r>
          </w:p>
        </w:tc>
        <w:tc>
          <w:tcPr>
            <w:tcW w:w="2545" w:type="dxa"/>
            <w:noWrap w:val="0"/>
            <w:vAlign w:val="center"/>
          </w:tcPr>
          <w:p>
            <w:pPr>
              <w:ind w:firstLine="0" w:firstLineChars="0"/>
              <w:rPr>
                <w:highlight w:val="none"/>
              </w:rPr>
            </w:pPr>
            <w:r>
              <w:rPr>
                <w:rFonts w:hint="eastAsia"/>
                <w:highlight w:val="none"/>
              </w:rPr>
              <w:t>初步设计文件（含估算）</w:t>
            </w:r>
          </w:p>
        </w:tc>
        <w:tc>
          <w:tcPr>
            <w:tcW w:w="1055" w:type="dxa"/>
            <w:noWrap w:val="0"/>
            <w:vAlign w:val="center"/>
          </w:tcPr>
          <w:p>
            <w:pPr>
              <w:ind w:firstLine="0" w:firstLineChars="0"/>
              <w:rPr>
                <w:highlight w:val="none"/>
              </w:rPr>
            </w:pPr>
            <w:r>
              <w:rPr>
                <w:rFonts w:hint="eastAsia"/>
                <w:highlight w:val="none"/>
              </w:rPr>
              <w:t>按发包人要求</w:t>
            </w:r>
          </w:p>
        </w:tc>
        <w:tc>
          <w:tcPr>
            <w:tcW w:w="3060" w:type="dxa"/>
            <w:noWrap w:val="0"/>
            <w:vAlign w:val="center"/>
          </w:tcPr>
          <w:p>
            <w:pPr>
              <w:ind w:firstLine="0" w:firstLineChars="0"/>
              <w:rPr>
                <w:highlight w:val="none"/>
              </w:rPr>
            </w:pPr>
            <w:r>
              <w:rPr>
                <w:rFonts w:hint="eastAsia"/>
                <w:highlight w:val="none"/>
              </w:rPr>
              <w:t xml:space="preserve">方案批复后 </w:t>
            </w:r>
            <w:r>
              <w:rPr>
                <w:rFonts w:hint="eastAsia"/>
                <w:highlight w:val="none"/>
                <w:lang w:val="en-US" w:eastAsia="zh-CN"/>
              </w:rPr>
              <w:t>30</w:t>
            </w:r>
            <w:r>
              <w:rPr>
                <w:rFonts w:hint="eastAsia"/>
                <w:highlight w:val="none"/>
              </w:rPr>
              <w:t xml:space="preserve"> 天内</w:t>
            </w:r>
          </w:p>
        </w:tc>
        <w:tc>
          <w:tcPr>
            <w:tcW w:w="2463" w:type="dxa"/>
            <w:vMerge w:val="continue"/>
            <w:noWrap w:val="0"/>
            <w:vAlign w:val="center"/>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ind w:firstLine="0" w:firstLineChars="0"/>
              <w:rPr>
                <w:highlight w:val="none"/>
              </w:rPr>
            </w:pPr>
            <w:r>
              <w:rPr>
                <w:rFonts w:hint="eastAsia"/>
                <w:highlight w:val="none"/>
              </w:rPr>
              <w:t>3</w:t>
            </w:r>
          </w:p>
        </w:tc>
        <w:tc>
          <w:tcPr>
            <w:tcW w:w="2545" w:type="dxa"/>
            <w:noWrap w:val="0"/>
            <w:vAlign w:val="center"/>
          </w:tcPr>
          <w:p>
            <w:pPr>
              <w:ind w:firstLine="0" w:firstLineChars="0"/>
              <w:rPr>
                <w:highlight w:val="none"/>
              </w:rPr>
            </w:pPr>
            <w:r>
              <w:rPr>
                <w:rFonts w:hint="eastAsia"/>
                <w:highlight w:val="none"/>
              </w:rPr>
              <w:t>施工图设计文件</w:t>
            </w:r>
          </w:p>
        </w:tc>
        <w:tc>
          <w:tcPr>
            <w:tcW w:w="1055" w:type="dxa"/>
            <w:noWrap w:val="0"/>
            <w:vAlign w:val="center"/>
          </w:tcPr>
          <w:p>
            <w:pPr>
              <w:ind w:firstLine="0" w:firstLineChars="0"/>
              <w:rPr>
                <w:highlight w:val="none"/>
              </w:rPr>
            </w:pPr>
            <w:r>
              <w:rPr>
                <w:rFonts w:hint="eastAsia"/>
                <w:highlight w:val="none"/>
              </w:rPr>
              <w:t>按发包人要求</w:t>
            </w:r>
          </w:p>
        </w:tc>
        <w:tc>
          <w:tcPr>
            <w:tcW w:w="3060" w:type="dxa"/>
            <w:noWrap w:val="0"/>
            <w:vAlign w:val="center"/>
          </w:tcPr>
          <w:p>
            <w:pPr>
              <w:ind w:firstLine="0" w:firstLineChars="0"/>
              <w:rPr>
                <w:highlight w:val="none"/>
              </w:rPr>
            </w:pPr>
            <w:r>
              <w:rPr>
                <w:rFonts w:hint="eastAsia"/>
                <w:highlight w:val="none"/>
              </w:rPr>
              <w:t>初步设计批复后 4</w:t>
            </w:r>
            <w:r>
              <w:rPr>
                <w:rFonts w:hint="eastAsia"/>
                <w:highlight w:val="none"/>
                <w:lang w:val="en-US" w:eastAsia="zh-CN"/>
              </w:rPr>
              <w:t xml:space="preserve">5 </w:t>
            </w:r>
            <w:r>
              <w:rPr>
                <w:rFonts w:hint="eastAsia"/>
                <w:highlight w:val="none"/>
              </w:rPr>
              <w:t>天</w:t>
            </w:r>
          </w:p>
        </w:tc>
        <w:tc>
          <w:tcPr>
            <w:tcW w:w="2463" w:type="dxa"/>
            <w:vMerge w:val="continue"/>
            <w:noWrap w:val="0"/>
            <w:vAlign w:val="center"/>
          </w:tcPr>
          <w:p>
            <w:pPr>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663" w:type="dxa"/>
            <w:gridSpan w:val="5"/>
            <w:noWrap w:val="0"/>
            <w:vAlign w:val="center"/>
          </w:tcPr>
          <w:p>
            <w:pPr>
              <w:ind w:firstLine="0" w:firstLineChars="0"/>
              <w:rPr>
                <w:highlight w:val="none"/>
              </w:rPr>
            </w:pPr>
            <w:r>
              <w:rPr>
                <w:rFonts w:hint="eastAsia"/>
                <w:highlight w:val="none"/>
              </w:rPr>
              <w:t>说明：1、在方案阶段进行调整时（可能进行多轮调整）所产生的制作效果图、模型（如有）、文本等费用均包含在本次招标设计费用中。2、协助做好施工图专项审查报批工作。3、所有设计文件份数均按照发包人需要提供，费用包含在总价中(每份设计文件、资料提供30套以内)。</w:t>
            </w:r>
          </w:p>
        </w:tc>
      </w:tr>
    </w:tbl>
    <w:p>
      <w:pPr>
        <w:ind w:firstLine="480"/>
        <w:rPr>
          <w:highlight w:val="none"/>
        </w:rPr>
      </w:pPr>
      <w:r>
        <w:rPr>
          <w:rFonts w:hint="eastAsia"/>
          <w:highlight w:val="none"/>
        </w:rPr>
        <w:t>注：提交各阶段设计文件的同时支付各阶段设计费，施工图设计及施工配合阶段的设计费根据项目分期情况分别按实际工作量结算。</w:t>
      </w:r>
    </w:p>
    <w:p>
      <w:pPr>
        <w:ind w:firstLine="482"/>
        <w:rPr>
          <w:highlight w:val="none"/>
        </w:rPr>
      </w:pPr>
      <w:r>
        <w:rPr>
          <w:rFonts w:hint="eastAsia"/>
          <w:b/>
          <w:highlight w:val="none"/>
        </w:rPr>
        <w:t>第六条费用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6.1合同金额的5%（四舍五入至千元）作为履约保证金，</w:t>
      </w:r>
      <w:r>
        <w:rPr>
          <w:rFonts w:hint="eastAsia" w:cs="宋体"/>
          <w:color w:val="auto"/>
          <w:highlight w:val="none"/>
          <w:lang w:eastAsia="zh-CN"/>
        </w:rPr>
        <w:t>设计人</w:t>
      </w:r>
      <w:r>
        <w:rPr>
          <w:rFonts w:hint="eastAsia" w:ascii="宋体" w:hAnsi="宋体" w:eastAsia="宋体" w:cs="宋体"/>
          <w:color w:val="auto"/>
          <w:highlight w:val="none"/>
        </w:rPr>
        <w:t>在合同签订时提交至</w:t>
      </w:r>
      <w:r>
        <w:rPr>
          <w:rFonts w:hint="eastAsia" w:cs="宋体"/>
          <w:color w:val="auto"/>
          <w:highlight w:val="none"/>
          <w:lang w:eastAsia="zh-CN"/>
        </w:rPr>
        <w:t>发包人</w:t>
      </w:r>
      <w:r>
        <w:rPr>
          <w:rFonts w:hint="eastAsia" w:ascii="宋体" w:hAnsi="宋体" w:eastAsia="宋体" w:cs="宋体"/>
          <w:color w:val="auto"/>
          <w:highlight w:val="none"/>
        </w:rPr>
        <w:t>。履约保证金在</w:t>
      </w:r>
      <w:r>
        <w:rPr>
          <w:rFonts w:hint="eastAsia" w:cs="宋体"/>
          <w:color w:val="auto"/>
          <w:highlight w:val="none"/>
          <w:lang w:eastAsia="zh-CN"/>
        </w:rPr>
        <w:t>项目竣工验收后无违约，10个工作日内无息退还</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cs="宋体"/>
          <w:color w:val="auto"/>
          <w:highlight w:val="none"/>
          <w:lang w:val="en-US" w:eastAsia="zh-CN"/>
        </w:rPr>
        <w:t>6.2</w:t>
      </w:r>
      <w:r>
        <w:rPr>
          <w:rFonts w:hint="eastAsia" w:ascii="宋体" w:hAnsi="宋体" w:eastAsia="宋体" w:cs="宋体"/>
          <w:color w:val="auto"/>
          <w:highlight w:val="none"/>
        </w:rPr>
        <w:t>履约保证金的交付方式：转账、支票、汇票、本票或金融机构、担保机构出具的保函等非现金方式。</w:t>
      </w:r>
    </w:p>
    <w:p>
      <w:pPr>
        <w:ind w:firstLine="480"/>
        <w:rPr>
          <w:highlight w:val="none"/>
        </w:rPr>
      </w:pPr>
      <w:r>
        <w:rPr>
          <w:rFonts w:hint="eastAsia" w:cs="宋体"/>
          <w:color w:val="auto"/>
          <w:highlight w:val="none"/>
          <w:lang w:val="en-US" w:eastAsia="zh-CN"/>
        </w:rPr>
        <w:t>6.3</w:t>
      </w:r>
      <w:r>
        <w:rPr>
          <w:rFonts w:hint="eastAsia" w:ascii="宋体" w:hAnsi="宋体" w:eastAsia="宋体" w:cs="宋体"/>
          <w:color w:val="auto"/>
          <w:highlight w:val="none"/>
        </w:rPr>
        <w:t>本合同</w:t>
      </w:r>
      <w:r>
        <w:rPr>
          <w:rFonts w:hint="eastAsia" w:ascii="宋体" w:hAnsi="宋体" w:eastAsia="宋体" w:cs="宋体"/>
          <w:color w:val="auto"/>
          <w:highlight w:val="none"/>
          <w:lang w:eastAsia="zh-CN"/>
        </w:rPr>
        <w:t>采用总价包干，</w:t>
      </w:r>
      <w:r>
        <w:rPr>
          <w:rFonts w:hint="eastAsia" w:ascii="宋体" w:hAnsi="宋体" w:eastAsia="宋体" w:cs="宋体"/>
          <w:color w:val="auto"/>
          <w:highlight w:val="none"/>
        </w:rPr>
        <w:t>中标价为人民币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报价中已包含一般性的设计修改费用及重大调整费用，招标人不再增加任何设计费用；所有经设计修改、设计认可的变更均应由设计单位出具完整的施工图纸，包括电子版本及纸质版本，纸质图纸份数按照发包人要求提供。</w:t>
      </w:r>
    </w:p>
    <w:p>
      <w:pPr>
        <w:ind w:firstLine="480"/>
        <w:rPr>
          <w:highlight w:val="none"/>
        </w:rPr>
      </w:pPr>
      <w:r>
        <w:rPr>
          <w:rFonts w:hint="eastAsia"/>
          <w:highlight w:val="none"/>
        </w:rPr>
        <w:t>6.</w:t>
      </w:r>
      <w:r>
        <w:rPr>
          <w:rFonts w:hint="eastAsia"/>
          <w:highlight w:val="none"/>
          <w:lang w:val="en-US" w:eastAsia="zh-CN"/>
        </w:rPr>
        <w:t>4</w:t>
      </w:r>
      <w:r>
        <w:rPr>
          <w:rFonts w:hint="eastAsia"/>
          <w:highlight w:val="none"/>
        </w:rPr>
        <w:t>设计费已包含依据有关设计取费文件编报与本工程设计范围和内容相一致的全部设计费用及其它必需的相关费用（包括但不限于图纸审核费及方案调整阶段有可能发生的咨询费等），没有报价的项目将视为不计取，或认为此项目费用已包括在其它费用之中。设计人作为设计总包单位进行方案设计、初步设计、施工图设计等各阶段设计时包含所有设计内容，包含（但不限于）总平面图、建筑、结构、水、电、暖通、弱电、强电、防雷、深基坑围护、楼宇智能化、节能设计、管线综合、编制设计概算、室内装修等方面，如涉及幕墙、景观等专业设计内容时，需设计人自行委托，费用包含在本次设计费报价中,由设计人自行支付，发包人不另外单独支付。对本项目任何可能涉及发生的设计事项，均已包含在本合同设计范围内，由设计人负责完成，发包人将不再进行单独委托，费用已包含在本次投标报价中。施工过程中配合需及时提供设计变更或是现场指导。同时工程设计、报批、施工过程中，如有需要进行重要的专项设计论证工作，所涉及的专家费、会务费、交通费等均由设计人（总包方）负责承担。</w:t>
      </w:r>
    </w:p>
    <w:p>
      <w:pPr>
        <w:autoSpaceDE w:val="0"/>
        <w:autoSpaceDN w:val="0"/>
        <w:adjustRightInd w:val="0"/>
        <w:spacing w:before="20" w:after="20"/>
        <w:ind w:right="23" w:firstLine="482"/>
        <w:jc w:val="left"/>
        <w:rPr>
          <w:highlight w:val="none"/>
        </w:rPr>
      </w:pPr>
      <w:r>
        <w:rPr>
          <w:rFonts w:hint="eastAsia"/>
          <w:b/>
          <w:highlight w:val="none"/>
        </w:rPr>
        <w:t>第七条</w:t>
      </w:r>
      <w:r>
        <w:rPr>
          <w:rFonts w:hint="eastAsia"/>
          <w:b/>
          <w:kern w:val="0"/>
          <w:highlight w:val="none"/>
        </w:rPr>
        <w:t>支付方式</w:t>
      </w:r>
    </w:p>
    <w:tbl>
      <w:tblPr>
        <w:tblStyle w:val="38"/>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709"/>
        <w:gridCol w:w="1560"/>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付费阶段</w:t>
            </w:r>
          </w:p>
        </w:tc>
        <w:tc>
          <w:tcPr>
            <w:tcW w:w="2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占总设计费%</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付费额（元）</w:t>
            </w: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color w:val="auto"/>
                <w:highlight w:val="none"/>
              </w:rPr>
              <w:t>第一次</w:t>
            </w:r>
          </w:p>
        </w:tc>
        <w:tc>
          <w:tcPr>
            <w:tcW w:w="2709"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宋体" w:hAnsi="宋体" w:eastAsia="宋体" w:cs="宋体"/>
                <w:color w:val="auto"/>
                <w:highlight w:val="none"/>
                <w:lang w:val="en-US" w:eastAsia="zh-CN"/>
              </w:rPr>
            </w:pPr>
            <w:r>
              <w:rPr>
                <w:rFonts w:hint="eastAsia" w:eastAsia="宋体"/>
                <w:color w:val="auto"/>
                <w:highlight w:val="none"/>
                <w:lang w:val="en-US" w:eastAsia="zh-CN"/>
              </w:rPr>
              <w:t>20</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宋体" w:hAnsi="宋体" w:eastAsia="宋体" w:cs="宋体"/>
                <w:color w:val="auto"/>
                <w:highlight w:val="none"/>
                <w:lang w:val="en-US" w:eastAsia="zh-CN"/>
              </w:rPr>
            </w:pPr>
            <w:r>
              <w:rPr>
                <w:rFonts w:hint="eastAsia"/>
                <w:color w:val="auto"/>
                <w:highlight w:val="none"/>
              </w:rPr>
              <w:t>合同签订后</w:t>
            </w:r>
            <w:r>
              <w:rPr>
                <w:rFonts w:hint="eastAsia"/>
                <w:color w:val="auto"/>
                <w:highlight w:val="none"/>
                <w:lang w:val="en-US" w:eastAsia="zh-CN"/>
              </w:rPr>
              <w:t>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color w:val="auto"/>
                <w:highlight w:val="none"/>
              </w:rPr>
              <w:t>第二次</w:t>
            </w:r>
          </w:p>
        </w:tc>
        <w:tc>
          <w:tcPr>
            <w:tcW w:w="2709"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宋体" w:hAnsi="宋体" w:eastAsia="宋体" w:cs="宋体"/>
                <w:color w:val="auto"/>
                <w:highlight w:val="none"/>
                <w:lang w:val="en-US" w:eastAsia="zh-CN"/>
              </w:rPr>
            </w:pPr>
            <w:r>
              <w:rPr>
                <w:rFonts w:hint="eastAsia"/>
                <w:color w:val="auto"/>
                <w:highlight w:val="none"/>
                <w:lang w:val="en-US" w:eastAsia="zh-CN"/>
              </w:rPr>
              <w:t>70</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宋体" w:hAnsi="宋体" w:eastAsia="宋体" w:cs="宋体"/>
                <w:color w:val="auto"/>
                <w:highlight w:val="none"/>
                <w:lang w:val="en-US" w:eastAsia="zh-CN"/>
              </w:rPr>
            </w:pPr>
            <w:r>
              <w:rPr>
                <w:rFonts w:hint="eastAsia"/>
                <w:color w:val="auto"/>
                <w:highlight w:val="none"/>
              </w:rPr>
              <w:t>施工图提交</w:t>
            </w:r>
            <w:r>
              <w:rPr>
                <w:rFonts w:hint="eastAsia"/>
                <w:color w:val="auto"/>
                <w:highlight w:val="none"/>
                <w:lang w:val="en-US" w:eastAsia="zh-CN"/>
              </w:rPr>
              <w:t>并通过施工图审查后10日内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color w:val="auto"/>
                <w:highlight w:val="none"/>
              </w:rPr>
              <w:t>第三次</w:t>
            </w:r>
          </w:p>
        </w:tc>
        <w:tc>
          <w:tcPr>
            <w:tcW w:w="2709"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宋体" w:hAnsi="宋体" w:eastAsia="宋体" w:cs="宋体"/>
                <w:color w:val="auto"/>
                <w:highlight w:val="none"/>
                <w:lang w:val="en-US" w:eastAsia="zh-CN"/>
              </w:rPr>
            </w:pPr>
            <w:r>
              <w:rPr>
                <w:rFonts w:hint="eastAsia"/>
                <w:color w:val="auto"/>
                <w:highlight w:val="none"/>
                <w:lang w:val="en-US" w:eastAsia="zh-CN"/>
              </w:rPr>
              <w:t>10</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color w:val="auto"/>
                <w:highlight w:val="none"/>
              </w:rPr>
              <w:t>项目全部竣工验收交付</w:t>
            </w:r>
            <w:r>
              <w:rPr>
                <w:rFonts w:hint="eastAsia"/>
                <w:color w:val="auto"/>
                <w:highlight w:val="none"/>
                <w:lang w:val="en-US" w:eastAsia="zh-CN"/>
              </w:rPr>
              <w:t>合格后10日内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347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r>
    </w:tbl>
    <w:p>
      <w:pPr>
        <w:ind w:firstLine="482"/>
        <w:rPr>
          <w:b/>
          <w:highlight w:val="none"/>
        </w:rPr>
      </w:pPr>
      <w:r>
        <w:rPr>
          <w:rFonts w:hint="eastAsia"/>
          <w:b/>
          <w:highlight w:val="none"/>
        </w:rPr>
        <w:t>第八条双方责任</w:t>
      </w:r>
    </w:p>
    <w:p>
      <w:pPr>
        <w:ind w:firstLine="480"/>
        <w:rPr>
          <w:highlight w:val="none"/>
        </w:rPr>
      </w:pPr>
      <w:r>
        <w:rPr>
          <w:rFonts w:hint="eastAsia"/>
          <w:highlight w:val="none"/>
        </w:rPr>
        <w:t>8.1发包人责任</w:t>
      </w:r>
    </w:p>
    <w:p>
      <w:pPr>
        <w:ind w:firstLine="480"/>
        <w:rPr>
          <w:highlight w:val="none"/>
        </w:rPr>
      </w:pPr>
      <w:r>
        <w:rPr>
          <w:rFonts w:hint="eastAsia"/>
          <w:highlight w:val="none"/>
        </w:rPr>
        <w:t>8.1.1 发包人按本合同第五条规定的内容，在规定的时间内向设计人提交基础资料及文件，并对其完整性、正确性及时限负责。发包人不得要求设计人违反国家有关标准进行设计。</w:t>
      </w:r>
    </w:p>
    <w:p>
      <w:pPr>
        <w:ind w:firstLine="480"/>
        <w:rPr>
          <w:highlight w:val="none"/>
        </w:rPr>
      </w:pPr>
      <w:r>
        <w:rPr>
          <w:rFonts w:hint="eastAsia"/>
          <w:highlight w:val="none"/>
        </w:rPr>
        <w:t>发包人提交上述资料超过规定期限15天以内，设计人按合同第六条规定的交付设计文件时间顺延；发包人交付上述资料及文件超过规定期限15天以上时，双方另行协商确定提交设计文件的时间。</w:t>
      </w:r>
    </w:p>
    <w:p>
      <w:pPr>
        <w:ind w:firstLine="480"/>
        <w:rPr>
          <w:highlight w:val="none"/>
        </w:rPr>
      </w:pPr>
      <w:r>
        <w:rPr>
          <w:rFonts w:hint="eastAsia"/>
          <w:highlight w:val="none"/>
        </w:rPr>
        <w:t>8.1.2 发包人变更委托设计项目、规模、条件或因提交的资料错误，或所提交资料作较大修改，以致造成设计人员返工时，双方除另行协商签订补充协议（或另订合同）、重新明确有关条款外，发包人应按设计人所耗工作量向设计人支付返工费。</w:t>
      </w:r>
    </w:p>
    <w:p>
      <w:pPr>
        <w:ind w:firstLine="480"/>
        <w:rPr>
          <w:highlight w:val="none"/>
        </w:rPr>
      </w:pPr>
    </w:p>
    <w:p>
      <w:pPr>
        <w:ind w:firstLine="480"/>
        <w:rPr>
          <w:highlight w:val="none"/>
        </w:rPr>
      </w:pPr>
      <w:r>
        <w:rPr>
          <w:rFonts w:hint="eastAsia"/>
          <w:highlight w:val="none"/>
        </w:rPr>
        <w:t>8.1.3 在合同履行期间，发包人要求终止或解除合同，设计人未开始设计工作的，设计人退还发包人已付的预付款；已开始设计工作的，</w:t>
      </w:r>
      <w:r>
        <w:rPr>
          <w:highlight w:val="none"/>
        </w:rPr>
        <w:t>发包人应根据设计人已进行的实际工作量，</w:t>
      </w:r>
      <w:r>
        <w:rPr>
          <w:rFonts w:hint="eastAsia"/>
          <w:highlight w:val="none"/>
        </w:rPr>
        <w:t>支付相应的设计费。</w:t>
      </w:r>
    </w:p>
    <w:p>
      <w:pPr>
        <w:ind w:firstLine="480"/>
        <w:rPr>
          <w:highlight w:val="none"/>
        </w:rPr>
      </w:pPr>
      <w:r>
        <w:rPr>
          <w:rFonts w:hint="eastAsia"/>
          <w:highlight w:val="none"/>
        </w:rPr>
        <w:t>8.1.4 发包人必须按合同规定支付预付款，收到预付款作为设计人设计开工的标志。未收到预付款，设计人有权推迟设计工作的开工时间，且交付文件的时间顺延。</w:t>
      </w:r>
    </w:p>
    <w:p>
      <w:pPr>
        <w:ind w:firstLine="480"/>
        <w:rPr>
          <w:highlight w:val="none"/>
        </w:rPr>
      </w:pPr>
      <w:r>
        <w:rPr>
          <w:rFonts w:hint="eastAsia"/>
          <w:highlight w:val="none"/>
        </w:rPr>
        <w:t>8.1.5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因发包人的原因致使发包人的上级或设计审批部门对设计文件不审批或本合同项目停缓建，发包人均应支付应付的设计费。</w:t>
      </w:r>
    </w:p>
    <w:p>
      <w:pPr>
        <w:ind w:firstLine="480"/>
        <w:rPr>
          <w:highlight w:val="none"/>
        </w:rPr>
      </w:pPr>
      <w:r>
        <w:rPr>
          <w:rFonts w:hint="eastAsia"/>
          <w:highlight w:val="none"/>
        </w:rPr>
        <w:t>8.1.6 发包人要求设计人比合同规定时间提前交付设计文件时，须征得设计人同意，不得严重背离合理设计周期。</w:t>
      </w:r>
    </w:p>
    <w:p>
      <w:pPr>
        <w:ind w:firstLine="480"/>
        <w:rPr>
          <w:highlight w:val="none"/>
        </w:rPr>
      </w:pPr>
      <w:r>
        <w:rPr>
          <w:rFonts w:hint="eastAsia"/>
          <w:highlight w:val="none"/>
        </w:rPr>
        <w:t>8.1.7 发包人应为设计人派驻现场的工作人员提供工作、生活及交通等方面的便利条件及必要的劳动保护装备。</w:t>
      </w:r>
    </w:p>
    <w:p>
      <w:pPr>
        <w:ind w:firstLine="480"/>
        <w:rPr>
          <w:highlight w:val="none"/>
        </w:rPr>
      </w:pPr>
      <w:r>
        <w:rPr>
          <w:rFonts w:hint="eastAsia"/>
          <w:highlight w:val="none"/>
        </w:rPr>
        <w:t>8.1.8 设计文件中选用的国家标准图、部标准图及地方标准图由设计人负责解决。</w:t>
      </w:r>
    </w:p>
    <w:p>
      <w:pPr>
        <w:ind w:firstLine="480"/>
        <w:rPr>
          <w:highlight w:val="none"/>
        </w:rPr>
      </w:pPr>
      <w:r>
        <w:rPr>
          <w:rFonts w:hint="eastAsia"/>
          <w:highlight w:val="none"/>
        </w:rPr>
        <w:t>8．2设计人责任</w:t>
      </w:r>
    </w:p>
    <w:p>
      <w:pPr>
        <w:ind w:firstLine="480"/>
        <w:rPr>
          <w:highlight w:val="none"/>
        </w:rPr>
      </w:pPr>
      <w:r>
        <w:rPr>
          <w:rFonts w:hint="eastAsia"/>
          <w:highlight w:val="none"/>
        </w:rPr>
        <w:t>8.2.1 设计人应按国家规定和合同约定的技术规范、标准进行设计，按本合同第六条规定的内容、时间及份数向发包人交付设计文件（出现8.1.1、8.1.2、8.1.4、8.1.5规定有关交付设计文件顺延的情况除外）。并对提交的设计文件的质量负责。</w:t>
      </w:r>
    </w:p>
    <w:p>
      <w:pPr>
        <w:ind w:firstLine="480"/>
        <w:rPr>
          <w:highlight w:val="none"/>
        </w:rPr>
      </w:pPr>
      <w:r>
        <w:rPr>
          <w:rFonts w:hint="eastAsia"/>
          <w:highlight w:val="none"/>
        </w:rPr>
        <w:t>8.2.2 设计合理使用年限为</w:t>
      </w:r>
      <w:r>
        <w:rPr>
          <w:rFonts w:hint="eastAsia"/>
          <w:highlight w:val="none"/>
          <w:u w:val="single"/>
        </w:rPr>
        <w:t xml:space="preserve"> 50 </w:t>
      </w:r>
      <w:r>
        <w:rPr>
          <w:rFonts w:hint="eastAsia"/>
          <w:highlight w:val="none"/>
        </w:rPr>
        <w:t>年。</w:t>
      </w:r>
    </w:p>
    <w:p>
      <w:pPr>
        <w:ind w:firstLine="480"/>
        <w:rPr>
          <w:highlight w:val="none"/>
        </w:rPr>
      </w:pPr>
      <w:r>
        <w:rPr>
          <w:rFonts w:hint="eastAsia"/>
          <w:highlight w:val="none"/>
        </w:rPr>
        <w:t>8.2.3 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100%.</w:t>
      </w:r>
    </w:p>
    <w:p>
      <w:pPr>
        <w:ind w:firstLine="480"/>
        <w:rPr>
          <w:highlight w:val="none"/>
        </w:rPr>
      </w:pPr>
      <w:r>
        <w:rPr>
          <w:rFonts w:hint="eastAsia"/>
          <w:highlight w:val="none"/>
        </w:rPr>
        <w:t>8.2.4 由于设计人原因，延误了设计文件交付时间，每延误一天，应减收该项目应收设计费的千分之二。因设计人自身原因造成，导致发包人的上级或审批部门对设计文件不审批或本合同项目停缓建，发包人有权拒绝支付设计费。</w:t>
      </w:r>
    </w:p>
    <w:p>
      <w:pPr>
        <w:ind w:firstLine="480"/>
        <w:rPr>
          <w:highlight w:val="none"/>
        </w:rPr>
      </w:pPr>
      <w:r>
        <w:rPr>
          <w:rFonts w:hint="eastAsia"/>
          <w:highlight w:val="none"/>
        </w:rPr>
        <w:t>8.2.5 合同生效后，设计人要求终止或解除合同，设计人应双倍返还发包人已支付的预付款。</w:t>
      </w:r>
    </w:p>
    <w:p>
      <w:pPr>
        <w:ind w:firstLine="480"/>
        <w:rPr>
          <w:highlight w:val="none"/>
        </w:rPr>
      </w:pPr>
      <w:r>
        <w:rPr>
          <w:rFonts w:hint="eastAsia"/>
          <w:highlight w:val="none"/>
        </w:rPr>
        <w:t xml:space="preserve">8.2.6 </w:t>
      </w:r>
      <w:r>
        <w:rPr>
          <w:highlight w:val="none"/>
        </w:rPr>
        <w:t>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w:t>
      </w:r>
    </w:p>
    <w:p>
      <w:pPr>
        <w:ind w:firstLine="482"/>
        <w:rPr>
          <w:b/>
          <w:highlight w:val="none"/>
        </w:rPr>
      </w:pPr>
      <w:r>
        <w:rPr>
          <w:rFonts w:hint="eastAsia"/>
          <w:b/>
          <w:highlight w:val="none"/>
        </w:rPr>
        <w:t>第九条知识产权和保密</w:t>
      </w:r>
    </w:p>
    <w:p>
      <w:pPr>
        <w:ind w:firstLine="480"/>
        <w:rPr>
          <w:highlight w:val="none"/>
        </w:rPr>
      </w:pPr>
      <w:r>
        <w:rPr>
          <w:rFonts w:hint="eastAsia"/>
          <w:highlight w:val="none"/>
        </w:rPr>
        <w:t>设计人</w:t>
      </w:r>
      <w:r>
        <w:rPr>
          <w:highlight w:val="none"/>
        </w:rPr>
        <w:t>提交的设计成果应保持原创性，不得侵犯第三方的知识产权，</w:t>
      </w:r>
      <w:r>
        <w:rPr>
          <w:rFonts w:hint="eastAsia"/>
          <w:highlight w:val="none"/>
        </w:rPr>
        <w:t>否则，</w:t>
      </w:r>
      <w:r>
        <w:rPr>
          <w:highlight w:val="none"/>
        </w:rPr>
        <w:t>由此产生的后果由</w:t>
      </w:r>
      <w:r>
        <w:rPr>
          <w:rFonts w:hint="eastAsia"/>
          <w:highlight w:val="none"/>
        </w:rPr>
        <w:t>设计人</w:t>
      </w:r>
      <w:r>
        <w:rPr>
          <w:highlight w:val="none"/>
        </w:rPr>
        <w:t>承担。</w:t>
      </w:r>
      <w:r>
        <w:rPr>
          <w:rFonts w:hint="eastAsia"/>
          <w:highlight w:val="none"/>
        </w:rPr>
        <w:t>设计人交付发包人的所有资料和设计成果所有权及知识产权归属发包人，但设计人享有署名权。设计人应保护发包人的知识产权未经对方同意，设计人不得对发包人的资料及文件擅自修改、复制或向第三人转让或用于本合同项目外的项目。如发生以上情况，设计人承担一切由此引起的后果并承担赔偿责任。</w:t>
      </w:r>
    </w:p>
    <w:p>
      <w:pPr>
        <w:ind w:firstLine="482"/>
        <w:rPr>
          <w:b/>
          <w:highlight w:val="none"/>
        </w:rPr>
      </w:pPr>
      <w:r>
        <w:rPr>
          <w:rFonts w:hint="eastAsia"/>
          <w:b/>
          <w:highlight w:val="none"/>
        </w:rPr>
        <w:t>第十条仲裁</w:t>
      </w:r>
    </w:p>
    <w:p>
      <w:pPr>
        <w:ind w:firstLine="480"/>
        <w:rPr>
          <w:highlight w:val="none"/>
        </w:rPr>
      </w:pPr>
      <w:r>
        <w:rPr>
          <w:rFonts w:hint="eastAsia"/>
          <w:highlight w:val="none"/>
        </w:rPr>
        <w:t>本建设工程设计合同发生争议，发包人与设计人应及时协商解决。也可由当地建设行政主管部门调解，调解不成时，双方当事人同意由杭州仲裁委员会仲裁。</w:t>
      </w:r>
    </w:p>
    <w:p>
      <w:pPr>
        <w:ind w:firstLine="482"/>
        <w:rPr>
          <w:b/>
          <w:highlight w:val="none"/>
        </w:rPr>
      </w:pPr>
      <w:r>
        <w:rPr>
          <w:rFonts w:hint="eastAsia"/>
          <w:b/>
          <w:highlight w:val="none"/>
        </w:rPr>
        <w:t>第十一条合同生效及其他</w:t>
      </w:r>
    </w:p>
    <w:p>
      <w:pPr>
        <w:ind w:firstLine="480"/>
        <w:rPr>
          <w:highlight w:val="none"/>
        </w:rPr>
      </w:pPr>
      <w:r>
        <w:rPr>
          <w:rFonts w:hint="eastAsia"/>
          <w:highlight w:val="none"/>
        </w:rPr>
        <w:t>11.1 设计人为本合同项目的服务至施工安装结束为止。</w:t>
      </w:r>
    </w:p>
    <w:p>
      <w:pPr>
        <w:ind w:firstLine="480"/>
        <w:rPr>
          <w:highlight w:val="none"/>
        </w:rPr>
      </w:pPr>
      <w:r>
        <w:rPr>
          <w:rFonts w:hint="eastAsia"/>
          <w:highlight w:val="none"/>
        </w:rPr>
        <w:t>11.2 本工程项目中，设计人不得指定建筑材料、设备的生产厂或供货商。发包人需要设计人配合建筑材料、设备的加工订货时，所需费用由发包人承担。</w:t>
      </w:r>
    </w:p>
    <w:p>
      <w:pPr>
        <w:ind w:firstLine="480"/>
        <w:rPr>
          <w:highlight w:val="none"/>
        </w:rPr>
      </w:pPr>
      <w:r>
        <w:rPr>
          <w:rFonts w:hint="eastAsia"/>
          <w:highlight w:val="none"/>
        </w:rPr>
        <w:t>11.3 发包人委托设计人配合引进项目的设计任务，从询价、对外谈判、国内外技术考察直至建成投产的各个阶段，应吸收承担有关设计任务的设计人员参加。</w:t>
      </w:r>
    </w:p>
    <w:p>
      <w:pPr>
        <w:ind w:firstLine="480"/>
        <w:rPr>
          <w:highlight w:val="none"/>
        </w:rPr>
      </w:pPr>
      <w:r>
        <w:rPr>
          <w:rFonts w:hint="eastAsia"/>
          <w:highlight w:val="none"/>
        </w:rPr>
        <w:t>11.4 发包人委托设计人承担本合同内容以外的工作服务，另行签订协议并支付费用。</w:t>
      </w:r>
    </w:p>
    <w:p>
      <w:pPr>
        <w:adjustRightInd w:val="0"/>
        <w:ind w:firstLine="480"/>
        <w:rPr>
          <w:highlight w:val="none"/>
        </w:rPr>
      </w:pPr>
      <w:r>
        <w:rPr>
          <w:rFonts w:hint="eastAsia"/>
          <w:highlight w:val="none"/>
        </w:rPr>
        <w:t>11.5 由于不可抗力因素致使合同无法履行时，双方应及时协商解决。</w:t>
      </w:r>
    </w:p>
    <w:p>
      <w:pPr>
        <w:ind w:firstLine="480"/>
        <w:rPr>
          <w:highlight w:val="none"/>
        </w:rPr>
      </w:pPr>
      <w:r>
        <w:rPr>
          <w:rFonts w:hint="eastAsia"/>
          <w:highlight w:val="none"/>
        </w:rPr>
        <w:t>11.6 本合同双方签字盖章即生效，一式</w:t>
      </w:r>
      <w:r>
        <w:rPr>
          <w:rFonts w:hint="eastAsia"/>
          <w:highlight w:val="none"/>
          <w:u w:val="single"/>
        </w:rPr>
        <w:t>十</w:t>
      </w:r>
      <w:r>
        <w:rPr>
          <w:rFonts w:hint="eastAsia"/>
          <w:highlight w:val="none"/>
        </w:rPr>
        <w:t>份，发包人</w:t>
      </w:r>
      <w:r>
        <w:rPr>
          <w:rFonts w:hint="eastAsia"/>
          <w:highlight w:val="none"/>
          <w:u w:val="single"/>
        </w:rPr>
        <w:t>八</w:t>
      </w:r>
      <w:r>
        <w:rPr>
          <w:rFonts w:hint="eastAsia"/>
          <w:highlight w:val="none"/>
        </w:rPr>
        <w:t>份，设计人</w:t>
      </w:r>
      <w:r>
        <w:rPr>
          <w:rFonts w:hint="eastAsia"/>
          <w:highlight w:val="none"/>
          <w:u w:val="single"/>
        </w:rPr>
        <w:t>两</w:t>
      </w:r>
      <w:r>
        <w:rPr>
          <w:rFonts w:hint="eastAsia"/>
          <w:highlight w:val="none"/>
        </w:rPr>
        <w:t>份。</w:t>
      </w:r>
    </w:p>
    <w:p>
      <w:pPr>
        <w:ind w:firstLine="480"/>
        <w:rPr>
          <w:highlight w:val="none"/>
        </w:rPr>
      </w:pPr>
      <w:r>
        <w:rPr>
          <w:rFonts w:hint="eastAsia"/>
          <w:highlight w:val="none"/>
        </w:rPr>
        <w:t>11.7 未尽事宜，经双方协商一致，签订补充协议，补充协议与本合同具有同等效力。</w:t>
      </w:r>
    </w:p>
    <w:p>
      <w:pPr>
        <w:ind w:firstLine="482"/>
        <w:rPr>
          <w:b/>
          <w:highlight w:val="none"/>
        </w:rPr>
      </w:pPr>
      <w:r>
        <w:rPr>
          <w:rFonts w:hint="eastAsia"/>
          <w:b/>
          <w:highlight w:val="none"/>
        </w:rPr>
        <w:t>第十二条其它约定事项</w:t>
      </w:r>
    </w:p>
    <w:p>
      <w:pPr>
        <w:ind w:firstLine="480"/>
        <w:rPr>
          <w:highlight w:val="none"/>
        </w:rPr>
      </w:pPr>
      <w:r>
        <w:rPr>
          <w:rFonts w:hint="eastAsia"/>
          <w:highlight w:val="none"/>
        </w:rPr>
        <w:t>12.1 设计人对本合同设计范围内的设计内容不得转包和擅自分包，如需将部分专业设计分包给其他专业公司必须得到发包人的确认，设计人对分包设计的质量负全部责任，并承担全部费用。</w:t>
      </w:r>
    </w:p>
    <w:p>
      <w:pPr>
        <w:ind w:firstLine="480"/>
        <w:rPr>
          <w:highlight w:val="none"/>
        </w:rPr>
      </w:pPr>
      <w:r>
        <w:rPr>
          <w:rFonts w:hint="eastAsia"/>
          <w:highlight w:val="none"/>
        </w:rPr>
        <w:t>12.2 如设计人不能履行承诺，发包人有权对项目总负责人、主要设计人员进行撤换。</w:t>
      </w:r>
    </w:p>
    <w:p>
      <w:pPr>
        <w:ind w:firstLine="480"/>
        <w:rPr>
          <w:highlight w:val="none"/>
        </w:rPr>
      </w:pPr>
      <w:r>
        <w:rPr>
          <w:rFonts w:hint="eastAsia"/>
          <w:highlight w:val="none"/>
        </w:rPr>
        <w:t>12.3 设计人员即为投标文件所报设计的人员组成，未经业主同意，不得随意变更，否则将减收该项目应收设计费的10%～20%。技术总负责人无故更换，收取罚金50000元/次，各专业负责人无故更换收取罚金20000元/次。</w:t>
      </w:r>
    </w:p>
    <w:p>
      <w:pPr>
        <w:ind w:firstLine="480"/>
        <w:rPr>
          <w:highlight w:val="none"/>
        </w:rPr>
      </w:pPr>
      <w:r>
        <w:rPr>
          <w:rFonts w:hint="eastAsia"/>
          <w:highlight w:val="none"/>
        </w:rPr>
        <w:t>12.4 设计人设计成果所有权归发包人所有，设计人必须无条件提供所有设计成果及相应标书的电子文档给发包人。</w:t>
      </w:r>
    </w:p>
    <w:p>
      <w:pPr>
        <w:ind w:firstLine="480"/>
        <w:rPr>
          <w:highlight w:val="none"/>
        </w:rPr>
      </w:pPr>
      <w:r>
        <w:rPr>
          <w:rFonts w:hint="eastAsia"/>
          <w:highlight w:val="none"/>
        </w:rPr>
        <w:t>12.5 设计单位在今后服务中应执行本合同约定及招标文件约定的要求，否则发包人有权延缓设计费用的支付或扣除部分设计费用。</w:t>
      </w:r>
    </w:p>
    <w:p>
      <w:pPr>
        <w:ind w:left="0" w:leftChars="0" w:firstLine="0" w:firstLineChars="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发包人名称（盖章）：</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 xml:space="preserve">设计人名称（盖章）：                       </w:t>
      </w:r>
    </w:p>
    <w:p>
      <w:pPr>
        <w:tabs>
          <w:tab w:val="left" w:pos="2730"/>
          <w:tab w:val="left" w:pos="4305"/>
          <w:tab w:val="left" w:pos="4515"/>
        </w:tabs>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之江实验室</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pPr>
        <w:tabs>
          <w:tab w:val="left" w:pos="4305"/>
        </w:tabs>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（签字）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（签字）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项目经理：</w:t>
      </w:r>
      <w:r>
        <w:rPr>
          <w:rFonts w:hint="eastAsia" w:ascii="宋体" w:hAnsi="宋体" w:eastAsia="宋体" w:cs="宋体"/>
          <w:color w:val="auto"/>
          <w:highlight w:val="none"/>
          <w:u w:val="single"/>
        </w:rPr>
        <w:t xml:space="preserve">（签字）         </w:t>
      </w:r>
      <w:r>
        <w:rPr>
          <w:rFonts w:hint="eastAsia" w:ascii="宋体" w:hAnsi="宋体" w:eastAsia="宋体" w:cs="宋体"/>
          <w:color w:val="auto"/>
          <w:highlight w:val="none"/>
        </w:rPr>
        <w:t xml:space="preserve">               项目经理：</w:t>
      </w:r>
      <w:r>
        <w:rPr>
          <w:rFonts w:hint="eastAsia" w:ascii="宋体" w:hAnsi="宋体" w:eastAsia="宋体" w:cs="宋体"/>
          <w:color w:val="auto"/>
          <w:highlight w:val="none"/>
          <w:u w:val="single"/>
        </w:rPr>
        <w:t xml:space="preserve">（签字）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住    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住    所：</w:t>
      </w:r>
      <w:r>
        <w:rPr>
          <w:rFonts w:hint="eastAsia" w:ascii="宋体" w:hAnsi="宋体" w:eastAsia="宋体" w:cs="宋体"/>
          <w:color w:val="auto"/>
          <w:highlight w:val="none"/>
          <w:u w:val="single"/>
        </w:rPr>
        <w:t xml:space="preserve">             </w:t>
      </w:r>
    </w:p>
    <w:p>
      <w:pPr>
        <w:tabs>
          <w:tab w:val="left" w:pos="2730"/>
        </w:tabs>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pPr>
        <w:tabs>
          <w:tab w:val="left" w:pos="4346"/>
          <w:tab w:val="left" w:pos="7560"/>
        </w:tabs>
        <w:ind w:right="-847" w:rightChars="-353"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银行帐号：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xml:space="preserve">               银行帐号：</w:t>
      </w:r>
      <w:r>
        <w:rPr>
          <w:rFonts w:hint="eastAsia" w:ascii="宋体" w:hAnsi="宋体" w:eastAsia="宋体" w:cs="宋体"/>
          <w:color w:val="auto"/>
          <w:highlight w:val="none"/>
          <w:u w:val="single"/>
        </w:rPr>
        <w:t xml:space="preserve">                  </w:t>
      </w:r>
    </w:p>
    <w:p>
      <w:pPr>
        <w:ind w:right="420" w:firstLine="5880" w:firstLineChars="2450"/>
        <w:rPr>
          <w:rFonts w:hint="eastAsia" w:ascii="宋体" w:hAnsi="宋体" w:eastAsia="宋体" w:cs="宋体"/>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建设行政主管部门备案：　　          　鉴证意见：</w:t>
      </w:r>
      <w:r>
        <w:rPr>
          <w:rFonts w:hint="eastAsia" w:ascii="宋体" w:hAnsi="宋体" w:eastAsia="宋体" w:cs="宋体"/>
          <w:color w:val="auto"/>
          <w:highlight w:val="none"/>
          <w:u w:val="single"/>
        </w:rPr>
        <w:t xml:space="preserve">                        </w:t>
      </w:r>
    </w:p>
    <w:p>
      <w:pPr>
        <w:tabs>
          <w:tab w:val="left" w:pos="7560"/>
        </w:tabs>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（盖章）</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（盖章）</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备案号：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经办人：</w:t>
      </w:r>
      <w:r>
        <w:rPr>
          <w:rFonts w:hint="eastAsia" w:ascii="宋体" w:hAnsi="宋体" w:eastAsia="宋体" w:cs="宋体"/>
          <w:color w:val="auto"/>
          <w:highlight w:val="none"/>
          <w:u w:val="single"/>
        </w:rPr>
        <w:t xml:space="preserve">                       </w:t>
      </w:r>
    </w:p>
    <w:p>
      <w:pPr>
        <w:pStyle w:val="4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备案日期：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鉴证日期：：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bookmarkStart w:id="73" w:name="_Toc450840088"/>
    </w:p>
    <w:bookmarkEnd w:id="40"/>
    <w:bookmarkEnd w:id="41"/>
    <w:bookmarkEnd w:id="42"/>
    <w:bookmarkEnd w:id="43"/>
    <w:bookmarkEnd w:id="44"/>
    <w:bookmarkEnd w:id="45"/>
    <w:bookmarkEnd w:id="46"/>
    <w:bookmarkEnd w:id="47"/>
    <w:bookmarkEnd w:id="73"/>
    <w:p>
      <w:pPr>
        <w:pStyle w:val="3"/>
        <w:rPr>
          <w:rFonts w:hint="eastAsia" w:ascii="宋体" w:hAnsi="宋体" w:eastAsia="宋体" w:cs="宋体"/>
          <w:color w:val="auto"/>
          <w:highlight w:val="none"/>
        </w:rPr>
      </w:pPr>
      <w:bookmarkStart w:id="74" w:name="_Toc22636"/>
      <w:bookmarkStart w:id="75" w:name="_Toc12832"/>
      <w:r>
        <w:rPr>
          <w:rFonts w:hint="eastAsia" w:ascii="宋体" w:hAnsi="宋体" w:eastAsia="宋体" w:cs="宋体"/>
          <w:color w:val="auto"/>
          <w:highlight w:val="none"/>
        </w:rPr>
        <w:t>第六章 投标文件格式</w:t>
      </w:r>
      <w:bookmarkEnd w:id="74"/>
      <w:bookmarkEnd w:id="75"/>
    </w:p>
    <w:p>
      <w:pPr>
        <w:pStyle w:val="18"/>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（要求提供但未提供格式的文件由投标人自行编制）</w:t>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采 购 人：</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项目名称：</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项目编号：</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投标文件名称：资格证明文件或报价文件或商务技术文件</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投标人名称（盖章）：</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投标人地址：</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在    年  月  日  时  分之前不得启封</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授权代表签字</w:t>
      </w:r>
      <w:r>
        <w:rPr>
          <w:rFonts w:hint="eastAsia" w:ascii="宋体" w:hAnsi="宋体" w:eastAsia="宋体" w:cs="宋体"/>
          <w:bCs/>
          <w:color w:val="auto"/>
          <w:spacing w:val="-6"/>
          <w:highlight w:val="none"/>
        </w:rPr>
        <w:t>：</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日期：    年  月  日</w:t>
      </w:r>
    </w:p>
    <w:p>
      <w:pPr>
        <w:pStyle w:val="18"/>
        <w:spacing w:line="360" w:lineRule="auto"/>
        <w:ind w:firstLine="42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投标文件封面</w:t>
      </w: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p>
    <w:p>
      <w:pPr>
        <w:ind w:firstLine="480"/>
        <w:rPr>
          <w:rFonts w:hint="eastAsia" w:ascii="宋体" w:hAnsi="宋体" w:eastAsia="宋体" w:cs="宋体"/>
          <w:color w:val="auto"/>
          <w:highlight w:val="none"/>
        </w:rPr>
      </w:pP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资格证明文件或报价文件或商务技术文件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 购 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商务技术标评分索引</w:t>
      </w:r>
    </w:p>
    <w:p>
      <w:pPr>
        <w:ind w:firstLine="0" w:firstLineChars="0"/>
        <w:rPr>
          <w:rFonts w:hint="eastAsia" w:ascii="宋体" w:hAnsi="宋体" w:eastAsia="宋体" w:cs="宋体"/>
          <w:color w:val="auto"/>
          <w:highlight w:val="none"/>
        </w:rPr>
      </w:pPr>
    </w:p>
    <w:tbl>
      <w:tblPr>
        <w:tblStyle w:val="38"/>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w:t>
            </w:r>
          </w:p>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ind w:firstLine="0" w:firstLineChars="0"/>
              <w:rPr>
                <w:rFonts w:hint="eastAsia" w:ascii="宋体" w:hAnsi="宋体" w:eastAsia="宋体" w:cs="宋体"/>
                <w:color w:val="auto"/>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ind w:firstLine="48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ind w:firstLine="0" w:firstLineChars="0"/>
              <w:rPr>
                <w:rFonts w:hint="eastAsia" w:ascii="宋体" w:hAnsi="宋体" w:eastAsia="宋体" w:cs="宋体"/>
                <w:color w:val="auto"/>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bl>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附件一 投标函</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投标函</w:t>
      </w:r>
    </w:p>
    <w:p>
      <w:pPr>
        <w:ind w:firstLine="482"/>
        <w:jc w:val="center"/>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之江实验室、浙江五石工程咨询有限公司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（投标方全称）授权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3"/>
        </w:numPr>
        <w:adjustRightInd w:val="0"/>
        <w:snapToGrid w:val="0"/>
        <w:ind w:left="840" w:firstLine="480"/>
        <w:rPr>
          <w:rFonts w:hint="eastAsia" w:ascii="宋体" w:hAnsi="宋体" w:eastAsia="宋体" w:cs="宋体"/>
          <w:color w:val="auto"/>
          <w:highlight w:val="none"/>
        </w:rPr>
      </w:pPr>
      <w:r>
        <w:rPr>
          <w:rFonts w:hint="eastAsia" w:ascii="宋体" w:hAnsi="宋体" w:eastAsia="宋体" w:cs="宋体"/>
          <w:color w:val="auto"/>
          <w:highlight w:val="none"/>
        </w:rPr>
        <w:t>资格证明文件正本1份，副本4份</w:t>
      </w:r>
    </w:p>
    <w:p>
      <w:pPr>
        <w:numPr>
          <w:ilvl w:val="0"/>
          <w:numId w:val="3"/>
        </w:numPr>
        <w:adjustRightInd w:val="0"/>
        <w:snapToGrid w:val="0"/>
        <w:ind w:left="840"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3"/>
        </w:numPr>
        <w:adjustRightInd w:val="0"/>
        <w:snapToGrid w:val="0"/>
        <w:ind w:left="840" w:firstLine="48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元</w:t>
      </w:r>
      <w:r>
        <w:rPr>
          <w:rFonts w:hint="eastAsia" w:ascii="宋体" w:hAnsi="宋体" w:eastAsia="宋体" w:cs="宋体"/>
          <w:color w:val="auto"/>
          <w:highlight w:val="none"/>
          <w:u w:val="single"/>
          <w:lang w:eastAsia="zh-CN"/>
        </w:rPr>
        <w:t>（大写）</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2"/>
        </w:num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邮编：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附件二 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 xml:space="preserve">项目编号：                                              </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u w:val="single"/>
        </w:rPr>
        <w:t xml:space="preserve">                     </w:t>
      </w:r>
    </w:p>
    <w:tbl>
      <w:tblPr>
        <w:tblStyle w:val="3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b/>
                <w:color w:val="auto"/>
                <w:spacing w:val="-6"/>
                <w:highlight w:val="none"/>
              </w:rPr>
            </w:pPr>
          </w:p>
          <w:p>
            <w:pPr>
              <w:pStyle w:val="47"/>
              <w:rPr>
                <w:rFonts w:hint="eastAsia" w:ascii="宋体" w:hAnsi="宋体" w:eastAsia="宋体" w:cs="宋体"/>
                <w:b/>
                <w:bCs/>
                <w:color w:val="auto"/>
                <w:highlight w:val="none"/>
              </w:rPr>
            </w:pPr>
            <w:r>
              <w:rPr>
                <w:rFonts w:hint="eastAsia" w:ascii="宋体" w:hAnsi="宋体" w:eastAsia="宋体" w:cs="宋体"/>
                <w:b/>
                <w:bCs/>
                <w:color w:val="auto"/>
                <w:highlight w:val="none"/>
              </w:rPr>
              <w:t>投标报价：</w:t>
            </w:r>
            <w:r>
              <w:rPr>
                <w:rFonts w:hint="eastAsia" w:ascii="宋体" w:hAnsi="宋体" w:eastAsia="宋体" w:cs="宋体"/>
                <w:b/>
                <w:bCs/>
                <w:color w:val="auto"/>
                <w:highlight w:val="none"/>
                <w:u w:val="single"/>
              </w:rPr>
              <w:t xml:space="preserve">      元</w:t>
            </w:r>
            <w:r>
              <w:rPr>
                <w:rFonts w:hint="eastAsia" w:ascii="宋体" w:hAnsi="宋体" w:eastAsia="宋体" w:cs="宋体"/>
                <w:b/>
                <w:bCs/>
                <w:color w:val="auto"/>
                <w:highlight w:val="none"/>
              </w:rPr>
              <w:t>；</w:t>
            </w:r>
          </w:p>
          <w:p>
            <w:pPr>
              <w:pStyle w:val="47"/>
              <w:ind w:firstLine="1205" w:firstLineChars="500"/>
              <w:rPr>
                <w:rFonts w:hint="eastAsia" w:ascii="宋体" w:hAnsi="宋体" w:eastAsia="宋体" w:cs="宋体"/>
                <w:b/>
                <w:bCs/>
                <w:color w:val="auto"/>
                <w:highlight w:val="none"/>
              </w:rPr>
            </w:pPr>
          </w:p>
          <w:p>
            <w:pPr>
              <w:ind w:firstLine="0" w:firstLineChars="0"/>
              <w:rPr>
                <w:rFonts w:hint="eastAsia" w:ascii="宋体" w:hAnsi="宋体" w:eastAsia="宋体" w:cs="宋体"/>
                <w:b/>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5"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备注：</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zCs w:val="22"/>
          <w:highlight w:val="none"/>
        </w:rPr>
      </w:pPr>
      <w:r>
        <w:rPr>
          <w:rFonts w:hint="eastAsia" w:ascii="宋体" w:hAnsi="宋体" w:eastAsia="宋体" w:cs="宋体"/>
          <w:b/>
          <w:color w:val="auto"/>
          <w:spacing w:val="-6"/>
          <w:highlight w:val="none"/>
        </w:rPr>
        <w:t>说明:</w:t>
      </w:r>
      <w:r>
        <w:rPr>
          <w:rFonts w:hint="eastAsia" w:ascii="宋体" w:hAnsi="宋体" w:eastAsia="宋体" w:cs="宋体"/>
          <w:b/>
          <w:color w:val="auto"/>
          <w:szCs w:val="22"/>
          <w:highlight w:val="none"/>
        </w:rPr>
        <w:t xml:space="preserve">投标总价包括完成履行所有规定服务所产生的全部费用 </w:t>
      </w:r>
    </w:p>
    <w:p>
      <w:pPr>
        <w:ind w:right="-934" w:rightChars="-389"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pStyle w:val="5"/>
        <w:rPr>
          <w:rFonts w:hint="eastAsia" w:ascii="宋体" w:hAnsi="宋体" w:eastAsia="宋体" w:cs="宋体"/>
          <w:color w:val="auto"/>
          <w:szCs w:val="40"/>
          <w:highlight w:val="none"/>
        </w:rPr>
      </w:pPr>
      <w:r>
        <w:rPr>
          <w:rFonts w:hint="eastAsia" w:ascii="宋体" w:hAnsi="宋体" w:eastAsia="宋体" w:cs="宋体"/>
          <w:color w:val="auto"/>
          <w:szCs w:val="24"/>
          <w:highlight w:val="none"/>
        </w:rPr>
        <w:t>附件三 投标报价明细表</w:t>
      </w:r>
    </w:p>
    <w:p>
      <w:pPr>
        <w:pStyle w:val="18"/>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w:t>
      </w:r>
    </w:p>
    <w:tbl>
      <w:tblPr>
        <w:tblStyle w:val="38"/>
        <w:tblW w:w="9053"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126"/>
        <w:gridCol w:w="1276"/>
        <w:gridCol w:w="1701"/>
        <w:gridCol w:w="170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2126" w:type="dxa"/>
            <w:noWrap/>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项目名称</w:t>
            </w:r>
          </w:p>
        </w:tc>
        <w:tc>
          <w:tcPr>
            <w:tcW w:w="1276" w:type="dxa"/>
            <w:noWrap/>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单价</w:t>
            </w:r>
          </w:p>
        </w:tc>
        <w:tc>
          <w:tcPr>
            <w:tcW w:w="1701" w:type="dxa"/>
            <w:noWrap/>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数量/单位</w:t>
            </w:r>
          </w:p>
        </w:tc>
        <w:tc>
          <w:tcPr>
            <w:tcW w:w="1701" w:type="dxa"/>
            <w:noWrap/>
            <w:vAlign w:val="center"/>
          </w:tcPr>
          <w:p>
            <w:pPr>
              <w:widowControl/>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合计</w:t>
            </w:r>
          </w:p>
        </w:tc>
        <w:tc>
          <w:tcPr>
            <w:tcW w:w="1616" w:type="dxa"/>
            <w:noWrap/>
            <w:vAlign w:val="center"/>
          </w:tcPr>
          <w:p>
            <w:pPr>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33" w:type="dxa"/>
            <w:noWrap/>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26" w:type="dxa"/>
            <w:noWrap/>
            <w:vAlign w:val="center"/>
          </w:tcPr>
          <w:p>
            <w:pPr>
              <w:ind w:firstLine="0" w:firstLineChars="0"/>
              <w:jc w:val="center"/>
              <w:rPr>
                <w:rFonts w:hint="eastAsia" w:ascii="宋体" w:hAnsi="宋体" w:eastAsia="宋体" w:cs="宋体"/>
                <w:color w:val="auto"/>
                <w:highlight w:val="none"/>
              </w:rPr>
            </w:pPr>
          </w:p>
        </w:tc>
        <w:tc>
          <w:tcPr>
            <w:tcW w:w="1276"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5736" w:type="dxa"/>
            <w:gridSpan w:val="4"/>
            <w:noWrap/>
            <w:vAlign w:val="center"/>
          </w:tcPr>
          <w:p>
            <w:pPr>
              <w:widowControl/>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1701" w:type="dxa"/>
            <w:noWrap/>
            <w:vAlign w:val="center"/>
          </w:tcPr>
          <w:p>
            <w:pPr>
              <w:widowControl/>
              <w:ind w:firstLine="480"/>
              <w:jc w:val="center"/>
              <w:rPr>
                <w:rFonts w:hint="eastAsia" w:ascii="宋体" w:hAnsi="宋体" w:eastAsia="宋体" w:cs="宋体"/>
                <w:color w:val="auto"/>
                <w:kern w:val="0"/>
                <w:szCs w:val="21"/>
                <w:highlight w:val="none"/>
              </w:rPr>
            </w:pPr>
          </w:p>
        </w:tc>
        <w:tc>
          <w:tcPr>
            <w:tcW w:w="1616" w:type="dxa"/>
            <w:noWrap/>
            <w:vAlign w:val="center"/>
          </w:tcPr>
          <w:p>
            <w:pPr>
              <w:widowControl/>
              <w:ind w:firstLine="480"/>
              <w:jc w:val="center"/>
              <w:rPr>
                <w:rFonts w:hint="eastAsia" w:ascii="宋体" w:hAnsi="宋体" w:eastAsia="宋体" w:cs="宋体"/>
                <w:color w:val="auto"/>
                <w:kern w:val="0"/>
                <w:szCs w:val="21"/>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17"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附件四 </w:t>
      </w:r>
      <w:r>
        <w:rPr>
          <w:rFonts w:hint="eastAsia" w:ascii="宋体" w:hAnsi="宋体" w:eastAsia="宋体" w:cs="宋体"/>
          <w:color w:val="auto"/>
          <w:szCs w:val="24"/>
          <w:highlight w:val="none"/>
          <w:lang w:val="zh-CN"/>
        </w:rPr>
        <w:t>商务条款</w:t>
      </w:r>
      <w:r>
        <w:rPr>
          <w:rFonts w:hint="eastAsia" w:ascii="宋体" w:hAnsi="宋体" w:eastAsia="宋体" w:cs="宋体"/>
          <w:color w:val="auto"/>
          <w:szCs w:val="24"/>
          <w:highlight w:val="none"/>
        </w:rPr>
        <w:t>偏离表</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6"/>
        <w:gridCol w:w="2662"/>
        <w:gridCol w:w="2475"/>
        <w:gridCol w:w="129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1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66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475"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29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241"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说明：</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1、逐项按照招标文件采购需求填写响应规格。</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2、偏离说明是指对招标文件要求存在不同之处的解释说明。偏离系指：正偏离（高于招标要求）、负偏离（低于招标要求）、无偏离（满足招标要求）。</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3、如不填写或填写不全或未如实填写，自行承担投标风险。</w:t>
      </w:r>
    </w:p>
    <w:p>
      <w:pPr>
        <w:pStyle w:val="47"/>
        <w:rPr>
          <w:rFonts w:hint="eastAsia" w:ascii="宋体" w:hAnsi="宋体" w:eastAsia="宋体" w:cs="宋体"/>
          <w:b/>
          <w:bCs/>
          <w:color w:val="auto"/>
          <w:spacing w:val="-6"/>
          <w:highlight w:val="none"/>
        </w:rPr>
      </w:pPr>
    </w:p>
    <w:p>
      <w:pPr>
        <w:pStyle w:val="47"/>
        <w:rPr>
          <w:rFonts w:hint="eastAsia" w:ascii="宋体" w:hAnsi="宋体" w:eastAsia="宋体" w:cs="宋体"/>
          <w:b/>
          <w:bCs/>
          <w:color w:val="auto"/>
          <w:spacing w:val="-6"/>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480"/>
        <w:rPr>
          <w:rFonts w:hint="eastAsia" w:ascii="宋体" w:hAnsi="宋体" w:eastAsia="宋体" w:cs="宋体"/>
          <w:color w:val="auto"/>
          <w:highlight w:val="none"/>
        </w:rPr>
      </w:pP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附件五 采购需求偏离表</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6"/>
        <w:gridCol w:w="2662"/>
        <w:gridCol w:w="2475"/>
        <w:gridCol w:w="129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1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66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475"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29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241"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tcPr>
          <w:p>
            <w:pPr>
              <w:ind w:firstLine="0" w:firstLineChars="0"/>
              <w:rPr>
                <w:rFonts w:hint="eastAsia" w:ascii="宋体" w:hAnsi="宋体" w:eastAsia="宋体" w:cs="宋体"/>
                <w:color w:val="auto"/>
                <w:highlight w:val="none"/>
              </w:rPr>
            </w:pPr>
          </w:p>
        </w:tc>
        <w:tc>
          <w:tcPr>
            <w:tcW w:w="1116" w:type="dxa"/>
          </w:tcPr>
          <w:p>
            <w:pPr>
              <w:ind w:firstLine="0" w:firstLineChars="0"/>
              <w:rPr>
                <w:rFonts w:hint="eastAsia" w:ascii="宋体" w:hAnsi="宋体" w:eastAsia="宋体" w:cs="宋体"/>
                <w:color w:val="auto"/>
                <w:highlight w:val="none"/>
              </w:rPr>
            </w:pPr>
          </w:p>
        </w:tc>
        <w:tc>
          <w:tcPr>
            <w:tcW w:w="2662" w:type="dxa"/>
          </w:tcPr>
          <w:p>
            <w:pPr>
              <w:ind w:firstLine="0" w:firstLineChars="0"/>
              <w:rPr>
                <w:rFonts w:hint="eastAsia" w:ascii="宋体" w:hAnsi="宋体" w:eastAsia="宋体" w:cs="宋体"/>
                <w:color w:val="auto"/>
                <w:highlight w:val="none"/>
              </w:rPr>
            </w:pPr>
          </w:p>
        </w:tc>
        <w:tc>
          <w:tcPr>
            <w:tcW w:w="2475" w:type="dxa"/>
          </w:tcPr>
          <w:p>
            <w:pPr>
              <w:ind w:firstLine="0" w:firstLineChars="0"/>
              <w:rPr>
                <w:rFonts w:hint="eastAsia" w:ascii="宋体" w:hAnsi="宋体" w:eastAsia="宋体" w:cs="宋体"/>
                <w:color w:val="auto"/>
                <w:highlight w:val="none"/>
              </w:rPr>
            </w:pPr>
          </w:p>
        </w:tc>
        <w:tc>
          <w:tcPr>
            <w:tcW w:w="1290" w:type="dxa"/>
          </w:tcPr>
          <w:p>
            <w:pPr>
              <w:ind w:firstLine="0" w:firstLineChars="0"/>
              <w:rPr>
                <w:rFonts w:hint="eastAsia" w:ascii="宋体" w:hAnsi="宋体" w:eastAsia="宋体" w:cs="宋体"/>
                <w:color w:val="auto"/>
                <w:highlight w:val="none"/>
              </w:rPr>
            </w:pPr>
          </w:p>
        </w:tc>
        <w:tc>
          <w:tcPr>
            <w:tcW w:w="1241"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说明：</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1、逐项按照招标文件采购需求填写响应规格。</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2、偏离说明是指对招标文件要求存在不同之处的解释说明。偏离系指：正偏离（高于招标要求）、负偏离（低于招标要求）、无偏离（满足招标要求）。</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3、如不填写或填写不全或未如实填写，自行承担投标风险。</w:t>
      </w:r>
    </w:p>
    <w:p>
      <w:pPr>
        <w:pStyle w:val="47"/>
        <w:rPr>
          <w:rFonts w:hint="eastAsia" w:ascii="宋体" w:hAnsi="宋体" w:eastAsia="宋体" w:cs="宋体"/>
          <w:b/>
          <w:bCs/>
          <w:color w:val="auto"/>
          <w:spacing w:val="-6"/>
          <w:highlight w:val="none"/>
        </w:rPr>
      </w:pPr>
    </w:p>
    <w:p>
      <w:pPr>
        <w:pStyle w:val="47"/>
        <w:rPr>
          <w:rFonts w:hint="eastAsia" w:ascii="宋体" w:hAnsi="宋体" w:eastAsia="宋体" w:cs="宋体"/>
          <w:b/>
          <w:bCs/>
          <w:color w:val="auto"/>
          <w:spacing w:val="-6"/>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5"/>
        <w:rPr>
          <w:rFonts w:hint="eastAsia" w:ascii="宋体" w:hAnsi="宋体" w:eastAsia="宋体" w:cs="宋体"/>
          <w:color w:val="auto"/>
          <w:szCs w:val="24"/>
          <w:highlight w:val="none"/>
        </w:rPr>
      </w:pPr>
      <w:bookmarkStart w:id="76" w:name="_Toc188842693"/>
      <w:bookmarkStart w:id="77" w:name="_Toc188943147"/>
      <w:bookmarkStart w:id="78" w:name="_Toc189033156"/>
      <w:r>
        <w:rPr>
          <w:rFonts w:hint="eastAsia" w:ascii="宋体" w:hAnsi="宋体" w:eastAsia="宋体" w:cs="宋体"/>
          <w:color w:val="auto"/>
          <w:szCs w:val="24"/>
          <w:highlight w:val="none"/>
        </w:rPr>
        <w:t>附件六 人员及设备配置情况</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人员配置一览表</w:t>
      </w:r>
      <w:bookmarkEnd w:id="76"/>
      <w:bookmarkEnd w:id="77"/>
      <w:bookmarkEnd w:id="78"/>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8"/>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208"/>
        <w:gridCol w:w="992"/>
        <w:gridCol w:w="1276"/>
      </w:tblGrid>
      <w:tr>
        <w:tblPrEx>
          <w:tblLayout w:type="fixed"/>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20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专业资质证书</w:t>
            </w: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本项目中的岗位</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本项目中的岗位职责</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0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92"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pStyle w:val="47"/>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18" w:type="default"/>
          <w:footerReference r:id="rId19" w:type="even"/>
          <w:pgSz w:w="11906" w:h="16838"/>
          <w:pgMar w:top="1440" w:right="1106" w:bottom="1440" w:left="1622" w:header="851" w:footer="851" w:gutter="0"/>
          <w:cols w:space="720" w:num="1"/>
          <w:docGrid w:linePitch="312" w:charSpace="0"/>
        </w:sectPr>
      </w:pP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设备配置一览表</w:t>
      </w:r>
    </w:p>
    <w:p>
      <w:pPr>
        <w:pStyle w:val="2"/>
        <w:rPr>
          <w:rFonts w:hint="eastAsia" w:ascii="宋体" w:hAnsi="宋体" w:eastAsia="宋体" w:cs="宋体"/>
          <w:color w:val="auto"/>
          <w:highlight w:val="none"/>
        </w:rPr>
      </w:pPr>
    </w:p>
    <w:p>
      <w:pPr>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color w:val="auto"/>
          <w:highlight w:val="none"/>
        </w:rPr>
        <w:t>招标项目名称：                   招标编号：</w:t>
      </w:r>
    </w:p>
    <w:tbl>
      <w:tblPr>
        <w:tblStyle w:val="38"/>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80"/>
        <w:gridCol w:w="1180"/>
        <w:gridCol w:w="1180"/>
        <w:gridCol w:w="1180"/>
        <w:gridCol w:w="1180"/>
        <w:gridCol w:w="11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国别产地</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18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主要技术参数</w:t>
            </w:r>
          </w:p>
        </w:tc>
        <w:tc>
          <w:tcPr>
            <w:tcW w:w="1135"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jc w:val="center"/>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jc w:val="center"/>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jc w:val="center"/>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79"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80" w:type="dxa"/>
          </w:tcPr>
          <w:p>
            <w:pPr>
              <w:ind w:firstLine="480"/>
              <w:rPr>
                <w:rFonts w:hint="eastAsia" w:ascii="宋体" w:hAnsi="宋体" w:eastAsia="宋体" w:cs="宋体"/>
                <w:color w:val="auto"/>
                <w:highlight w:val="none"/>
              </w:rPr>
            </w:pPr>
          </w:p>
        </w:tc>
        <w:tc>
          <w:tcPr>
            <w:tcW w:w="1135" w:type="dxa"/>
          </w:tcPr>
          <w:p>
            <w:pPr>
              <w:ind w:firstLine="480"/>
              <w:rPr>
                <w:rFonts w:hint="eastAsia" w:ascii="宋体" w:hAnsi="宋体" w:eastAsia="宋体" w:cs="宋体"/>
                <w:color w:val="auto"/>
                <w:highlight w:val="none"/>
              </w:rPr>
            </w:pPr>
          </w:p>
        </w:tc>
      </w:tr>
    </w:tbl>
    <w:p>
      <w:pPr>
        <w:ind w:left="-823" w:leftChars="-343" w:right="-960" w:firstLine="480"/>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480"/>
        <w:rPr>
          <w:rFonts w:hint="eastAsia" w:ascii="宋体" w:hAnsi="宋体" w:eastAsia="宋体" w:cs="宋体"/>
          <w:color w:val="auto"/>
          <w:highlight w:val="none"/>
        </w:rPr>
      </w:pPr>
    </w:p>
    <w:p>
      <w:pPr>
        <w:widowControl/>
        <w:spacing w:line="240" w:lineRule="auto"/>
        <w:ind w:firstLine="0" w:firstLineChars="0"/>
        <w:jc w:val="left"/>
        <w:rPr>
          <w:rFonts w:hint="eastAsia" w:ascii="宋体" w:hAnsi="宋体" w:eastAsia="宋体" w:cs="宋体"/>
          <w:b/>
          <w:bCs/>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附件七 投标方情况表</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317"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ind w:firstLine="0" w:firstLineChars="0"/>
              <w:textAlignment w:val="bottom"/>
              <w:rPr>
                <w:rFonts w:hint="eastAsia" w:ascii="宋体" w:hAnsi="宋体" w:eastAsia="宋体" w:cs="宋体"/>
                <w:color w:val="auto"/>
                <w:highlight w:val="none"/>
              </w:rPr>
            </w:pPr>
          </w:p>
        </w:tc>
      </w:tr>
    </w:tbl>
    <w:p>
      <w:pPr>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pStyle w:val="47"/>
        <w:rPr>
          <w:rFonts w:hint="eastAsia" w:ascii="宋体" w:hAnsi="宋体" w:eastAsia="宋体" w:cs="宋体"/>
          <w:color w:val="auto"/>
          <w:highlight w:val="none"/>
        </w:rPr>
      </w:pP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48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480"/>
        <w:rPr>
          <w:rFonts w:hint="eastAsia" w:ascii="宋体" w:hAnsi="宋体" w:eastAsia="宋体" w:cs="宋体"/>
          <w:snapToGrid w:val="0"/>
          <w:color w:val="auto"/>
          <w:highlight w:val="none"/>
        </w:rPr>
      </w:pPr>
    </w:p>
    <w:p>
      <w:pPr>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附件八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附件九 投标声明书</w:t>
      </w:r>
    </w:p>
    <w:p>
      <w:pPr>
        <w:ind w:firstLine="4337" w:firstLineChars="1800"/>
        <w:rPr>
          <w:rFonts w:hint="eastAsia" w:ascii="宋体" w:hAnsi="宋体" w:eastAsia="宋体" w:cs="宋体"/>
          <w:b/>
          <w:bCs/>
          <w:color w:val="auto"/>
          <w:highlight w:val="none"/>
        </w:rPr>
      </w:pPr>
      <w:r>
        <w:rPr>
          <w:rFonts w:hint="eastAsia" w:ascii="宋体" w:hAnsi="宋体" w:eastAsia="宋体" w:cs="宋体"/>
          <w:b/>
          <w:bCs/>
          <w:color w:val="auto"/>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之江实验室、浙江五石工程咨询有限公司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我方愿意参加贵方组织的之江实验室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pStyle w:val="104"/>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iCs/>
          <w:color w:val="auto"/>
          <w:szCs w:val="24"/>
          <w:highlight w:val="none"/>
        </w:rPr>
        <w:t xml:space="preserve">附件十 </w:t>
      </w:r>
      <w:r>
        <w:rPr>
          <w:rFonts w:hint="eastAsia" w:ascii="宋体" w:hAnsi="宋体" w:eastAsia="宋体" w:cs="宋体"/>
          <w:iCs/>
          <w:color w:val="auto"/>
          <w:highlight w:val="none"/>
        </w:rPr>
        <w:t>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之江实验室、浙江五石工程咨询有限公司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之江实验室、浙江五石工程咨询有限公司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电        话：</w:t>
      </w:r>
    </w:p>
    <w:p>
      <w:pPr>
        <w:pStyle w:val="2"/>
        <w:ind w:firstLine="480"/>
        <w:rPr>
          <w:rFonts w:hint="eastAsia" w:ascii="宋体" w:hAnsi="宋体" w:eastAsia="宋体" w:cs="宋体"/>
          <w:color w:val="auto"/>
          <w:highlight w:val="none"/>
        </w:rPr>
      </w:pPr>
    </w:p>
    <w:p>
      <w:pPr>
        <w:pStyle w:val="2"/>
        <w:ind w:firstLine="480"/>
        <w:rPr>
          <w:rFonts w:hint="eastAsia" w:ascii="宋体" w:hAnsi="宋体" w:eastAsia="宋体" w:cs="宋体"/>
          <w:color w:val="auto"/>
          <w:highlight w:val="none"/>
        </w:rPr>
      </w:pPr>
    </w:p>
    <w:p>
      <w:pPr>
        <w:pStyle w:val="2"/>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
          <w:bCs/>
          <w:color w:val="auto"/>
          <w:highlight w:val="none"/>
        </w:rPr>
        <w:t>附法定代表人、授权委托人身份证复印件正反面、授权代表社保缴纳证明</w:t>
      </w: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附件十一 廉政承诺书</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之江实验室：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附件十二 中小企业声明函</w:t>
      </w:r>
    </w:p>
    <w:p>
      <w:pPr>
        <w:ind w:left="525"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中小企业声明函</w:t>
      </w: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2.本公司参加之江实验室资产经营管理有限公司</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（1）□本公司直接为采购人提供本企业的服务。</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highlight w:val="none"/>
        </w:rPr>
      </w:pPr>
      <w:r>
        <w:rPr>
          <w:rFonts w:hint="eastAsia" w:ascii="宋体" w:hAnsi="宋体" w:eastAsia="宋体" w:cs="宋体"/>
          <w:color w:val="auto"/>
          <w:spacing w:val="-6"/>
          <w:highlight w:val="none"/>
        </w:rPr>
        <w:t>日期：    年  月  日</w:t>
      </w: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小微企业资格证明材料</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省（市、县、区）中小企业局或其他具有认定资格的职能部门</w:t>
      </w:r>
    </w:p>
    <w:p>
      <w:pPr>
        <w:wordWrap w:val="0"/>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ind w:firstLine="482"/>
        <w:rPr>
          <w:rFonts w:hint="eastAsia" w:ascii="宋体" w:hAnsi="宋体" w:eastAsia="宋体" w:cs="宋体"/>
          <w:b/>
          <w:bCs/>
          <w:color w:val="auto"/>
          <w:highlight w:val="none"/>
        </w:rPr>
      </w:pPr>
    </w:p>
    <w:p>
      <w:pPr>
        <w:ind w:firstLine="0" w:firstLineChars="0"/>
        <w:rPr>
          <w:rFonts w:hint="eastAsia" w:ascii="宋体" w:hAnsi="宋体" w:eastAsia="宋体" w:cs="宋体"/>
          <w:b/>
          <w:bCs/>
          <w:color w:val="auto"/>
          <w:highlight w:val="none"/>
        </w:rPr>
      </w:pPr>
    </w:p>
    <w:p>
      <w:pPr>
        <w:ind w:firstLine="482"/>
        <w:rPr>
          <w:rFonts w:hint="eastAsia" w:ascii="宋体" w:hAnsi="宋体" w:eastAsia="宋体" w:cs="宋体"/>
          <w:b/>
          <w:bCs/>
          <w:color w:val="auto"/>
          <w:highlight w:val="none"/>
        </w:rPr>
      </w:pPr>
    </w:p>
    <w:p>
      <w:pPr>
        <w:pStyle w:val="5"/>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残疾人福利性单位声明函</w:t>
      </w:r>
    </w:p>
    <w:p>
      <w:pPr>
        <w:ind w:firstLine="506"/>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之江实验室</w:t>
      </w:r>
      <w:r>
        <w:rPr>
          <w:rFonts w:hint="eastAsia" w:ascii="宋体" w:hAnsi="宋体" w:eastAsia="宋体" w:cs="宋体"/>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ind w:firstLine="480"/>
        <w:jc w:val="left"/>
        <w:rPr>
          <w:rFonts w:hint="eastAsia" w:ascii="宋体" w:hAnsi="宋体" w:eastAsia="宋体" w:cs="宋体"/>
          <w:color w:val="auto"/>
          <w:spacing w:val="6"/>
          <w:highlight w:val="none"/>
        </w:rPr>
      </w:pPr>
      <w:r>
        <w:rPr>
          <w:rFonts w:hint="eastAsia" w:ascii="宋体" w:hAnsi="宋体" w:eastAsia="宋体" w:cs="宋体"/>
          <w:bCs/>
          <w:color w:val="auto"/>
          <w:highlight w:val="none"/>
        </w:rPr>
        <w:t>1.</w:t>
      </w:r>
      <w:r>
        <w:rPr>
          <w:rFonts w:hint="eastAsia" w:ascii="宋体" w:hAnsi="宋体" w:eastAsia="宋体" w:cs="宋体"/>
          <w:color w:val="auto"/>
          <w:spacing w:val="6"/>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附件十三 质疑函</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质疑函</w:t>
      </w:r>
    </w:p>
    <w:p>
      <w:pPr>
        <w:adjustRightInd w:val="0"/>
        <w:snapToGrid w:val="0"/>
        <w:spacing w:before="312"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482"/>
        <w:jc w:val="left"/>
        <w:rPr>
          <w:rFonts w:hint="eastAsia" w:ascii="宋体" w:hAnsi="宋体" w:eastAsia="宋体" w:cs="宋体"/>
          <w:b/>
          <w:color w:val="auto"/>
          <w:highlight w:val="none"/>
        </w:rPr>
      </w:pPr>
    </w:p>
    <w:p>
      <w:pPr>
        <w:ind w:firstLine="482"/>
        <w:rPr>
          <w:rFonts w:hint="eastAsia" w:ascii="宋体" w:hAnsi="宋体" w:eastAsia="宋体" w:cs="宋体"/>
          <w:b/>
          <w:bCs/>
          <w:i/>
          <w:color w:val="auto"/>
          <w:highlight w:val="none"/>
        </w:rPr>
      </w:pPr>
      <w:r>
        <w:rPr>
          <w:rFonts w:hint="eastAsia" w:ascii="宋体" w:hAnsi="宋体" w:eastAsia="宋体" w:cs="宋体"/>
          <w:b/>
          <w:bCs/>
          <w:i/>
          <w:color w:val="auto"/>
          <w:highlight w:val="none"/>
        </w:rPr>
        <w:t>质疑函制作说明：</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1.供应商提出质疑时，应提交质疑函和必要的证明材料。</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3.质疑供应商若对项目的某一分包进行质疑，质疑函中应列明具体分包号。</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4.质疑函的质疑事项应具体、明确，并有必要的事实依据和法律依据。</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5.质疑函的质疑请求应与质疑事项相关。</w:t>
      </w:r>
    </w:p>
    <w:p>
      <w:pPr>
        <w:ind w:firstLine="480"/>
        <w:rPr>
          <w:rFonts w:hint="eastAsia" w:ascii="宋体" w:hAnsi="宋体" w:eastAsia="宋体" w:cs="宋体"/>
          <w:i/>
          <w:color w:val="auto"/>
          <w:highlight w:val="none"/>
        </w:rPr>
      </w:pPr>
      <w:r>
        <w:rPr>
          <w:rFonts w:hint="eastAsia" w:ascii="宋体" w:hAnsi="宋体" w:eastAsia="宋体" w:cs="宋体"/>
          <w:i/>
          <w:color w:val="auto"/>
          <w:highlight w:val="none"/>
        </w:rPr>
        <w:t>6.质疑供应商为自然人的，质疑函应由本人签字；质疑供应商为法人或者其他组织的，质疑函应由法定代表人、主要负责人，或者其授权代表签字或者盖章，并加盖公章。</w:t>
      </w:r>
    </w:p>
    <w:p>
      <w:pPr>
        <w:ind w:firstLine="440"/>
        <w:rPr>
          <w:rFonts w:hint="eastAsia" w:ascii="宋体" w:hAnsi="宋体" w:eastAsia="宋体" w:cs="宋体"/>
          <w:i/>
          <w:color w:val="auto"/>
          <w:sz w:val="22"/>
          <w:szCs w:val="22"/>
          <w:highlight w:val="none"/>
        </w:rPr>
      </w:pPr>
    </w:p>
    <w:bookmarkEnd w:id="79"/>
    <w:sectPr>
      <w:footerReference r:id="rId2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文本框 23" o:spid="_x0000_s3073"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3080" o:spid="_x0000_s3080"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path/>
          <v:fill on="f" focussize="0,0"/>
          <v:stroke on="f" joinstyle="miter"/>
          <v:imagedata o:title=""/>
          <o:lock v:ext="edit"/>
          <v:textbox inset="0mm,0mm,0mm,0mm" style="mso-fit-shape-to-text:t;">
            <w:txbxContent>
              <w:p>
                <w:pPr>
                  <w:pStyle w:val="23"/>
                  <w:ind w:firstLine="360"/>
                </w:pPr>
                <w:r>
                  <w:fldChar w:fldCharType="begin"/>
                </w:r>
                <w:r>
                  <w:instrText xml:space="preserve"> PAGE  \* MERGEFORMAT </w:instrText>
                </w:r>
                <w:r>
                  <w:fldChar w:fldCharType="separate"/>
                </w:r>
                <w:r>
                  <w:t>41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560"/>
      <w:jc w:val="center"/>
    </w:pPr>
    <w:r>
      <w:rPr>
        <w:sz w:val="28"/>
      </w:rPr>
      <w:pict>
        <v:shape id="_x0000_s3081" o:spid="_x0000_s3081"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path/>
          <v:fill on="f" focussize="0,0"/>
          <v:stroke on="f" joinstyle="miter"/>
          <v:imagedata o:title=""/>
          <o:lock v:ext="edit"/>
          <v:textbox inset="0mm,0mm,0mm,0mm" style="mso-fit-shape-to-text:t;">
            <w:txbxContent>
              <w:p>
                <w:pPr>
                  <w:pStyle w:val="23"/>
                  <w:ind w:firstLine="360"/>
                </w:pPr>
                <w:r>
                  <w:fldChar w:fldCharType="begin"/>
                </w:r>
                <w:r>
                  <w:instrText xml:space="preserve"> PAGE  \* MERGEFORMAT </w:instrText>
                </w:r>
                <w:r>
                  <w:fldChar w:fldCharType="separate"/>
                </w:r>
                <w:r>
                  <w:t>50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2"/>
      </w:rPr>
    </w:pPr>
    <w:r>
      <w:fldChar w:fldCharType="begin"/>
    </w:r>
    <w:r>
      <w:rPr>
        <w:rStyle w:val="42"/>
      </w:rPr>
      <w:instrText xml:space="preserve">PAGE  </w:instrText>
    </w:r>
    <w:r>
      <w:fldChar w:fldCharType="separate"/>
    </w:r>
    <w:r>
      <w:rPr>
        <w:rStyle w:val="42"/>
      </w:rPr>
      <w:t>52</w:t>
    </w:r>
    <w:r>
      <w:fldChar w:fldCharType="end"/>
    </w:r>
  </w:p>
  <w:p>
    <w:pPr>
      <w:pStyle w:val="23"/>
      <w:ind w:firstLine="3920" w:firstLineChars="1400"/>
    </w:pPr>
    <w:r>
      <w:rPr>
        <w:rFonts w:hint="eastAsia"/>
        <w:i/>
        <w:color w:val="0000FF"/>
        <w:sz w:val="28"/>
      </w:rPr>
      <w:t>精细 专业 高效</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560"/>
      <w:jc w:val="center"/>
    </w:pPr>
    <w:r>
      <w:rPr>
        <w:sz w:val="28"/>
      </w:rPr>
      <w:pict>
        <v:shape id="文本框 22" o:spid="_x0000_s308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path/>
          <v:fill on="f" focussize="0,0"/>
          <v:stroke on="f" joinstyle="miter"/>
          <v:imagedata o:title=""/>
          <o:lock v:ext="edit"/>
          <v:textbox inset="0mm,0mm,0mm,0mm" style="mso-fit-shape-to-text:t;">
            <w:txbxContent>
              <w:p>
                <w:pPr>
                  <w:pStyle w:val="23"/>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780" w:firstLineChars="1800"/>
      <w:rPr>
        <w:i/>
        <w:iCs/>
        <w:sz w:val="21"/>
        <w:szCs w:val="21"/>
      </w:rPr>
    </w:pPr>
    <w:r>
      <w:rPr>
        <w:sz w:val="21"/>
      </w:rPr>
      <w:pict>
        <v:shape id="文本框 24" o:spid="_x0000_s3075"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780" w:firstLineChars="1800"/>
      <w:rPr>
        <w:i/>
        <w:iCs/>
        <w:sz w:val="21"/>
        <w:szCs w:val="21"/>
      </w:rPr>
    </w:pPr>
    <w:r>
      <w:rPr>
        <w:sz w:val="21"/>
      </w:rPr>
      <w:pict>
        <v:shape id="文本框 25" o:spid="_x0000_s307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0"/>
        <w:tab w:val="clear" w:pos="4153"/>
      </w:tabs>
      <w:ind w:firstLine="4200" w:firstLineChars="2000"/>
    </w:pPr>
    <w:r>
      <w:rPr>
        <w:sz w:val="21"/>
      </w:rPr>
      <w:pict>
        <v:shape id="文本框 26" o:spid="_x0000_s3077"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文本框 27" o:spid="_x0000_s307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文本框 28" o:spid="_x0000_s307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10" w:firstLineChars="100"/>
      <w:jc w:val="both"/>
      <w:rPr>
        <w:sz w:val="21"/>
        <w:szCs w:val="21"/>
      </w:rPr>
    </w:pPr>
    <w:r>
      <w:rPr>
        <w:sz w:val="21"/>
        <w:szCs w:val="21"/>
      </w:rPr>
      <w:pict>
        <v:shape id="_x0000_s3074" o:spid="_x0000_s3074"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path/>
          <v:fill on="f" focussize="0,0"/>
          <v:stroke on="f" joinstyle="miter"/>
          <v:imagedata o:title=""/>
          <o:lock v:ext="edit"/>
          <v:textbox inset="0mm,0mm,0mm,0mm" style="mso-fit-shape-to-text:t;">
            <w:txbxContent>
              <w:p>
                <w:pPr>
                  <w:ind w:firstLine="480"/>
                </w:pPr>
              </w:p>
            </w:txbxContent>
          </v:textbox>
        </v:shape>
      </w:pic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abstractNum w:abstractNumId="2">
    <w:nsid w:val="7C0A7062"/>
    <w:multiLevelType w:val="multilevel"/>
    <w:tmpl w:val="7C0A7062"/>
    <w:lvl w:ilvl="0" w:tentative="0">
      <w:start w:val="1"/>
      <w:numFmt w:val="decimal"/>
      <w:lvlText w:val="%1"/>
      <w:lvlJc w:val="left"/>
      <w:pPr>
        <w:ind w:left="360" w:hanging="36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1759"/>
    <w:rsid w:val="00083440"/>
    <w:rsid w:val="000839F9"/>
    <w:rsid w:val="00085C83"/>
    <w:rsid w:val="00087CAA"/>
    <w:rsid w:val="00090D1F"/>
    <w:rsid w:val="00090FF6"/>
    <w:rsid w:val="0009249B"/>
    <w:rsid w:val="00092B40"/>
    <w:rsid w:val="00093E97"/>
    <w:rsid w:val="000943A3"/>
    <w:rsid w:val="00094BA4"/>
    <w:rsid w:val="00097898"/>
    <w:rsid w:val="000979EB"/>
    <w:rsid w:val="000A05DD"/>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3F9"/>
    <w:rsid w:val="000D4D96"/>
    <w:rsid w:val="000D57D1"/>
    <w:rsid w:val="000D788C"/>
    <w:rsid w:val="000D7C23"/>
    <w:rsid w:val="000D7FEC"/>
    <w:rsid w:val="000E011F"/>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02618"/>
    <w:rsid w:val="0011181B"/>
    <w:rsid w:val="0011211A"/>
    <w:rsid w:val="00112B47"/>
    <w:rsid w:val="001148C6"/>
    <w:rsid w:val="00115094"/>
    <w:rsid w:val="001200F0"/>
    <w:rsid w:val="001266F7"/>
    <w:rsid w:val="00127E3B"/>
    <w:rsid w:val="00130E2B"/>
    <w:rsid w:val="00134E45"/>
    <w:rsid w:val="00135A25"/>
    <w:rsid w:val="0013792B"/>
    <w:rsid w:val="00137ED7"/>
    <w:rsid w:val="00140519"/>
    <w:rsid w:val="0014477F"/>
    <w:rsid w:val="00144E22"/>
    <w:rsid w:val="00145FC1"/>
    <w:rsid w:val="00146E62"/>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076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4C3"/>
    <w:rsid w:val="00205B01"/>
    <w:rsid w:val="00207178"/>
    <w:rsid w:val="002122DB"/>
    <w:rsid w:val="00213994"/>
    <w:rsid w:val="00213B07"/>
    <w:rsid w:val="002152F0"/>
    <w:rsid w:val="00216EB4"/>
    <w:rsid w:val="002216A3"/>
    <w:rsid w:val="00221913"/>
    <w:rsid w:val="00221953"/>
    <w:rsid w:val="00226E86"/>
    <w:rsid w:val="00226F50"/>
    <w:rsid w:val="00230A4E"/>
    <w:rsid w:val="00230C4C"/>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2645"/>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E6333"/>
    <w:rsid w:val="002F2841"/>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1797"/>
    <w:rsid w:val="003444A7"/>
    <w:rsid w:val="00345C73"/>
    <w:rsid w:val="00345F39"/>
    <w:rsid w:val="0034601A"/>
    <w:rsid w:val="00347C07"/>
    <w:rsid w:val="00353396"/>
    <w:rsid w:val="00354041"/>
    <w:rsid w:val="00356AA8"/>
    <w:rsid w:val="003618CD"/>
    <w:rsid w:val="0036238A"/>
    <w:rsid w:val="003630D0"/>
    <w:rsid w:val="00363A74"/>
    <w:rsid w:val="00365474"/>
    <w:rsid w:val="00366D40"/>
    <w:rsid w:val="00367ED7"/>
    <w:rsid w:val="003751EF"/>
    <w:rsid w:val="00375E93"/>
    <w:rsid w:val="0037626B"/>
    <w:rsid w:val="00385E24"/>
    <w:rsid w:val="00391E4C"/>
    <w:rsid w:val="00394BA9"/>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1C"/>
    <w:rsid w:val="004700E2"/>
    <w:rsid w:val="00470586"/>
    <w:rsid w:val="00470BCA"/>
    <w:rsid w:val="00471405"/>
    <w:rsid w:val="004725F2"/>
    <w:rsid w:val="00475E8A"/>
    <w:rsid w:val="00477053"/>
    <w:rsid w:val="00477109"/>
    <w:rsid w:val="0048641F"/>
    <w:rsid w:val="00486775"/>
    <w:rsid w:val="0048743A"/>
    <w:rsid w:val="0049040C"/>
    <w:rsid w:val="00491C02"/>
    <w:rsid w:val="00492413"/>
    <w:rsid w:val="00492B7F"/>
    <w:rsid w:val="00492C6B"/>
    <w:rsid w:val="00492E09"/>
    <w:rsid w:val="00494154"/>
    <w:rsid w:val="004943E8"/>
    <w:rsid w:val="00495E2B"/>
    <w:rsid w:val="00495E3C"/>
    <w:rsid w:val="004A020F"/>
    <w:rsid w:val="004A237B"/>
    <w:rsid w:val="004A2607"/>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0FD"/>
    <w:rsid w:val="004D150A"/>
    <w:rsid w:val="004D27FC"/>
    <w:rsid w:val="004D2FF6"/>
    <w:rsid w:val="004D626B"/>
    <w:rsid w:val="004D6905"/>
    <w:rsid w:val="004D6F27"/>
    <w:rsid w:val="004D7553"/>
    <w:rsid w:val="004D7C4C"/>
    <w:rsid w:val="004E0F9A"/>
    <w:rsid w:val="004E21F5"/>
    <w:rsid w:val="004E2FBA"/>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B9A"/>
    <w:rsid w:val="00504E09"/>
    <w:rsid w:val="00506903"/>
    <w:rsid w:val="00511FE1"/>
    <w:rsid w:val="00516B63"/>
    <w:rsid w:val="005206C3"/>
    <w:rsid w:val="00521230"/>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2ACB"/>
    <w:rsid w:val="005630BA"/>
    <w:rsid w:val="00564650"/>
    <w:rsid w:val="005661C0"/>
    <w:rsid w:val="00566D88"/>
    <w:rsid w:val="00567438"/>
    <w:rsid w:val="005701DE"/>
    <w:rsid w:val="0057111D"/>
    <w:rsid w:val="005742DF"/>
    <w:rsid w:val="00574EF9"/>
    <w:rsid w:val="005770DF"/>
    <w:rsid w:val="00577127"/>
    <w:rsid w:val="005775D6"/>
    <w:rsid w:val="00580F00"/>
    <w:rsid w:val="00581F30"/>
    <w:rsid w:val="005827EF"/>
    <w:rsid w:val="00583761"/>
    <w:rsid w:val="005845E4"/>
    <w:rsid w:val="0058503E"/>
    <w:rsid w:val="00585EBA"/>
    <w:rsid w:val="0058622B"/>
    <w:rsid w:val="00587A9A"/>
    <w:rsid w:val="00587B32"/>
    <w:rsid w:val="005964EA"/>
    <w:rsid w:val="005A002A"/>
    <w:rsid w:val="005A130D"/>
    <w:rsid w:val="005A1ACF"/>
    <w:rsid w:val="005A1B31"/>
    <w:rsid w:val="005A4392"/>
    <w:rsid w:val="005A5B29"/>
    <w:rsid w:val="005A7C49"/>
    <w:rsid w:val="005B0183"/>
    <w:rsid w:val="005B6142"/>
    <w:rsid w:val="005C072A"/>
    <w:rsid w:val="005C0C63"/>
    <w:rsid w:val="005C0E04"/>
    <w:rsid w:val="005C19C0"/>
    <w:rsid w:val="005C4AA8"/>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4BD9"/>
    <w:rsid w:val="0060545C"/>
    <w:rsid w:val="00605AF4"/>
    <w:rsid w:val="00606E06"/>
    <w:rsid w:val="00607AAE"/>
    <w:rsid w:val="0061102F"/>
    <w:rsid w:val="00613315"/>
    <w:rsid w:val="00613372"/>
    <w:rsid w:val="00620EE1"/>
    <w:rsid w:val="0062146E"/>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4D14"/>
    <w:rsid w:val="006B608F"/>
    <w:rsid w:val="006C0C12"/>
    <w:rsid w:val="006C25FA"/>
    <w:rsid w:val="006C3BD9"/>
    <w:rsid w:val="006C444A"/>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E76E8"/>
    <w:rsid w:val="006F033A"/>
    <w:rsid w:val="006F0DC0"/>
    <w:rsid w:val="006F5547"/>
    <w:rsid w:val="00701BD2"/>
    <w:rsid w:val="00703DFE"/>
    <w:rsid w:val="0070413B"/>
    <w:rsid w:val="007066D4"/>
    <w:rsid w:val="00706F94"/>
    <w:rsid w:val="00711281"/>
    <w:rsid w:val="0071168F"/>
    <w:rsid w:val="00711AEA"/>
    <w:rsid w:val="007133A7"/>
    <w:rsid w:val="00714D40"/>
    <w:rsid w:val="00716078"/>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3E7"/>
    <w:rsid w:val="00772782"/>
    <w:rsid w:val="00772DBD"/>
    <w:rsid w:val="0077469F"/>
    <w:rsid w:val="00774992"/>
    <w:rsid w:val="007805C7"/>
    <w:rsid w:val="00780A8F"/>
    <w:rsid w:val="00780ECB"/>
    <w:rsid w:val="00780F0E"/>
    <w:rsid w:val="00781678"/>
    <w:rsid w:val="0078362A"/>
    <w:rsid w:val="00790F04"/>
    <w:rsid w:val="0079359D"/>
    <w:rsid w:val="007941ED"/>
    <w:rsid w:val="00794800"/>
    <w:rsid w:val="007949C9"/>
    <w:rsid w:val="00794F0C"/>
    <w:rsid w:val="007A02ED"/>
    <w:rsid w:val="007A0B2E"/>
    <w:rsid w:val="007A117E"/>
    <w:rsid w:val="007A1406"/>
    <w:rsid w:val="007A147E"/>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161"/>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2607"/>
    <w:rsid w:val="00813D5B"/>
    <w:rsid w:val="008143A5"/>
    <w:rsid w:val="008153C6"/>
    <w:rsid w:val="00816D37"/>
    <w:rsid w:val="00817EFC"/>
    <w:rsid w:val="00820225"/>
    <w:rsid w:val="008208E7"/>
    <w:rsid w:val="00824389"/>
    <w:rsid w:val="00824D2A"/>
    <w:rsid w:val="00825638"/>
    <w:rsid w:val="00826576"/>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5F10"/>
    <w:rsid w:val="00856D3F"/>
    <w:rsid w:val="008571D4"/>
    <w:rsid w:val="00860099"/>
    <w:rsid w:val="00862E74"/>
    <w:rsid w:val="008630CF"/>
    <w:rsid w:val="00863205"/>
    <w:rsid w:val="00863AA6"/>
    <w:rsid w:val="0086405A"/>
    <w:rsid w:val="00865708"/>
    <w:rsid w:val="00865E26"/>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3014"/>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140"/>
    <w:rsid w:val="00921EB3"/>
    <w:rsid w:val="0092282C"/>
    <w:rsid w:val="00923A58"/>
    <w:rsid w:val="009249F8"/>
    <w:rsid w:val="00930BA8"/>
    <w:rsid w:val="0093181A"/>
    <w:rsid w:val="0093423C"/>
    <w:rsid w:val="00935399"/>
    <w:rsid w:val="0093577D"/>
    <w:rsid w:val="0093785D"/>
    <w:rsid w:val="00937F71"/>
    <w:rsid w:val="00940BBF"/>
    <w:rsid w:val="00943BC8"/>
    <w:rsid w:val="00944741"/>
    <w:rsid w:val="00946A18"/>
    <w:rsid w:val="00950FF3"/>
    <w:rsid w:val="00951580"/>
    <w:rsid w:val="009539A2"/>
    <w:rsid w:val="009539F3"/>
    <w:rsid w:val="00957297"/>
    <w:rsid w:val="0095737E"/>
    <w:rsid w:val="00957BA4"/>
    <w:rsid w:val="00957F04"/>
    <w:rsid w:val="00960D9D"/>
    <w:rsid w:val="00962F90"/>
    <w:rsid w:val="0096525E"/>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036F"/>
    <w:rsid w:val="0099174A"/>
    <w:rsid w:val="009946C9"/>
    <w:rsid w:val="00994B9D"/>
    <w:rsid w:val="00995EBC"/>
    <w:rsid w:val="009A0068"/>
    <w:rsid w:val="009A02E0"/>
    <w:rsid w:val="009A1381"/>
    <w:rsid w:val="009A3005"/>
    <w:rsid w:val="009A46CE"/>
    <w:rsid w:val="009A5355"/>
    <w:rsid w:val="009A627B"/>
    <w:rsid w:val="009A62BA"/>
    <w:rsid w:val="009A6D84"/>
    <w:rsid w:val="009B22B7"/>
    <w:rsid w:val="009B3755"/>
    <w:rsid w:val="009B3A51"/>
    <w:rsid w:val="009B3FD6"/>
    <w:rsid w:val="009B4B02"/>
    <w:rsid w:val="009B7465"/>
    <w:rsid w:val="009C0A0C"/>
    <w:rsid w:val="009C2D03"/>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5D4B"/>
    <w:rsid w:val="00A06D5A"/>
    <w:rsid w:val="00A07964"/>
    <w:rsid w:val="00A1043F"/>
    <w:rsid w:val="00A12827"/>
    <w:rsid w:val="00A15FDB"/>
    <w:rsid w:val="00A179C8"/>
    <w:rsid w:val="00A208F6"/>
    <w:rsid w:val="00A26FA5"/>
    <w:rsid w:val="00A27D3E"/>
    <w:rsid w:val="00A27F2E"/>
    <w:rsid w:val="00A31392"/>
    <w:rsid w:val="00A35E28"/>
    <w:rsid w:val="00A416A5"/>
    <w:rsid w:val="00A41CDC"/>
    <w:rsid w:val="00A4648E"/>
    <w:rsid w:val="00A4744B"/>
    <w:rsid w:val="00A47B0E"/>
    <w:rsid w:val="00A52FA5"/>
    <w:rsid w:val="00A558DC"/>
    <w:rsid w:val="00A604D7"/>
    <w:rsid w:val="00A6086B"/>
    <w:rsid w:val="00A61A12"/>
    <w:rsid w:val="00A62DC4"/>
    <w:rsid w:val="00A64FF4"/>
    <w:rsid w:val="00A674A2"/>
    <w:rsid w:val="00A71092"/>
    <w:rsid w:val="00A72D91"/>
    <w:rsid w:val="00A767E4"/>
    <w:rsid w:val="00A775F2"/>
    <w:rsid w:val="00A7767F"/>
    <w:rsid w:val="00A825C8"/>
    <w:rsid w:val="00A82981"/>
    <w:rsid w:val="00A82E91"/>
    <w:rsid w:val="00A82F39"/>
    <w:rsid w:val="00A83F86"/>
    <w:rsid w:val="00A851FF"/>
    <w:rsid w:val="00A852A7"/>
    <w:rsid w:val="00A85475"/>
    <w:rsid w:val="00A91616"/>
    <w:rsid w:val="00A92DEE"/>
    <w:rsid w:val="00A93771"/>
    <w:rsid w:val="00A9411C"/>
    <w:rsid w:val="00A941EE"/>
    <w:rsid w:val="00A97026"/>
    <w:rsid w:val="00AA0F8D"/>
    <w:rsid w:val="00AA36B8"/>
    <w:rsid w:val="00AA587A"/>
    <w:rsid w:val="00AA7C2B"/>
    <w:rsid w:val="00AB0A2D"/>
    <w:rsid w:val="00AB202E"/>
    <w:rsid w:val="00AB20E9"/>
    <w:rsid w:val="00AB3B25"/>
    <w:rsid w:val="00AB4293"/>
    <w:rsid w:val="00AB590A"/>
    <w:rsid w:val="00AB61A5"/>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D7A74"/>
    <w:rsid w:val="00AE169A"/>
    <w:rsid w:val="00AE4371"/>
    <w:rsid w:val="00AE44AF"/>
    <w:rsid w:val="00AE45F5"/>
    <w:rsid w:val="00AE4621"/>
    <w:rsid w:val="00AE5BFD"/>
    <w:rsid w:val="00AE6075"/>
    <w:rsid w:val="00AE6F8F"/>
    <w:rsid w:val="00AE73AD"/>
    <w:rsid w:val="00AE755A"/>
    <w:rsid w:val="00AF3DB1"/>
    <w:rsid w:val="00AF3E73"/>
    <w:rsid w:val="00AF3EA6"/>
    <w:rsid w:val="00AF4BAE"/>
    <w:rsid w:val="00AF70AD"/>
    <w:rsid w:val="00B00312"/>
    <w:rsid w:val="00B00957"/>
    <w:rsid w:val="00B01703"/>
    <w:rsid w:val="00B0448D"/>
    <w:rsid w:val="00B04D98"/>
    <w:rsid w:val="00B05578"/>
    <w:rsid w:val="00B06906"/>
    <w:rsid w:val="00B06B5E"/>
    <w:rsid w:val="00B06F67"/>
    <w:rsid w:val="00B07230"/>
    <w:rsid w:val="00B076F8"/>
    <w:rsid w:val="00B103F3"/>
    <w:rsid w:val="00B104CA"/>
    <w:rsid w:val="00B10FCB"/>
    <w:rsid w:val="00B11F97"/>
    <w:rsid w:val="00B15B67"/>
    <w:rsid w:val="00B16BAF"/>
    <w:rsid w:val="00B171DF"/>
    <w:rsid w:val="00B2097A"/>
    <w:rsid w:val="00B213CA"/>
    <w:rsid w:val="00B21805"/>
    <w:rsid w:val="00B22497"/>
    <w:rsid w:val="00B234F6"/>
    <w:rsid w:val="00B23EA1"/>
    <w:rsid w:val="00B24D66"/>
    <w:rsid w:val="00B25010"/>
    <w:rsid w:val="00B25637"/>
    <w:rsid w:val="00B2646E"/>
    <w:rsid w:val="00B26CAB"/>
    <w:rsid w:val="00B26D91"/>
    <w:rsid w:val="00B26DF0"/>
    <w:rsid w:val="00B273CA"/>
    <w:rsid w:val="00B27E1C"/>
    <w:rsid w:val="00B27E49"/>
    <w:rsid w:val="00B333BE"/>
    <w:rsid w:val="00B334D5"/>
    <w:rsid w:val="00B3632A"/>
    <w:rsid w:val="00B4133E"/>
    <w:rsid w:val="00B428B6"/>
    <w:rsid w:val="00B4367A"/>
    <w:rsid w:val="00B440A3"/>
    <w:rsid w:val="00B45C49"/>
    <w:rsid w:val="00B46ACC"/>
    <w:rsid w:val="00B512DA"/>
    <w:rsid w:val="00B51B99"/>
    <w:rsid w:val="00B52CEF"/>
    <w:rsid w:val="00B56F8E"/>
    <w:rsid w:val="00B57506"/>
    <w:rsid w:val="00B61991"/>
    <w:rsid w:val="00B627FD"/>
    <w:rsid w:val="00B666BB"/>
    <w:rsid w:val="00B700BE"/>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6CC0"/>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44F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E6284"/>
    <w:rsid w:val="00CF1033"/>
    <w:rsid w:val="00CF1865"/>
    <w:rsid w:val="00CF393E"/>
    <w:rsid w:val="00CF4448"/>
    <w:rsid w:val="00CF4526"/>
    <w:rsid w:val="00CF7C79"/>
    <w:rsid w:val="00CF7D3A"/>
    <w:rsid w:val="00D0083D"/>
    <w:rsid w:val="00D00BCA"/>
    <w:rsid w:val="00D00FE8"/>
    <w:rsid w:val="00D0412A"/>
    <w:rsid w:val="00D044BD"/>
    <w:rsid w:val="00D05127"/>
    <w:rsid w:val="00D0616B"/>
    <w:rsid w:val="00D10DE4"/>
    <w:rsid w:val="00D1591F"/>
    <w:rsid w:val="00D16044"/>
    <w:rsid w:val="00D1638B"/>
    <w:rsid w:val="00D1689A"/>
    <w:rsid w:val="00D259BA"/>
    <w:rsid w:val="00D25AC3"/>
    <w:rsid w:val="00D274F8"/>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2F8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B7401"/>
    <w:rsid w:val="00DC1397"/>
    <w:rsid w:val="00DC3403"/>
    <w:rsid w:val="00DC3F51"/>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0834"/>
    <w:rsid w:val="00DF1ED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2980"/>
    <w:rsid w:val="00E44264"/>
    <w:rsid w:val="00E45328"/>
    <w:rsid w:val="00E45E27"/>
    <w:rsid w:val="00E479F6"/>
    <w:rsid w:val="00E50C26"/>
    <w:rsid w:val="00E51177"/>
    <w:rsid w:val="00E521C8"/>
    <w:rsid w:val="00E544B2"/>
    <w:rsid w:val="00E57012"/>
    <w:rsid w:val="00E623AB"/>
    <w:rsid w:val="00E629B0"/>
    <w:rsid w:val="00E64486"/>
    <w:rsid w:val="00E66531"/>
    <w:rsid w:val="00E666C3"/>
    <w:rsid w:val="00E668FD"/>
    <w:rsid w:val="00E66AD8"/>
    <w:rsid w:val="00E67979"/>
    <w:rsid w:val="00E67E38"/>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492C"/>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2215"/>
    <w:rsid w:val="00EC5011"/>
    <w:rsid w:val="00EC5F12"/>
    <w:rsid w:val="00EC69AD"/>
    <w:rsid w:val="00ED25DF"/>
    <w:rsid w:val="00ED315D"/>
    <w:rsid w:val="00EE08B0"/>
    <w:rsid w:val="00EE265E"/>
    <w:rsid w:val="00EE4578"/>
    <w:rsid w:val="00EE47DC"/>
    <w:rsid w:val="00EE4DBA"/>
    <w:rsid w:val="00EE7481"/>
    <w:rsid w:val="00EF0786"/>
    <w:rsid w:val="00EF0B21"/>
    <w:rsid w:val="00EF0E23"/>
    <w:rsid w:val="00EF2236"/>
    <w:rsid w:val="00EF309F"/>
    <w:rsid w:val="00EF34D3"/>
    <w:rsid w:val="00EF3E8B"/>
    <w:rsid w:val="00EF4589"/>
    <w:rsid w:val="00EF4F5D"/>
    <w:rsid w:val="00EF78A8"/>
    <w:rsid w:val="00F000C6"/>
    <w:rsid w:val="00F006BD"/>
    <w:rsid w:val="00F00D40"/>
    <w:rsid w:val="00F013B5"/>
    <w:rsid w:val="00F01936"/>
    <w:rsid w:val="00F05916"/>
    <w:rsid w:val="00F05EC5"/>
    <w:rsid w:val="00F06676"/>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1E5A"/>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2571"/>
    <w:rsid w:val="00F93DBA"/>
    <w:rsid w:val="00F954E4"/>
    <w:rsid w:val="00F95872"/>
    <w:rsid w:val="00F95F2A"/>
    <w:rsid w:val="00F96C4E"/>
    <w:rsid w:val="00F97D52"/>
    <w:rsid w:val="00FA262F"/>
    <w:rsid w:val="00FA2944"/>
    <w:rsid w:val="00FA2A0F"/>
    <w:rsid w:val="00FA2CF2"/>
    <w:rsid w:val="00FA3492"/>
    <w:rsid w:val="00FA3AE1"/>
    <w:rsid w:val="00FA49C0"/>
    <w:rsid w:val="00FA56A1"/>
    <w:rsid w:val="00FA5B10"/>
    <w:rsid w:val="00FA5CD7"/>
    <w:rsid w:val="00FA60A8"/>
    <w:rsid w:val="00FA688C"/>
    <w:rsid w:val="00FB052F"/>
    <w:rsid w:val="00FB08B6"/>
    <w:rsid w:val="00FB1700"/>
    <w:rsid w:val="00FB1B2E"/>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295F"/>
    <w:rsid w:val="00FE34AF"/>
    <w:rsid w:val="00FE6CE4"/>
    <w:rsid w:val="00FF1927"/>
    <w:rsid w:val="00FF1B75"/>
    <w:rsid w:val="00FF2A23"/>
    <w:rsid w:val="00FF2EAE"/>
    <w:rsid w:val="00FF3154"/>
    <w:rsid w:val="00FF5002"/>
    <w:rsid w:val="00FF60BC"/>
    <w:rsid w:val="00FF6519"/>
    <w:rsid w:val="00FF73B4"/>
    <w:rsid w:val="01380CA0"/>
    <w:rsid w:val="01A01AFA"/>
    <w:rsid w:val="02132159"/>
    <w:rsid w:val="02F01C71"/>
    <w:rsid w:val="060F21E8"/>
    <w:rsid w:val="06AC1C4A"/>
    <w:rsid w:val="079E733B"/>
    <w:rsid w:val="095A0B9B"/>
    <w:rsid w:val="0A776684"/>
    <w:rsid w:val="0AB85334"/>
    <w:rsid w:val="0B0070A3"/>
    <w:rsid w:val="0C550739"/>
    <w:rsid w:val="0DAB440A"/>
    <w:rsid w:val="0EE43718"/>
    <w:rsid w:val="0EE90B68"/>
    <w:rsid w:val="0F9C5416"/>
    <w:rsid w:val="0FBC0D1A"/>
    <w:rsid w:val="102927A5"/>
    <w:rsid w:val="104C58A2"/>
    <w:rsid w:val="11232D74"/>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D4F0A5D"/>
    <w:rsid w:val="1D7C153E"/>
    <w:rsid w:val="1F883FF4"/>
    <w:rsid w:val="201C31E1"/>
    <w:rsid w:val="20577A77"/>
    <w:rsid w:val="206B0F43"/>
    <w:rsid w:val="20CB3924"/>
    <w:rsid w:val="21C3592D"/>
    <w:rsid w:val="225A2932"/>
    <w:rsid w:val="22B14893"/>
    <w:rsid w:val="23594B35"/>
    <w:rsid w:val="23EA5690"/>
    <w:rsid w:val="24184EE3"/>
    <w:rsid w:val="244157BB"/>
    <w:rsid w:val="247240E4"/>
    <w:rsid w:val="249C45C3"/>
    <w:rsid w:val="24D54DB0"/>
    <w:rsid w:val="24F82B87"/>
    <w:rsid w:val="25533A49"/>
    <w:rsid w:val="274B40FB"/>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182531"/>
    <w:rsid w:val="3CAA46F7"/>
    <w:rsid w:val="3D0F62C8"/>
    <w:rsid w:val="3D1457C5"/>
    <w:rsid w:val="3F255D56"/>
    <w:rsid w:val="4082593F"/>
    <w:rsid w:val="40C7099B"/>
    <w:rsid w:val="411728C0"/>
    <w:rsid w:val="41235A35"/>
    <w:rsid w:val="41FE3C58"/>
    <w:rsid w:val="43610346"/>
    <w:rsid w:val="44591E88"/>
    <w:rsid w:val="44720E16"/>
    <w:rsid w:val="448518DB"/>
    <w:rsid w:val="44C41913"/>
    <w:rsid w:val="44D619FA"/>
    <w:rsid w:val="45CF2923"/>
    <w:rsid w:val="468B0D2E"/>
    <w:rsid w:val="47011CE2"/>
    <w:rsid w:val="47E24271"/>
    <w:rsid w:val="47E9055E"/>
    <w:rsid w:val="482B2304"/>
    <w:rsid w:val="48857FBF"/>
    <w:rsid w:val="48AB6F27"/>
    <w:rsid w:val="48DE11B8"/>
    <w:rsid w:val="4AB7573A"/>
    <w:rsid w:val="4AFB7261"/>
    <w:rsid w:val="4B2C1C2C"/>
    <w:rsid w:val="4B8A72CF"/>
    <w:rsid w:val="4C1065B5"/>
    <w:rsid w:val="4C70027F"/>
    <w:rsid w:val="4DDF3F73"/>
    <w:rsid w:val="4F8119B1"/>
    <w:rsid w:val="4F92238A"/>
    <w:rsid w:val="50731BAF"/>
    <w:rsid w:val="510E0E2A"/>
    <w:rsid w:val="51E937A4"/>
    <w:rsid w:val="533700C8"/>
    <w:rsid w:val="53B06719"/>
    <w:rsid w:val="53B203C7"/>
    <w:rsid w:val="541A4382"/>
    <w:rsid w:val="54492F90"/>
    <w:rsid w:val="548C1D47"/>
    <w:rsid w:val="54963849"/>
    <w:rsid w:val="55555A5E"/>
    <w:rsid w:val="55FB0DB9"/>
    <w:rsid w:val="563B592A"/>
    <w:rsid w:val="56B332E9"/>
    <w:rsid w:val="5A0D6B08"/>
    <w:rsid w:val="5CE760ED"/>
    <w:rsid w:val="5EEC4DA1"/>
    <w:rsid w:val="5F281498"/>
    <w:rsid w:val="5FCF7999"/>
    <w:rsid w:val="62CE0974"/>
    <w:rsid w:val="641724DD"/>
    <w:rsid w:val="648D4DC3"/>
    <w:rsid w:val="64937B40"/>
    <w:rsid w:val="64E414E0"/>
    <w:rsid w:val="65991807"/>
    <w:rsid w:val="66476B0A"/>
    <w:rsid w:val="665F1C74"/>
    <w:rsid w:val="66A43656"/>
    <w:rsid w:val="67530022"/>
    <w:rsid w:val="68683C3C"/>
    <w:rsid w:val="68F63773"/>
    <w:rsid w:val="6BF32268"/>
    <w:rsid w:val="6C1E03F6"/>
    <w:rsid w:val="6DB8617E"/>
    <w:rsid w:val="6F6B0BF0"/>
    <w:rsid w:val="6FF31E84"/>
    <w:rsid w:val="700F62AD"/>
    <w:rsid w:val="70730315"/>
    <w:rsid w:val="729C2D95"/>
    <w:rsid w:val="72BC0BF9"/>
    <w:rsid w:val="72D14842"/>
    <w:rsid w:val="73A243D2"/>
    <w:rsid w:val="74035D27"/>
    <w:rsid w:val="74835DA9"/>
    <w:rsid w:val="75DC2DB7"/>
    <w:rsid w:val="762C758F"/>
    <w:rsid w:val="766A3EEA"/>
    <w:rsid w:val="768E6911"/>
    <w:rsid w:val="76C84CCD"/>
    <w:rsid w:val="76F01E2B"/>
    <w:rsid w:val="78B2677B"/>
    <w:rsid w:val="7AA01F48"/>
    <w:rsid w:val="7C4D5033"/>
    <w:rsid w:val="7C8B5068"/>
    <w:rsid w:val="7D0D0409"/>
    <w:rsid w:val="7F163D65"/>
    <w:rsid w:val="7FFE4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3"/>
    <w:qFormat/>
    <w:uiPriority w:val="0"/>
    <w:pPr>
      <w:keepNext/>
      <w:keepLines/>
      <w:ind w:firstLine="0" w:firstLineChars="0"/>
      <w:jc w:val="center"/>
      <w:outlineLvl w:val="0"/>
    </w:pPr>
    <w:rPr>
      <w:b/>
      <w:bCs/>
      <w:kern w:val="44"/>
      <w:sz w:val="32"/>
      <w:szCs w:val="52"/>
    </w:rPr>
  </w:style>
  <w:style w:type="paragraph" w:styleId="4">
    <w:name w:val="heading 2"/>
    <w:basedOn w:val="1"/>
    <w:next w:val="1"/>
    <w:link w:val="124"/>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140"/>
    <w:qFormat/>
    <w:uiPriority w:val="9"/>
    <w:pPr>
      <w:keepNext/>
      <w:keepLines/>
      <w:outlineLvl w:val="3"/>
    </w:pPr>
    <w:rPr>
      <w:rFonts w:ascii="Cambria" w:hAnsi="Cambria" w:eastAsia="宋体"/>
      <w:b/>
      <w:bCs/>
      <w:sz w:val="24"/>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7"/>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4"/>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160"/>
    <w:unhideWhenUsed/>
    <w:qFormat/>
    <w:uiPriority w:val="0"/>
    <w:pPr>
      <w:spacing w:line="240" w:lineRule="auto"/>
      <w:ind w:firstLine="0" w:firstLineChars="0"/>
    </w:pPr>
    <w:rPr>
      <w:rFonts w:hAnsi="Courier New"/>
      <w:sz w:val="21"/>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126"/>
    <w:unhideWhenUsed/>
    <w:qFormat/>
    <w:uiPriority w:val="0"/>
    <w:pPr>
      <w:spacing w:line="240" w:lineRule="auto"/>
      <w:ind w:left="100" w:leftChars="2500" w:firstLine="0" w:firstLineChars="0"/>
    </w:pPr>
    <w:rPr>
      <w:color w:val="000000"/>
    </w:rPr>
  </w:style>
  <w:style w:type="paragraph" w:styleId="21">
    <w:name w:val="Body Text Indent 2"/>
    <w:basedOn w:val="1"/>
    <w:link w:val="163"/>
    <w:unhideWhenUsed/>
    <w:qFormat/>
    <w:uiPriority w:val="0"/>
    <w:pPr>
      <w:widowControl/>
      <w:spacing w:line="480" w:lineRule="atLeast"/>
      <w:ind w:firstLine="480" w:firstLineChars="0"/>
    </w:pPr>
    <w:rPr>
      <w:kern w:val="0"/>
      <w:szCs w:val="20"/>
    </w:rPr>
  </w:style>
  <w:style w:type="paragraph" w:styleId="22">
    <w:name w:val="Balloon Text"/>
    <w:basedOn w:val="1"/>
    <w:link w:val="120"/>
    <w:unhideWhenUsed/>
    <w:qFormat/>
    <w:uiPriority w:val="0"/>
    <w:rPr>
      <w:kern w:val="0"/>
      <w:sz w:val="18"/>
      <w:szCs w:val="18"/>
    </w:rPr>
  </w:style>
  <w:style w:type="paragraph" w:styleId="23">
    <w:name w:val="footer"/>
    <w:basedOn w:val="1"/>
    <w:link w:val="173"/>
    <w:unhideWhenUsed/>
    <w:qFormat/>
    <w:uiPriority w:val="99"/>
    <w:pPr>
      <w:tabs>
        <w:tab w:val="center" w:pos="4153"/>
        <w:tab w:val="right" w:pos="8306"/>
      </w:tabs>
      <w:snapToGrid w:val="0"/>
      <w:jc w:val="left"/>
    </w:pPr>
    <w:rPr>
      <w:kern w:val="0"/>
      <w:sz w:val="18"/>
      <w:szCs w:val="18"/>
    </w:rPr>
  </w:style>
  <w:style w:type="paragraph" w:styleId="24">
    <w:name w:val="header"/>
    <w:basedOn w:val="1"/>
    <w:link w:val="1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132"/>
    <w:unhideWhenUsed/>
    <w:qFormat/>
    <w:uiPriority w:val="0"/>
    <w:pPr>
      <w:autoSpaceDE w:val="0"/>
      <w:autoSpaceDN w:val="0"/>
      <w:spacing w:line="400" w:lineRule="atLeast"/>
      <w:ind w:firstLine="443"/>
    </w:pPr>
    <w:rPr>
      <w:rFonts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149"/>
    <w:unhideWhenUsed/>
    <w:qFormat/>
    <w:uiPriority w:val="0"/>
    <w:pPr>
      <w:spacing w:line="240" w:lineRule="auto"/>
      <w:ind w:firstLine="0" w:firstLineChars="0"/>
    </w:pPr>
    <w:rPr>
      <w:b/>
      <w:bCs/>
      <w:color w:val="000000"/>
      <w:sz w:val="28"/>
    </w:rPr>
  </w:style>
  <w:style w:type="paragraph" w:styleId="33">
    <w:name w:val="HTML Preformatted"/>
    <w:basedOn w:val="1"/>
    <w:link w:val="11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5">
    <w:name w:val="Title"/>
    <w:basedOn w:val="1"/>
    <w:link w:val="167"/>
    <w:qFormat/>
    <w:uiPriority w:val="0"/>
    <w:pPr>
      <w:spacing w:line="240" w:lineRule="auto"/>
      <w:ind w:firstLine="0" w:firstLineChars="0"/>
      <w:jc w:val="center"/>
    </w:pPr>
    <w:rPr>
      <w:sz w:val="30"/>
    </w:rPr>
  </w:style>
  <w:style w:type="paragraph" w:styleId="36">
    <w:name w:val="annotation subject"/>
    <w:basedOn w:val="10"/>
    <w:next w:val="10"/>
    <w:link w:val="119"/>
    <w:unhideWhenUsed/>
    <w:qFormat/>
    <w:uiPriority w:val="0"/>
    <w:rPr>
      <w:b/>
      <w:bCs/>
    </w:rPr>
  </w:style>
  <w:style w:type="paragraph" w:styleId="37">
    <w:name w:val="Body Text First Indent"/>
    <w:basedOn w:val="2"/>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paragraph" w:customStyle="1" w:styleId="4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4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0">
    <w:name w:val="Char1"/>
    <w:basedOn w:val="1"/>
    <w:qFormat/>
    <w:uiPriority w:val="0"/>
    <w:rPr>
      <w:rFonts w:ascii="Tahoma" w:hAnsi="Tahoma"/>
      <w:szCs w:val="20"/>
    </w:rPr>
  </w:style>
  <w:style w:type="paragraph" w:customStyle="1" w:styleId="5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3">
    <w:name w:val="Char2"/>
    <w:basedOn w:val="1"/>
    <w:qFormat/>
    <w:uiPriority w:val="0"/>
    <w:pPr>
      <w:spacing w:line="240" w:lineRule="auto"/>
      <w:ind w:firstLine="0" w:firstLineChars="0"/>
    </w:pPr>
    <w:rPr>
      <w:rFonts w:ascii="仿宋_GB2312" w:eastAsia="仿宋_GB2312"/>
      <w:b/>
      <w:sz w:val="32"/>
      <w:szCs w:val="32"/>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8">
    <w:name w:val="Char Char Char Char Char Char"/>
    <w:basedOn w:val="1"/>
    <w:qFormat/>
    <w:uiPriority w:val="0"/>
    <w:pPr>
      <w:spacing w:line="240" w:lineRule="auto"/>
    </w:pPr>
    <w:rPr>
      <w:rFonts w:ascii="Tahoma" w:hAnsi="Tahoma"/>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1">
    <w:name w:val="p0"/>
    <w:basedOn w:val="1"/>
    <w:qFormat/>
    <w:uiPriority w:val="0"/>
    <w:pPr>
      <w:widowControl/>
      <w:spacing w:line="240" w:lineRule="auto"/>
      <w:ind w:firstLine="0" w:firstLineChars="0"/>
    </w:pPr>
    <w:rPr>
      <w:kern w:val="0"/>
      <w:szCs w:val="21"/>
    </w:rPr>
  </w:style>
  <w:style w:type="paragraph" w:customStyle="1" w:styleId="62">
    <w:name w:val="列出段落1"/>
    <w:basedOn w:val="1"/>
    <w:qFormat/>
    <w:uiPriority w:val="0"/>
    <w:pPr>
      <w:ind w:firstLine="420"/>
    </w:pPr>
    <w:rPr>
      <w:rFonts w:ascii="Times New Roman" w:hAnsi="Times New Roman"/>
    </w:rPr>
  </w:style>
  <w:style w:type="paragraph" w:customStyle="1" w:styleId="63">
    <w:name w:val="Char Char Char Char Char Char Char Char"/>
    <w:basedOn w:val="1"/>
    <w:qFormat/>
    <w:uiPriority w:val="0"/>
    <w:pPr>
      <w:tabs>
        <w:tab w:val="left" w:pos="360"/>
      </w:tabs>
      <w:spacing w:line="240" w:lineRule="auto"/>
      <w:ind w:firstLine="0" w:firstLineChars="0"/>
    </w:pPr>
    <w:rPr>
      <w:szCs w:val="20"/>
    </w:rPr>
  </w:style>
  <w:style w:type="paragraph" w:customStyle="1" w:styleId="6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7">
    <w:name w:val="小标题2"/>
    <w:basedOn w:val="1"/>
    <w:next w:val="1"/>
    <w:qFormat/>
    <w:uiPriority w:val="0"/>
    <w:pPr>
      <w:spacing w:beforeLines="20" w:afterLines="20" w:line="400" w:lineRule="exact"/>
    </w:pPr>
    <w:rPr>
      <w:rFonts w:eastAsia="楷体_GB2312"/>
    </w:rPr>
  </w:style>
  <w:style w:type="paragraph" w:customStyle="1" w:styleId="68">
    <w:name w:val="标题3"/>
    <w:basedOn w:val="5"/>
    <w:qFormat/>
    <w:uiPriority w:val="0"/>
    <w:pPr>
      <w:spacing w:before="260" w:after="260" w:line="415" w:lineRule="auto"/>
    </w:pPr>
    <w:rPr>
      <w:sz w:val="28"/>
      <w:szCs w:val="28"/>
    </w:rPr>
  </w:style>
  <w:style w:type="paragraph" w:customStyle="1" w:styleId="69">
    <w:name w:val="List Paragraph1"/>
    <w:basedOn w:val="1"/>
    <w:qFormat/>
    <w:uiPriority w:val="0"/>
    <w:pPr>
      <w:spacing w:line="240" w:lineRule="auto"/>
      <w:ind w:firstLine="420"/>
    </w:pPr>
  </w:style>
  <w:style w:type="paragraph" w:customStyle="1" w:styleId="70">
    <w:name w:val="Proposals body"/>
    <w:basedOn w:val="1"/>
    <w:next w:val="1"/>
    <w:qFormat/>
    <w:uiPriority w:val="0"/>
    <w:pPr>
      <w:widowControl/>
      <w:snapToGrid w:val="0"/>
      <w:ind w:firstLine="0" w:firstLineChars="0"/>
      <w:jc w:val="left"/>
    </w:pPr>
    <w:rPr>
      <w:color w:val="000000"/>
      <w:kern w:val="0"/>
      <w:szCs w:val="20"/>
    </w:rPr>
  </w:style>
  <w:style w:type="paragraph" w:customStyle="1" w:styleId="7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4">
    <w:name w:val="head 1.1"/>
    <w:basedOn w:val="75"/>
    <w:qFormat/>
    <w:uiPriority w:val="0"/>
    <w:pPr>
      <w:spacing w:before="260" w:after="260" w:line="240" w:lineRule="auto"/>
      <w:ind w:left="840" w:firstLine="0" w:firstLineChars="0"/>
    </w:pPr>
    <w:rPr>
      <w:bCs/>
      <w:szCs w:val="22"/>
    </w:rPr>
  </w:style>
  <w:style w:type="paragraph" w:styleId="75">
    <w:name w:val="List Paragraph"/>
    <w:basedOn w:val="1"/>
    <w:qFormat/>
    <w:uiPriority w:val="34"/>
    <w:pPr>
      <w:ind w:firstLine="420"/>
    </w:p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_Style 76"/>
    <w:basedOn w:val="4"/>
    <w:next w:val="1"/>
    <w:qFormat/>
    <w:uiPriority w:val="39"/>
    <w:pPr>
      <w:widowControl/>
      <w:spacing w:line="240" w:lineRule="auto"/>
      <w:outlineLvl w:val="9"/>
    </w:pPr>
    <w:rPr>
      <w:kern w:val="0"/>
      <w:sz w:val="21"/>
      <w:szCs w:val="28"/>
    </w:rPr>
  </w:style>
  <w:style w:type="paragraph" w:customStyle="1" w:styleId="78">
    <w:name w:val="_Style 54"/>
    <w:basedOn w:val="1"/>
    <w:qFormat/>
    <w:uiPriority w:val="0"/>
    <w:pPr>
      <w:spacing w:line="240" w:lineRule="auto"/>
      <w:ind w:firstLine="0" w:firstLineChars="0"/>
    </w:pPr>
  </w:style>
  <w:style w:type="paragraph" w:customStyle="1" w:styleId="79">
    <w:name w:val="Char"/>
    <w:basedOn w:val="1"/>
    <w:qFormat/>
    <w:uiPriority w:val="0"/>
    <w:pPr>
      <w:spacing w:line="240" w:lineRule="auto"/>
      <w:ind w:firstLine="0" w:firstLineChars="0"/>
    </w:pPr>
    <w:rPr>
      <w:rFonts w:ascii="仿宋_GB2312" w:eastAsia="仿宋_GB2312"/>
      <w:b/>
      <w:sz w:val="32"/>
      <w:szCs w:val="32"/>
    </w:rPr>
  </w:style>
  <w:style w:type="paragraph" w:customStyle="1" w:styleId="80">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5">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7">
    <w:name w:val="1"/>
    <w:basedOn w:val="1"/>
    <w:next w:val="34"/>
    <w:qFormat/>
    <w:uiPriority w:val="0"/>
    <w:pPr>
      <w:widowControl/>
      <w:spacing w:before="100" w:beforeAutospacing="1" w:after="100" w:afterAutospacing="1" w:line="240" w:lineRule="auto"/>
      <w:ind w:firstLine="0" w:firstLineChars="0"/>
      <w:jc w:val="left"/>
    </w:pPr>
    <w:rPr>
      <w:kern w:val="0"/>
    </w:rPr>
  </w:style>
  <w:style w:type="paragraph" w:customStyle="1" w:styleId="8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3">
    <w:name w:val="Char Char Char"/>
    <w:basedOn w:val="1"/>
    <w:qFormat/>
    <w:uiPriority w:val="0"/>
    <w:pPr>
      <w:spacing w:line="240" w:lineRule="auto"/>
      <w:ind w:firstLine="0" w:firstLineChars="0"/>
    </w:pPr>
    <w:rPr>
      <w:rFonts w:ascii="Tahoma" w:hAnsi="Tahoma"/>
      <w:szCs w:val="20"/>
    </w:rPr>
  </w:style>
  <w:style w:type="paragraph" w:customStyle="1" w:styleId="94">
    <w:name w:val="样式1"/>
    <w:basedOn w:val="1"/>
    <w:qFormat/>
    <w:uiPriority w:val="0"/>
    <w:pPr>
      <w:spacing w:line="360" w:lineRule="exact"/>
    </w:pPr>
    <w:rPr>
      <w:rFonts w:ascii="Arial" w:hAnsi="Arial"/>
      <w:sz w:val="21"/>
    </w:rPr>
  </w:style>
  <w:style w:type="paragraph" w:customStyle="1" w:styleId="9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6">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7">
    <w:name w:val="默认段落字体 Para Char"/>
    <w:basedOn w:val="1"/>
    <w:qFormat/>
    <w:uiPriority w:val="0"/>
    <w:pPr>
      <w:spacing w:line="240" w:lineRule="auto"/>
      <w:ind w:firstLine="0" w:firstLineChars="0"/>
    </w:pPr>
  </w:style>
  <w:style w:type="paragraph" w:customStyle="1" w:styleId="9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0">
    <w:name w:val="正文格式"/>
    <w:basedOn w:val="1"/>
    <w:qFormat/>
    <w:uiPriority w:val="0"/>
    <w:pPr>
      <w:widowControl/>
      <w:adjustRightInd w:val="0"/>
      <w:snapToGrid w:val="0"/>
      <w:ind w:firstLine="482" w:firstLineChars="0"/>
    </w:pPr>
    <w:rPr>
      <w:kern w:val="0"/>
      <w:szCs w:val="20"/>
    </w:rPr>
  </w:style>
  <w:style w:type="paragraph" w:customStyle="1" w:styleId="10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_Style 40"/>
    <w:basedOn w:val="1"/>
    <w:qFormat/>
    <w:uiPriority w:val="0"/>
    <w:pPr>
      <w:spacing w:line="240" w:lineRule="auto"/>
      <w:ind w:firstLine="0" w:firstLineChars="0"/>
    </w:pPr>
  </w:style>
  <w:style w:type="paragraph" w:customStyle="1" w:styleId="10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4">
    <w:name w:val="默认段落字体 Para Char Char Char Char Char Char Char Char Char1 Char Char Char Char"/>
    <w:basedOn w:val="1"/>
    <w:qFormat/>
    <w:uiPriority w:val="0"/>
    <w:rPr>
      <w:rFonts w:ascii="Tahoma" w:hAnsi="Tahoma"/>
      <w:szCs w:val="20"/>
    </w:rPr>
  </w:style>
  <w:style w:type="paragraph" w:styleId="105">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09">
    <w:name w:val="Blockquote"/>
    <w:basedOn w:val="1"/>
    <w:qFormat/>
    <w:uiPriority w:val="0"/>
    <w:pPr>
      <w:autoSpaceDE w:val="0"/>
      <w:autoSpaceDN w:val="0"/>
      <w:adjustRightInd w:val="0"/>
      <w:spacing w:before="100" w:after="100"/>
      <w:ind w:left="360" w:right="360"/>
      <w:jc w:val="left"/>
    </w:pPr>
    <w:rPr>
      <w:kern w:val="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1">
    <w:name w:val="正文－恩普"/>
    <w:basedOn w:val="8"/>
    <w:qFormat/>
    <w:uiPriority w:val="0"/>
    <w:pPr>
      <w:widowControl/>
      <w:spacing w:afterLines="50" w:line="360" w:lineRule="auto"/>
      <w:ind w:firstLine="480" w:firstLineChars="200"/>
      <w:jc w:val="left"/>
    </w:pPr>
  </w:style>
  <w:style w:type="paragraph" w:customStyle="1" w:styleId="112">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3">
    <w:name w:val="head 1.1.1"/>
    <w:basedOn w:val="75"/>
    <w:qFormat/>
    <w:uiPriority w:val="0"/>
    <w:pPr>
      <w:spacing w:line="240" w:lineRule="auto"/>
      <w:ind w:left="1260" w:firstLine="0" w:firstLineChars="0"/>
    </w:pPr>
    <w:rPr>
      <w:rFonts w:ascii="Calibri" w:hAnsi="Calibri"/>
      <w:bCs/>
      <w:szCs w:val="22"/>
    </w:rPr>
  </w:style>
  <w:style w:type="paragraph" w:customStyle="1" w:styleId="114">
    <w:name w:val="p16"/>
    <w:basedOn w:val="1"/>
    <w:qFormat/>
    <w:uiPriority w:val="0"/>
    <w:pPr>
      <w:widowControl/>
      <w:spacing w:line="240" w:lineRule="auto"/>
      <w:ind w:left="420" w:hanging="420" w:firstLineChars="0"/>
    </w:pPr>
    <w:rPr>
      <w:kern w:val="0"/>
      <w:szCs w:val="21"/>
    </w:rPr>
  </w:style>
  <w:style w:type="character" w:customStyle="1" w:styleId="115">
    <w:name w:val="_Style 114"/>
    <w:qFormat/>
    <w:uiPriority w:val="0"/>
    <w:rPr>
      <w:i/>
      <w:iCs/>
      <w:color w:val="808080"/>
    </w:rPr>
  </w:style>
  <w:style w:type="character" w:customStyle="1" w:styleId="116">
    <w:name w:val="HTML 预设格式 Char"/>
    <w:link w:val="33"/>
    <w:semiHidden/>
    <w:qFormat/>
    <w:uiPriority w:val="0"/>
    <w:rPr>
      <w:rFonts w:ascii="Arial Unicode MS" w:hAnsi="Arial Unicode MS" w:eastAsia="Arial Unicode MS" w:cs="Arial Unicode MS"/>
    </w:rPr>
  </w:style>
  <w:style w:type="character" w:customStyle="1" w:styleId="117">
    <w:name w:val="l17"/>
    <w:basedOn w:val="40"/>
    <w:qFormat/>
    <w:uiPriority w:val="0"/>
  </w:style>
  <w:style w:type="character" w:customStyle="1" w:styleId="118">
    <w:name w:val="页眉 Char"/>
    <w:link w:val="24"/>
    <w:qFormat/>
    <w:uiPriority w:val="99"/>
    <w:rPr>
      <w:sz w:val="18"/>
      <w:szCs w:val="18"/>
    </w:rPr>
  </w:style>
  <w:style w:type="character" w:customStyle="1" w:styleId="119">
    <w:name w:val="批注主题 Char"/>
    <w:link w:val="36"/>
    <w:semiHidden/>
    <w:qFormat/>
    <w:uiPriority w:val="0"/>
    <w:rPr>
      <w:rFonts w:ascii="Times New Roman" w:hAnsi="Times New Roman"/>
      <w:b/>
      <w:bCs/>
      <w:kern w:val="2"/>
      <w:sz w:val="21"/>
      <w:szCs w:val="24"/>
    </w:rPr>
  </w:style>
  <w:style w:type="character" w:customStyle="1" w:styleId="120">
    <w:name w:val="批注框文本 Char"/>
    <w:link w:val="22"/>
    <w:semiHidden/>
    <w:qFormat/>
    <w:uiPriority w:val="0"/>
    <w:rPr>
      <w:rFonts w:ascii="Times New Roman" w:hAnsi="Times New Roman" w:eastAsia="宋体" w:cs="Times New Roman"/>
      <w:sz w:val="18"/>
      <w:szCs w:val="18"/>
    </w:rPr>
  </w:style>
  <w:style w:type="character" w:customStyle="1" w:styleId="121">
    <w:name w:val="Char Char3"/>
    <w:qFormat/>
    <w:uiPriority w:val="0"/>
    <w:rPr>
      <w:rFonts w:hint="eastAsia" w:ascii="宋体" w:hAnsi="Courier New" w:eastAsia="宋体"/>
      <w:kern w:val="2"/>
      <w:sz w:val="21"/>
      <w:lang w:val="en-US" w:eastAsia="zh-CN" w:bidi="ar-SA"/>
    </w:rPr>
  </w:style>
  <w:style w:type="character" w:customStyle="1" w:styleId="122">
    <w:name w:val="标题 Char"/>
    <w:qFormat/>
    <w:uiPriority w:val="0"/>
    <w:rPr>
      <w:rFonts w:ascii="Cambria" w:hAnsi="Cambria" w:cs="Times New Roman"/>
      <w:b/>
      <w:bCs/>
      <w:kern w:val="2"/>
      <w:sz w:val="32"/>
      <w:szCs w:val="32"/>
    </w:rPr>
  </w:style>
  <w:style w:type="character" w:customStyle="1" w:styleId="123">
    <w:name w:val="Char Char"/>
    <w:qFormat/>
    <w:uiPriority w:val="0"/>
    <w:rPr>
      <w:rFonts w:hint="eastAsia" w:ascii="宋体" w:hAnsi="Courier New" w:eastAsia="宋体"/>
      <w:kern w:val="2"/>
      <w:sz w:val="21"/>
      <w:lang w:val="en-US" w:eastAsia="zh-CN" w:bidi="ar-SA"/>
    </w:rPr>
  </w:style>
  <w:style w:type="character" w:customStyle="1" w:styleId="124">
    <w:name w:val="标题 2 Char"/>
    <w:link w:val="4"/>
    <w:qFormat/>
    <w:uiPriority w:val="0"/>
    <w:rPr>
      <w:rFonts w:ascii="Cambria" w:hAnsi="Cambria" w:eastAsia="宋体"/>
      <w:b/>
      <w:bCs/>
      <w:kern w:val="2"/>
      <w:sz w:val="28"/>
      <w:szCs w:val="32"/>
    </w:rPr>
  </w:style>
  <w:style w:type="character" w:customStyle="1" w:styleId="125">
    <w:name w:val="font141"/>
    <w:qFormat/>
    <w:uiPriority w:val="0"/>
    <w:rPr>
      <w:rFonts w:hint="default" w:ascii="Times New Roman" w:hAnsi="Times New Roman" w:cs="Times New Roman"/>
      <w:color w:val="000000"/>
      <w:sz w:val="20"/>
      <w:szCs w:val="20"/>
      <w:u w:val="none"/>
    </w:rPr>
  </w:style>
  <w:style w:type="character" w:customStyle="1" w:styleId="126">
    <w:name w:val="日期 Char"/>
    <w:link w:val="20"/>
    <w:semiHidden/>
    <w:qFormat/>
    <w:uiPriority w:val="0"/>
    <w:rPr>
      <w:rFonts w:ascii="Times New Roman" w:hAnsi="Times New Roman"/>
      <w:color w:val="000000"/>
      <w:kern w:val="2"/>
      <w:sz w:val="24"/>
      <w:szCs w:val="24"/>
    </w:rPr>
  </w:style>
  <w:style w:type="character" w:customStyle="1" w:styleId="127">
    <w:name w:val="style1"/>
    <w:basedOn w:val="40"/>
    <w:qFormat/>
    <w:uiPriority w:val="0"/>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font121"/>
    <w:qFormat/>
    <w:uiPriority w:val="0"/>
    <w:rPr>
      <w:rFonts w:hint="eastAsia" w:ascii="宋体" w:hAnsi="宋体" w:eastAsia="宋体" w:cs="宋体"/>
      <w:b/>
      <w:color w:val="000000"/>
      <w:sz w:val="20"/>
      <w:szCs w:val="20"/>
      <w:u w:val="none"/>
    </w:rPr>
  </w:style>
  <w:style w:type="character" w:customStyle="1" w:styleId="130">
    <w:name w:val="font71"/>
    <w:qFormat/>
    <w:uiPriority w:val="0"/>
    <w:rPr>
      <w:rFonts w:ascii="Arial" w:hAnsi="Arial" w:cs="Arial"/>
      <w:b/>
      <w:color w:val="333333"/>
      <w:sz w:val="20"/>
      <w:szCs w:val="20"/>
      <w:u w:val="none"/>
    </w:rPr>
  </w:style>
  <w:style w:type="character" w:customStyle="1" w:styleId="131">
    <w:name w:val="apple-converted-space"/>
    <w:basedOn w:val="40"/>
    <w:qFormat/>
    <w:uiPriority w:val="0"/>
  </w:style>
  <w:style w:type="character" w:customStyle="1" w:styleId="132">
    <w:name w:val="正文文本缩进 3 Char"/>
    <w:link w:val="29"/>
    <w:semiHidden/>
    <w:qFormat/>
    <w:uiPriority w:val="0"/>
    <w:rPr>
      <w:rFonts w:ascii="Times New Roman" w:hAnsi="Times New Roman" w:eastAsia="黑体"/>
      <w:color w:val="000000"/>
      <w:kern w:val="2"/>
      <w:sz w:val="24"/>
      <w:szCs w:val="24"/>
    </w:rPr>
  </w:style>
  <w:style w:type="character" w:customStyle="1" w:styleId="133">
    <w:name w:val="标题 1 Char"/>
    <w:link w:val="3"/>
    <w:qFormat/>
    <w:uiPriority w:val="0"/>
    <w:rPr>
      <w:rFonts w:ascii="宋体" w:hAnsi="宋体" w:eastAsia="宋体" w:cs="宋体"/>
      <w:b/>
      <w:bCs/>
      <w:kern w:val="44"/>
      <w:sz w:val="32"/>
      <w:szCs w:val="52"/>
    </w:rPr>
  </w:style>
  <w:style w:type="character" w:customStyle="1" w:styleId="134">
    <w:name w:val="批注文字 Char"/>
    <w:link w:val="10"/>
    <w:semiHidden/>
    <w:qFormat/>
    <w:uiPriority w:val="0"/>
    <w:rPr>
      <w:rFonts w:ascii="Times New Roman" w:hAnsi="Times New Roman"/>
      <w:kern w:val="2"/>
      <w:sz w:val="21"/>
      <w:szCs w:val="24"/>
    </w:rPr>
  </w:style>
  <w:style w:type="character" w:customStyle="1" w:styleId="135">
    <w:name w:val="s"/>
    <w:basedOn w:val="40"/>
    <w:qFormat/>
    <w:uiPriority w:val="0"/>
  </w:style>
  <w:style w:type="character" w:customStyle="1" w:styleId="136">
    <w:name w:val="纯文本 Char"/>
    <w:qFormat/>
    <w:uiPriority w:val="0"/>
    <w:rPr>
      <w:rFonts w:ascii="宋体" w:hAnsi="Courier New" w:cs="Courier New"/>
      <w:kern w:val="2"/>
      <w:sz w:val="21"/>
      <w:szCs w:val="21"/>
    </w:rPr>
  </w:style>
  <w:style w:type="character" w:customStyle="1" w:styleId="137">
    <w:name w:val="正文缩进 Char"/>
    <w:link w:val="8"/>
    <w:semiHidden/>
    <w:qFormat/>
    <w:locked/>
    <w:uiPriority w:val="0"/>
    <w:rPr>
      <w:kern w:val="2"/>
      <w:sz w:val="21"/>
      <w:szCs w:val="24"/>
    </w:rPr>
  </w:style>
  <w:style w:type="character" w:customStyle="1" w:styleId="138">
    <w:name w:val="无"/>
    <w:qFormat/>
    <w:uiPriority w:val="0"/>
  </w:style>
  <w:style w:type="character" w:customStyle="1" w:styleId="139">
    <w:name w:val="body001"/>
    <w:qFormat/>
    <w:uiPriority w:val="0"/>
    <w:rPr>
      <w:rFonts w:hint="default" w:ascii="ˎ̥" w:hAnsi="ˎ̥"/>
      <w:color w:val="333333"/>
      <w:sz w:val="18"/>
      <w:szCs w:val="18"/>
    </w:rPr>
  </w:style>
  <w:style w:type="character" w:customStyle="1" w:styleId="140">
    <w:name w:val="标题 4 Char"/>
    <w:link w:val="6"/>
    <w:qFormat/>
    <w:uiPriority w:val="9"/>
    <w:rPr>
      <w:rFonts w:ascii="Cambria" w:hAnsi="Cambria" w:eastAsia="宋体" w:cs="Times New Roman"/>
      <w:b/>
      <w:bCs/>
      <w:kern w:val="2"/>
      <w:sz w:val="24"/>
      <w:szCs w:val="2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0"/>
    <w:qFormat/>
    <w:uiPriority w:val="0"/>
  </w:style>
  <w:style w:type="character" w:customStyle="1" w:styleId="148">
    <w:name w:val="正文文本 Char"/>
    <w:link w:val="2"/>
    <w:semiHidden/>
    <w:qFormat/>
    <w:uiPriority w:val="0"/>
    <w:rPr>
      <w:rFonts w:ascii="仿宋_GB2312" w:hAnsi="Times New Roman" w:eastAsia="仿宋_GB2312"/>
      <w:sz w:val="28"/>
    </w:rPr>
  </w:style>
  <w:style w:type="character" w:customStyle="1" w:styleId="149">
    <w:name w:val="正文文本 2 Char"/>
    <w:link w:val="32"/>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0"/>
    <w:qFormat/>
    <w:uiPriority w:val="0"/>
  </w:style>
  <w:style w:type="character" w:customStyle="1" w:styleId="152">
    <w:name w:val="unnamed1"/>
    <w:basedOn w:val="40"/>
    <w:qFormat/>
    <w:uiPriority w:val="0"/>
  </w:style>
  <w:style w:type="character" w:customStyle="1" w:styleId="153">
    <w:name w:val="(aNormal) + 宋体 Char"/>
    <w:link w:val="112"/>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0"/>
    <w:qFormat/>
    <w:uiPriority w:val="0"/>
  </w:style>
  <w:style w:type="character" w:customStyle="1" w:styleId="157">
    <w:name w:val="无间隔 Char"/>
    <w:link w:val="105"/>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8"/>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1"/>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7"/>
    <w:semiHidden/>
    <w:qFormat/>
    <w:uiPriority w:val="0"/>
    <w:rPr>
      <w:rFonts w:ascii="Times New Roman" w:hAnsi="Times New Roman" w:eastAsia="仿宋_GB2312"/>
      <w:kern w:val="2"/>
      <w:sz w:val="21"/>
      <w:szCs w:val="24"/>
    </w:rPr>
  </w:style>
  <w:style w:type="character" w:customStyle="1" w:styleId="167">
    <w:name w:val="标题 Char1"/>
    <w:link w:val="35"/>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3"/>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3"/>
    <w:qFormat/>
    <w:uiPriority w:val="99"/>
    <w:rPr>
      <w:sz w:val="18"/>
      <w:szCs w:val="18"/>
    </w:rPr>
  </w:style>
  <w:style w:type="character" w:customStyle="1" w:styleId="174">
    <w:name w:val="displayarti"/>
    <w:basedOn w:val="40"/>
    <w:qFormat/>
    <w:uiPriority w:val="0"/>
    <w:rPr>
      <w:color w:val="FFFFFF"/>
      <w:shd w:val="clear" w:color="auto" w:fill="A00000"/>
    </w:rPr>
  </w:style>
  <w:style w:type="character" w:customStyle="1" w:styleId="175">
    <w:name w:val="redfilenumber"/>
    <w:basedOn w:val="40"/>
    <w:qFormat/>
    <w:uiPriority w:val="0"/>
    <w:rPr>
      <w:color w:val="BA2636"/>
      <w:sz w:val="18"/>
      <w:szCs w:val="18"/>
    </w:rPr>
  </w:style>
  <w:style w:type="character" w:customStyle="1" w:styleId="176">
    <w:name w:val="redfilefwwh"/>
    <w:basedOn w:val="40"/>
    <w:qFormat/>
    <w:uiPriority w:val="0"/>
    <w:rPr>
      <w:color w:val="BA2636"/>
      <w:sz w:val="18"/>
      <w:szCs w:val="18"/>
    </w:rPr>
  </w:style>
  <w:style w:type="character" w:customStyle="1" w:styleId="177">
    <w:name w:val="gjfg"/>
    <w:basedOn w:val="40"/>
    <w:qFormat/>
    <w:uiPriority w:val="0"/>
  </w:style>
  <w:style w:type="character" w:customStyle="1" w:styleId="178">
    <w:name w:val="cfdate"/>
    <w:basedOn w:val="40"/>
    <w:qFormat/>
    <w:uiPriority w:val="0"/>
    <w:rPr>
      <w:color w:val="333333"/>
      <w:sz w:val="18"/>
      <w:szCs w:val="18"/>
    </w:rPr>
  </w:style>
  <w:style w:type="character" w:customStyle="1" w:styleId="179">
    <w:name w:val="qxdate"/>
    <w:basedOn w:val="40"/>
    <w:qFormat/>
    <w:uiPriority w:val="0"/>
    <w:rPr>
      <w:color w:val="333333"/>
      <w:sz w:val="18"/>
      <w:szCs w:val="18"/>
    </w:rPr>
  </w:style>
  <w:style w:type="paragraph" w:customStyle="1" w:styleId="180">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1">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2">
    <w:name w:val="Opsomming"/>
    <w:basedOn w:val="1"/>
    <w:qFormat/>
    <w:uiPriority w:val="99"/>
    <w:pPr>
      <w:widowControl/>
      <w:ind w:left="2835" w:hanging="2835"/>
      <w:jc w:val="left"/>
    </w:pPr>
    <w:rPr>
      <w:rFonts w:ascii="Times New Roman" w:hAnsi="Times New Roman"/>
      <w:kern w:val="0"/>
      <w:szCs w:val="20"/>
      <w:lang w:val="nl-NL"/>
    </w:rPr>
  </w:style>
  <w:style w:type="paragraph" w:customStyle="1" w:styleId="183">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184">
    <w:name w:val="Titel2"/>
    <w:basedOn w:val="1"/>
    <w:qFormat/>
    <w:uiPriority w:val="0"/>
    <w:pPr>
      <w:widowControl/>
      <w:jc w:val="center"/>
    </w:pPr>
    <w:rPr>
      <w:rFonts w:ascii="Arial" w:hAnsi="Arial" w:cs="Arial"/>
      <w:snapToGrid w:val="0"/>
      <w:kern w:val="0"/>
      <w:sz w:val="44"/>
      <w:szCs w:val="22"/>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816E7-5B5E-4E92-BF76-6AE32DD57FA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4457</Words>
  <Characters>25410</Characters>
  <Lines>211</Lines>
  <Paragraphs>59</Paragraphs>
  <TotalTime>1</TotalTime>
  <ScaleCrop>false</ScaleCrop>
  <LinksUpToDate>false</LinksUpToDate>
  <CharactersWithSpaces>29808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繁华终易逝</cp:lastModifiedBy>
  <cp:lastPrinted>2019-03-25T07:04:00Z</cp:lastPrinted>
  <dcterms:modified xsi:type="dcterms:W3CDTF">2019-07-06T09:55:34Z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