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rPr>
          <w:rFonts w:ascii="Arial" w:hAnsi="Arial" w:cs="Arial"/>
          <w:snapToGrid w:val="0"/>
          <w:kern w:val="0"/>
          <w:szCs w:val="21"/>
        </w:rPr>
      </w:pPr>
      <w:bookmarkStart w:id="52" w:name="_GoBack"/>
      <w:bookmarkEnd w:id="52"/>
    </w:p>
    <w:p>
      <w:pPr>
        <w:pStyle w:val="18"/>
        <w:spacing w:line="360" w:lineRule="auto"/>
        <w:rPr>
          <w:rFonts w:ascii="Arial" w:hAnsi="Arial" w:cs="Arial"/>
          <w:snapToGrid w:val="0"/>
          <w:kern w:val="0"/>
          <w:szCs w:val="21"/>
        </w:rPr>
      </w:pPr>
    </w:p>
    <w:p>
      <w:pPr>
        <w:pStyle w:val="18"/>
        <w:spacing w:line="360" w:lineRule="auto"/>
        <w:rPr>
          <w:rFonts w:ascii="Arial" w:hAnsi="Arial" w:cs="Arial"/>
          <w:snapToGrid w:val="0"/>
          <w:kern w:val="0"/>
          <w:szCs w:val="21"/>
        </w:rPr>
      </w:pPr>
    </w:p>
    <w:p>
      <w:pPr>
        <w:pStyle w:val="18"/>
        <w:spacing w:line="360" w:lineRule="auto"/>
        <w:rPr>
          <w:rFonts w:ascii="Arial" w:hAnsi="Arial" w:cs="Arial"/>
          <w:snapToGrid w:val="0"/>
          <w:kern w:val="0"/>
          <w:szCs w:val="21"/>
        </w:rPr>
      </w:pPr>
    </w:p>
    <w:p>
      <w:pPr>
        <w:pStyle w:val="18"/>
        <w:spacing w:line="360" w:lineRule="auto"/>
        <w:jc w:val="center"/>
        <w:rPr>
          <w:rFonts w:ascii="Arial" w:hAnsi="Arial" w:cs="Arial"/>
          <w:b/>
          <w:snapToGrid w:val="0"/>
          <w:kern w:val="0"/>
          <w:sz w:val="52"/>
          <w:szCs w:val="52"/>
        </w:rPr>
      </w:pPr>
      <w:r>
        <w:rPr>
          <w:rFonts w:ascii="Arial" w:hAnsi="Arial" w:cs="Arial"/>
          <w:b/>
          <w:snapToGrid w:val="0"/>
          <w:kern w:val="0"/>
          <w:sz w:val="52"/>
          <w:szCs w:val="52"/>
        </w:rPr>
        <w:t>浙江中医药大学</w:t>
      </w:r>
    </w:p>
    <w:p>
      <w:pPr>
        <w:pStyle w:val="18"/>
        <w:spacing w:line="360" w:lineRule="auto"/>
        <w:rPr>
          <w:rFonts w:ascii="Arial" w:hAnsi="Arial" w:cs="Arial"/>
          <w:b/>
          <w:snapToGrid w:val="0"/>
          <w:kern w:val="0"/>
          <w:szCs w:val="21"/>
        </w:rPr>
      </w:pPr>
    </w:p>
    <w:p>
      <w:pPr>
        <w:pStyle w:val="18"/>
        <w:spacing w:line="360" w:lineRule="auto"/>
        <w:rPr>
          <w:rFonts w:ascii="Arial" w:hAnsi="Arial" w:cs="Arial"/>
          <w:b/>
          <w:snapToGrid w:val="0"/>
          <w:kern w:val="0"/>
          <w:szCs w:val="21"/>
        </w:rPr>
      </w:pPr>
    </w:p>
    <w:p>
      <w:pPr>
        <w:pStyle w:val="18"/>
        <w:spacing w:line="360" w:lineRule="auto"/>
        <w:rPr>
          <w:rFonts w:ascii="Arial" w:hAnsi="Arial" w:cs="Arial"/>
          <w:b/>
          <w:snapToGrid w:val="0"/>
          <w:kern w:val="0"/>
          <w:szCs w:val="21"/>
        </w:rPr>
      </w:pPr>
    </w:p>
    <w:p>
      <w:pPr>
        <w:pStyle w:val="18"/>
        <w:spacing w:line="360" w:lineRule="auto"/>
        <w:jc w:val="center"/>
        <w:rPr>
          <w:rFonts w:ascii="Arial" w:hAnsi="Arial" w:eastAsia="黑体" w:cs="Arial"/>
          <w:b/>
          <w:snapToGrid w:val="0"/>
          <w:kern w:val="0"/>
          <w:sz w:val="84"/>
          <w:szCs w:val="84"/>
        </w:rPr>
      </w:pPr>
      <w:r>
        <w:rPr>
          <w:rFonts w:ascii="Arial" w:hAnsi="Arial" w:eastAsia="黑体" w:cs="Arial"/>
          <w:b/>
          <w:snapToGrid w:val="0"/>
          <w:kern w:val="0"/>
          <w:sz w:val="84"/>
          <w:szCs w:val="84"/>
        </w:rPr>
        <w:t>招  标  文  件</w:t>
      </w: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黑体" w:cs="Arial"/>
          <w:b/>
          <w:snapToGrid w:val="0"/>
          <w:kern w:val="0"/>
          <w:szCs w:val="21"/>
        </w:rPr>
      </w:pPr>
    </w:p>
    <w:p>
      <w:pPr>
        <w:pStyle w:val="18"/>
        <w:spacing w:line="360" w:lineRule="auto"/>
        <w:rPr>
          <w:rFonts w:ascii="Arial" w:hAnsi="Arial" w:eastAsia="仿宋_GB2312" w:cs="Arial"/>
          <w:b/>
          <w:snapToGrid w:val="0"/>
          <w:kern w:val="0"/>
          <w:sz w:val="32"/>
          <w:szCs w:val="32"/>
        </w:rPr>
      </w:pPr>
      <w:r>
        <w:rPr>
          <w:rFonts w:ascii="Arial" w:hAnsi="Arial" w:eastAsia="仿宋_GB2312" w:cs="Arial"/>
          <w:b/>
          <w:snapToGrid w:val="0"/>
          <w:kern w:val="0"/>
          <w:sz w:val="32"/>
          <w:szCs w:val="32"/>
        </w:rPr>
        <w:t xml:space="preserve">      招标编号：</w:t>
      </w:r>
      <w:r>
        <w:rPr>
          <w:rFonts w:hint="eastAsia" w:ascii="Arial" w:hAnsi="Arial" w:eastAsia="仿宋_GB2312" w:cs="Arial"/>
          <w:b/>
          <w:snapToGrid w:val="0"/>
          <w:kern w:val="0"/>
          <w:sz w:val="32"/>
          <w:szCs w:val="32"/>
        </w:rPr>
        <w:t>ZJWSBJ-ZYY-201921G</w:t>
      </w:r>
    </w:p>
    <w:p>
      <w:pPr>
        <w:pStyle w:val="18"/>
        <w:spacing w:line="360" w:lineRule="auto"/>
        <w:rPr>
          <w:rFonts w:ascii="Arial" w:hAnsi="Arial" w:eastAsia="仿宋_GB2312" w:cs="Arial"/>
          <w:b/>
          <w:snapToGrid w:val="0"/>
          <w:kern w:val="0"/>
          <w:sz w:val="32"/>
          <w:szCs w:val="32"/>
        </w:rPr>
      </w:pPr>
      <w:r>
        <w:rPr>
          <w:rFonts w:ascii="Arial" w:hAnsi="Arial" w:eastAsia="仿宋_GB2312" w:cs="Arial"/>
          <w:b/>
          <w:snapToGrid w:val="0"/>
          <w:kern w:val="0"/>
          <w:sz w:val="32"/>
          <w:szCs w:val="32"/>
        </w:rPr>
        <w:t xml:space="preserve">      项目名称：</w:t>
      </w:r>
      <w:r>
        <w:rPr>
          <w:rFonts w:ascii="Arial" w:hAnsi="Arial" w:eastAsia="仿宋_GB2312" w:cs="Arial"/>
          <w:b/>
          <w:snapToGrid w:val="0"/>
          <w:kern w:val="0"/>
          <w:sz w:val="30"/>
          <w:szCs w:val="30"/>
        </w:rPr>
        <w:t>滨文校区学生宿舍6号楼商铺招租（超市）</w:t>
      </w:r>
    </w:p>
    <w:p>
      <w:pPr>
        <w:pStyle w:val="18"/>
        <w:spacing w:line="360" w:lineRule="auto"/>
        <w:rPr>
          <w:rFonts w:ascii="Arial" w:hAnsi="Arial" w:eastAsia="仿宋_GB2312" w:cs="Arial"/>
          <w:b/>
          <w:snapToGrid w:val="0"/>
          <w:kern w:val="0"/>
          <w:sz w:val="32"/>
          <w:szCs w:val="32"/>
        </w:rPr>
      </w:pPr>
      <w:r>
        <w:rPr>
          <w:rFonts w:ascii="Arial" w:hAnsi="Arial" w:eastAsia="仿宋_GB2312" w:cs="Arial"/>
          <w:b/>
          <w:snapToGrid w:val="0"/>
          <w:kern w:val="0"/>
          <w:sz w:val="32"/>
          <w:szCs w:val="32"/>
        </w:rPr>
        <w:t xml:space="preserve">      招 标 人：浙江中医药大学</w:t>
      </w:r>
    </w:p>
    <w:p>
      <w:pPr>
        <w:pStyle w:val="18"/>
        <w:spacing w:line="360" w:lineRule="auto"/>
        <w:rPr>
          <w:rFonts w:hint="eastAsia" w:ascii="Arial" w:hAnsi="Arial" w:eastAsia="仿宋_GB2312" w:cs="Arial"/>
          <w:b/>
          <w:snapToGrid w:val="0"/>
          <w:kern w:val="0"/>
          <w:sz w:val="32"/>
          <w:szCs w:val="32"/>
        </w:rPr>
      </w:pPr>
      <w:r>
        <w:rPr>
          <w:rFonts w:ascii="Arial" w:hAnsi="Arial" w:eastAsia="仿宋_GB2312" w:cs="Arial"/>
          <w:b/>
          <w:snapToGrid w:val="0"/>
          <w:kern w:val="0"/>
          <w:sz w:val="32"/>
          <w:szCs w:val="32"/>
        </w:rPr>
        <w:t xml:space="preserve">      招标代理机构：</w:t>
      </w:r>
      <w:r>
        <w:rPr>
          <w:rFonts w:hint="eastAsia" w:ascii="Arial" w:hAnsi="Arial" w:eastAsia="仿宋_GB2312" w:cs="Arial"/>
          <w:b/>
          <w:snapToGrid w:val="0"/>
          <w:kern w:val="0"/>
          <w:sz w:val="32"/>
          <w:szCs w:val="32"/>
        </w:rPr>
        <w:t>浙江五石工程咨询有限公司</w:t>
      </w:r>
    </w:p>
    <w:p>
      <w:pPr>
        <w:pStyle w:val="18"/>
        <w:spacing w:line="360" w:lineRule="auto"/>
        <w:rPr>
          <w:rFonts w:ascii="Arial" w:hAnsi="Arial" w:eastAsia="仿宋_GB2312" w:cs="Arial"/>
          <w:b/>
          <w:snapToGrid w:val="0"/>
          <w:kern w:val="0"/>
          <w:sz w:val="32"/>
          <w:szCs w:val="32"/>
        </w:rPr>
      </w:pPr>
      <w:r>
        <w:rPr>
          <w:rFonts w:ascii="Arial" w:hAnsi="Arial" w:eastAsia="仿宋_GB2312" w:cs="Arial"/>
          <w:b/>
          <w:snapToGrid w:val="0"/>
          <w:kern w:val="0"/>
          <w:sz w:val="32"/>
          <w:szCs w:val="32"/>
        </w:rPr>
        <w:t xml:space="preserve">      日    期：二○一九年五月</w:t>
      </w:r>
    </w:p>
    <w:p>
      <w:pPr>
        <w:spacing w:line="360" w:lineRule="auto"/>
        <w:jc w:val="center"/>
        <w:rPr>
          <w:rFonts w:hint="eastAsia" w:ascii="Arial" w:hAnsi="Arial" w:eastAsia="黑体" w:cs="Arial"/>
          <w:b/>
          <w:snapToGrid w:val="0"/>
          <w:kern w:val="0"/>
          <w:sz w:val="32"/>
          <w:szCs w:val="32"/>
        </w:rPr>
        <w:sectPr>
          <w:headerReference r:id="rId3" w:type="default"/>
          <w:footerReference r:id="rId4" w:type="default"/>
          <w:footerReference r:id="rId5" w:type="even"/>
          <w:pgSz w:w="11906" w:h="16838"/>
          <w:pgMar w:top="1191" w:right="1474" w:bottom="1191" w:left="1474" w:header="624" w:footer="624" w:gutter="0"/>
          <w:pgNumType w:start="0"/>
          <w:cols w:space="720" w:num="1"/>
          <w:titlePg/>
          <w:docGrid w:type="lines" w:linePitch="312" w:charSpace="0"/>
        </w:sectPr>
      </w:pPr>
    </w:p>
    <w:p>
      <w:pPr>
        <w:pStyle w:val="5"/>
        <w:adjustRightInd w:val="0"/>
        <w:snapToGrid w:val="0"/>
        <w:spacing w:before="0" w:after="0" w:line="360" w:lineRule="auto"/>
        <w:rPr>
          <w:rFonts w:hint="eastAsia" w:ascii="Arial" w:hAnsi="Arial" w:eastAsia="黑体" w:cs="Arial"/>
          <w:bCs w:val="0"/>
          <w:snapToGrid w:val="0"/>
          <w:kern w:val="0"/>
        </w:rPr>
      </w:pPr>
      <w:r>
        <w:rPr>
          <w:rFonts w:hint="eastAsia" w:ascii="Arial" w:hAnsi="Arial" w:eastAsia="黑体" w:cs="Arial"/>
          <w:bCs w:val="0"/>
          <w:snapToGrid w:val="0"/>
          <w:kern w:val="0"/>
        </w:rPr>
        <w:t>招标公告</w:t>
      </w:r>
    </w:p>
    <w:p>
      <w:pPr>
        <w:spacing w:line="360" w:lineRule="auto"/>
        <w:ind w:firstLine="480" w:firstLineChars="200"/>
        <w:rPr>
          <w:rFonts w:ascii="宋体" w:hAnsi="宋体"/>
          <w:sz w:val="24"/>
        </w:rPr>
      </w:pPr>
      <w:r>
        <w:rPr>
          <w:rFonts w:hint="eastAsia" w:ascii="宋体" w:hAnsi="宋体" w:cs="宋体"/>
          <w:kern w:val="0"/>
          <w:sz w:val="24"/>
        </w:rPr>
        <w:t>浙江五石工程咨询有限公司受浙江中医药大学委托，就</w:t>
      </w:r>
      <w:r>
        <w:rPr>
          <w:rFonts w:hint="eastAsia" w:ascii="宋体" w:hAnsi="宋体" w:cs="宋体"/>
          <w:b/>
          <w:kern w:val="0"/>
          <w:sz w:val="24"/>
        </w:rPr>
        <w:t>浙江中医药大学滨文校区学生宿舍6号楼商铺招租（超市）</w:t>
      </w:r>
      <w:r>
        <w:rPr>
          <w:rFonts w:hint="eastAsia" w:ascii="宋体" w:hAnsi="宋体" w:cs="宋体"/>
          <w:kern w:val="0"/>
          <w:sz w:val="24"/>
        </w:rPr>
        <w:t>项目进行公开招标，欢迎国内合格的供应商前来投标。</w:t>
      </w:r>
    </w:p>
    <w:p>
      <w:pPr>
        <w:numPr>
          <w:ilvl w:val="0"/>
          <w:numId w:val="5"/>
        </w:numPr>
        <w:spacing w:line="360" w:lineRule="auto"/>
        <w:rPr>
          <w:rFonts w:hint="eastAsia" w:ascii="宋体" w:hAnsi="宋体"/>
          <w:sz w:val="24"/>
        </w:rPr>
      </w:pPr>
      <w:r>
        <w:rPr>
          <w:rFonts w:hint="eastAsia" w:ascii="宋体" w:hAnsi="宋体"/>
          <w:sz w:val="24"/>
        </w:rPr>
        <w:t>招标编号：ZJWSBJ-ZYY-201921G</w:t>
      </w:r>
    </w:p>
    <w:p>
      <w:pPr>
        <w:numPr>
          <w:ilvl w:val="0"/>
          <w:numId w:val="5"/>
        </w:numPr>
        <w:spacing w:line="360" w:lineRule="auto"/>
        <w:rPr>
          <w:rFonts w:hint="eastAsia" w:ascii="宋体" w:hAnsi="宋体"/>
          <w:sz w:val="24"/>
        </w:rPr>
      </w:pPr>
      <w:r>
        <w:rPr>
          <w:rFonts w:hint="eastAsia" w:ascii="宋体" w:hAnsi="宋体"/>
          <w:sz w:val="24"/>
        </w:rPr>
        <w:t>招标项目概况（内容、用途、数量、简要技术要求等）：</w:t>
      </w:r>
      <w:bookmarkStart w:id="0" w:name="B09_招标内容"/>
      <w:bookmarkEnd w:id="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916"/>
        <w:gridCol w:w="1119"/>
        <w:gridCol w:w="1260"/>
        <w:gridCol w:w="22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558" w:type="dxa"/>
            <w:noWrap w:val="0"/>
            <w:vAlign w:val="center"/>
          </w:tcPr>
          <w:p>
            <w:pPr>
              <w:jc w:val="center"/>
              <w:rPr>
                <w:rFonts w:hint="eastAsia" w:ascii="宋体" w:hAnsi="宋体"/>
                <w:sz w:val="21"/>
                <w:szCs w:val="21"/>
              </w:rPr>
            </w:pPr>
            <w:r>
              <w:rPr>
                <w:rFonts w:hint="eastAsia" w:ascii="宋体" w:hAnsi="宋体"/>
                <w:sz w:val="21"/>
                <w:szCs w:val="21"/>
              </w:rPr>
              <w:t>序号</w:t>
            </w:r>
          </w:p>
        </w:tc>
        <w:tc>
          <w:tcPr>
            <w:tcW w:w="1916" w:type="dxa"/>
            <w:noWrap w:val="0"/>
            <w:vAlign w:val="center"/>
          </w:tcPr>
          <w:p>
            <w:pPr>
              <w:jc w:val="center"/>
              <w:rPr>
                <w:rFonts w:hint="eastAsia" w:ascii="宋体" w:hAnsi="宋体"/>
                <w:sz w:val="21"/>
                <w:szCs w:val="21"/>
              </w:rPr>
            </w:pPr>
            <w:r>
              <w:rPr>
                <w:rFonts w:hint="eastAsia" w:ascii="宋体" w:hAnsi="宋体"/>
                <w:sz w:val="21"/>
                <w:szCs w:val="21"/>
              </w:rPr>
              <w:t>招租区域</w:t>
            </w:r>
          </w:p>
        </w:tc>
        <w:tc>
          <w:tcPr>
            <w:tcW w:w="1119" w:type="dxa"/>
            <w:noWrap w:val="0"/>
            <w:vAlign w:val="center"/>
          </w:tcPr>
          <w:p>
            <w:pPr>
              <w:jc w:val="center"/>
              <w:rPr>
                <w:rFonts w:hint="eastAsia" w:ascii="宋体" w:hAnsi="宋体"/>
                <w:sz w:val="21"/>
                <w:szCs w:val="21"/>
              </w:rPr>
            </w:pPr>
            <w:r>
              <w:rPr>
                <w:rFonts w:hint="eastAsia" w:ascii="宋体" w:hAnsi="宋体"/>
                <w:sz w:val="21"/>
                <w:szCs w:val="21"/>
              </w:rPr>
              <w:t>经营业态</w:t>
            </w:r>
          </w:p>
        </w:tc>
        <w:tc>
          <w:tcPr>
            <w:tcW w:w="1260" w:type="dxa"/>
            <w:noWrap w:val="0"/>
            <w:vAlign w:val="center"/>
          </w:tcPr>
          <w:p>
            <w:pPr>
              <w:jc w:val="center"/>
              <w:rPr>
                <w:rFonts w:hint="eastAsia" w:ascii="宋体" w:hAnsi="宋体"/>
                <w:sz w:val="21"/>
                <w:szCs w:val="21"/>
              </w:rPr>
            </w:pPr>
            <w:r>
              <w:rPr>
                <w:rFonts w:hint="eastAsia" w:ascii="宋体" w:hAnsi="宋体"/>
                <w:sz w:val="21"/>
                <w:szCs w:val="21"/>
              </w:rPr>
              <w:t>面积</w:t>
            </w:r>
            <w:r>
              <w:rPr>
                <w:rFonts w:hint="eastAsia" w:ascii="宋体" w:hAnsi="宋体"/>
                <w:sz w:val="24"/>
              </w:rPr>
              <w:t>（㎡）</w:t>
            </w:r>
          </w:p>
        </w:tc>
        <w:tc>
          <w:tcPr>
            <w:tcW w:w="2259" w:type="dxa"/>
            <w:noWrap w:val="0"/>
            <w:vAlign w:val="center"/>
          </w:tcPr>
          <w:p>
            <w:pPr>
              <w:jc w:val="center"/>
              <w:rPr>
                <w:rFonts w:hint="eastAsia" w:ascii="宋体" w:hAnsi="宋体"/>
                <w:sz w:val="21"/>
                <w:szCs w:val="21"/>
              </w:rPr>
            </w:pPr>
            <w:r>
              <w:rPr>
                <w:rFonts w:hint="eastAsia" w:ascii="宋体" w:hAnsi="宋体"/>
                <w:sz w:val="21"/>
                <w:szCs w:val="21"/>
              </w:rPr>
              <w:t>最低限价（元/年）</w:t>
            </w:r>
          </w:p>
        </w:tc>
        <w:tc>
          <w:tcPr>
            <w:tcW w:w="2259" w:type="dxa"/>
            <w:noWrap w:val="0"/>
            <w:vAlign w:val="center"/>
          </w:tcPr>
          <w:p>
            <w:pPr>
              <w:jc w:val="center"/>
              <w:rPr>
                <w:rFonts w:hint="eastAsia" w:ascii="宋体" w:hAnsi="宋体"/>
                <w:sz w:val="21"/>
                <w:szCs w:val="21"/>
              </w:rPr>
            </w:pPr>
            <w:r>
              <w:rPr>
                <w:rFonts w:hint="eastAsia" w:ascii="宋体" w:hAnsi="宋体"/>
                <w:sz w:val="21"/>
                <w:szCs w:val="21"/>
              </w:rPr>
              <w:t>期限（3年）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 w:hRule="atLeast"/>
          <w:jc w:val="center"/>
        </w:trPr>
        <w:tc>
          <w:tcPr>
            <w:tcW w:w="558" w:type="dxa"/>
            <w:noWrap w:val="0"/>
            <w:vAlign w:val="center"/>
          </w:tcPr>
          <w:p>
            <w:pPr>
              <w:jc w:val="center"/>
              <w:rPr>
                <w:rFonts w:hint="eastAsia" w:ascii="宋体" w:hAnsi="宋体"/>
                <w:sz w:val="21"/>
                <w:szCs w:val="21"/>
              </w:rPr>
            </w:pPr>
            <w:r>
              <w:rPr>
                <w:rFonts w:hint="eastAsia" w:ascii="宋体" w:hAnsi="宋体"/>
                <w:sz w:val="21"/>
                <w:szCs w:val="21"/>
              </w:rPr>
              <w:t>1</w:t>
            </w:r>
          </w:p>
        </w:tc>
        <w:tc>
          <w:tcPr>
            <w:tcW w:w="1916" w:type="dxa"/>
            <w:noWrap w:val="0"/>
            <w:vAlign w:val="center"/>
          </w:tcPr>
          <w:p>
            <w:pPr>
              <w:jc w:val="center"/>
              <w:rPr>
                <w:rFonts w:hint="eastAsia" w:ascii="宋体" w:hAnsi="宋体"/>
                <w:sz w:val="21"/>
                <w:szCs w:val="21"/>
              </w:rPr>
            </w:pPr>
            <w:r>
              <w:rPr>
                <w:rFonts w:hint="eastAsia" w:ascii="宋体" w:hAnsi="宋体"/>
                <w:sz w:val="24"/>
              </w:rPr>
              <w:t>滨文校区学生宿舍6号楼商铺</w:t>
            </w:r>
          </w:p>
        </w:tc>
        <w:tc>
          <w:tcPr>
            <w:tcW w:w="1119" w:type="dxa"/>
            <w:noWrap w:val="0"/>
            <w:vAlign w:val="center"/>
          </w:tcPr>
          <w:p>
            <w:pPr>
              <w:jc w:val="center"/>
              <w:rPr>
                <w:rFonts w:hint="eastAsia" w:ascii="宋体" w:hAnsi="宋体"/>
                <w:sz w:val="21"/>
                <w:szCs w:val="21"/>
              </w:rPr>
            </w:pPr>
            <w:r>
              <w:rPr>
                <w:rFonts w:hint="eastAsia" w:ascii="宋体" w:hAnsi="宋体"/>
                <w:sz w:val="21"/>
                <w:szCs w:val="21"/>
              </w:rPr>
              <w:t>超市</w:t>
            </w:r>
          </w:p>
        </w:tc>
        <w:tc>
          <w:tcPr>
            <w:tcW w:w="1260" w:type="dxa"/>
            <w:noWrap w:val="0"/>
            <w:vAlign w:val="center"/>
          </w:tcPr>
          <w:p>
            <w:pPr>
              <w:jc w:val="center"/>
              <w:rPr>
                <w:rFonts w:hint="eastAsia" w:ascii="宋体" w:hAnsi="宋体"/>
                <w:sz w:val="21"/>
                <w:szCs w:val="21"/>
              </w:rPr>
            </w:pPr>
            <w:r>
              <w:rPr>
                <w:rFonts w:hint="eastAsia" w:ascii="宋体" w:hAnsi="宋体"/>
                <w:sz w:val="24"/>
              </w:rPr>
              <w:t>115.80</w:t>
            </w:r>
          </w:p>
        </w:tc>
        <w:tc>
          <w:tcPr>
            <w:tcW w:w="2259" w:type="dxa"/>
            <w:noWrap w:val="0"/>
            <w:vAlign w:val="center"/>
          </w:tcPr>
          <w:p>
            <w:pPr>
              <w:jc w:val="center"/>
              <w:rPr>
                <w:rFonts w:hint="eastAsia" w:ascii="宋体" w:hAnsi="宋体"/>
                <w:b/>
                <w:sz w:val="21"/>
                <w:szCs w:val="21"/>
              </w:rPr>
            </w:pPr>
            <w:r>
              <w:rPr>
                <w:rFonts w:hint="eastAsia" w:ascii="宋体" w:hAnsi="宋体"/>
                <w:b/>
                <w:sz w:val="21"/>
                <w:szCs w:val="21"/>
              </w:rPr>
              <w:t>160615.00</w:t>
            </w:r>
          </w:p>
        </w:tc>
        <w:tc>
          <w:tcPr>
            <w:tcW w:w="2259" w:type="dxa"/>
            <w:noWrap w:val="0"/>
            <w:vAlign w:val="center"/>
          </w:tcPr>
          <w:p>
            <w:pPr>
              <w:jc w:val="center"/>
              <w:rPr>
                <w:rFonts w:hint="eastAsia" w:ascii="宋体" w:hAnsi="宋体"/>
                <w:sz w:val="21"/>
                <w:szCs w:val="21"/>
              </w:rPr>
            </w:pPr>
            <w:r>
              <w:rPr>
                <w:rFonts w:hint="eastAsia" w:ascii="宋体" w:hAnsi="宋体"/>
                <w:sz w:val="21"/>
                <w:szCs w:val="21"/>
              </w:rPr>
              <w:t>2019年7月1日至2022年6月</w:t>
            </w:r>
            <w:r>
              <w:rPr>
                <w:rFonts w:hint="eastAsia" w:ascii="宋体" w:hAnsi="宋体"/>
                <w:b w:val="0"/>
                <w:bCs/>
                <w:sz w:val="21"/>
                <w:szCs w:val="21"/>
              </w:rPr>
              <w:t>30</w:t>
            </w:r>
            <w:r>
              <w:rPr>
                <w:rFonts w:hint="eastAsia" w:ascii="宋体" w:hAnsi="宋体"/>
                <w:sz w:val="21"/>
                <w:szCs w:val="21"/>
              </w:rPr>
              <w:t>日</w:t>
            </w:r>
          </w:p>
        </w:tc>
      </w:tr>
    </w:tbl>
    <w:p>
      <w:pPr>
        <w:spacing w:line="360" w:lineRule="auto"/>
        <w:rPr>
          <w:rFonts w:hint="eastAsia" w:ascii="宋体" w:hAnsi="宋体" w:cs="宋体"/>
          <w:b/>
          <w:bCs/>
          <w:kern w:val="0"/>
          <w:sz w:val="24"/>
        </w:rPr>
      </w:pPr>
      <w:r>
        <w:rPr>
          <w:rFonts w:hint="eastAsia" w:ascii="宋体" w:hAnsi="宋体"/>
          <w:sz w:val="24"/>
        </w:rPr>
        <w:t>三、</w:t>
      </w:r>
      <w:r>
        <w:rPr>
          <w:rFonts w:hint="eastAsia" w:ascii="宋体" w:hAnsi="宋体" w:cs="宋体"/>
          <w:b/>
          <w:bCs/>
          <w:kern w:val="0"/>
          <w:sz w:val="24"/>
        </w:rPr>
        <w:t>投标供应商资格要求：</w:t>
      </w:r>
    </w:p>
    <w:p>
      <w:pPr>
        <w:spacing w:line="360" w:lineRule="auto"/>
        <w:rPr>
          <w:rFonts w:hint="eastAsia" w:ascii="宋体" w:hAnsi="宋体" w:cs="宋体"/>
          <w:kern w:val="0"/>
          <w:sz w:val="24"/>
        </w:rPr>
      </w:pPr>
      <w:r>
        <w:rPr>
          <w:rFonts w:hint="eastAsia" w:ascii="宋体" w:hAnsi="宋体" w:cs="宋体"/>
          <w:kern w:val="0"/>
          <w:sz w:val="24"/>
        </w:rPr>
        <w:t>1、符合《中华人民共和国政府采购法》第二十二条规定的投标人资格条件；</w:t>
      </w:r>
    </w:p>
    <w:p>
      <w:pPr>
        <w:spacing w:line="360" w:lineRule="auto"/>
        <w:rPr>
          <w:rFonts w:hint="eastAsia" w:ascii="宋体" w:hAnsi="宋体"/>
          <w:sz w:val="24"/>
        </w:rPr>
      </w:pPr>
      <w:r>
        <w:rPr>
          <w:rFonts w:hint="eastAsia" w:ascii="宋体" w:hAnsi="宋体"/>
          <w:sz w:val="24"/>
        </w:rPr>
        <w:t>2、为中华人民共和国境内注册（品牌连锁）的独立法人企业，注册资金在100万元人民币以上（含100万）；</w:t>
      </w:r>
    </w:p>
    <w:p>
      <w:pPr>
        <w:spacing w:line="360" w:lineRule="auto"/>
        <w:rPr>
          <w:rFonts w:hint="eastAsia" w:ascii="宋体" w:hAnsi="宋体"/>
          <w:sz w:val="24"/>
        </w:rPr>
      </w:pPr>
      <w:r>
        <w:rPr>
          <w:rFonts w:hint="eastAsia" w:ascii="宋体" w:hAnsi="宋体"/>
          <w:sz w:val="24"/>
        </w:rPr>
        <w:t>3、投标人具有有效的食品经营许可证书，同时近三年内无任何食品卫生、消防安全、劳务纠纷等方面的不良记录；</w:t>
      </w:r>
    </w:p>
    <w:p>
      <w:pPr>
        <w:spacing w:line="360" w:lineRule="auto"/>
        <w:rPr>
          <w:rFonts w:hint="eastAsia" w:ascii="宋体" w:hAnsi="宋体"/>
          <w:sz w:val="24"/>
        </w:rPr>
      </w:pPr>
      <w:r>
        <w:rPr>
          <w:rFonts w:hint="eastAsia" w:ascii="宋体" w:hAnsi="宋体"/>
          <w:sz w:val="24"/>
        </w:rPr>
        <w:t>4、本项目不接受任何联合体投标。</w:t>
      </w:r>
    </w:p>
    <w:p>
      <w:pPr>
        <w:spacing w:line="360" w:lineRule="auto"/>
        <w:rPr>
          <w:rFonts w:hint="eastAsia" w:ascii="宋体" w:hAnsi="宋体" w:cs="宋体"/>
          <w:b/>
          <w:bCs/>
          <w:kern w:val="0"/>
          <w:sz w:val="24"/>
        </w:rPr>
      </w:pPr>
      <w:r>
        <w:rPr>
          <w:rFonts w:hint="eastAsia" w:ascii="宋体" w:hAnsi="宋体" w:cs="宋体"/>
          <w:b/>
          <w:bCs/>
          <w:kern w:val="0"/>
          <w:sz w:val="24"/>
        </w:rPr>
        <w:t>四、</w:t>
      </w:r>
      <w:bookmarkStart w:id="1" w:name="B44_招标文件的发售"/>
      <w:r>
        <w:rPr>
          <w:rFonts w:hint="eastAsia" w:ascii="宋体" w:hAnsi="宋体" w:cs="宋体"/>
          <w:b/>
          <w:bCs/>
          <w:kern w:val="0"/>
          <w:sz w:val="24"/>
        </w:rPr>
        <w:t>招标文件的发售</w:t>
      </w:r>
      <w:bookmarkEnd w:id="1"/>
      <w:r>
        <w:rPr>
          <w:rFonts w:hint="eastAsia" w:ascii="宋体" w:hAnsi="宋体" w:cs="宋体"/>
          <w:b/>
          <w:bCs/>
          <w:kern w:val="0"/>
          <w:sz w:val="24"/>
        </w:rPr>
        <w:t>时间及地点等：</w:t>
      </w:r>
    </w:p>
    <w:p>
      <w:pPr>
        <w:spacing w:line="360" w:lineRule="auto"/>
        <w:rPr>
          <w:rFonts w:hint="eastAsia" w:ascii="宋体" w:hAnsi="宋体" w:cs="宋体"/>
          <w:b/>
          <w:bCs/>
          <w:kern w:val="0"/>
          <w:sz w:val="24"/>
        </w:rPr>
      </w:pPr>
      <w:r>
        <w:rPr>
          <w:rFonts w:hint="eastAsia" w:ascii="宋体" w:hAnsi="宋体" w:cs="宋体"/>
          <w:kern w:val="0"/>
          <w:sz w:val="24"/>
        </w:rPr>
        <w:t xml:space="preserve">    时间：</w:t>
      </w:r>
      <w:bookmarkStart w:id="2" w:name="B19_招标文件发售起始日期"/>
      <w:r>
        <w:rPr>
          <w:rFonts w:hint="eastAsia" w:ascii="宋体" w:hAnsi="宋体" w:cs="宋体"/>
          <w:kern w:val="0"/>
          <w:sz w:val="24"/>
        </w:rPr>
        <w:t>2019年05月2</w:t>
      </w:r>
      <w:r>
        <w:rPr>
          <w:rFonts w:hint="eastAsia" w:ascii="宋体" w:hAnsi="宋体" w:cs="宋体"/>
          <w:kern w:val="0"/>
          <w:sz w:val="24"/>
          <w:lang w:val="en-US" w:eastAsia="zh-CN"/>
        </w:rPr>
        <w:t>1</w:t>
      </w:r>
      <w:r>
        <w:rPr>
          <w:rFonts w:hint="eastAsia" w:ascii="宋体" w:hAnsi="宋体" w:cs="宋体"/>
          <w:kern w:val="0"/>
          <w:sz w:val="24"/>
        </w:rPr>
        <w:t>日</w:t>
      </w:r>
      <w:bookmarkEnd w:id="2"/>
      <w:r>
        <w:rPr>
          <w:rFonts w:hint="eastAsia" w:ascii="宋体" w:hAnsi="宋体" w:cs="宋体"/>
          <w:kern w:val="0"/>
          <w:sz w:val="24"/>
        </w:rPr>
        <w:t>--2019年05月</w:t>
      </w:r>
      <w:r>
        <w:rPr>
          <w:rFonts w:hint="eastAsia" w:ascii="宋体" w:hAnsi="宋体" w:cs="宋体"/>
          <w:kern w:val="0"/>
          <w:sz w:val="24"/>
          <w:lang w:val="en-US" w:eastAsia="zh-CN"/>
        </w:rPr>
        <w:t>28</w:t>
      </w:r>
      <w:r>
        <w:rPr>
          <w:rFonts w:hint="eastAsia" w:ascii="宋体" w:hAnsi="宋体" w:cs="宋体"/>
          <w:kern w:val="0"/>
          <w:sz w:val="24"/>
        </w:rPr>
        <w:t>日（双休日及法定节假日除外）</w:t>
      </w:r>
    </w:p>
    <w:p>
      <w:pPr>
        <w:spacing w:line="360" w:lineRule="auto"/>
        <w:ind w:firstLine="450"/>
        <w:rPr>
          <w:rFonts w:hint="eastAsia" w:ascii="宋体" w:hAnsi="宋体" w:cs="宋体"/>
          <w:kern w:val="0"/>
          <w:sz w:val="24"/>
        </w:rPr>
      </w:pPr>
      <w:r>
        <w:rPr>
          <w:rFonts w:hint="eastAsia" w:ascii="宋体" w:hAnsi="宋体" w:cs="宋体"/>
          <w:kern w:val="0"/>
          <w:sz w:val="24"/>
        </w:rPr>
        <w:t>上午：</w:t>
      </w:r>
      <w:bookmarkStart w:id="3" w:name="B21_招标文件的发布上午时间"/>
      <w:r>
        <w:rPr>
          <w:rFonts w:hint="eastAsia" w:ascii="宋体" w:hAnsi="宋体" w:cs="宋体"/>
          <w:kern w:val="0"/>
          <w:sz w:val="24"/>
        </w:rPr>
        <w:t>9：00-11：30</w:t>
      </w:r>
      <w:bookmarkEnd w:id="3"/>
      <w:r>
        <w:rPr>
          <w:rFonts w:hint="eastAsia" w:ascii="宋体" w:hAnsi="宋体" w:cs="宋体"/>
          <w:kern w:val="0"/>
          <w:sz w:val="24"/>
        </w:rPr>
        <w:t xml:space="preserve">  下午：</w:t>
      </w:r>
      <w:bookmarkStart w:id="4" w:name="B22_招标文件的发布下午时间"/>
      <w:r>
        <w:rPr>
          <w:rFonts w:hint="eastAsia" w:ascii="宋体" w:hAnsi="宋体" w:cs="宋体"/>
          <w:kern w:val="0"/>
          <w:sz w:val="24"/>
        </w:rPr>
        <w:t>13：30-16：30</w:t>
      </w:r>
      <w:bookmarkEnd w:id="4"/>
    </w:p>
    <w:p>
      <w:pPr>
        <w:spacing w:line="360" w:lineRule="auto"/>
        <w:ind w:firstLine="450"/>
        <w:rPr>
          <w:rFonts w:hint="eastAsia" w:ascii="宋体" w:hAnsi="宋体" w:cs="宋体"/>
          <w:kern w:val="0"/>
          <w:sz w:val="24"/>
        </w:rPr>
      </w:pPr>
      <w:r>
        <w:rPr>
          <w:rFonts w:hint="eastAsia" w:ascii="宋体" w:hAnsi="宋体" w:cs="宋体"/>
          <w:kern w:val="0"/>
          <w:sz w:val="24"/>
        </w:rPr>
        <w:t>报名方式：1）现场报名：杭州市滨江区东信大道66号启迪楼1207室；2）网上报名：前往浙江五石工程咨询有限公司官网：http://zjwsbidding.com/招投标专区进行报名。</w:t>
      </w:r>
    </w:p>
    <w:p>
      <w:pPr>
        <w:spacing w:line="360" w:lineRule="auto"/>
        <w:ind w:firstLine="450"/>
        <w:rPr>
          <w:rFonts w:hint="eastAsia" w:ascii="宋体" w:hAnsi="宋体" w:cs="宋体"/>
          <w:kern w:val="0"/>
          <w:sz w:val="24"/>
        </w:rPr>
      </w:pPr>
      <w:r>
        <w:rPr>
          <w:rFonts w:hint="eastAsia" w:ascii="宋体" w:hAnsi="宋体" w:cs="宋体"/>
          <w:kern w:val="0"/>
          <w:sz w:val="24"/>
        </w:rPr>
        <w:t>标书售价（元）：每本500元（售后不退）</w:t>
      </w:r>
    </w:p>
    <w:p>
      <w:pPr>
        <w:spacing w:line="360" w:lineRule="auto"/>
        <w:rPr>
          <w:rFonts w:hint="eastAsia" w:ascii="宋体" w:hAnsi="宋体" w:cs="宋体"/>
          <w:kern w:val="0"/>
          <w:sz w:val="24"/>
        </w:rPr>
      </w:pPr>
      <w:r>
        <w:rPr>
          <w:rFonts w:hint="eastAsia" w:ascii="宋体" w:hAnsi="宋体" w:cs="宋体"/>
          <w:b/>
          <w:bCs/>
          <w:kern w:val="0"/>
          <w:sz w:val="24"/>
        </w:rPr>
        <w:t>五、投标截止时间：</w:t>
      </w:r>
      <w:r>
        <w:rPr>
          <w:rFonts w:hint="eastAsia" w:ascii="宋体" w:hAnsi="宋体" w:cs="宋体"/>
          <w:kern w:val="0"/>
          <w:sz w:val="24"/>
        </w:rPr>
        <w:t>2019年06月10日  09:30</w:t>
      </w:r>
    </w:p>
    <w:p>
      <w:pPr>
        <w:spacing w:line="360" w:lineRule="auto"/>
        <w:rPr>
          <w:rFonts w:hint="eastAsia" w:ascii="宋体" w:hAnsi="宋体" w:cs="宋体"/>
          <w:b/>
          <w:bCs/>
          <w:kern w:val="0"/>
          <w:sz w:val="24"/>
        </w:rPr>
      </w:pPr>
      <w:r>
        <w:rPr>
          <w:rFonts w:hint="eastAsia" w:ascii="宋体" w:hAnsi="宋体" w:cs="宋体"/>
          <w:b/>
          <w:bCs/>
          <w:kern w:val="0"/>
          <w:sz w:val="24"/>
        </w:rPr>
        <w:t>六、投标地点：</w:t>
      </w:r>
    </w:p>
    <w:p>
      <w:pPr>
        <w:spacing w:line="360" w:lineRule="auto"/>
        <w:rPr>
          <w:rFonts w:ascii="宋体" w:hAnsi="宋体" w:cs="宋体"/>
          <w:kern w:val="0"/>
          <w:sz w:val="24"/>
        </w:rPr>
      </w:pPr>
      <w:r>
        <w:rPr>
          <w:rFonts w:hint="eastAsia" w:ascii="宋体" w:hAnsi="宋体" w:cs="宋体"/>
          <w:b/>
          <w:bCs/>
          <w:kern w:val="0"/>
          <w:sz w:val="24"/>
        </w:rPr>
        <w:t xml:space="preserve">    </w:t>
      </w:r>
      <w:r>
        <w:rPr>
          <w:rFonts w:hint="eastAsia"/>
          <w:sz w:val="24"/>
        </w:rPr>
        <w:t>杭州市滨江区东信大道66号启迪楼二楼会议室（2）</w:t>
      </w:r>
    </w:p>
    <w:p>
      <w:pPr>
        <w:spacing w:line="360" w:lineRule="auto"/>
        <w:rPr>
          <w:rFonts w:hint="eastAsia" w:ascii="宋体" w:hAnsi="宋体" w:cs="宋体"/>
          <w:kern w:val="0"/>
          <w:sz w:val="24"/>
        </w:rPr>
      </w:pPr>
      <w:r>
        <w:rPr>
          <w:rFonts w:hint="eastAsia" w:ascii="宋体" w:hAnsi="宋体" w:cs="宋体"/>
          <w:b/>
          <w:bCs/>
          <w:kern w:val="0"/>
          <w:sz w:val="24"/>
        </w:rPr>
        <w:t>七、开标时间：</w:t>
      </w:r>
      <w:r>
        <w:rPr>
          <w:rFonts w:hint="eastAsia" w:ascii="宋体" w:hAnsi="宋体" w:cs="宋体"/>
          <w:kern w:val="0"/>
          <w:sz w:val="24"/>
        </w:rPr>
        <w:t>2019年06月10日  09:30</w:t>
      </w:r>
    </w:p>
    <w:p>
      <w:pPr>
        <w:spacing w:line="360" w:lineRule="auto"/>
        <w:rPr>
          <w:rFonts w:hint="eastAsia" w:ascii="宋体" w:hAnsi="宋体" w:cs="宋体"/>
          <w:kern w:val="0"/>
          <w:sz w:val="24"/>
        </w:rPr>
      </w:pPr>
      <w:r>
        <w:rPr>
          <w:rFonts w:hint="eastAsia" w:ascii="宋体" w:hAnsi="宋体" w:cs="宋体"/>
          <w:b/>
          <w:bCs/>
          <w:kern w:val="0"/>
          <w:sz w:val="24"/>
        </w:rPr>
        <w:t>八、开标地点</w:t>
      </w:r>
      <w:r>
        <w:rPr>
          <w:rFonts w:hint="eastAsia" w:ascii="宋体" w:hAnsi="宋体" w:cs="宋体"/>
          <w:kern w:val="0"/>
          <w:sz w:val="24"/>
        </w:rPr>
        <w:t>：</w:t>
      </w:r>
    </w:p>
    <w:p>
      <w:pPr>
        <w:spacing w:line="360" w:lineRule="auto"/>
        <w:ind w:firstLine="480" w:firstLineChars="200"/>
        <w:rPr>
          <w:rFonts w:hint="eastAsia"/>
          <w:sz w:val="24"/>
        </w:rPr>
      </w:pPr>
      <w:r>
        <w:rPr>
          <w:rFonts w:hint="eastAsia"/>
          <w:sz w:val="24"/>
        </w:rPr>
        <w:t>杭州市滨江区东信大道66号启迪楼二楼会议室（2）</w:t>
      </w:r>
    </w:p>
    <w:p>
      <w:pPr>
        <w:spacing w:line="360" w:lineRule="auto"/>
        <w:rPr>
          <w:rFonts w:hint="eastAsia" w:ascii="宋体" w:hAnsi="宋体" w:cs="宋体"/>
          <w:b/>
          <w:bCs/>
          <w:kern w:val="0"/>
          <w:sz w:val="24"/>
        </w:rPr>
      </w:pPr>
      <w:r>
        <w:rPr>
          <w:rFonts w:hint="eastAsia" w:ascii="宋体" w:hAnsi="宋体" w:cs="宋体"/>
          <w:b/>
          <w:bCs/>
          <w:kern w:val="0"/>
          <w:sz w:val="24"/>
        </w:rPr>
        <w:t>九、其他事项：</w:t>
      </w:r>
    </w:p>
    <w:p>
      <w:pPr>
        <w:spacing w:line="360" w:lineRule="auto"/>
        <w:ind w:firstLine="422"/>
        <w:rPr>
          <w:rFonts w:hint="eastAsia" w:ascii="宋体" w:hAnsi="宋体" w:cs="宋体"/>
          <w:kern w:val="0"/>
          <w:sz w:val="24"/>
        </w:rPr>
      </w:pPr>
      <w:r>
        <w:rPr>
          <w:rFonts w:hint="eastAsia" w:ascii="宋体" w:hAnsi="宋体" w:cs="宋体"/>
          <w:kern w:val="0"/>
          <w:sz w:val="24"/>
        </w:rPr>
        <w:t>1、投标人购买标书时应提交的资料：</w:t>
      </w:r>
    </w:p>
    <w:p>
      <w:pPr>
        <w:spacing w:line="360" w:lineRule="auto"/>
        <w:ind w:firstLine="422"/>
        <w:rPr>
          <w:rFonts w:ascii="宋体" w:hAnsi="宋体" w:cs="宋体"/>
          <w:sz w:val="24"/>
        </w:rPr>
      </w:pPr>
      <w:r>
        <w:rPr>
          <w:rFonts w:hint="eastAsia" w:ascii="宋体" w:hAnsi="宋体" w:cs="宋体"/>
          <w:sz w:val="24"/>
          <w:lang w:val="en-US" w:eastAsia="zh-CN"/>
        </w:rPr>
        <w:t>①</w:t>
      </w:r>
      <w:r>
        <w:rPr>
          <w:rFonts w:ascii="宋体" w:hAnsi="宋体" w:cs="宋体"/>
          <w:sz w:val="24"/>
        </w:rPr>
        <w:t>营业执照副本原件及复印件（复印件加盖单位公章）；</w:t>
      </w:r>
    </w:p>
    <w:p>
      <w:pPr>
        <w:spacing w:line="360" w:lineRule="auto"/>
        <w:ind w:firstLine="422"/>
        <w:rPr>
          <w:rFonts w:ascii="宋体" w:hAnsi="宋体" w:cs="宋体"/>
          <w:sz w:val="24"/>
        </w:rPr>
      </w:pPr>
      <w:r>
        <w:rPr>
          <w:rFonts w:hint="eastAsia" w:ascii="宋体" w:hAnsi="宋体" w:cs="宋体"/>
          <w:sz w:val="24"/>
          <w:lang w:val="en-US" w:eastAsia="zh-CN"/>
        </w:rPr>
        <w:t>②</w:t>
      </w:r>
      <w:r>
        <w:rPr>
          <w:rFonts w:ascii="宋体" w:hAnsi="宋体" w:cs="宋体"/>
          <w:sz w:val="24"/>
        </w:rPr>
        <w:t>授权委托书原件及委托代理人身份证原件及复印件（复印件加盖单位公章）；</w:t>
      </w:r>
    </w:p>
    <w:p>
      <w:pPr>
        <w:spacing w:line="360" w:lineRule="auto"/>
        <w:ind w:firstLine="422"/>
        <w:rPr>
          <w:rFonts w:hint="eastAsia" w:ascii="宋体" w:hAnsi="宋体" w:eastAsia="宋体" w:cs="宋体"/>
          <w:sz w:val="24"/>
          <w:lang w:eastAsia="zh-CN"/>
        </w:rPr>
      </w:pPr>
      <w:r>
        <w:rPr>
          <w:rFonts w:hint="eastAsia" w:ascii="宋体" w:hAnsi="宋体" w:cs="宋体"/>
          <w:sz w:val="24"/>
          <w:lang w:val="en-US" w:eastAsia="zh-CN"/>
        </w:rPr>
        <w:t>③</w:t>
      </w:r>
      <w:r>
        <w:rPr>
          <w:rFonts w:hint="eastAsia" w:ascii="宋体" w:hAnsi="宋体" w:cs="宋体"/>
          <w:sz w:val="24"/>
        </w:rPr>
        <w:t>有效的食品经营许可证书</w:t>
      </w:r>
      <w:r>
        <w:rPr>
          <w:rFonts w:ascii="宋体" w:hAnsi="宋体" w:cs="宋体"/>
          <w:sz w:val="24"/>
        </w:rPr>
        <w:t>（复印件加盖单位公章）</w:t>
      </w:r>
      <w:r>
        <w:rPr>
          <w:rFonts w:hint="eastAsia" w:ascii="宋体" w:hAnsi="宋体" w:cs="宋体"/>
          <w:sz w:val="24"/>
          <w:lang w:eastAsia="zh-CN"/>
        </w:rPr>
        <w:t>。</w:t>
      </w:r>
    </w:p>
    <w:p>
      <w:pPr>
        <w:spacing w:line="360" w:lineRule="auto"/>
        <w:rPr>
          <w:rFonts w:hint="eastAsia" w:ascii="宋体" w:hAnsi="宋体" w:cs="宋体"/>
          <w:b/>
          <w:bCs/>
          <w:kern w:val="0"/>
          <w:sz w:val="24"/>
        </w:rPr>
      </w:pPr>
      <w:r>
        <w:rPr>
          <w:rFonts w:hint="eastAsia" w:ascii="宋体" w:hAnsi="宋体" w:cs="宋体"/>
          <w:b/>
          <w:bCs/>
          <w:kern w:val="0"/>
          <w:sz w:val="24"/>
        </w:rPr>
        <w:t>十、联系方式</w:t>
      </w:r>
    </w:p>
    <w:p>
      <w:pPr>
        <w:spacing w:line="360" w:lineRule="auto"/>
        <w:rPr>
          <w:rFonts w:hint="eastAsia" w:ascii="宋体" w:hAnsi="宋体" w:cs="宋体"/>
          <w:kern w:val="0"/>
          <w:sz w:val="24"/>
        </w:rPr>
      </w:pPr>
      <w:r>
        <w:rPr>
          <w:rFonts w:hint="eastAsia" w:ascii="宋体" w:hAnsi="宋体" w:cs="宋体"/>
          <w:kern w:val="0"/>
          <w:sz w:val="24"/>
        </w:rPr>
        <w:t>1、采购人：浙江中医药大学</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地址：杭州市滨江区滨文路548号</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联系人：刘老师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联系电话：0571-86613563</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项目联系人：胥老师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联系电话：0571-86613556</w:t>
      </w:r>
    </w:p>
    <w:p>
      <w:pPr>
        <w:spacing w:line="360" w:lineRule="auto"/>
        <w:rPr>
          <w:rFonts w:hint="eastAsia" w:ascii="宋体" w:hAnsi="宋体" w:cs="宋体"/>
          <w:kern w:val="0"/>
          <w:sz w:val="24"/>
        </w:rPr>
      </w:pPr>
      <w:r>
        <w:rPr>
          <w:rFonts w:hint="eastAsia" w:ascii="宋体" w:hAnsi="宋体" w:cs="宋体"/>
          <w:kern w:val="0"/>
          <w:sz w:val="24"/>
        </w:rPr>
        <w:t>2、代理机构名称：浙江五石工程咨询有限公司</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地址：滨江区东信大道66号启迪楼1207室</w:t>
      </w:r>
    </w:p>
    <w:p>
      <w:pPr>
        <w:spacing w:line="360" w:lineRule="auto"/>
        <w:ind w:firstLine="480" w:firstLineChars="200"/>
        <w:rPr>
          <w:rFonts w:ascii="宋体" w:hAnsi="宋体" w:cs="宋体"/>
          <w:kern w:val="0"/>
          <w:sz w:val="24"/>
        </w:rPr>
      </w:pPr>
      <w:r>
        <w:rPr>
          <w:rFonts w:hint="eastAsia" w:ascii="宋体" w:hAnsi="宋体" w:cs="宋体"/>
          <w:kern w:val="0"/>
          <w:sz w:val="24"/>
        </w:rPr>
        <w:t>业务联系人：陈工</w:t>
      </w:r>
    </w:p>
    <w:p>
      <w:pPr>
        <w:spacing w:line="360" w:lineRule="auto"/>
        <w:ind w:firstLine="480" w:firstLineChars="200"/>
        <w:rPr>
          <w:rFonts w:ascii="宋体" w:hAnsi="宋体" w:cs="宋体"/>
          <w:kern w:val="0"/>
          <w:sz w:val="24"/>
        </w:rPr>
      </w:pPr>
      <w:r>
        <w:rPr>
          <w:rFonts w:hint="eastAsia" w:ascii="宋体" w:hAnsi="宋体" w:cs="宋体"/>
          <w:kern w:val="0"/>
          <w:sz w:val="24"/>
        </w:rPr>
        <w:t>联系电话：0571-86098397</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报名联系人：梁小姐</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联系电话：17746806483</w:t>
      </w:r>
    </w:p>
    <w:p>
      <w:pPr>
        <w:spacing w:line="360" w:lineRule="auto"/>
        <w:ind w:firstLine="480" w:firstLineChars="200"/>
        <w:rPr>
          <w:rFonts w:ascii="宋体" w:hAnsi="宋体" w:cs="宋体"/>
          <w:kern w:val="0"/>
          <w:sz w:val="24"/>
        </w:rPr>
      </w:pPr>
      <w:r>
        <w:rPr>
          <w:rFonts w:hint="eastAsia" w:ascii="宋体" w:hAnsi="宋体" w:cs="宋体"/>
          <w:kern w:val="0"/>
          <w:sz w:val="24"/>
        </w:rPr>
        <w:t>浙江五石工程咨询有限公司网址：</w:t>
      </w:r>
      <w:r>
        <w:rPr>
          <w:rFonts w:hint="eastAsia" w:ascii="宋体" w:hAnsi="宋体" w:cs="宋体"/>
          <w:sz w:val="24"/>
          <w:szCs w:val="32"/>
        </w:rPr>
        <w:t>http://zjwsbidding.com/</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邮    箱：2810140286@qq.com</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传    真：0571-87805727</w:t>
      </w:r>
    </w:p>
    <w:p>
      <w:pPr>
        <w:spacing w:line="360" w:lineRule="auto"/>
        <w:ind w:firstLine="420" w:firstLineChars="200"/>
        <w:jc w:val="center"/>
        <w:rPr>
          <w:rFonts w:hint="eastAsia" w:ascii="Arial" w:hAnsi="Arial" w:eastAsia="黑体"/>
          <w:b/>
          <w:snapToGrid w:val="0"/>
          <w:kern w:val="0"/>
          <w:sz w:val="32"/>
          <w:szCs w:val="32"/>
        </w:rPr>
      </w:pPr>
      <w:r>
        <w:rPr>
          <w:rFonts w:ascii="Arial" w:hAnsi="Arial"/>
          <w:snapToGrid w:val="0"/>
          <w:kern w:val="0"/>
          <w:sz w:val="21"/>
          <w:szCs w:val="21"/>
        </w:rPr>
        <w:br w:type="page"/>
      </w:r>
      <w:bookmarkStart w:id="5" w:name="_Toc188395314"/>
      <w:r>
        <w:rPr>
          <w:rFonts w:hint="eastAsia" w:ascii="Arial" w:eastAsia="黑体"/>
          <w:b/>
          <w:snapToGrid w:val="0"/>
          <w:kern w:val="0"/>
          <w:sz w:val="32"/>
          <w:szCs w:val="32"/>
        </w:rPr>
        <w:t>目</w:t>
      </w:r>
      <w:r>
        <w:rPr>
          <w:rFonts w:hint="eastAsia" w:ascii="Arial" w:hAnsi="Arial" w:eastAsia="黑体"/>
          <w:b/>
          <w:snapToGrid w:val="0"/>
          <w:kern w:val="0"/>
          <w:sz w:val="32"/>
          <w:szCs w:val="32"/>
        </w:rPr>
        <w:t xml:space="preserve">   </w:t>
      </w:r>
      <w:r>
        <w:rPr>
          <w:rFonts w:hint="eastAsia" w:ascii="Arial" w:eastAsia="黑体"/>
          <w:b/>
          <w:snapToGrid w:val="0"/>
          <w:kern w:val="0"/>
          <w:sz w:val="32"/>
          <w:szCs w:val="32"/>
        </w:rPr>
        <w:t>录</w:t>
      </w:r>
      <w:bookmarkEnd w:id="5"/>
    </w:p>
    <w:p>
      <w:pPr>
        <w:pStyle w:val="25"/>
        <w:tabs>
          <w:tab w:val="right" w:leader="dot" w:pos="8823"/>
        </w:tabs>
        <w:spacing w:line="360" w:lineRule="auto"/>
        <w:rPr>
          <w:rFonts w:hint="eastAsia" w:ascii="宋体" w:hAnsi="宋体" w:cs="宋体"/>
          <w:sz w:val="28"/>
          <w:szCs w:val="36"/>
        </w:rPr>
      </w:pPr>
      <w:r>
        <w:rPr>
          <w:rFonts w:hint="eastAsia" w:ascii="宋体" w:hAnsi="宋体" w:cs="宋体"/>
          <w:b/>
          <w:sz w:val="28"/>
          <w:szCs w:val="28"/>
          <w:lang/>
        </w:rPr>
        <w:fldChar w:fldCharType="begin"/>
      </w:r>
      <w:r>
        <w:rPr>
          <w:rStyle w:val="34"/>
          <w:rFonts w:hint="eastAsia" w:ascii="宋体" w:hAnsi="宋体" w:cs="宋体"/>
          <w:b/>
          <w:color w:val="auto"/>
          <w:sz w:val="28"/>
          <w:szCs w:val="28"/>
          <w:lang/>
        </w:rPr>
        <w:instrText xml:space="preserve"> TOC \o "1-2" \h \z \u </w:instrText>
      </w:r>
      <w:r>
        <w:rPr>
          <w:rFonts w:hint="eastAsia" w:ascii="宋体" w:hAnsi="宋体" w:cs="宋体"/>
          <w:b/>
          <w:sz w:val="28"/>
          <w:szCs w:val="28"/>
          <w:lang/>
        </w:rPr>
        <w:fldChar w:fldCharType="separate"/>
      </w:r>
      <w:r>
        <w:rPr>
          <w:rFonts w:hint="eastAsia" w:ascii="宋体" w:hAnsi="宋体" w:cs="宋体"/>
          <w:sz w:val="28"/>
          <w:szCs w:val="28"/>
          <w:lang/>
        </w:rPr>
        <w:fldChar w:fldCharType="begin"/>
      </w:r>
      <w:r>
        <w:rPr>
          <w:rFonts w:hint="eastAsia" w:ascii="宋体" w:hAnsi="宋体" w:cs="宋体"/>
          <w:sz w:val="28"/>
          <w:szCs w:val="28"/>
          <w:lang/>
        </w:rPr>
        <w:instrText xml:space="preserve"> HYPERLINK \l _Toc27102 </w:instrText>
      </w:r>
      <w:r>
        <w:rPr>
          <w:rFonts w:hint="eastAsia" w:ascii="宋体" w:hAnsi="宋体" w:cs="宋体"/>
          <w:sz w:val="28"/>
          <w:szCs w:val="28"/>
          <w:lang/>
        </w:rPr>
        <w:fldChar w:fldCharType="separate"/>
      </w:r>
      <w:r>
        <w:rPr>
          <w:rFonts w:hint="eastAsia" w:ascii="宋体" w:hAnsi="宋体" w:cs="宋体"/>
          <w:snapToGrid w:val="0"/>
          <w:kern w:val="0"/>
          <w:sz w:val="28"/>
          <w:szCs w:val="36"/>
        </w:rPr>
        <w:t>投标须知前附表</w:t>
      </w:r>
      <w:r>
        <w:rPr>
          <w:rFonts w:hint="eastAsia" w:ascii="宋体" w:hAnsi="宋体" w:cs="宋体"/>
          <w:sz w:val="28"/>
          <w:szCs w:val="36"/>
        </w:rPr>
        <w:tab/>
      </w:r>
      <w:r>
        <w:rPr>
          <w:rFonts w:hint="eastAsia" w:ascii="宋体" w:hAnsi="宋体" w:cs="宋体"/>
          <w:sz w:val="28"/>
          <w:szCs w:val="36"/>
        </w:rPr>
        <w:fldChar w:fldCharType="begin"/>
      </w:r>
      <w:r>
        <w:rPr>
          <w:rFonts w:hint="eastAsia" w:ascii="宋体" w:hAnsi="宋体" w:cs="宋体"/>
          <w:sz w:val="28"/>
          <w:szCs w:val="36"/>
        </w:rPr>
        <w:instrText xml:space="preserve"> PAGEREF _Toc27102 </w:instrText>
      </w:r>
      <w:r>
        <w:rPr>
          <w:rFonts w:hint="eastAsia" w:ascii="宋体" w:hAnsi="宋体" w:cs="宋体"/>
          <w:sz w:val="28"/>
          <w:szCs w:val="36"/>
        </w:rPr>
        <w:fldChar w:fldCharType="separate"/>
      </w:r>
      <w:r>
        <w:rPr>
          <w:rFonts w:hint="eastAsia" w:ascii="宋体" w:hAnsi="宋体" w:cs="宋体"/>
          <w:sz w:val="28"/>
          <w:szCs w:val="36"/>
        </w:rPr>
        <w:t>5</w:t>
      </w:r>
      <w:r>
        <w:rPr>
          <w:rFonts w:hint="eastAsia" w:ascii="宋体" w:hAnsi="宋体" w:cs="宋体"/>
          <w:sz w:val="28"/>
          <w:szCs w:val="36"/>
        </w:rPr>
        <w:fldChar w:fldCharType="end"/>
      </w:r>
      <w:r>
        <w:rPr>
          <w:rFonts w:hint="eastAsia" w:ascii="宋体" w:hAnsi="宋体" w:cs="宋体"/>
          <w:sz w:val="28"/>
          <w:szCs w:val="28"/>
          <w:lang/>
        </w:rPr>
        <w:fldChar w:fldCharType="end"/>
      </w:r>
    </w:p>
    <w:p>
      <w:pPr>
        <w:pStyle w:val="25"/>
        <w:tabs>
          <w:tab w:val="right" w:leader="dot" w:pos="8823"/>
        </w:tabs>
        <w:spacing w:line="360" w:lineRule="auto"/>
        <w:rPr>
          <w:rFonts w:hint="eastAsia" w:ascii="宋体" w:hAnsi="宋体" w:cs="宋体"/>
          <w:sz w:val="28"/>
          <w:szCs w:val="36"/>
        </w:rPr>
      </w:pPr>
      <w:r>
        <w:rPr>
          <w:rFonts w:hint="eastAsia" w:ascii="宋体" w:hAnsi="宋体" w:cs="宋体"/>
          <w:sz w:val="28"/>
          <w:szCs w:val="28"/>
          <w:lang/>
        </w:rPr>
        <w:fldChar w:fldCharType="begin"/>
      </w:r>
      <w:r>
        <w:rPr>
          <w:rFonts w:hint="eastAsia" w:ascii="宋体" w:hAnsi="宋体" w:cs="宋体"/>
          <w:sz w:val="28"/>
          <w:szCs w:val="28"/>
          <w:lang/>
        </w:rPr>
        <w:instrText xml:space="preserve"> HYPERLINK \l _Toc2520 </w:instrText>
      </w:r>
      <w:r>
        <w:rPr>
          <w:rFonts w:hint="eastAsia" w:ascii="宋体" w:hAnsi="宋体" w:cs="宋体"/>
          <w:sz w:val="28"/>
          <w:szCs w:val="28"/>
          <w:lang/>
        </w:rPr>
        <w:fldChar w:fldCharType="separate"/>
      </w:r>
      <w:r>
        <w:rPr>
          <w:rFonts w:hint="eastAsia" w:ascii="宋体" w:hAnsi="宋体" w:cs="宋体"/>
          <w:snapToGrid w:val="0"/>
          <w:kern w:val="0"/>
          <w:sz w:val="28"/>
          <w:szCs w:val="36"/>
        </w:rPr>
        <w:t>第一部分  招标范围及内容要求</w:t>
      </w:r>
      <w:r>
        <w:rPr>
          <w:rFonts w:hint="eastAsia" w:ascii="宋体" w:hAnsi="宋体" w:cs="宋体"/>
          <w:sz w:val="28"/>
          <w:szCs w:val="36"/>
        </w:rPr>
        <w:tab/>
      </w:r>
      <w:r>
        <w:rPr>
          <w:rFonts w:hint="eastAsia" w:ascii="宋体" w:hAnsi="宋体" w:cs="宋体"/>
          <w:sz w:val="28"/>
          <w:szCs w:val="36"/>
        </w:rPr>
        <w:fldChar w:fldCharType="begin"/>
      </w:r>
      <w:r>
        <w:rPr>
          <w:rFonts w:hint="eastAsia" w:ascii="宋体" w:hAnsi="宋体" w:cs="宋体"/>
          <w:sz w:val="28"/>
          <w:szCs w:val="36"/>
        </w:rPr>
        <w:instrText xml:space="preserve"> PAGEREF _Toc2520 </w:instrText>
      </w:r>
      <w:r>
        <w:rPr>
          <w:rFonts w:hint="eastAsia" w:ascii="宋体" w:hAnsi="宋体" w:cs="宋体"/>
          <w:sz w:val="28"/>
          <w:szCs w:val="36"/>
        </w:rPr>
        <w:fldChar w:fldCharType="separate"/>
      </w:r>
      <w:r>
        <w:rPr>
          <w:rFonts w:hint="eastAsia" w:ascii="宋体" w:hAnsi="宋体" w:cs="宋体"/>
          <w:sz w:val="28"/>
          <w:szCs w:val="36"/>
        </w:rPr>
        <w:t>7</w:t>
      </w:r>
      <w:r>
        <w:rPr>
          <w:rFonts w:hint="eastAsia" w:ascii="宋体" w:hAnsi="宋体" w:cs="宋体"/>
          <w:sz w:val="28"/>
          <w:szCs w:val="36"/>
        </w:rPr>
        <w:fldChar w:fldCharType="end"/>
      </w:r>
      <w:r>
        <w:rPr>
          <w:rFonts w:hint="eastAsia" w:ascii="宋体" w:hAnsi="宋体" w:cs="宋体"/>
          <w:sz w:val="28"/>
          <w:szCs w:val="28"/>
          <w:lang/>
        </w:rPr>
        <w:fldChar w:fldCharType="end"/>
      </w:r>
    </w:p>
    <w:p>
      <w:pPr>
        <w:pStyle w:val="25"/>
        <w:tabs>
          <w:tab w:val="right" w:leader="dot" w:pos="8823"/>
        </w:tabs>
        <w:spacing w:line="360" w:lineRule="auto"/>
        <w:rPr>
          <w:rFonts w:hint="eastAsia" w:ascii="宋体" w:hAnsi="宋体" w:cs="宋体"/>
          <w:sz w:val="28"/>
          <w:szCs w:val="36"/>
        </w:rPr>
      </w:pPr>
      <w:r>
        <w:rPr>
          <w:rFonts w:hint="eastAsia" w:ascii="宋体" w:hAnsi="宋体" w:cs="宋体"/>
          <w:sz w:val="28"/>
          <w:szCs w:val="28"/>
          <w:lang/>
        </w:rPr>
        <w:fldChar w:fldCharType="begin"/>
      </w:r>
      <w:r>
        <w:rPr>
          <w:rFonts w:hint="eastAsia" w:ascii="宋体" w:hAnsi="宋体" w:cs="宋体"/>
          <w:sz w:val="28"/>
          <w:szCs w:val="28"/>
          <w:lang/>
        </w:rPr>
        <w:instrText xml:space="preserve"> HYPERLINK \l _Toc22195 </w:instrText>
      </w:r>
      <w:r>
        <w:rPr>
          <w:rFonts w:hint="eastAsia" w:ascii="宋体" w:hAnsi="宋体" w:cs="宋体"/>
          <w:sz w:val="28"/>
          <w:szCs w:val="28"/>
          <w:lang/>
        </w:rPr>
        <w:fldChar w:fldCharType="separate"/>
      </w:r>
      <w:r>
        <w:rPr>
          <w:rFonts w:hint="eastAsia" w:ascii="宋体" w:hAnsi="宋体" w:cs="宋体"/>
          <w:snapToGrid w:val="0"/>
          <w:kern w:val="0"/>
          <w:sz w:val="28"/>
          <w:szCs w:val="36"/>
        </w:rPr>
        <w:t>第二部分   投标人须知</w:t>
      </w:r>
      <w:r>
        <w:rPr>
          <w:rFonts w:hint="eastAsia" w:ascii="宋体" w:hAnsi="宋体" w:cs="宋体"/>
          <w:sz w:val="28"/>
          <w:szCs w:val="36"/>
        </w:rPr>
        <w:tab/>
      </w:r>
      <w:r>
        <w:rPr>
          <w:rFonts w:hint="eastAsia" w:ascii="宋体" w:hAnsi="宋体" w:cs="宋体"/>
          <w:sz w:val="28"/>
          <w:szCs w:val="36"/>
        </w:rPr>
        <w:fldChar w:fldCharType="begin"/>
      </w:r>
      <w:r>
        <w:rPr>
          <w:rFonts w:hint="eastAsia" w:ascii="宋体" w:hAnsi="宋体" w:cs="宋体"/>
          <w:sz w:val="28"/>
          <w:szCs w:val="36"/>
        </w:rPr>
        <w:instrText xml:space="preserve"> PAGEREF _Toc22195 </w:instrText>
      </w:r>
      <w:r>
        <w:rPr>
          <w:rFonts w:hint="eastAsia" w:ascii="宋体" w:hAnsi="宋体" w:cs="宋体"/>
          <w:sz w:val="28"/>
          <w:szCs w:val="36"/>
        </w:rPr>
        <w:fldChar w:fldCharType="separate"/>
      </w:r>
      <w:r>
        <w:rPr>
          <w:rFonts w:hint="eastAsia" w:ascii="宋体" w:hAnsi="宋体" w:cs="宋体"/>
          <w:sz w:val="28"/>
          <w:szCs w:val="36"/>
        </w:rPr>
        <w:t>9</w:t>
      </w:r>
      <w:r>
        <w:rPr>
          <w:rFonts w:hint="eastAsia" w:ascii="宋体" w:hAnsi="宋体" w:cs="宋体"/>
          <w:sz w:val="28"/>
          <w:szCs w:val="36"/>
        </w:rPr>
        <w:fldChar w:fldCharType="end"/>
      </w:r>
      <w:r>
        <w:rPr>
          <w:rFonts w:hint="eastAsia" w:ascii="宋体" w:hAnsi="宋体" w:cs="宋体"/>
          <w:sz w:val="28"/>
          <w:szCs w:val="28"/>
          <w:lang/>
        </w:rPr>
        <w:fldChar w:fldCharType="end"/>
      </w:r>
    </w:p>
    <w:p>
      <w:pPr>
        <w:pStyle w:val="25"/>
        <w:tabs>
          <w:tab w:val="right" w:leader="dot" w:pos="8823"/>
        </w:tabs>
        <w:spacing w:line="360" w:lineRule="auto"/>
        <w:rPr>
          <w:rFonts w:hint="eastAsia" w:ascii="宋体" w:hAnsi="宋体" w:cs="宋体"/>
          <w:sz w:val="28"/>
          <w:szCs w:val="36"/>
        </w:rPr>
      </w:pPr>
      <w:r>
        <w:rPr>
          <w:rFonts w:hint="eastAsia" w:ascii="宋体" w:hAnsi="宋体" w:cs="宋体"/>
          <w:sz w:val="28"/>
          <w:szCs w:val="28"/>
          <w:lang/>
        </w:rPr>
        <w:fldChar w:fldCharType="begin"/>
      </w:r>
      <w:r>
        <w:rPr>
          <w:rFonts w:hint="eastAsia" w:ascii="宋体" w:hAnsi="宋体" w:cs="宋体"/>
          <w:sz w:val="28"/>
          <w:szCs w:val="28"/>
          <w:lang/>
        </w:rPr>
        <w:instrText xml:space="preserve"> HYPERLINK \l _Toc26358 </w:instrText>
      </w:r>
      <w:r>
        <w:rPr>
          <w:rFonts w:hint="eastAsia" w:ascii="宋体" w:hAnsi="宋体" w:cs="宋体"/>
          <w:sz w:val="28"/>
          <w:szCs w:val="28"/>
          <w:lang/>
        </w:rPr>
        <w:fldChar w:fldCharType="separate"/>
      </w:r>
      <w:r>
        <w:rPr>
          <w:rFonts w:hint="eastAsia" w:ascii="宋体" w:hAnsi="宋体" w:cs="宋体"/>
          <w:snapToGrid w:val="0"/>
          <w:kern w:val="0"/>
          <w:sz w:val="28"/>
          <w:szCs w:val="36"/>
        </w:rPr>
        <w:t>第三部分   合同格式及主要条款</w:t>
      </w:r>
      <w:r>
        <w:rPr>
          <w:rFonts w:hint="eastAsia" w:ascii="宋体" w:hAnsi="宋体" w:cs="宋体"/>
          <w:sz w:val="28"/>
          <w:szCs w:val="36"/>
        </w:rPr>
        <w:tab/>
      </w:r>
      <w:r>
        <w:rPr>
          <w:rFonts w:hint="eastAsia" w:ascii="宋体" w:hAnsi="宋体" w:cs="宋体"/>
          <w:sz w:val="28"/>
          <w:szCs w:val="36"/>
        </w:rPr>
        <w:fldChar w:fldCharType="begin"/>
      </w:r>
      <w:r>
        <w:rPr>
          <w:rFonts w:hint="eastAsia" w:ascii="宋体" w:hAnsi="宋体" w:cs="宋体"/>
          <w:sz w:val="28"/>
          <w:szCs w:val="36"/>
        </w:rPr>
        <w:instrText xml:space="preserve"> PAGEREF _Toc26358 </w:instrText>
      </w:r>
      <w:r>
        <w:rPr>
          <w:rFonts w:hint="eastAsia" w:ascii="宋体" w:hAnsi="宋体" w:cs="宋体"/>
          <w:sz w:val="28"/>
          <w:szCs w:val="36"/>
        </w:rPr>
        <w:fldChar w:fldCharType="separate"/>
      </w:r>
      <w:r>
        <w:rPr>
          <w:rFonts w:hint="eastAsia" w:ascii="宋体" w:hAnsi="宋体" w:cs="宋体"/>
          <w:sz w:val="28"/>
          <w:szCs w:val="36"/>
        </w:rPr>
        <w:t>15</w:t>
      </w:r>
      <w:r>
        <w:rPr>
          <w:rFonts w:hint="eastAsia" w:ascii="宋体" w:hAnsi="宋体" w:cs="宋体"/>
          <w:sz w:val="28"/>
          <w:szCs w:val="36"/>
        </w:rPr>
        <w:fldChar w:fldCharType="end"/>
      </w:r>
      <w:r>
        <w:rPr>
          <w:rFonts w:hint="eastAsia" w:ascii="宋体" w:hAnsi="宋体" w:cs="宋体"/>
          <w:sz w:val="28"/>
          <w:szCs w:val="28"/>
          <w:lang/>
        </w:rPr>
        <w:fldChar w:fldCharType="end"/>
      </w:r>
    </w:p>
    <w:p>
      <w:pPr>
        <w:pStyle w:val="25"/>
        <w:tabs>
          <w:tab w:val="right" w:leader="dot" w:pos="8823"/>
        </w:tabs>
        <w:spacing w:line="360" w:lineRule="auto"/>
        <w:rPr>
          <w:rFonts w:hint="eastAsia" w:ascii="宋体" w:hAnsi="宋体" w:cs="宋体"/>
          <w:sz w:val="28"/>
          <w:szCs w:val="36"/>
        </w:rPr>
      </w:pPr>
      <w:r>
        <w:rPr>
          <w:rFonts w:hint="eastAsia" w:ascii="宋体" w:hAnsi="宋体" w:cs="宋体"/>
          <w:sz w:val="28"/>
          <w:szCs w:val="28"/>
          <w:lang/>
        </w:rPr>
        <w:fldChar w:fldCharType="begin"/>
      </w:r>
      <w:r>
        <w:rPr>
          <w:rFonts w:hint="eastAsia" w:ascii="宋体" w:hAnsi="宋体" w:cs="宋体"/>
          <w:sz w:val="28"/>
          <w:szCs w:val="28"/>
          <w:lang/>
        </w:rPr>
        <w:instrText xml:space="preserve"> HYPERLINK \l _Toc31481 </w:instrText>
      </w:r>
      <w:r>
        <w:rPr>
          <w:rFonts w:hint="eastAsia" w:ascii="宋体" w:hAnsi="宋体" w:cs="宋体"/>
          <w:sz w:val="28"/>
          <w:szCs w:val="28"/>
          <w:lang/>
        </w:rPr>
        <w:fldChar w:fldCharType="separate"/>
      </w:r>
      <w:r>
        <w:rPr>
          <w:rFonts w:hint="eastAsia" w:ascii="宋体" w:hAnsi="宋体" w:cs="宋体"/>
          <w:snapToGrid w:val="0"/>
          <w:kern w:val="0"/>
          <w:sz w:val="28"/>
          <w:szCs w:val="36"/>
        </w:rPr>
        <w:t>第四部分   投标文件格式</w:t>
      </w:r>
      <w:r>
        <w:rPr>
          <w:rFonts w:hint="eastAsia" w:ascii="宋体" w:hAnsi="宋体" w:cs="宋体"/>
          <w:sz w:val="28"/>
          <w:szCs w:val="36"/>
        </w:rPr>
        <w:tab/>
      </w:r>
      <w:r>
        <w:rPr>
          <w:rFonts w:hint="eastAsia" w:ascii="宋体" w:hAnsi="宋体" w:cs="宋体"/>
          <w:sz w:val="28"/>
          <w:szCs w:val="36"/>
        </w:rPr>
        <w:fldChar w:fldCharType="begin"/>
      </w:r>
      <w:r>
        <w:rPr>
          <w:rFonts w:hint="eastAsia" w:ascii="宋体" w:hAnsi="宋体" w:cs="宋体"/>
          <w:sz w:val="28"/>
          <w:szCs w:val="36"/>
        </w:rPr>
        <w:instrText xml:space="preserve"> PAGEREF _Toc31481 </w:instrText>
      </w:r>
      <w:r>
        <w:rPr>
          <w:rFonts w:hint="eastAsia" w:ascii="宋体" w:hAnsi="宋体" w:cs="宋体"/>
          <w:sz w:val="28"/>
          <w:szCs w:val="36"/>
        </w:rPr>
        <w:fldChar w:fldCharType="separate"/>
      </w:r>
      <w:r>
        <w:rPr>
          <w:rFonts w:hint="eastAsia" w:ascii="宋体" w:hAnsi="宋体" w:cs="宋体"/>
          <w:sz w:val="28"/>
          <w:szCs w:val="36"/>
        </w:rPr>
        <w:t>19</w:t>
      </w:r>
      <w:r>
        <w:rPr>
          <w:rFonts w:hint="eastAsia" w:ascii="宋体" w:hAnsi="宋体" w:cs="宋体"/>
          <w:sz w:val="28"/>
          <w:szCs w:val="36"/>
        </w:rPr>
        <w:fldChar w:fldCharType="end"/>
      </w:r>
      <w:r>
        <w:rPr>
          <w:rFonts w:hint="eastAsia" w:ascii="宋体" w:hAnsi="宋体" w:cs="宋体"/>
          <w:sz w:val="28"/>
          <w:szCs w:val="28"/>
          <w:lang/>
        </w:rPr>
        <w:fldChar w:fldCharType="end"/>
      </w:r>
    </w:p>
    <w:p>
      <w:pPr>
        <w:pStyle w:val="25"/>
        <w:tabs>
          <w:tab w:val="right" w:leader="dot" w:pos="8823"/>
        </w:tabs>
        <w:spacing w:line="360" w:lineRule="auto"/>
        <w:rPr>
          <w:rFonts w:hint="eastAsia" w:ascii="宋体" w:hAnsi="宋体" w:cs="宋体"/>
          <w:sz w:val="28"/>
          <w:szCs w:val="36"/>
        </w:rPr>
      </w:pPr>
      <w:r>
        <w:rPr>
          <w:rFonts w:hint="eastAsia" w:ascii="宋体" w:hAnsi="宋体" w:cs="宋体"/>
          <w:sz w:val="28"/>
          <w:szCs w:val="28"/>
          <w:lang/>
        </w:rPr>
        <w:fldChar w:fldCharType="begin"/>
      </w:r>
      <w:r>
        <w:rPr>
          <w:rFonts w:hint="eastAsia" w:ascii="宋体" w:hAnsi="宋体" w:cs="宋体"/>
          <w:sz w:val="28"/>
          <w:szCs w:val="28"/>
          <w:lang/>
        </w:rPr>
        <w:instrText xml:space="preserve"> HYPERLINK \l _Toc10971 </w:instrText>
      </w:r>
      <w:r>
        <w:rPr>
          <w:rFonts w:hint="eastAsia" w:ascii="宋体" w:hAnsi="宋体" w:cs="宋体"/>
          <w:sz w:val="28"/>
          <w:szCs w:val="28"/>
          <w:lang/>
        </w:rPr>
        <w:fldChar w:fldCharType="separate"/>
      </w:r>
      <w:r>
        <w:rPr>
          <w:rFonts w:hint="eastAsia" w:ascii="宋体" w:hAnsi="宋体" w:cs="宋体"/>
          <w:snapToGrid w:val="0"/>
          <w:kern w:val="0"/>
          <w:sz w:val="28"/>
          <w:szCs w:val="36"/>
        </w:rPr>
        <w:t>第五部分   评标办法</w:t>
      </w:r>
      <w:r>
        <w:rPr>
          <w:rFonts w:hint="eastAsia" w:ascii="宋体" w:hAnsi="宋体" w:cs="宋体"/>
          <w:sz w:val="28"/>
          <w:szCs w:val="36"/>
        </w:rPr>
        <w:tab/>
      </w:r>
      <w:r>
        <w:rPr>
          <w:rFonts w:hint="eastAsia" w:ascii="宋体" w:hAnsi="宋体" w:cs="宋体"/>
          <w:sz w:val="28"/>
          <w:szCs w:val="36"/>
        </w:rPr>
        <w:fldChar w:fldCharType="begin"/>
      </w:r>
      <w:r>
        <w:rPr>
          <w:rFonts w:hint="eastAsia" w:ascii="宋体" w:hAnsi="宋体" w:cs="宋体"/>
          <w:sz w:val="28"/>
          <w:szCs w:val="36"/>
        </w:rPr>
        <w:instrText xml:space="preserve"> PAGEREF _Toc10971 </w:instrText>
      </w:r>
      <w:r>
        <w:rPr>
          <w:rFonts w:hint="eastAsia" w:ascii="宋体" w:hAnsi="宋体" w:cs="宋体"/>
          <w:sz w:val="28"/>
          <w:szCs w:val="36"/>
        </w:rPr>
        <w:fldChar w:fldCharType="separate"/>
      </w:r>
      <w:r>
        <w:rPr>
          <w:rFonts w:hint="eastAsia" w:ascii="宋体" w:hAnsi="宋体" w:cs="宋体"/>
          <w:sz w:val="28"/>
          <w:szCs w:val="36"/>
        </w:rPr>
        <w:t>22</w:t>
      </w:r>
      <w:r>
        <w:rPr>
          <w:rFonts w:hint="eastAsia" w:ascii="宋体" w:hAnsi="宋体" w:cs="宋体"/>
          <w:sz w:val="28"/>
          <w:szCs w:val="36"/>
        </w:rPr>
        <w:fldChar w:fldCharType="end"/>
      </w:r>
      <w:r>
        <w:rPr>
          <w:rFonts w:hint="eastAsia" w:ascii="宋体" w:hAnsi="宋体" w:cs="宋体"/>
          <w:sz w:val="28"/>
          <w:szCs w:val="28"/>
          <w:lang/>
        </w:rPr>
        <w:fldChar w:fldCharType="end"/>
      </w:r>
    </w:p>
    <w:p>
      <w:pPr>
        <w:pStyle w:val="25"/>
        <w:tabs>
          <w:tab w:val="right" w:leader="dot" w:pos="9061"/>
        </w:tabs>
        <w:spacing w:line="360" w:lineRule="auto"/>
        <w:rPr>
          <w:rStyle w:val="34"/>
          <w:rFonts w:ascii="Arial" w:hAnsi="Arial"/>
          <w:b/>
          <w:color w:val="auto"/>
          <w:szCs w:val="21"/>
          <w:lang/>
        </w:rPr>
      </w:pPr>
      <w:r>
        <w:rPr>
          <w:rFonts w:hint="eastAsia" w:ascii="宋体" w:hAnsi="宋体" w:cs="宋体"/>
          <w:sz w:val="28"/>
          <w:szCs w:val="28"/>
          <w:lang/>
        </w:rPr>
        <w:fldChar w:fldCharType="end"/>
      </w:r>
    </w:p>
    <w:p>
      <w:pPr>
        <w:pStyle w:val="3"/>
        <w:spacing w:line="360" w:lineRule="auto"/>
        <w:rPr>
          <w:rFonts w:hint="eastAsia" w:ascii="Arial" w:hAnsi="Arial" w:eastAsia="黑体" w:cs="Arial"/>
          <w:snapToGrid w:val="0"/>
          <w:kern w:val="0"/>
          <w:sz w:val="30"/>
        </w:rPr>
      </w:pPr>
      <w:r>
        <w:rPr>
          <w:rStyle w:val="34"/>
          <w:rFonts w:ascii="Arial" w:hAnsi="Arial"/>
          <w:b w:val="0"/>
          <w:color w:val="auto"/>
          <w:szCs w:val="21"/>
          <w:lang/>
        </w:rPr>
        <w:br w:type="page"/>
      </w:r>
      <w:bookmarkStart w:id="6" w:name="_Toc27102"/>
      <w:r>
        <w:rPr>
          <w:rFonts w:hint="eastAsia" w:eastAsia="黑体" w:cs="Arial"/>
          <w:snapToGrid w:val="0"/>
          <w:kern w:val="0"/>
          <w:sz w:val="30"/>
        </w:rPr>
        <w:t>投标须知</w:t>
      </w:r>
      <w:r>
        <w:rPr>
          <w:rFonts w:hint="eastAsia" w:ascii="Arial" w:hAnsi="Arial" w:eastAsia="黑体" w:cs="Arial"/>
          <w:snapToGrid w:val="0"/>
          <w:kern w:val="0"/>
          <w:sz w:val="30"/>
        </w:rPr>
        <w:t>前附表</w:t>
      </w:r>
      <w:bookmarkEnd w:id="6"/>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75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招标编号</w:t>
            </w:r>
          </w:p>
        </w:tc>
        <w:tc>
          <w:tcPr>
            <w:tcW w:w="7515" w:type="dxa"/>
            <w:noWrap w:val="0"/>
            <w:vAlign w:val="center"/>
          </w:tcPr>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ZJWSBJ-ZYY-201921G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招标内容</w:t>
            </w:r>
          </w:p>
        </w:tc>
        <w:tc>
          <w:tcPr>
            <w:tcW w:w="7515" w:type="dxa"/>
            <w:noWrap w:val="0"/>
            <w:vAlign w:val="center"/>
          </w:tcPr>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滨文校区学生宿舍6号楼商铺租赁（超市）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投标人资格要求</w:t>
            </w:r>
          </w:p>
        </w:tc>
        <w:tc>
          <w:tcPr>
            <w:tcW w:w="7515" w:type="dxa"/>
            <w:noWrap w:val="0"/>
            <w:vAlign w:val="center"/>
          </w:tcPr>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181" w:type="dxa"/>
            <w:noWrap w:val="0"/>
            <w:vAlign w:val="center"/>
          </w:tcPr>
          <w:p>
            <w:pPr>
              <w:spacing w:line="360" w:lineRule="auto"/>
              <w:ind w:left="-65" w:leftChars="-18"/>
              <w:jc w:val="center"/>
              <w:rPr>
                <w:rFonts w:ascii="宋体" w:hAnsi="宋体" w:cs="Arial"/>
                <w:snapToGrid w:val="0"/>
                <w:kern w:val="0"/>
                <w:sz w:val="21"/>
                <w:szCs w:val="21"/>
              </w:rPr>
            </w:pPr>
            <w:r>
              <w:rPr>
                <w:rFonts w:hint="eastAsia" w:ascii="宋体" w:hAnsi="宋体" w:cs="Arial"/>
                <w:snapToGrid w:val="0"/>
                <w:kern w:val="0"/>
                <w:sz w:val="21"/>
                <w:szCs w:val="21"/>
              </w:rPr>
              <w:t>报价方式</w:t>
            </w:r>
          </w:p>
        </w:tc>
        <w:tc>
          <w:tcPr>
            <w:tcW w:w="7515" w:type="dxa"/>
            <w:noWrap w:val="0"/>
            <w:vAlign w:val="center"/>
          </w:tcPr>
          <w:p>
            <w:pPr>
              <w:spacing w:line="360" w:lineRule="auto"/>
              <w:jc w:val="left"/>
              <w:rPr>
                <w:rFonts w:hint="eastAsia" w:ascii="宋体" w:hAnsi="宋体" w:cs="Arial"/>
                <w:b/>
                <w:snapToGrid w:val="0"/>
                <w:kern w:val="0"/>
                <w:sz w:val="21"/>
                <w:szCs w:val="21"/>
              </w:rPr>
            </w:pPr>
            <w:r>
              <w:rPr>
                <w:rFonts w:hint="eastAsia" w:ascii="宋体" w:hAnsi="宋体" w:cs="Arial"/>
                <w:b/>
                <w:snapToGrid w:val="0"/>
                <w:kern w:val="0"/>
                <w:sz w:val="21"/>
                <w:szCs w:val="21"/>
              </w:rPr>
              <w:t>1、报价为1个年度租赁期的租金；</w:t>
            </w:r>
          </w:p>
          <w:p>
            <w:pPr>
              <w:spacing w:line="360" w:lineRule="auto"/>
              <w:jc w:val="left"/>
              <w:rPr>
                <w:rFonts w:hint="eastAsia" w:ascii="宋体" w:hAnsi="宋体" w:cs="Arial"/>
                <w:b/>
                <w:snapToGrid w:val="0"/>
                <w:kern w:val="0"/>
                <w:sz w:val="21"/>
                <w:szCs w:val="21"/>
              </w:rPr>
            </w:pPr>
            <w:r>
              <w:rPr>
                <w:rFonts w:hint="eastAsia" w:ascii="宋体" w:hAnsi="宋体" w:cs="Arial"/>
                <w:b/>
                <w:snapToGrid w:val="0"/>
                <w:kern w:val="0"/>
                <w:sz w:val="21"/>
                <w:szCs w:val="21"/>
              </w:rPr>
              <w:t>2、投标报价是指一次性报出不得更改的价格，投标报价应按招标文件中相关附表格式填写，投标报价为包括全部费用；</w:t>
            </w:r>
          </w:p>
          <w:p>
            <w:pPr>
              <w:spacing w:line="360" w:lineRule="auto"/>
              <w:jc w:val="left"/>
              <w:rPr>
                <w:rFonts w:ascii="宋体" w:hAnsi="宋体" w:cs="Arial"/>
                <w:snapToGrid w:val="0"/>
                <w:kern w:val="0"/>
                <w:sz w:val="21"/>
                <w:szCs w:val="21"/>
              </w:rPr>
            </w:pPr>
            <w:r>
              <w:rPr>
                <w:rFonts w:hint="eastAsia" w:ascii="宋体" w:hAnsi="宋体" w:cs="Arial"/>
                <w:b/>
                <w:snapToGrid w:val="0"/>
                <w:kern w:val="0"/>
                <w:sz w:val="21"/>
                <w:szCs w:val="21"/>
              </w:rPr>
              <w:t>3、</w:t>
            </w:r>
            <w:r>
              <w:rPr>
                <w:rFonts w:hint="eastAsia" w:ascii="宋体" w:hAnsi="宋体" w:cs="Arial"/>
                <w:snapToGrid w:val="0"/>
                <w:kern w:val="0"/>
                <w:sz w:val="21"/>
                <w:szCs w:val="21"/>
              </w:rPr>
              <w:t>以人民币报价。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spacing w:line="360" w:lineRule="auto"/>
              <w:ind w:left="-65" w:leftChars="-18"/>
              <w:jc w:val="center"/>
              <w:rPr>
                <w:rFonts w:hint="eastAsia" w:ascii="宋体" w:hAnsi="宋体" w:cs="Arial"/>
                <w:snapToGrid w:val="0"/>
                <w:kern w:val="0"/>
                <w:sz w:val="21"/>
                <w:szCs w:val="21"/>
              </w:rPr>
            </w:pPr>
            <w:r>
              <w:rPr>
                <w:rFonts w:hint="eastAsia" w:ascii="宋体" w:hAnsi="宋体"/>
                <w:b/>
                <w:sz w:val="21"/>
                <w:szCs w:val="21"/>
              </w:rPr>
              <w:t>最低限价</w:t>
            </w:r>
          </w:p>
        </w:tc>
        <w:tc>
          <w:tcPr>
            <w:tcW w:w="7515" w:type="dxa"/>
            <w:noWrap w:val="0"/>
            <w:vAlign w:val="center"/>
          </w:tcPr>
          <w:p>
            <w:pPr>
              <w:spacing w:line="360" w:lineRule="auto"/>
              <w:jc w:val="left"/>
              <w:rPr>
                <w:rFonts w:hint="eastAsia" w:ascii="宋体" w:hAnsi="宋体" w:cs="Arial"/>
                <w:snapToGrid w:val="0"/>
                <w:kern w:val="0"/>
                <w:sz w:val="21"/>
                <w:szCs w:val="21"/>
              </w:rPr>
            </w:pPr>
            <w:r>
              <w:rPr>
                <w:rFonts w:hint="eastAsia" w:ascii="宋体" w:hAnsi="宋体"/>
                <w:b/>
                <w:sz w:val="21"/>
                <w:szCs w:val="21"/>
              </w:rPr>
              <w:t>最低限价：160615.00元/每年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utoSpaceDE w:val="0"/>
              <w:autoSpaceDN w:val="0"/>
              <w:spacing w:line="360" w:lineRule="auto"/>
              <w:ind w:left="-65" w:leftChars="-18"/>
              <w:jc w:val="center"/>
              <w:textAlignment w:val="bottom"/>
              <w:rPr>
                <w:rFonts w:hint="eastAsia" w:ascii="宋体" w:hAnsi="宋体" w:cs="Arial"/>
                <w:snapToGrid w:val="0"/>
                <w:kern w:val="0"/>
                <w:sz w:val="21"/>
                <w:szCs w:val="21"/>
              </w:rPr>
            </w:pPr>
            <w:r>
              <w:rPr>
                <w:rFonts w:hint="eastAsia" w:ascii="宋体" w:hAnsi="宋体" w:cs="Arial"/>
                <w:snapToGrid w:val="0"/>
                <w:kern w:val="0"/>
                <w:sz w:val="21"/>
                <w:szCs w:val="21"/>
              </w:rPr>
              <w:t>总承租期</w:t>
            </w:r>
          </w:p>
        </w:tc>
        <w:tc>
          <w:tcPr>
            <w:tcW w:w="7515" w:type="dxa"/>
            <w:noWrap w:val="0"/>
            <w:vAlign w:val="center"/>
          </w:tcPr>
          <w:p>
            <w:pPr>
              <w:autoSpaceDE w:val="0"/>
              <w:autoSpaceDN w:val="0"/>
              <w:spacing w:line="360" w:lineRule="auto"/>
              <w:jc w:val="left"/>
              <w:textAlignment w:val="bottom"/>
              <w:rPr>
                <w:rFonts w:ascii="宋体" w:hAnsi="宋体" w:cs="Arial"/>
                <w:snapToGrid w:val="0"/>
                <w:kern w:val="0"/>
                <w:sz w:val="21"/>
                <w:szCs w:val="21"/>
              </w:rPr>
            </w:pPr>
            <w:r>
              <w:rPr>
                <w:rFonts w:hint="eastAsia" w:ascii="宋体" w:hAnsi="宋体" w:cs="Arial"/>
                <w:snapToGrid w:val="0"/>
                <w:kern w:val="0"/>
                <w:sz w:val="21"/>
                <w:szCs w:val="21"/>
              </w:rPr>
              <w:t>3年（报价时请填报1年的价格）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spacing w:line="360" w:lineRule="auto"/>
              <w:ind w:left="-65" w:leftChars="-18"/>
              <w:jc w:val="center"/>
              <w:rPr>
                <w:rFonts w:ascii="宋体" w:hAnsi="宋体" w:cs="Arial"/>
                <w:snapToGrid w:val="0"/>
                <w:kern w:val="0"/>
                <w:sz w:val="21"/>
                <w:szCs w:val="21"/>
              </w:rPr>
            </w:pPr>
            <w:r>
              <w:rPr>
                <w:rFonts w:ascii="宋体" w:hAnsi="宋体" w:cs="Arial"/>
                <w:snapToGrid w:val="0"/>
                <w:kern w:val="0"/>
                <w:sz w:val="21"/>
                <w:szCs w:val="21"/>
              </w:rPr>
              <w:t>投标有效期</w:t>
            </w:r>
          </w:p>
        </w:tc>
        <w:tc>
          <w:tcPr>
            <w:tcW w:w="7515" w:type="dxa"/>
            <w:noWrap w:val="0"/>
            <w:vAlign w:val="center"/>
          </w:tcPr>
          <w:p>
            <w:pPr>
              <w:pStyle w:val="18"/>
              <w:spacing w:line="360" w:lineRule="auto"/>
              <w:ind w:left="-16" w:leftChars="-9" w:hanging="16" w:hangingChars="8"/>
              <w:jc w:val="left"/>
              <w:rPr>
                <w:rFonts w:hAnsi="宋体" w:cs="Arial"/>
                <w:snapToGrid w:val="0"/>
                <w:kern w:val="0"/>
                <w:szCs w:val="21"/>
              </w:rPr>
            </w:pPr>
            <w:r>
              <w:rPr>
                <w:rFonts w:hAnsi="宋体" w:cs="Arial"/>
                <w:snapToGrid w:val="0"/>
                <w:kern w:val="0"/>
                <w:szCs w:val="21"/>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履约保证金</w:t>
            </w:r>
          </w:p>
        </w:tc>
        <w:tc>
          <w:tcPr>
            <w:tcW w:w="7515" w:type="dxa"/>
            <w:noWrap w:val="0"/>
            <w:vAlign w:val="center"/>
          </w:tcPr>
          <w:p>
            <w:pPr>
              <w:adjustRightInd w:val="0"/>
              <w:snapToGrid w:val="0"/>
              <w:spacing w:line="360" w:lineRule="auto"/>
              <w:rPr>
                <w:rFonts w:hint="eastAsia" w:ascii="宋体" w:hAnsi="宋体" w:cs="Arial"/>
                <w:b/>
                <w:snapToGrid w:val="0"/>
                <w:kern w:val="0"/>
                <w:sz w:val="21"/>
                <w:szCs w:val="21"/>
              </w:rPr>
            </w:pPr>
            <w:r>
              <w:rPr>
                <w:rFonts w:hint="eastAsia" w:ascii="宋体" w:hAnsi="宋体" w:cs="Arial"/>
                <w:b/>
                <w:snapToGrid w:val="0"/>
                <w:kern w:val="0"/>
                <w:sz w:val="21"/>
                <w:szCs w:val="21"/>
              </w:rPr>
              <w:t>金额为3个月的租赁费，中标人在收到中标通知书7个工作日内一次性交纳给采购人，合同执行完毕后，采购人无息退还。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现场踏勘</w:t>
            </w:r>
          </w:p>
        </w:tc>
        <w:tc>
          <w:tcPr>
            <w:tcW w:w="7515" w:type="dxa"/>
            <w:noWrap w:val="0"/>
            <w:vAlign w:val="center"/>
          </w:tcPr>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投标人自行勘察，联系人：胥老师，电话：0571-86613556</w:t>
            </w:r>
          </w:p>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招标方只负责提供商铺基本用房和基本水电设施，不经特别说明，一律不提供经营所用设备、设施等。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投标截止时间/地点</w:t>
            </w:r>
          </w:p>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开标时间/地点</w:t>
            </w:r>
          </w:p>
        </w:tc>
        <w:tc>
          <w:tcPr>
            <w:tcW w:w="7515" w:type="dxa"/>
            <w:noWrap w:val="0"/>
            <w:vAlign w:val="center"/>
          </w:tcPr>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spacing w:line="360" w:lineRule="auto"/>
              <w:ind w:left="-65" w:leftChars="-18"/>
              <w:jc w:val="center"/>
              <w:rPr>
                <w:rFonts w:ascii="宋体" w:hAnsi="宋体" w:cs="Arial"/>
                <w:snapToGrid w:val="0"/>
                <w:kern w:val="0"/>
                <w:sz w:val="21"/>
                <w:szCs w:val="21"/>
              </w:rPr>
            </w:pPr>
            <w:r>
              <w:rPr>
                <w:rFonts w:ascii="宋体" w:hAnsi="宋体" w:cs="Arial"/>
                <w:snapToGrid w:val="0"/>
                <w:kern w:val="0"/>
                <w:sz w:val="21"/>
                <w:szCs w:val="21"/>
              </w:rPr>
              <w:t>投标文件份数</w:t>
            </w:r>
          </w:p>
        </w:tc>
        <w:tc>
          <w:tcPr>
            <w:tcW w:w="7515" w:type="dxa"/>
            <w:noWrap w:val="0"/>
            <w:vAlign w:val="center"/>
          </w:tcPr>
          <w:p>
            <w:pPr>
              <w:pStyle w:val="18"/>
              <w:spacing w:line="360" w:lineRule="auto"/>
              <w:ind w:left="-15" w:leftChars="-9" w:hanging="17" w:hangingChars="8"/>
              <w:jc w:val="left"/>
              <w:rPr>
                <w:rFonts w:hint="eastAsia" w:hAnsi="宋体" w:cs="Arial"/>
                <w:b/>
                <w:snapToGrid w:val="0"/>
                <w:kern w:val="0"/>
                <w:szCs w:val="21"/>
              </w:rPr>
            </w:pPr>
            <w:r>
              <w:rPr>
                <w:rFonts w:hint="eastAsia" w:hAnsi="宋体" w:cs="Arial"/>
                <w:b/>
                <w:snapToGrid w:val="0"/>
                <w:kern w:val="0"/>
                <w:szCs w:val="21"/>
              </w:rPr>
              <w:t>★</w:t>
            </w:r>
            <w:r>
              <w:rPr>
                <w:rFonts w:hint="eastAsia" w:hAnsi="宋体" w:cs="Arial"/>
                <w:b/>
                <w:snapToGrid w:val="0"/>
                <w:kern w:val="0"/>
                <w:szCs w:val="21"/>
                <w:highlight w:val="yellow"/>
              </w:rPr>
              <w:t>（1）纸质版：报价文件、商务技术文件分别装订成册、单独密封包装；报价文件、商务技术文件</w:t>
            </w:r>
            <w:r>
              <w:rPr>
                <w:rFonts w:hint="eastAsia" w:hAnsi="宋体" w:cs="Arial"/>
                <w:b/>
                <w:snapToGrid w:val="0"/>
                <w:kern w:val="0"/>
                <w:szCs w:val="21"/>
                <w:highlight w:val="yellow"/>
              </w:rPr>
              <w:t>各</w:t>
            </w:r>
            <w:r>
              <w:rPr>
                <w:rFonts w:hint="eastAsia" w:hAnsi="宋体" w:cs="Arial"/>
                <w:b/>
                <w:snapToGrid w:val="0"/>
                <w:kern w:val="0"/>
                <w:szCs w:val="21"/>
                <w:highlight w:val="yellow"/>
              </w:rPr>
              <w:t>正本一份</w:t>
            </w:r>
            <w:r>
              <w:rPr>
                <w:rFonts w:hint="eastAsia" w:hAnsi="宋体" w:cs="Arial"/>
                <w:b/>
                <w:snapToGrid w:val="0"/>
                <w:kern w:val="0"/>
                <w:szCs w:val="21"/>
                <w:highlight w:val="yellow"/>
              </w:rPr>
              <w:t>、</w:t>
            </w:r>
            <w:r>
              <w:rPr>
                <w:rFonts w:hint="eastAsia" w:hAnsi="宋体" w:cs="Arial"/>
                <w:b/>
                <w:snapToGrid w:val="0"/>
                <w:kern w:val="0"/>
                <w:szCs w:val="21"/>
                <w:highlight w:val="yellow"/>
              </w:rPr>
              <w:t>副本</w:t>
            </w:r>
            <w:r>
              <w:rPr>
                <w:rFonts w:hint="eastAsia" w:hAnsi="宋体" w:cs="Arial"/>
                <w:b/>
                <w:snapToGrid w:val="0"/>
                <w:kern w:val="0"/>
                <w:szCs w:val="21"/>
                <w:highlight w:val="yellow"/>
              </w:rPr>
              <w:t>五</w:t>
            </w:r>
            <w:r>
              <w:rPr>
                <w:rFonts w:hint="eastAsia" w:hAnsi="宋体" w:cs="Arial"/>
                <w:b/>
                <w:snapToGrid w:val="0"/>
                <w:kern w:val="0"/>
                <w:szCs w:val="21"/>
                <w:highlight w:val="yellow"/>
              </w:rPr>
              <w:t>份。</w:t>
            </w:r>
          </w:p>
          <w:p>
            <w:pPr>
              <w:pStyle w:val="18"/>
              <w:spacing w:line="360" w:lineRule="auto"/>
              <w:ind w:left="-16" w:leftChars="-9" w:hanging="16" w:hangingChars="8"/>
              <w:jc w:val="left"/>
              <w:rPr>
                <w:rFonts w:hint="eastAsia" w:hAnsi="宋体" w:cs="Arial"/>
                <w:snapToGrid w:val="0"/>
                <w:kern w:val="0"/>
                <w:szCs w:val="21"/>
              </w:rPr>
            </w:pPr>
            <w:r>
              <w:rPr>
                <w:rFonts w:hint="eastAsia" w:hAnsi="宋体" w:cs="Arial"/>
                <w:snapToGrid w:val="0"/>
                <w:kern w:val="0"/>
                <w:szCs w:val="21"/>
              </w:rPr>
              <w:t>（2）电子版（单独装袋，密封包装）：一份，内容为已签字盖章的商务技术文件的正本的扫描件，PDF格式，U盘存储。</w:t>
            </w:r>
          </w:p>
          <w:p>
            <w:pPr>
              <w:pStyle w:val="18"/>
              <w:spacing w:line="360" w:lineRule="auto"/>
              <w:ind w:left="-16" w:leftChars="-9" w:hanging="16" w:hangingChars="8"/>
              <w:jc w:val="left"/>
              <w:rPr>
                <w:rFonts w:hAnsi="宋体" w:cs="Arial"/>
                <w:snapToGrid w:val="0"/>
                <w:kern w:val="0"/>
                <w:szCs w:val="21"/>
              </w:rPr>
            </w:pPr>
            <w:r>
              <w:rPr>
                <w:rFonts w:hint="eastAsia" w:hAnsi="宋体" w:cs="Arial"/>
                <w:snapToGrid w:val="0"/>
                <w:kern w:val="0"/>
                <w:szCs w:val="21"/>
              </w:rPr>
              <w:t>★投标文件正、副本份数不足，投标无效。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spacing w:line="360" w:lineRule="auto"/>
              <w:ind w:left="-65" w:leftChars="-18"/>
              <w:jc w:val="center"/>
              <w:rPr>
                <w:rFonts w:hint="eastAsia" w:ascii="宋体" w:hAnsi="宋体" w:cs="Arial"/>
                <w:snapToGrid w:val="0"/>
                <w:kern w:val="0"/>
                <w:sz w:val="21"/>
                <w:szCs w:val="21"/>
              </w:rPr>
            </w:pPr>
            <w:r>
              <w:rPr>
                <w:rFonts w:hint="eastAsia" w:ascii="宋体" w:hAnsi="宋体" w:cs="Arial"/>
                <w:snapToGrid w:val="0"/>
                <w:kern w:val="0"/>
                <w:sz w:val="21"/>
                <w:szCs w:val="21"/>
              </w:rPr>
              <w:t>评标办法</w:t>
            </w:r>
          </w:p>
        </w:tc>
        <w:tc>
          <w:tcPr>
            <w:tcW w:w="7515" w:type="dxa"/>
            <w:noWrap w:val="0"/>
            <w:vAlign w:val="center"/>
          </w:tcPr>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autoSpaceDE w:val="0"/>
              <w:autoSpaceDN w:val="0"/>
              <w:spacing w:line="360" w:lineRule="auto"/>
              <w:ind w:left="-65" w:leftChars="-18"/>
              <w:jc w:val="center"/>
              <w:textAlignment w:val="bottom"/>
              <w:rPr>
                <w:rFonts w:hint="eastAsia" w:ascii="宋体" w:hAnsi="宋体" w:cs="Arial"/>
                <w:snapToGrid w:val="0"/>
                <w:kern w:val="0"/>
                <w:sz w:val="21"/>
                <w:szCs w:val="21"/>
              </w:rPr>
            </w:pPr>
            <w:r>
              <w:rPr>
                <w:rFonts w:hint="eastAsia" w:ascii="宋体" w:hAnsi="宋体" w:cs="Arial"/>
                <w:snapToGrid w:val="0"/>
                <w:kern w:val="0"/>
                <w:sz w:val="21"/>
                <w:szCs w:val="21"/>
              </w:rPr>
              <w:t>中标公示</w:t>
            </w:r>
          </w:p>
        </w:tc>
        <w:tc>
          <w:tcPr>
            <w:tcW w:w="7515" w:type="dxa"/>
            <w:noWrap w:val="0"/>
            <w:vAlign w:val="center"/>
          </w:tcPr>
          <w:p>
            <w:pPr>
              <w:autoSpaceDE w:val="0"/>
              <w:autoSpaceDN w:val="0"/>
              <w:spacing w:line="360" w:lineRule="auto"/>
              <w:ind w:left="-16" w:leftChars="-9" w:hanging="16" w:hangingChars="8"/>
              <w:jc w:val="left"/>
              <w:textAlignment w:val="bottom"/>
              <w:rPr>
                <w:rFonts w:ascii="宋体" w:hAnsi="宋体" w:cs="Arial"/>
                <w:snapToGrid w:val="0"/>
                <w:kern w:val="0"/>
                <w:sz w:val="21"/>
                <w:szCs w:val="21"/>
              </w:rPr>
            </w:pPr>
            <w:r>
              <w:rPr>
                <w:rFonts w:hint="eastAsia" w:ascii="宋体" w:hAnsi="宋体" w:cs="Arial"/>
                <w:snapToGrid w:val="0"/>
                <w:kern w:val="0"/>
                <w:sz w:val="21"/>
                <w:szCs w:val="21"/>
              </w:rPr>
              <w:t>浙江省政府采购网官网（http://www.zjzfcg.gov.cn/index/index.html?_=1529056293497）及浙江中医药大学官网（http://www.zcmu.edu.cn）上发布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spacing w:line="360" w:lineRule="auto"/>
              <w:ind w:left="-65" w:leftChars="-18"/>
              <w:jc w:val="center"/>
              <w:rPr>
                <w:rFonts w:hint="eastAsia" w:ascii="宋体" w:hAnsi="宋体" w:cs="Arial"/>
                <w:snapToGrid w:val="0"/>
                <w:kern w:val="0"/>
                <w:sz w:val="21"/>
                <w:szCs w:val="21"/>
              </w:rPr>
            </w:pPr>
            <w:r>
              <w:rPr>
                <w:rFonts w:hint="eastAsia" w:ascii="宋体" w:hAnsi="宋体" w:cs="Arial"/>
                <w:snapToGrid w:val="0"/>
                <w:kern w:val="0"/>
                <w:sz w:val="21"/>
                <w:szCs w:val="21"/>
              </w:rPr>
              <w:t>招标代理服务费</w:t>
            </w:r>
          </w:p>
        </w:tc>
        <w:tc>
          <w:tcPr>
            <w:tcW w:w="7515" w:type="dxa"/>
            <w:noWrap w:val="0"/>
            <w:vAlign w:val="center"/>
          </w:tcPr>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1.参照国家发改委发改办价格[2003]857号通知和原国家计[2002]1980号文件规定的招标费率标准8折收取服务费，不足3000元按3000元收取。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2181" w:type="dxa"/>
            <w:noWrap w:val="0"/>
            <w:vAlign w:val="center"/>
          </w:tcPr>
          <w:p>
            <w:pPr>
              <w:spacing w:line="360" w:lineRule="auto"/>
              <w:ind w:left="-65" w:leftChars="-18"/>
              <w:jc w:val="center"/>
              <w:rPr>
                <w:rFonts w:hint="eastAsia" w:ascii="宋体" w:hAnsi="宋体" w:cs="Arial"/>
                <w:snapToGrid w:val="0"/>
                <w:kern w:val="0"/>
                <w:sz w:val="21"/>
                <w:szCs w:val="21"/>
              </w:rPr>
            </w:pPr>
            <w:r>
              <w:rPr>
                <w:rFonts w:hint="eastAsia" w:ascii="宋体" w:hAnsi="宋体" w:cs="Arial"/>
                <w:snapToGrid w:val="0"/>
                <w:kern w:val="0"/>
                <w:sz w:val="21"/>
                <w:szCs w:val="21"/>
              </w:rPr>
              <w:t>中标后的注意事项：</w:t>
            </w:r>
          </w:p>
        </w:tc>
        <w:tc>
          <w:tcPr>
            <w:tcW w:w="7515" w:type="dxa"/>
            <w:noWrap w:val="0"/>
            <w:vAlign w:val="center"/>
          </w:tcPr>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1.中标人在中标之后领取通知书之前，应向招标代理机构交纳招标代理服务费。</w:t>
            </w:r>
          </w:p>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若中标人未在约定时间内支付招标代理服务费，从逾期之日起按日利率千分之一承担违约金。</w:t>
            </w:r>
          </w:p>
          <w:p>
            <w:pPr>
              <w:spacing w:line="360" w:lineRule="auto"/>
              <w:ind w:left="-16" w:leftChars="-9" w:hanging="16" w:hangingChars="8"/>
              <w:jc w:val="left"/>
              <w:rPr>
                <w:rFonts w:hint="eastAsia" w:ascii="宋体" w:hAnsi="宋体" w:cs="Arial"/>
                <w:snapToGrid w:val="0"/>
                <w:kern w:val="0"/>
                <w:sz w:val="21"/>
                <w:szCs w:val="21"/>
              </w:rPr>
            </w:pPr>
            <w:r>
              <w:rPr>
                <w:rFonts w:hint="eastAsia" w:ascii="宋体" w:hAnsi="宋体" w:cs="Arial"/>
                <w:snapToGrid w:val="0"/>
                <w:kern w:val="0"/>
                <w:sz w:val="21"/>
                <w:szCs w:val="21"/>
              </w:rPr>
              <w:t>2.若中标人未按上述规定办理，需承担招标代理机构为实现债权的所有费用（包括但不限于律师费、催讨车旅费、保全担保费等）。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5" w:hRule="atLeast"/>
          <w:jc w:val="center"/>
        </w:trPr>
        <w:tc>
          <w:tcPr>
            <w:tcW w:w="2181" w:type="dxa"/>
            <w:noWrap w:val="0"/>
            <w:vAlign w:val="center"/>
          </w:tcPr>
          <w:p>
            <w:pPr>
              <w:adjustRightInd w:val="0"/>
              <w:snapToGrid w:val="0"/>
              <w:spacing w:line="360" w:lineRule="auto"/>
              <w:jc w:val="center"/>
              <w:rPr>
                <w:rFonts w:hint="eastAsia" w:ascii="宋体" w:hAnsi="宋体" w:cs="Arial"/>
                <w:snapToGrid w:val="0"/>
                <w:kern w:val="0"/>
                <w:sz w:val="21"/>
                <w:szCs w:val="21"/>
              </w:rPr>
            </w:pPr>
            <w:r>
              <w:rPr>
                <w:rFonts w:hint="eastAsia" w:ascii="宋体" w:hAnsi="宋体" w:cs="Arial"/>
                <w:snapToGrid w:val="0"/>
                <w:kern w:val="0"/>
                <w:sz w:val="21"/>
                <w:szCs w:val="21"/>
              </w:rPr>
              <w:t>注意事项</w:t>
            </w:r>
          </w:p>
        </w:tc>
        <w:tc>
          <w:tcPr>
            <w:tcW w:w="7515" w:type="dxa"/>
            <w:noWrap w:val="0"/>
            <w:vAlign w:val="center"/>
          </w:tcPr>
          <w:p>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请投标人仔细阅读招标文件，其中有的条款已以带“★”、加粗、加下划线的形式强调，这些特别强调的条款是重要条款，将在评标过程中量化。对带“★”的条款投标人必须作出实质性响应。</w:t>
            </w:r>
          </w:p>
        </w:tc>
      </w:tr>
    </w:tbl>
    <w:p>
      <w:pPr>
        <w:pStyle w:val="25"/>
        <w:tabs>
          <w:tab w:val="right" w:leader="dot" w:pos="9061"/>
        </w:tabs>
        <w:spacing w:line="360" w:lineRule="auto"/>
        <w:rPr>
          <w:rFonts w:ascii="Arial" w:hAnsi="Arial"/>
          <w:kern w:val="0"/>
          <w:szCs w:val="21"/>
        </w:rPr>
      </w:pPr>
    </w:p>
    <w:p>
      <w:pPr>
        <w:pStyle w:val="3"/>
        <w:spacing w:line="360" w:lineRule="auto"/>
        <w:rPr>
          <w:rFonts w:ascii="Arial" w:hAnsi="Arial" w:eastAsia="黑体" w:cs="Arial"/>
          <w:snapToGrid w:val="0"/>
          <w:kern w:val="0"/>
          <w:sz w:val="30"/>
        </w:rPr>
      </w:pPr>
      <w:r>
        <w:rPr>
          <w:rFonts w:ascii="Arial" w:hAnsi="Arial" w:eastAsia="黑体" w:cs="Arial"/>
          <w:snapToGrid w:val="0"/>
          <w:kern w:val="0"/>
          <w:sz w:val="30"/>
        </w:rPr>
        <w:br w:type="page"/>
      </w:r>
      <w:bookmarkStart w:id="7" w:name="_Toc2520"/>
      <w:r>
        <w:rPr>
          <w:rFonts w:ascii="Arial" w:hAnsi="Arial" w:eastAsia="黑体" w:cs="Arial"/>
          <w:snapToGrid w:val="0"/>
          <w:kern w:val="0"/>
          <w:sz w:val="30"/>
        </w:rPr>
        <w:t>第</w:t>
      </w:r>
      <w:r>
        <w:rPr>
          <w:rFonts w:hint="eastAsia" w:ascii="Arial" w:hAnsi="Arial" w:eastAsia="黑体" w:cs="Arial"/>
          <w:snapToGrid w:val="0"/>
          <w:kern w:val="0"/>
          <w:sz w:val="30"/>
        </w:rPr>
        <w:t>一</w:t>
      </w:r>
      <w:r>
        <w:rPr>
          <w:rFonts w:ascii="Arial" w:hAnsi="Arial" w:eastAsia="黑体" w:cs="Arial"/>
          <w:snapToGrid w:val="0"/>
          <w:kern w:val="0"/>
          <w:sz w:val="30"/>
        </w:rPr>
        <w:t>部分  招标</w:t>
      </w:r>
      <w:r>
        <w:rPr>
          <w:rFonts w:hint="eastAsia" w:ascii="Arial" w:hAnsi="Arial" w:eastAsia="黑体" w:cs="Arial"/>
          <w:snapToGrid w:val="0"/>
          <w:kern w:val="0"/>
          <w:sz w:val="30"/>
        </w:rPr>
        <w:t>范围</w:t>
      </w:r>
      <w:r>
        <w:rPr>
          <w:rFonts w:ascii="Arial" w:hAnsi="Arial" w:eastAsia="黑体" w:cs="Arial"/>
          <w:snapToGrid w:val="0"/>
          <w:kern w:val="0"/>
          <w:sz w:val="30"/>
        </w:rPr>
        <w:t>及</w:t>
      </w:r>
      <w:r>
        <w:rPr>
          <w:rFonts w:hint="eastAsia" w:ascii="Arial" w:hAnsi="Arial" w:eastAsia="黑体" w:cs="Arial"/>
          <w:snapToGrid w:val="0"/>
          <w:kern w:val="0"/>
          <w:sz w:val="30"/>
        </w:rPr>
        <w:t>内容</w:t>
      </w:r>
      <w:r>
        <w:rPr>
          <w:rFonts w:ascii="Arial" w:hAnsi="Arial" w:eastAsia="黑体" w:cs="Arial"/>
          <w:snapToGrid w:val="0"/>
          <w:kern w:val="0"/>
          <w:sz w:val="30"/>
        </w:rPr>
        <w:t>要求</w:t>
      </w:r>
      <w:bookmarkEnd w:id="7"/>
    </w:p>
    <w:p>
      <w:pPr>
        <w:pStyle w:val="3"/>
        <w:snapToGrid w:val="0"/>
        <w:spacing w:line="360" w:lineRule="auto"/>
        <w:jc w:val="both"/>
        <w:rPr>
          <w:rFonts w:hint="eastAsia" w:ascii="Arial" w:hAnsi="Arial"/>
          <w:kern w:val="0"/>
          <w:sz w:val="21"/>
          <w:szCs w:val="21"/>
        </w:rPr>
      </w:pPr>
      <w:bookmarkStart w:id="8" w:name="_Toc421869900"/>
      <w:bookmarkStart w:id="9" w:name="_Toc5992"/>
      <w:r>
        <w:rPr>
          <w:rFonts w:ascii="Arial" w:hAnsi="Arial"/>
          <w:kern w:val="0"/>
          <w:sz w:val="21"/>
          <w:szCs w:val="21"/>
        </w:rPr>
        <w:t>一、招标</w:t>
      </w:r>
      <w:r>
        <w:rPr>
          <w:rFonts w:hint="eastAsia" w:ascii="Arial" w:hAnsi="Arial" w:cs="Arial"/>
          <w:kern w:val="0"/>
          <w:sz w:val="21"/>
          <w:szCs w:val="21"/>
        </w:rPr>
        <w:t>范围</w:t>
      </w:r>
      <w:bookmarkEnd w:id="8"/>
      <w:bookmarkEnd w:id="9"/>
    </w:p>
    <w:p>
      <w:pPr>
        <w:adjustRightInd w:val="0"/>
        <w:snapToGrid w:val="0"/>
        <w:spacing w:line="360" w:lineRule="auto"/>
        <w:rPr>
          <w:rFonts w:hint="eastAsia" w:ascii="Arial" w:hAnsi="Arial"/>
          <w:sz w:val="21"/>
          <w:szCs w:val="21"/>
        </w:rPr>
      </w:pPr>
      <w:bookmarkStart w:id="10" w:name="_Toc158865433"/>
      <w:r>
        <w:rPr>
          <w:rFonts w:hint="eastAsia" w:ascii="Arial" w:hAnsi="Arial"/>
          <w:sz w:val="21"/>
          <w:szCs w:val="21"/>
        </w:rPr>
        <w:t xml:space="preserve">    滨文校区学生宿舍6号楼商铺招租（超市），总承租期3年，期限为2019年7月1日至2022年6月30日。</w:t>
      </w:r>
    </w:p>
    <w:p>
      <w:pPr>
        <w:pStyle w:val="3"/>
        <w:snapToGrid w:val="0"/>
        <w:spacing w:line="360" w:lineRule="auto"/>
        <w:jc w:val="both"/>
        <w:rPr>
          <w:rFonts w:hint="eastAsia" w:ascii="Arial" w:hAnsi="Arial"/>
          <w:kern w:val="0"/>
          <w:sz w:val="21"/>
          <w:szCs w:val="21"/>
        </w:rPr>
      </w:pPr>
      <w:bookmarkStart w:id="11" w:name="_Toc421869901"/>
      <w:bookmarkStart w:id="12" w:name="_Toc24432"/>
      <w:r>
        <w:rPr>
          <w:rFonts w:ascii="Arial" w:hAnsi="Arial"/>
          <w:kern w:val="0"/>
          <w:sz w:val="21"/>
          <w:szCs w:val="21"/>
        </w:rPr>
        <w:t>二、</w:t>
      </w:r>
      <w:bookmarkEnd w:id="10"/>
      <w:bookmarkStart w:id="13" w:name="_Toc158865434"/>
      <w:r>
        <w:rPr>
          <w:rFonts w:hint="eastAsia" w:ascii="Arial" w:hAnsi="Arial"/>
          <w:kern w:val="0"/>
          <w:sz w:val="21"/>
          <w:szCs w:val="21"/>
        </w:rPr>
        <w:t>招标</w:t>
      </w:r>
      <w:r>
        <w:rPr>
          <w:rFonts w:ascii="Arial" w:hAnsi="Arial"/>
          <w:kern w:val="0"/>
          <w:sz w:val="21"/>
          <w:szCs w:val="21"/>
        </w:rPr>
        <w:t>项目</w:t>
      </w:r>
      <w:r>
        <w:rPr>
          <w:rFonts w:hint="eastAsia" w:ascii="Arial" w:hAnsi="Arial"/>
          <w:kern w:val="0"/>
          <w:sz w:val="21"/>
          <w:szCs w:val="21"/>
        </w:rPr>
        <w:t>综述</w:t>
      </w:r>
      <w:bookmarkEnd w:id="11"/>
      <w:bookmarkEnd w:id="12"/>
      <w:bookmarkEnd w:id="13"/>
    </w:p>
    <w:p>
      <w:pPr>
        <w:numPr>
          <w:ilvl w:val="0"/>
          <w:numId w:val="6"/>
        </w:numPr>
        <w:adjustRightInd w:val="0"/>
        <w:snapToGrid w:val="0"/>
        <w:spacing w:line="360" w:lineRule="auto"/>
        <w:rPr>
          <w:rFonts w:ascii="Arial" w:hAnsi="Arial" w:cs="Arial"/>
          <w:snapToGrid w:val="0"/>
          <w:kern w:val="0"/>
          <w:sz w:val="21"/>
          <w:szCs w:val="21"/>
        </w:rPr>
      </w:pPr>
      <w:bookmarkStart w:id="14" w:name="_Toc158865435"/>
      <w:r>
        <w:rPr>
          <w:rFonts w:ascii="Arial" w:hAnsi="Arial" w:cs="Arial"/>
          <w:snapToGrid w:val="0"/>
          <w:kern w:val="0"/>
          <w:sz w:val="21"/>
          <w:szCs w:val="21"/>
        </w:rPr>
        <w:t>管理理念</w:t>
      </w:r>
      <w:r>
        <w:rPr>
          <w:rFonts w:hint="eastAsia" w:ascii="Arial" w:hAnsi="Arial" w:cs="Arial"/>
          <w:snapToGrid w:val="0"/>
          <w:kern w:val="0"/>
          <w:sz w:val="21"/>
          <w:szCs w:val="21"/>
        </w:rPr>
        <w:t>：</w:t>
      </w:r>
      <w:r>
        <w:rPr>
          <w:rFonts w:ascii="Arial" w:hAnsi="Arial" w:cs="Arial"/>
          <w:snapToGrid w:val="0"/>
          <w:kern w:val="0"/>
          <w:sz w:val="21"/>
          <w:szCs w:val="21"/>
        </w:rPr>
        <w:t>管理中坚持以人为本，营造文明、和谐、温馨的</w:t>
      </w:r>
      <w:r>
        <w:rPr>
          <w:rFonts w:hint="eastAsia" w:ascii="Arial" w:hAnsi="Arial" w:cs="Arial"/>
          <w:snapToGrid w:val="0"/>
          <w:kern w:val="0"/>
          <w:sz w:val="21"/>
          <w:szCs w:val="21"/>
        </w:rPr>
        <w:t>校园</w:t>
      </w:r>
      <w:r>
        <w:rPr>
          <w:rFonts w:ascii="Arial" w:hAnsi="Arial" w:cs="Arial"/>
          <w:snapToGrid w:val="0"/>
          <w:kern w:val="0"/>
          <w:sz w:val="21"/>
          <w:szCs w:val="21"/>
        </w:rPr>
        <w:t>环境；坚持规范化、制度化，创造一流的服务品牌；坚持服务第一，强化宗旨意识，为</w:t>
      </w:r>
      <w:r>
        <w:rPr>
          <w:rFonts w:hint="eastAsia" w:ascii="Arial" w:hAnsi="Arial" w:cs="Arial"/>
          <w:snapToGrid w:val="0"/>
          <w:kern w:val="0"/>
          <w:sz w:val="21"/>
          <w:szCs w:val="21"/>
        </w:rPr>
        <w:t>学校</w:t>
      </w:r>
      <w:r>
        <w:rPr>
          <w:rFonts w:ascii="Arial" w:hAnsi="Arial" w:cs="Arial"/>
          <w:snapToGrid w:val="0"/>
          <w:kern w:val="0"/>
          <w:sz w:val="21"/>
          <w:szCs w:val="21"/>
        </w:rPr>
        <w:t>提供优良的后勤服务。</w:t>
      </w:r>
    </w:p>
    <w:p>
      <w:pPr>
        <w:numPr>
          <w:ilvl w:val="0"/>
          <w:numId w:val="6"/>
        </w:num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管理目标</w:t>
      </w:r>
      <w:r>
        <w:rPr>
          <w:rFonts w:hint="eastAsia" w:ascii="Arial" w:hAnsi="Arial" w:cs="Arial"/>
          <w:snapToGrid w:val="0"/>
          <w:kern w:val="0"/>
          <w:sz w:val="21"/>
          <w:szCs w:val="21"/>
        </w:rPr>
        <w:t>：</w:t>
      </w:r>
      <w:r>
        <w:rPr>
          <w:rFonts w:ascii="Arial" w:hAnsi="Arial" w:cs="Arial"/>
          <w:snapToGrid w:val="0"/>
          <w:kern w:val="0"/>
          <w:sz w:val="21"/>
          <w:szCs w:val="21"/>
        </w:rPr>
        <w:t>达到</w:t>
      </w:r>
      <w:r>
        <w:rPr>
          <w:rFonts w:hint="eastAsia" w:ascii="Arial" w:hAnsi="Arial" w:cs="Arial"/>
          <w:snapToGrid w:val="0"/>
          <w:kern w:val="0"/>
          <w:sz w:val="21"/>
          <w:szCs w:val="21"/>
        </w:rPr>
        <w:t>“</w:t>
      </w:r>
      <w:r>
        <w:rPr>
          <w:rFonts w:ascii="Arial" w:hAnsi="Arial" w:cs="Arial"/>
          <w:snapToGrid w:val="0"/>
          <w:kern w:val="0"/>
          <w:sz w:val="21"/>
          <w:szCs w:val="21"/>
        </w:rPr>
        <w:t>三优一保证</w:t>
      </w:r>
      <w:r>
        <w:rPr>
          <w:rFonts w:hint="eastAsia" w:ascii="Arial" w:hAnsi="Arial" w:cs="Arial"/>
          <w:snapToGrid w:val="0"/>
          <w:kern w:val="0"/>
          <w:sz w:val="21"/>
          <w:szCs w:val="21"/>
        </w:rPr>
        <w:t>”</w:t>
      </w:r>
      <w:r>
        <w:rPr>
          <w:rFonts w:ascii="Arial" w:hAnsi="Arial" w:cs="Arial"/>
          <w:snapToGrid w:val="0"/>
          <w:kern w:val="0"/>
          <w:sz w:val="21"/>
          <w:szCs w:val="21"/>
        </w:rPr>
        <w:t>（优美环境、优质服务、优化功能、保证安全）</w:t>
      </w:r>
      <w:r>
        <w:rPr>
          <w:rFonts w:hint="eastAsia" w:ascii="Arial" w:hAnsi="Arial" w:cs="Arial"/>
          <w:snapToGrid w:val="0"/>
          <w:kern w:val="0"/>
          <w:sz w:val="21"/>
          <w:szCs w:val="21"/>
        </w:rPr>
        <w:t>。</w:t>
      </w:r>
    </w:p>
    <w:p>
      <w:pPr>
        <w:numPr>
          <w:ilvl w:val="0"/>
          <w:numId w:val="6"/>
        </w:num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管理方式</w:t>
      </w:r>
      <w:r>
        <w:rPr>
          <w:rFonts w:hint="eastAsia" w:ascii="Arial" w:hAnsi="Arial" w:cs="Arial"/>
          <w:snapToGrid w:val="0"/>
          <w:kern w:val="0"/>
          <w:sz w:val="21"/>
          <w:szCs w:val="21"/>
        </w:rPr>
        <w:t>：</w:t>
      </w:r>
      <w:r>
        <w:rPr>
          <w:rFonts w:ascii="Arial" w:hAnsi="Arial" w:cs="Arial"/>
          <w:snapToGrid w:val="0"/>
          <w:kern w:val="0"/>
          <w:sz w:val="21"/>
          <w:szCs w:val="21"/>
        </w:rPr>
        <w:t>本着服务社会化的改革方向，采取市场化运作，由</w:t>
      </w:r>
      <w:r>
        <w:rPr>
          <w:rFonts w:hint="eastAsia" w:ascii="Arial" w:hAnsi="Arial" w:cs="Arial"/>
          <w:snapToGrid w:val="0"/>
          <w:kern w:val="0"/>
          <w:sz w:val="21"/>
          <w:szCs w:val="21"/>
        </w:rPr>
        <w:t>校方</w:t>
      </w:r>
      <w:r>
        <w:rPr>
          <w:rFonts w:ascii="Arial" w:hAnsi="Arial" w:cs="Arial"/>
          <w:snapToGrid w:val="0"/>
          <w:kern w:val="0"/>
          <w:sz w:val="21"/>
          <w:szCs w:val="21"/>
        </w:rPr>
        <w:t>进行</w:t>
      </w:r>
      <w:r>
        <w:rPr>
          <w:rFonts w:hint="eastAsia" w:ascii="Arial" w:hAnsi="Arial" w:cs="Arial"/>
          <w:snapToGrid w:val="0"/>
          <w:kern w:val="0"/>
          <w:sz w:val="21"/>
          <w:szCs w:val="21"/>
        </w:rPr>
        <w:t>统一</w:t>
      </w:r>
      <w:r>
        <w:rPr>
          <w:rFonts w:ascii="Arial" w:hAnsi="Arial" w:cs="Arial"/>
          <w:snapToGrid w:val="0"/>
          <w:kern w:val="0"/>
          <w:sz w:val="21"/>
          <w:szCs w:val="21"/>
        </w:rPr>
        <w:t>管理。</w:t>
      </w:r>
      <w:bookmarkEnd w:id="14"/>
      <w:bookmarkStart w:id="15" w:name="_Toc174420629"/>
    </w:p>
    <w:p>
      <w:pPr>
        <w:pStyle w:val="3"/>
        <w:snapToGrid w:val="0"/>
        <w:spacing w:line="360" w:lineRule="auto"/>
        <w:jc w:val="both"/>
        <w:rPr>
          <w:rFonts w:hint="eastAsia" w:ascii="Arial" w:hAnsi="Arial"/>
          <w:kern w:val="0"/>
          <w:sz w:val="21"/>
          <w:szCs w:val="21"/>
        </w:rPr>
      </w:pPr>
      <w:bookmarkStart w:id="16" w:name="_Toc421869902"/>
      <w:bookmarkStart w:id="17" w:name="_Toc18842"/>
      <w:r>
        <w:rPr>
          <w:rFonts w:hint="eastAsia" w:ascii="Arial" w:hAnsi="Arial"/>
          <w:kern w:val="0"/>
          <w:sz w:val="21"/>
          <w:szCs w:val="21"/>
        </w:rPr>
        <w:t>三、</w:t>
      </w:r>
      <w:r>
        <w:rPr>
          <w:rFonts w:ascii="Arial" w:hAnsi="Arial"/>
          <w:kern w:val="0"/>
          <w:sz w:val="21"/>
          <w:szCs w:val="21"/>
        </w:rPr>
        <w:t>内容要求</w:t>
      </w:r>
      <w:bookmarkEnd w:id="15"/>
      <w:bookmarkEnd w:id="16"/>
      <w:bookmarkEnd w:id="17"/>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1、经营管理要求</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（1）中标人必须按照所签租赁合同的规定，经营指定范围内的商品。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（2）中标人必须自行办理营业执照，而且每年必须向招标人提供有效的营业执照（工商年检合格）副本复印件。</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（3）未经招标人同意，中标人不得在经营区域内悬挂张贴广告。</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（4）须依法经营，明码标价，不得哄抬物价，牟取暴利，价格不得高于滨江高教园区周边大型超市的平均价格。</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（5）应确保所聘用人员和所进出货物的安全可靠性，不得经营和存放易燃易爆品，危禁品，不得使用液化气或液体酒精。</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（6）应自觉维护各项设备、设施的正常使用。营业人员操作不当或有意损坏的行为，中标人应承担直接责任。</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（7）未经招标人同意，中标人不得擅自增加用电及照明设备。</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（8）应在指定位置悬挂营业执照及卫生许可证，特许经营品要悬挂特许经营许可证。</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2、商品管理要求</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（1）经营的专利产品和特许经营产品，必须提供有关国家和地区厂商出具的授权（代理）经营书和中国政府部门出具的特许经营许可证。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（2）经营的商品和食品必须提交工商、税务、食品卫生检疫部门出具的营业执照、税务登记证及卫生检疫证明。</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中标人拥有正规的进货渠道、价格不能高于同类超市价格；经营的产品必须有可靠的质量保证，产品必须明确的说明产地、厂家、生产日期、保质期等，国外商品应有中文标识。对国家有明文规定的商品，按国家标准规定执行。严禁销售假冒伪劣、不合格商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（4）向招标人提供每批次商品的供货渠道。</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（5）接受政府各相关管理、执法部门检查。</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3、人员管理要求</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snapToGrid w:val="0"/>
          <w:kern w:val="0"/>
          <w:sz w:val="21"/>
          <w:szCs w:val="21"/>
        </w:rPr>
        <w:t>（1）应指定一名负责人，负责所投资的商业场所日常管理工作，并承担联系，沟通及协调经营中发生的问题。</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（2）招聘的人员应持有以下证件（证明）：身份证、健康证、当地***证明（无劣迹证明）、务工证。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（3）营业人员的招聘，由中标人独立进行。须报招标人审查合格后方可上岗作业。</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（4）营业人员在岗工作期间应遵守校方有关管理规定，提供优质服务。人员信息应及时报采购人备案。</w:t>
      </w:r>
    </w:p>
    <w:p>
      <w:pPr>
        <w:adjustRightInd w:val="0"/>
        <w:snapToGrid w:val="0"/>
        <w:spacing w:line="360" w:lineRule="auto"/>
        <w:rPr>
          <w:rFonts w:hint="eastAsia" w:ascii="宋体" w:hAnsi="宋体" w:cs="Arial"/>
          <w:b/>
          <w:snapToGrid w:val="0"/>
          <w:kern w:val="0"/>
          <w:sz w:val="21"/>
          <w:szCs w:val="21"/>
        </w:rPr>
      </w:pPr>
      <w:r>
        <w:rPr>
          <w:rFonts w:hint="eastAsia" w:ascii="宋体" w:hAnsi="宋体" w:cs="Arial"/>
          <w:b/>
          <w:snapToGrid w:val="0"/>
          <w:kern w:val="0"/>
          <w:sz w:val="21"/>
          <w:szCs w:val="21"/>
        </w:rPr>
        <w:t>4、特别说明</w:t>
      </w:r>
    </w:p>
    <w:p>
      <w:pPr>
        <w:adjustRightInd w:val="0"/>
        <w:snapToGrid w:val="0"/>
        <w:spacing w:line="360" w:lineRule="auto"/>
        <w:rPr>
          <w:rFonts w:hint="eastAsia" w:ascii="宋体" w:hAnsi="宋体"/>
          <w:sz w:val="21"/>
          <w:szCs w:val="21"/>
        </w:rPr>
      </w:pPr>
      <w:r>
        <w:rPr>
          <w:rFonts w:hint="eastAsia" w:ascii="宋体" w:hAnsi="宋体" w:cs="Arial"/>
          <w:snapToGrid w:val="0"/>
          <w:kern w:val="0"/>
          <w:sz w:val="21"/>
          <w:szCs w:val="21"/>
        </w:rPr>
        <w:t>1、</w:t>
      </w:r>
      <w:r>
        <w:rPr>
          <w:rFonts w:hint="eastAsia" w:ascii="宋体" w:hAnsi="宋体"/>
          <w:sz w:val="21"/>
          <w:szCs w:val="21"/>
        </w:rPr>
        <w:t>中标人必须严格按照招标方要求的经营范围并经工商管理部门核定审批后进行经营；中标人须在合同签订后三个月内办理营业执照和税务登记、卫生、环保、消防等相关经营证照；经营场所所需的相关证照按国家有关规定自行办理，费用自理。</w:t>
      </w:r>
    </w:p>
    <w:p>
      <w:pPr>
        <w:adjustRightInd w:val="0"/>
        <w:snapToGrid w:val="0"/>
        <w:spacing w:line="360" w:lineRule="auto"/>
        <w:rPr>
          <w:rFonts w:hint="eastAsia" w:ascii="宋体" w:hAnsi="宋体"/>
          <w:sz w:val="21"/>
          <w:szCs w:val="21"/>
        </w:rPr>
      </w:pPr>
      <w:r>
        <w:rPr>
          <w:rFonts w:hint="eastAsia" w:ascii="宋体" w:hAnsi="宋体"/>
          <w:sz w:val="21"/>
          <w:szCs w:val="21"/>
        </w:rPr>
        <w:t>2、中标人的工作人员由中标人自行管理，福利待遇、人员培训、体检、丧残疾病、用工风险等所有费用均由中标人自行承担；</w:t>
      </w:r>
    </w:p>
    <w:p>
      <w:pPr>
        <w:adjustRightInd w:val="0"/>
        <w:snapToGrid w:val="0"/>
        <w:spacing w:line="360" w:lineRule="auto"/>
        <w:rPr>
          <w:rFonts w:hint="eastAsia" w:ascii="宋体" w:hAnsi="宋体"/>
          <w:sz w:val="21"/>
          <w:szCs w:val="21"/>
        </w:rPr>
      </w:pPr>
      <w:r>
        <w:rPr>
          <w:rFonts w:hint="eastAsia" w:ascii="宋体" w:hAnsi="宋体" w:cs="Arial"/>
          <w:snapToGrid w:val="0"/>
          <w:kern w:val="0"/>
          <w:sz w:val="21"/>
          <w:szCs w:val="21"/>
        </w:rPr>
        <w:t>3、</w:t>
      </w:r>
      <w:r>
        <w:rPr>
          <w:rFonts w:hint="eastAsia" w:ascii="宋体" w:hAnsi="宋体"/>
          <w:sz w:val="21"/>
          <w:szCs w:val="21"/>
        </w:rPr>
        <w:t>中标人不得改变房屋用途、超范围经营或转包给第三方；</w:t>
      </w:r>
    </w:p>
    <w:p>
      <w:pPr>
        <w:adjustRightInd w:val="0"/>
        <w:snapToGrid w:val="0"/>
        <w:spacing w:line="360" w:lineRule="auto"/>
        <w:rPr>
          <w:rFonts w:hint="eastAsia" w:ascii="宋体" w:hAnsi="宋体"/>
          <w:sz w:val="21"/>
          <w:szCs w:val="21"/>
        </w:rPr>
      </w:pPr>
      <w:r>
        <w:rPr>
          <w:rFonts w:hint="eastAsia" w:ascii="宋体" w:hAnsi="宋体"/>
          <w:sz w:val="21"/>
          <w:szCs w:val="21"/>
        </w:rPr>
        <w:t>4、中标人需按招标人要求统一标准配置灭火器，每年统一进行加压换粉，相关费用由中标人自理；</w:t>
      </w:r>
    </w:p>
    <w:p>
      <w:pPr>
        <w:adjustRightInd w:val="0"/>
        <w:snapToGrid w:val="0"/>
        <w:spacing w:line="360" w:lineRule="auto"/>
        <w:rPr>
          <w:rFonts w:hint="eastAsia" w:ascii="宋体" w:hAnsi="宋体"/>
          <w:sz w:val="21"/>
          <w:szCs w:val="21"/>
        </w:rPr>
      </w:pPr>
      <w:r>
        <w:rPr>
          <w:rFonts w:hint="eastAsia" w:ascii="宋体" w:hAnsi="宋体"/>
          <w:sz w:val="21"/>
          <w:szCs w:val="21"/>
        </w:rPr>
        <w:t>5、中标人承担经营场所范围内的独立法律责任；</w:t>
      </w:r>
    </w:p>
    <w:p>
      <w:pPr>
        <w:adjustRightInd w:val="0"/>
        <w:snapToGrid w:val="0"/>
        <w:spacing w:line="360" w:lineRule="auto"/>
        <w:rPr>
          <w:rFonts w:hint="eastAsia" w:ascii="宋体" w:hAnsi="宋体" w:cs="Arial"/>
          <w:snapToGrid w:val="0"/>
          <w:kern w:val="0"/>
          <w:sz w:val="21"/>
          <w:szCs w:val="21"/>
        </w:rPr>
      </w:pPr>
      <w:r>
        <w:rPr>
          <w:rFonts w:hint="eastAsia" w:ascii="宋体" w:hAnsi="宋体"/>
          <w:sz w:val="21"/>
          <w:szCs w:val="21"/>
        </w:rPr>
        <w:t>6、中标人在原材料采购中，要保证从正规渠道购进，并经过有关食品检验检疫部门的正规检验合格，必须严格执行国家相关法规。保证质量、杜绝三无产品、假冒伪劣、过期产品。一经发现承包人在经营过程中违反上述采购规定和承诺，发现一次扣除5000元履约保证金，直至扣除全部履约保证金，发现三次学校有权提前终止合同）。</w:t>
      </w:r>
    </w:p>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7、学校提供房屋、水、电改造，其他设备由中标人承担，水电等费用等按照杭州市商业用水、用电收费标准自理；</w:t>
      </w:r>
    </w:p>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8、</w:t>
      </w:r>
      <w:r>
        <w:rPr>
          <w:rFonts w:hint="eastAsia" w:ascii="Arial" w:hAnsi="Arial"/>
          <w:sz w:val="21"/>
          <w:szCs w:val="21"/>
        </w:rPr>
        <w:t>此次招标的商业场所的内装修、柜台等，由中标人自行组织设计及施工，费用自理。设计方案须经招标人审批后（主要是外观和谐统一）才可实施，竣工后由招标人组织安全验收。场地装修验收合格后，非经招标人书面同意，中标人不得对场地进行再次装修或任何改动。装修必须符合消防要求。中标人若在合同期满不再继续承包或某种原因不再继续承包时，房屋内的吊顶、地砖、门窗等固定设施不能自行拆除。房屋水电及结构性维修由校方负责，中标人积极协助；内部设备等维修维护由中标人承担。</w:t>
      </w:r>
    </w:p>
    <w:p>
      <w:pPr>
        <w:adjustRightInd w:val="0"/>
        <w:snapToGrid w:val="0"/>
        <w:spacing w:line="360" w:lineRule="auto"/>
        <w:rPr>
          <w:rFonts w:hint="eastAsia" w:ascii="Arial" w:hAnsi="Arial"/>
          <w:sz w:val="21"/>
          <w:szCs w:val="21"/>
        </w:rPr>
      </w:pPr>
      <w:r>
        <w:rPr>
          <w:rFonts w:hint="eastAsia" w:ascii="Arial" w:hAnsi="Arial"/>
          <w:sz w:val="21"/>
          <w:szCs w:val="21"/>
        </w:rPr>
        <w:t>9、如果发生食品质量问题或师生投诉，引起一定后果，则按情节严重情况扣除部分或全部履约保证金，如果情节特别严重，招标人有权终止合同，不予任何补偿和赔偿，并依法追究相关法律责任。</w:t>
      </w:r>
    </w:p>
    <w:p>
      <w:pPr>
        <w:adjustRightInd w:val="0"/>
        <w:snapToGrid w:val="0"/>
        <w:spacing w:line="360" w:lineRule="auto"/>
        <w:rPr>
          <w:rFonts w:hint="eastAsia" w:ascii="Arial" w:hAnsi="Arial"/>
          <w:b/>
          <w:sz w:val="21"/>
          <w:szCs w:val="21"/>
        </w:rPr>
      </w:pPr>
      <w:r>
        <w:rPr>
          <w:rFonts w:hint="eastAsia" w:ascii="Arial" w:hAnsi="Arial"/>
          <w:b/>
          <w:sz w:val="21"/>
          <w:szCs w:val="21"/>
        </w:rPr>
        <w:t>10、中标人必须统一使用校园一卡通结算（按交易额的0.5%支付服务费（月最低服务费为每台50元）），学校对资金支付进行统一归口管理时，中标人必须无条件服从。</w:t>
      </w:r>
    </w:p>
    <w:p>
      <w:pPr>
        <w:pStyle w:val="3"/>
        <w:snapToGrid w:val="0"/>
        <w:spacing w:line="360" w:lineRule="auto"/>
        <w:jc w:val="both"/>
        <w:rPr>
          <w:rFonts w:hint="eastAsia" w:ascii="Arial" w:hAnsi="Arial"/>
          <w:sz w:val="21"/>
          <w:szCs w:val="21"/>
        </w:rPr>
      </w:pPr>
      <w:bookmarkStart w:id="18" w:name="_Toc18187"/>
      <w:r>
        <w:rPr>
          <w:rFonts w:hint="eastAsia" w:ascii="Arial" w:hAnsi="Arial"/>
          <w:sz w:val="21"/>
          <w:szCs w:val="21"/>
        </w:rPr>
        <w:t>11、学校根据师生需求，按合法程序引进新的经营商铺或学生创业项目进入校区开展经营活动，中标人不得干涉。</w:t>
      </w:r>
      <w:bookmarkEnd w:id="18"/>
    </w:p>
    <w:p>
      <w:pPr>
        <w:pStyle w:val="3"/>
        <w:snapToGrid w:val="0"/>
        <w:spacing w:line="360" w:lineRule="auto"/>
        <w:jc w:val="both"/>
        <w:rPr>
          <w:rFonts w:hint="eastAsia" w:ascii="Arial" w:hAnsi="Arial"/>
          <w:kern w:val="0"/>
          <w:sz w:val="21"/>
          <w:szCs w:val="21"/>
        </w:rPr>
      </w:pPr>
      <w:bookmarkStart w:id="19" w:name="_Toc421869903"/>
      <w:bookmarkStart w:id="20" w:name="_Toc21215"/>
      <w:r>
        <w:rPr>
          <w:rFonts w:hint="eastAsia" w:ascii="Arial" w:hAnsi="Arial"/>
          <w:kern w:val="0"/>
          <w:sz w:val="21"/>
          <w:szCs w:val="21"/>
        </w:rPr>
        <w:t>四、区域、经营业态、面积、限价及标段一览表</w:t>
      </w:r>
      <w:bookmarkEnd w:id="19"/>
      <w:bookmarkEnd w:id="2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44"/>
        <w:gridCol w:w="1523"/>
        <w:gridCol w:w="139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2" w:type="dxa"/>
            <w:noWrap w:val="0"/>
            <w:vAlign w:val="center"/>
          </w:tcPr>
          <w:p>
            <w:pPr>
              <w:spacing w:line="360" w:lineRule="auto"/>
              <w:jc w:val="center"/>
              <w:rPr>
                <w:rFonts w:hint="eastAsia" w:ascii="宋体" w:hAnsi="宋体"/>
                <w:sz w:val="21"/>
                <w:szCs w:val="21"/>
              </w:rPr>
            </w:pPr>
            <w:r>
              <w:rPr>
                <w:rFonts w:hint="eastAsia" w:ascii="宋体" w:hAnsi="宋体"/>
                <w:sz w:val="21"/>
                <w:szCs w:val="21"/>
              </w:rPr>
              <w:t>标段</w:t>
            </w:r>
          </w:p>
        </w:tc>
        <w:tc>
          <w:tcPr>
            <w:tcW w:w="2344" w:type="dxa"/>
            <w:noWrap w:val="0"/>
            <w:vAlign w:val="center"/>
          </w:tcPr>
          <w:p>
            <w:pPr>
              <w:spacing w:line="360" w:lineRule="auto"/>
              <w:jc w:val="center"/>
              <w:rPr>
                <w:rFonts w:hint="eastAsia" w:ascii="宋体" w:hAnsi="宋体"/>
                <w:sz w:val="21"/>
                <w:szCs w:val="21"/>
              </w:rPr>
            </w:pPr>
            <w:r>
              <w:rPr>
                <w:rFonts w:hint="eastAsia" w:ascii="宋体" w:hAnsi="宋体"/>
                <w:sz w:val="21"/>
                <w:szCs w:val="21"/>
              </w:rPr>
              <w:t>招租区域</w:t>
            </w:r>
          </w:p>
        </w:tc>
        <w:tc>
          <w:tcPr>
            <w:tcW w:w="1523" w:type="dxa"/>
            <w:noWrap w:val="0"/>
            <w:vAlign w:val="center"/>
          </w:tcPr>
          <w:p>
            <w:pPr>
              <w:spacing w:line="360" w:lineRule="auto"/>
              <w:jc w:val="center"/>
              <w:rPr>
                <w:rFonts w:hint="eastAsia" w:ascii="宋体" w:hAnsi="宋体"/>
                <w:sz w:val="21"/>
                <w:szCs w:val="21"/>
              </w:rPr>
            </w:pPr>
            <w:r>
              <w:rPr>
                <w:rFonts w:hint="eastAsia" w:ascii="宋体" w:hAnsi="宋体"/>
                <w:sz w:val="21"/>
                <w:szCs w:val="21"/>
              </w:rPr>
              <w:t>经营业态</w:t>
            </w:r>
          </w:p>
        </w:tc>
        <w:tc>
          <w:tcPr>
            <w:tcW w:w="1394" w:type="dxa"/>
            <w:noWrap w:val="0"/>
            <w:vAlign w:val="center"/>
          </w:tcPr>
          <w:p>
            <w:pPr>
              <w:spacing w:line="360" w:lineRule="auto"/>
              <w:jc w:val="center"/>
              <w:rPr>
                <w:rFonts w:hint="eastAsia" w:ascii="宋体" w:hAnsi="宋体"/>
                <w:sz w:val="21"/>
                <w:szCs w:val="21"/>
              </w:rPr>
            </w:pPr>
            <w:r>
              <w:rPr>
                <w:rFonts w:hint="eastAsia" w:ascii="宋体" w:hAnsi="宋体"/>
                <w:sz w:val="21"/>
                <w:szCs w:val="21"/>
              </w:rPr>
              <w:t>面积</w:t>
            </w:r>
            <w:r>
              <w:rPr>
                <w:rFonts w:hint="eastAsia" w:ascii="宋体" w:hAnsi="宋体"/>
                <w:sz w:val="24"/>
              </w:rPr>
              <w:t>（㎡）</w:t>
            </w:r>
          </w:p>
        </w:tc>
        <w:tc>
          <w:tcPr>
            <w:tcW w:w="3076" w:type="dxa"/>
            <w:noWrap w:val="0"/>
            <w:vAlign w:val="center"/>
          </w:tcPr>
          <w:p>
            <w:pPr>
              <w:spacing w:line="360" w:lineRule="auto"/>
              <w:jc w:val="center"/>
              <w:rPr>
                <w:rFonts w:hint="eastAsia" w:ascii="宋体" w:hAnsi="宋体"/>
                <w:sz w:val="21"/>
                <w:szCs w:val="21"/>
              </w:rPr>
            </w:pPr>
            <w:r>
              <w:rPr>
                <w:rFonts w:hint="eastAsia" w:ascii="宋体" w:hAnsi="宋体"/>
                <w:sz w:val="21"/>
                <w:szCs w:val="21"/>
              </w:rPr>
              <w:t>最低限价（元/年）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 w:hRule="atLeast"/>
          <w:jc w:val="center"/>
        </w:trPr>
        <w:tc>
          <w:tcPr>
            <w:tcW w:w="702" w:type="dxa"/>
            <w:noWrap w:val="0"/>
            <w:vAlign w:val="center"/>
          </w:tcPr>
          <w:p>
            <w:pPr>
              <w:spacing w:line="360" w:lineRule="auto"/>
              <w:jc w:val="center"/>
              <w:rPr>
                <w:rFonts w:hint="eastAsia" w:ascii="宋体" w:hAnsi="宋体"/>
                <w:sz w:val="21"/>
                <w:szCs w:val="21"/>
              </w:rPr>
            </w:pPr>
            <w:r>
              <w:rPr>
                <w:rFonts w:hint="eastAsia" w:ascii="宋体" w:hAnsi="宋体"/>
                <w:sz w:val="21"/>
                <w:szCs w:val="21"/>
              </w:rPr>
              <w:t>1</w:t>
            </w:r>
          </w:p>
        </w:tc>
        <w:tc>
          <w:tcPr>
            <w:tcW w:w="2344" w:type="dxa"/>
            <w:noWrap w:val="0"/>
            <w:vAlign w:val="center"/>
          </w:tcPr>
          <w:p>
            <w:pPr>
              <w:spacing w:line="360" w:lineRule="auto"/>
              <w:jc w:val="center"/>
              <w:rPr>
                <w:rFonts w:hint="eastAsia" w:ascii="宋体" w:hAnsi="宋体"/>
                <w:sz w:val="21"/>
                <w:szCs w:val="21"/>
              </w:rPr>
            </w:pPr>
            <w:r>
              <w:rPr>
                <w:rFonts w:hint="eastAsia" w:ascii="宋体" w:hAnsi="宋体"/>
                <w:sz w:val="24"/>
              </w:rPr>
              <w:t>滨文校区学生宿舍6号楼1层西南</w:t>
            </w:r>
          </w:p>
        </w:tc>
        <w:tc>
          <w:tcPr>
            <w:tcW w:w="1523" w:type="dxa"/>
            <w:noWrap w:val="0"/>
            <w:vAlign w:val="center"/>
          </w:tcPr>
          <w:p>
            <w:pPr>
              <w:spacing w:line="360" w:lineRule="auto"/>
              <w:jc w:val="center"/>
              <w:rPr>
                <w:rFonts w:hint="eastAsia" w:ascii="宋体" w:hAnsi="宋体"/>
                <w:sz w:val="21"/>
                <w:szCs w:val="21"/>
              </w:rPr>
            </w:pPr>
            <w:r>
              <w:rPr>
                <w:rFonts w:hint="eastAsia" w:ascii="宋体" w:hAnsi="宋体"/>
                <w:sz w:val="21"/>
                <w:szCs w:val="21"/>
              </w:rPr>
              <w:t>超市</w:t>
            </w:r>
          </w:p>
        </w:tc>
        <w:tc>
          <w:tcPr>
            <w:tcW w:w="1394" w:type="dxa"/>
            <w:noWrap w:val="0"/>
            <w:vAlign w:val="center"/>
          </w:tcPr>
          <w:p>
            <w:pPr>
              <w:spacing w:line="360" w:lineRule="auto"/>
              <w:jc w:val="center"/>
              <w:rPr>
                <w:rFonts w:hint="eastAsia" w:ascii="宋体" w:hAnsi="宋体"/>
                <w:sz w:val="21"/>
                <w:szCs w:val="21"/>
              </w:rPr>
            </w:pPr>
            <w:r>
              <w:rPr>
                <w:rFonts w:hint="eastAsia" w:ascii="宋体" w:hAnsi="宋体"/>
                <w:sz w:val="24"/>
              </w:rPr>
              <w:t>115.8</w:t>
            </w:r>
          </w:p>
        </w:tc>
        <w:tc>
          <w:tcPr>
            <w:tcW w:w="3076" w:type="dxa"/>
            <w:noWrap w:val="0"/>
            <w:vAlign w:val="center"/>
          </w:tcPr>
          <w:p>
            <w:pPr>
              <w:spacing w:line="360" w:lineRule="auto"/>
              <w:jc w:val="center"/>
              <w:rPr>
                <w:rFonts w:hint="eastAsia" w:ascii="宋体" w:hAnsi="宋体"/>
                <w:b/>
                <w:sz w:val="21"/>
                <w:szCs w:val="21"/>
              </w:rPr>
            </w:pPr>
            <w:r>
              <w:rPr>
                <w:rFonts w:hint="eastAsia" w:ascii="宋体" w:hAnsi="宋体"/>
                <w:b/>
                <w:sz w:val="21"/>
                <w:szCs w:val="21"/>
              </w:rPr>
              <w:t>160615.00</w:t>
            </w:r>
          </w:p>
        </w:tc>
      </w:tr>
    </w:tbl>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注：经营场所以校方提供的现有场所为限，中标人不得扩大经营场所，不得在现有场所范围外搭盖。</w:t>
      </w:r>
    </w:p>
    <w:p>
      <w:pPr>
        <w:pStyle w:val="3"/>
        <w:snapToGrid w:val="0"/>
        <w:spacing w:line="360" w:lineRule="auto"/>
        <w:jc w:val="both"/>
        <w:rPr>
          <w:rFonts w:hint="eastAsia" w:ascii="Arial" w:hAnsi="Arial"/>
          <w:kern w:val="0"/>
          <w:sz w:val="21"/>
          <w:szCs w:val="21"/>
        </w:rPr>
      </w:pPr>
      <w:bookmarkStart w:id="21" w:name="_Toc15130"/>
      <w:bookmarkStart w:id="22" w:name="_Toc421869904"/>
      <w:r>
        <w:rPr>
          <w:rFonts w:hint="eastAsia" w:ascii="Arial" w:hAnsi="Arial"/>
          <w:kern w:val="0"/>
          <w:sz w:val="21"/>
          <w:szCs w:val="21"/>
        </w:rPr>
        <w:t>五、经营业态释义及要求</w:t>
      </w:r>
      <w:bookmarkEnd w:id="21"/>
      <w:bookmarkEnd w:id="22"/>
    </w:p>
    <w:p>
      <w:pPr>
        <w:spacing w:line="360" w:lineRule="auto"/>
        <w:ind w:firstLine="420" w:firstLineChars="200"/>
        <w:rPr>
          <w:rFonts w:hint="eastAsia" w:ascii="Arial" w:hAnsi="Arial"/>
          <w:sz w:val="21"/>
          <w:szCs w:val="21"/>
        </w:rPr>
      </w:pPr>
      <w:r>
        <w:rPr>
          <w:rFonts w:hint="eastAsia" w:ascii="Arial" w:hAnsi="Arial"/>
          <w:sz w:val="21"/>
          <w:szCs w:val="21"/>
        </w:rPr>
        <w:t>超市：除水果、蔬菜、现做餐饮小吃、热得快、电热壶等大功率电器、公安部管制刀具及其它不该出售的物品以外的定装零售食品（包括乳制品、饮料和零食）、文体用品，生活用品、师生日用品等，严禁销售三明治、凉面、包子、寿司、饭团和便当等鲜食类食品。经营商品目录清单需经学校批准后方可营业，不得超范围经营。中标人拥有正规的进货渠道；价格不能高于滨江高教园区周边大型超市（联华超市、大润发超市、物美超市等）商品的平均价格；超市内布局须由校方认可；价格、质量、品种接受校方检查、监督和指导；经营者应在岗在位，主动参与超市管理，倾听师生意见，不断提高服务水平和产品质量，应树立热情为广大师生服务的观念，降低成本。如出现投诉，经查实后中标人必须进行赔偿和补偿。</w:t>
      </w:r>
    </w:p>
    <w:p>
      <w:pPr>
        <w:pStyle w:val="2"/>
        <w:rPr>
          <w:rFonts w:hint="eastAsia"/>
          <w:color w:val="auto"/>
        </w:rPr>
      </w:pPr>
      <w:r>
        <w:rPr>
          <w:rFonts w:hint="eastAsia"/>
          <w:color w:val="auto"/>
        </w:rPr>
        <w:br w:type="page"/>
      </w:r>
    </w:p>
    <w:p>
      <w:pPr>
        <w:pStyle w:val="3"/>
        <w:spacing w:line="360" w:lineRule="auto"/>
        <w:rPr>
          <w:rFonts w:ascii="Arial" w:hAnsi="Arial" w:eastAsia="黑体" w:cs="Arial"/>
          <w:snapToGrid w:val="0"/>
          <w:kern w:val="0"/>
          <w:sz w:val="30"/>
        </w:rPr>
      </w:pPr>
      <w:bookmarkStart w:id="23" w:name="_Toc22195"/>
      <w:r>
        <w:rPr>
          <w:rFonts w:ascii="Arial" w:hAnsi="Arial" w:eastAsia="黑体" w:cs="Arial"/>
          <w:snapToGrid w:val="0"/>
          <w:kern w:val="0"/>
          <w:sz w:val="30"/>
        </w:rPr>
        <w:t>第</w:t>
      </w:r>
      <w:r>
        <w:rPr>
          <w:rFonts w:hint="eastAsia" w:ascii="Arial" w:hAnsi="Arial" w:eastAsia="黑体" w:cs="Arial"/>
          <w:snapToGrid w:val="0"/>
          <w:kern w:val="0"/>
          <w:sz w:val="30"/>
        </w:rPr>
        <w:t>二</w:t>
      </w:r>
      <w:r>
        <w:rPr>
          <w:rFonts w:ascii="Arial" w:hAnsi="Arial" w:eastAsia="黑体" w:cs="Arial"/>
          <w:snapToGrid w:val="0"/>
          <w:kern w:val="0"/>
          <w:sz w:val="30"/>
        </w:rPr>
        <w:t>部分   投标人须知</w:t>
      </w:r>
      <w:bookmarkEnd w:id="23"/>
    </w:p>
    <w:p>
      <w:pPr>
        <w:pStyle w:val="3"/>
        <w:snapToGrid w:val="0"/>
        <w:spacing w:line="360" w:lineRule="auto"/>
        <w:jc w:val="both"/>
        <w:rPr>
          <w:rFonts w:ascii="Arial" w:hAnsi="Arial"/>
          <w:kern w:val="0"/>
          <w:sz w:val="21"/>
          <w:szCs w:val="21"/>
        </w:rPr>
      </w:pPr>
      <w:bookmarkStart w:id="24" w:name="_Toc24761"/>
      <w:r>
        <w:rPr>
          <w:rFonts w:ascii="Arial" w:hAnsi="Arial"/>
          <w:kern w:val="0"/>
          <w:sz w:val="21"/>
          <w:szCs w:val="21"/>
        </w:rPr>
        <w:t>一、说明</w:t>
      </w:r>
      <w:bookmarkEnd w:id="24"/>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本次招标工作是按照《中华人民共和国招标投标法》、《中华人民共和国政府采购法》等法规组织和实施。</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2、合格投标人：符合招标公告资格要求的投标人。</w:t>
      </w:r>
    </w:p>
    <w:p>
      <w:pPr>
        <w:adjustRightInd w:val="0"/>
        <w:snapToGrid w:val="0"/>
        <w:spacing w:line="360" w:lineRule="auto"/>
        <w:rPr>
          <w:rFonts w:hint="eastAsia" w:ascii="Arial" w:hAnsi="Arial"/>
          <w:sz w:val="21"/>
          <w:szCs w:val="21"/>
        </w:rPr>
      </w:pPr>
      <w:r>
        <w:rPr>
          <w:rFonts w:hint="eastAsia" w:ascii="Arial" w:hAnsi="Arial" w:cs="Arial"/>
          <w:snapToGrid w:val="0"/>
          <w:kern w:val="0"/>
          <w:sz w:val="21"/>
          <w:szCs w:val="21"/>
        </w:rPr>
        <w:t>3、</w:t>
      </w:r>
      <w:r>
        <w:rPr>
          <w:rFonts w:hint="eastAsia" w:ascii="Arial" w:hAnsi="Arial"/>
          <w:sz w:val="21"/>
          <w:szCs w:val="21"/>
        </w:rPr>
        <w:t>投标人应充分分析把握学校潜在的商业环境和机会及投资风险，详细测算、评估租赁的商业场所价值，理性报价、正确投资。</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4、无论投标过程和结果如何，投标人自行承担投标活动中所发生的全部费用。投标文件概不退还。</w:t>
      </w:r>
    </w:p>
    <w:p>
      <w:pPr>
        <w:pStyle w:val="3"/>
        <w:snapToGrid w:val="0"/>
        <w:spacing w:line="360" w:lineRule="auto"/>
        <w:jc w:val="both"/>
        <w:rPr>
          <w:rFonts w:ascii="Arial" w:hAnsi="Arial"/>
          <w:kern w:val="0"/>
          <w:sz w:val="21"/>
          <w:szCs w:val="21"/>
        </w:rPr>
      </w:pPr>
      <w:bookmarkStart w:id="25" w:name="_Toc24359"/>
      <w:r>
        <w:rPr>
          <w:rFonts w:ascii="Arial" w:hAnsi="Arial"/>
          <w:kern w:val="0"/>
          <w:sz w:val="21"/>
          <w:szCs w:val="21"/>
        </w:rPr>
        <w:t>二、招标文件</w:t>
      </w:r>
      <w:bookmarkEnd w:id="25"/>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5</w:t>
      </w:r>
      <w:r>
        <w:rPr>
          <w:rFonts w:ascii="Arial" w:hAnsi="Arial" w:cs="Arial"/>
          <w:snapToGrid w:val="0"/>
          <w:kern w:val="0"/>
          <w:sz w:val="21"/>
          <w:szCs w:val="21"/>
        </w:rPr>
        <w:t>、招标文件由招标文件总目录所列内容及补充资料、图纸资料等组成。</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6</w:t>
      </w:r>
      <w:r>
        <w:rPr>
          <w:rFonts w:ascii="Arial" w:hAnsi="Arial" w:cs="Arial"/>
          <w:snapToGrid w:val="0"/>
          <w:kern w:val="0"/>
          <w:sz w:val="21"/>
          <w:szCs w:val="21"/>
        </w:rPr>
        <w:t>、招标文件的澄清</w:t>
      </w:r>
      <w:r>
        <w:rPr>
          <w:rFonts w:hint="eastAsia" w:ascii="Arial" w:hAnsi="Arial" w:cs="Arial"/>
          <w:snapToGrid w:val="0"/>
          <w:kern w:val="0"/>
          <w:sz w:val="21"/>
          <w:szCs w:val="21"/>
        </w:rPr>
        <w:t>：投标人对招标文件如有疑点要求澄清，或认为有必要与招标人进行详细交流，可用书面形式（包括信函、传真，下同）通知招标人，但通知不得迟于投标须知前附表规定的时间使招标代理机构收到，招标人将用书面形式予以答复。如有必要，可将不说明来源的答复发给各有关投标人。</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7</w:t>
      </w:r>
      <w:r>
        <w:rPr>
          <w:rFonts w:ascii="Arial" w:hAnsi="Arial" w:cs="Arial"/>
          <w:snapToGrid w:val="0"/>
          <w:kern w:val="0"/>
          <w:sz w:val="21"/>
          <w:szCs w:val="21"/>
        </w:rPr>
        <w:t>、招标文件的修改</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7</w:t>
      </w:r>
      <w:r>
        <w:rPr>
          <w:rFonts w:ascii="Arial" w:hAnsi="Arial" w:cs="Arial"/>
          <w:snapToGrid w:val="0"/>
          <w:kern w:val="0"/>
          <w:sz w:val="21"/>
          <w:szCs w:val="21"/>
        </w:rPr>
        <w:t>.1</w:t>
      </w:r>
      <w:r>
        <w:rPr>
          <w:rFonts w:hint="eastAsia" w:ascii="Arial" w:hAnsi="Arial" w:cs="Arial"/>
          <w:snapToGrid w:val="0"/>
          <w:kern w:val="0"/>
          <w:sz w:val="21"/>
          <w:szCs w:val="21"/>
        </w:rPr>
        <w:t>在投标截止时间前，招标人有权修改招标文件，并以书面形式通知投标人。修改文件作为招标文件的补充和组成部分，对所有投标人均有约束力。</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7</w:t>
      </w:r>
      <w:r>
        <w:rPr>
          <w:rFonts w:ascii="Arial" w:hAnsi="Arial" w:cs="Arial"/>
          <w:snapToGrid w:val="0"/>
          <w:kern w:val="0"/>
          <w:sz w:val="21"/>
          <w:szCs w:val="21"/>
        </w:rPr>
        <w:t>.2</w:t>
      </w:r>
      <w:r>
        <w:rPr>
          <w:rFonts w:hint="eastAsia" w:ascii="Arial" w:hAnsi="Arial" w:cs="Arial"/>
          <w:snapToGrid w:val="0"/>
          <w:kern w:val="0"/>
          <w:sz w:val="21"/>
          <w:szCs w:val="21"/>
        </w:rPr>
        <w:t>为使投标人有足够的时间按修改文件要求修正投标文件，招标人可酌情推迟投标截止时间和开标时间，并将此变更通知投标人。</w:t>
      </w:r>
    </w:p>
    <w:p>
      <w:pPr>
        <w:pStyle w:val="3"/>
        <w:snapToGrid w:val="0"/>
        <w:spacing w:line="360" w:lineRule="auto"/>
        <w:jc w:val="both"/>
        <w:rPr>
          <w:rFonts w:ascii="Arial" w:hAnsi="Arial"/>
          <w:kern w:val="0"/>
          <w:sz w:val="21"/>
          <w:szCs w:val="21"/>
        </w:rPr>
      </w:pPr>
      <w:bookmarkStart w:id="26" w:name="_Toc13710"/>
      <w:r>
        <w:rPr>
          <w:rFonts w:ascii="Arial" w:hAnsi="Arial"/>
          <w:kern w:val="0"/>
          <w:sz w:val="21"/>
          <w:szCs w:val="21"/>
        </w:rPr>
        <w:t>三、投标文件</w:t>
      </w:r>
      <w:bookmarkEnd w:id="26"/>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8</w:t>
      </w:r>
      <w:r>
        <w:rPr>
          <w:rFonts w:ascii="Arial" w:hAnsi="Arial" w:cs="Arial"/>
          <w:snapToGrid w:val="0"/>
          <w:kern w:val="0"/>
          <w:sz w:val="21"/>
          <w:szCs w:val="21"/>
        </w:rPr>
        <w:t>、投标文件</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8</w:t>
      </w:r>
      <w:r>
        <w:rPr>
          <w:rFonts w:ascii="Arial" w:hAnsi="Arial" w:cs="Arial"/>
          <w:snapToGrid w:val="0"/>
          <w:kern w:val="0"/>
          <w:sz w:val="21"/>
          <w:szCs w:val="21"/>
        </w:rPr>
        <w:t>.1投标人应仔细阅读招标文件中的所有内容，按照招标文件</w:t>
      </w:r>
      <w:r>
        <w:rPr>
          <w:rFonts w:hint="eastAsia" w:ascii="Arial" w:hAnsi="Arial" w:cs="Arial"/>
          <w:snapToGrid w:val="0"/>
          <w:kern w:val="0"/>
          <w:sz w:val="21"/>
          <w:szCs w:val="21"/>
        </w:rPr>
        <w:t>的</w:t>
      </w:r>
      <w:r>
        <w:rPr>
          <w:rFonts w:ascii="Arial" w:hAnsi="Arial" w:cs="Arial"/>
          <w:snapToGrid w:val="0"/>
          <w:kern w:val="0"/>
          <w:sz w:val="21"/>
          <w:szCs w:val="21"/>
        </w:rPr>
        <w:t>要求，详细编制投标文件。并对招标文件的要求做出实质上响应。实质上响应的投标应该是与招标文件要求的全部条款、条件和</w:t>
      </w:r>
      <w:r>
        <w:rPr>
          <w:rFonts w:hint="eastAsia" w:ascii="Arial" w:hAnsi="Arial" w:cs="Arial"/>
          <w:snapToGrid w:val="0"/>
          <w:kern w:val="0"/>
          <w:sz w:val="21"/>
          <w:szCs w:val="21"/>
        </w:rPr>
        <w:t>招标要求、内容</w:t>
      </w:r>
      <w:r>
        <w:rPr>
          <w:rFonts w:ascii="Arial" w:hAnsi="Arial" w:cs="Arial"/>
          <w:snapToGrid w:val="0"/>
          <w:kern w:val="0"/>
          <w:sz w:val="21"/>
          <w:szCs w:val="21"/>
        </w:rPr>
        <w:t>等</w:t>
      </w:r>
      <w:r>
        <w:rPr>
          <w:rFonts w:hint="eastAsia" w:ascii="Arial" w:hAnsi="Arial" w:cs="Arial"/>
          <w:snapToGrid w:val="0"/>
          <w:kern w:val="0"/>
          <w:sz w:val="21"/>
          <w:szCs w:val="21"/>
        </w:rPr>
        <w:t>。</w:t>
      </w:r>
      <w:r>
        <w:rPr>
          <w:rFonts w:ascii="Arial" w:hAnsi="Arial" w:cs="Arial"/>
          <w:b/>
          <w:snapToGrid w:val="0"/>
          <w:kern w:val="0"/>
          <w:sz w:val="21"/>
          <w:szCs w:val="21"/>
          <w:u w:val="single"/>
        </w:rPr>
        <w:t>有重大偏离的</w:t>
      </w:r>
      <w:r>
        <w:rPr>
          <w:rFonts w:hint="eastAsia" w:ascii="Arial" w:hAnsi="Arial" w:cs="Arial"/>
          <w:b/>
          <w:snapToGrid w:val="0"/>
          <w:kern w:val="0"/>
          <w:sz w:val="21"/>
          <w:szCs w:val="21"/>
          <w:u w:val="single"/>
        </w:rPr>
        <w:t>以及</w:t>
      </w:r>
      <w:r>
        <w:rPr>
          <w:rFonts w:ascii="Arial" w:hAnsi="Arial" w:cs="Arial"/>
          <w:b/>
          <w:snapToGrid w:val="0"/>
          <w:kern w:val="0"/>
          <w:sz w:val="21"/>
          <w:szCs w:val="21"/>
          <w:u w:val="single"/>
        </w:rPr>
        <w:t>未实质上响应的投标文件将被拒绝。</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8</w:t>
      </w:r>
      <w:r>
        <w:rPr>
          <w:rFonts w:ascii="Arial" w:hAnsi="Arial" w:cs="Arial"/>
          <w:snapToGrid w:val="0"/>
          <w:kern w:val="0"/>
          <w:sz w:val="21"/>
          <w:szCs w:val="21"/>
        </w:rPr>
        <w:t>.</w:t>
      </w:r>
      <w:r>
        <w:rPr>
          <w:rFonts w:hint="eastAsia" w:ascii="Arial" w:hAnsi="Arial" w:cs="Arial"/>
          <w:snapToGrid w:val="0"/>
          <w:kern w:val="0"/>
          <w:sz w:val="21"/>
          <w:szCs w:val="21"/>
        </w:rPr>
        <w:t>2</w:t>
      </w:r>
      <w:r>
        <w:rPr>
          <w:rFonts w:ascii="Arial" w:hAnsi="Arial" w:cs="Arial"/>
          <w:snapToGrid w:val="0"/>
          <w:kern w:val="0"/>
          <w:sz w:val="21"/>
          <w:szCs w:val="21"/>
        </w:rPr>
        <w:t>投标人必须按招标文件的要求提供相关</w:t>
      </w:r>
      <w:r>
        <w:rPr>
          <w:rFonts w:hint="eastAsia" w:ascii="Arial" w:hAnsi="Arial" w:cs="Arial"/>
          <w:snapToGrid w:val="0"/>
          <w:kern w:val="0"/>
          <w:sz w:val="21"/>
          <w:szCs w:val="21"/>
        </w:rPr>
        <w:t>内容的</w:t>
      </w:r>
      <w:r>
        <w:rPr>
          <w:rFonts w:ascii="Arial" w:hAnsi="Arial" w:cs="Arial"/>
          <w:snapToGrid w:val="0"/>
          <w:kern w:val="0"/>
          <w:sz w:val="21"/>
          <w:szCs w:val="21"/>
        </w:rPr>
        <w:t>资料，并保证投标文件的正确性和真实性，投标文件全部内容应保持一致，否则可能导致不利于其投标的评定甚至被拒绝。</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9</w:t>
      </w:r>
      <w:r>
        <w:rPr>
          <w:rFonts w:ascii="Arial" w:hAnsi="Arial" w:cs="Arial"/>
          <w:snapToGrid w:val="0"/>
          <w:kern w:val="0"/>
          <w:sz w:val="21"/>
          <w:szCs w:val="21"/>
        </w:rPr>
        <w:t>、投标文件的组成</w:t>
      </w:r>
    </w:p>
    <w:p>
      <w:pPr>
        <w:adjustRightInd w:val="0"/>
        <w:snapToGrid w:val="0"/>
        <w:spacing w:line="360" w:lineRule="auto"/>
        <w:rPr>
          <w:rFonts w:hint="eastAsia" w:ascii="Arial" w:hAnsi="Arial" w:eastAsia="宋体"/>
          <w:b/>
          <w:kern w:val="0"/>
          <w:sz w:val="21"/>
          <w:szCs w:val="21"/>
          <w:highlight w:val="yellow"/>
          <w:lang w:eastAsia="zh-CN"/>
        </w:rPr>
      </w:pPr>
      <w:r>
        <w:rPr>
          <w:rFonts w:hint="eastAsia" w:ascii="Arial" w:hAnsi="Arial"/>
          <w:b/>
          <w:kern w:val="0"/>
          <w:sz w:val="21"/>
          <w:szCs w:val="21"/>
          <w:highlight w:val="yellow"/>
        </w:rPr>
        <w:t>9.1报价文件</w:t>
      </w:r>
      <w:r>
        <w:rPr>
          <w:rFonts w:hint="eastAsia" w:ascii="Arial" w:hAnsi="Arial"/>
          <w:b/>
          <w:kern w:val="0"/>
          <w:sz w:val="21"/>
          <w:szCs w:val="21"/>
          <w:highlight w:val="yellow"/>
          <w:lang w:eastAsia="zh-CN"/>
        </w:rPr>
        <w:t>（</w:t>
      </w:r>
      <w:r>
        <w:rPr>
          <w:rFonts w:hint="eastAsia" w:ascii="Arial" w:hAnsi="Arial"/>
          <w:b/>
          <w:kern w:val="0"/>
          <w:sz w:val="21"/>
          <w:szCs w:val="21"/>
          <w:highlight w:val="yellow"/>
          <w:lang w:val="en-US" w:eastAsia="zh-CN"/>
        </w:rPr>
        <w:t>单独密封包装，正本一份，副本五份</w:t>
      </w:r>
      <w:r>
        <w:rPr>
          <w:rFonts w:hint="eastAsia" w:ascii="Arial" w:hAnsi="Arial"/>
          <w:b/>
          <w:kern w:val="0"/>
          <w:sz w:val="21"/>
          <w:szCs w:val="21"/>
          <w:highlight w:val="yellow"/>
          <w:lang w:eastAsia="zh-CN"/>
        </w:rPr>
        <w:t>）</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w:t>
      </w:r>
      <w:r>
        <w:rPr>
          <w:rFonts w:ascii="Arial" w:hAnsi="Arial" w:cs="Arial"/>
          <w:snapToGrid w:val="0"/>
          <w:kern w:val="0"/>
          <w:sz w:val="21"/>
          <w:szCs w:val="21"/>
        </w:rPr>
        <w:t>1）</w:t>
      </w:r>
      <w:r>
        <w:rPr>
          <w:rFonts w:hint="eastAsia" w:ascii="Arial" w:hAnsi="Arial" w:cs="Arial"/>
          <w:snapToGrid w:val="0"/>
          <w:kern w:val="0"/>
          <w:sz w:val="21"/>
          <w:szCs w:val="21"/>
        </w:rPr>
        <w:t>投标</w:t>
      </w:r>
      <w:r>
        <w:rPr>
          <w:rFonts w:ascii="Arial" w:hAnsi="Arial" w:cs="Arial"/>
          <w:snapToGrid w:val="0"/>
          <w:kern w:val="0"/>
          <w:sz w:val="21"/>
          <w:szCs w:val="21"/>
        </w:rPr>
        <w:t>函</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（2）开标一览表</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w:t>
      </w:r>
      <w:r>
        <w:rPr>
          <w:rFonts w:ascii="Arial" w:hAnsi="Arial" w:cs="Arial"/>
          <w:snapToGrid w:val="0"/>
          <w:kern w:val="0"/>
          <w:sz w:val="21"/>
          <w:szCs w:val="21"/>
        </w:rPr>
        <w:t>）</w:t>
      </w:r>
      <w:r>
        <w:rPr>
          <w:rFonts w:hint="eastAsia" w:ascii="Arial" w:hAnsi="Arial" w:cs="Arial"/>
          <w:snapToGrid w:val="0"/>
          <w:kern w:val="0"/>
          <w:sz w:val="21"/>
          <w:szCs w:val="21"/>
        </w:rPr>
        <w:t>承租期内经营的主要商品或服务价格一览表</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（4）投标人认为需要的其他资料或说明。</w:t>
      </w:r>
    </w:p>
    <w:p>
      <w:pPr>
        <w:adjustRightInd w:val="0"/>
        <w:snapToGrid w:val="0"/>
        <w:spacing w:line="360" w:lineRule="auto"/>
        <w:rPr>
          <w:rFonts w:ascii="Arial" w:hAnsi="Arial"/>
          <w:b/>
          <w:kern w:val="0"/>
          <w:sz w:val="21"/>
          <w:szCs w:val="21"/>
          <w:highlight w:val="yellow"/>
        </w:rPr>
      </w:pPr>
      <w:r>
        <w:rPr>
          <w:rFonts w:hint="eastAsia" w:ascii="Arial" w:hAnsi="Arial"/>
          <w:b/>
          <w:kern w:val="0"/>
          <w:sz w:val="21"/>
          <w:szCs w:val="21"/>
          <w:highlight w:val="yellow"/>
        </w:rPr>
        <w:t>9.2商务技术文件</w:t>
      </w:r>
      <w:r>
        <w:rPr>
          <w:rFonts w:hint="eastAsia" w:ascii="Arial" w:hAnsi="Arial"/>
          <w:b/>
          <w:kern w:val="0"/>
          <w:sz w:val="21"/>
          <w:szCs w:val="21"/>
          <w:highlight w:val="yellow"/>
          <w:lang w:eastAsia="zh-CN"/>
        </w:rPr>
        <w:t>（</w:t>
      </w:r>
      <w:r>
        <w:rPr>
          <w:rFonts w:hint="eastAsia" w:ascii="Arial" w:hAnsi="Arial"/>
          <w:b/>
          <w:kern w:val="0"/>
          <w:sz w:val="21"/>
          <w:szCs w:val="21"/>
          <w:highlight w:val="yellow"/>
          <w:lang w:val="en-US" w:eastAsia="zh-CN"/>
        </w:rPr>
        <w:t>单独密封包装，正本一份，副本五份</w:t>
      </w:r>
      <w:r>
        <w:rPr>
          <w:rFonts w:hint="eastAsia" w:ascii="Arial" w:hAnsi="Arial"/>
          <w:b/>
          <w:kern w:val="0"/>
          <w:sz w:val="21"/>
          <w:szCs w:val="21"/>
          <w:highlight w:val="yellow"/>
          <w:lang w:eastAsia="zh-CN"/>
        </w:rPr>
        <w:t>）</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1</w:t>
      </w:r>
      <w:r>
        <w:rPr>
          <w:rFonts w:ascii="Arial" w:hAnsi="Arial" w:cs="Arial"/>
          <w:snapToGrid w:val="0"/>
          <w:kern w:val="0"/>
          <w:sz w:val="21"/>
          <w:szCs w:val="21"/>
        </w:rPr>
        <w:t>）投标人营业执照</w:t>
      </w:r>
      <w:r>
        <w:rPr>
          <w:rFonts w:hint="eastAsia" w:ascii="Arial" w:hAnsi="Arial" w:cs="Arial"/>
          <w:snapToGrid w:val="0"/>
          <w:kern w:val="0"/>
          <w:sz w:val="21"/>
          <w:szCs w:val="21"/>
        </w:rPr>
        <w:t>、法人授权委托书（如有）、食品经营许可证</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2</w:t>
      </w:r>
      <w:r>
        <w:rPr>
          <w:rFonts w:ascii="Arial" w:hAnsi="Arial" w:cs="Arial"/>
          <w:snapToGrid w:val="0"/>
          <w:kern w:val="0"/>
          <w:sz w:val="21"/>
          <w:szCs w:val="21"/>
        </w:rPr>
        <w:t>）</w:t>
      </w:r>
      <w:r>
        <w:rPr>
          <w:rFonts w:hint="eastAsia" w:ascii="Arial" w:hAnsi="Arial" w:cs="Arial"/>
          <w:snapToGrid w:val="0"/>
          <w:kern w:val="0"/>
          <w:sz w:val="21"/>
          <w:szCs w:val="21"/>
        </w:rPr>
        <w:t>税务登记证</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3</w:t>
      </w:r>
      <w:r>
        <w:rPr>
          <w:rFonts w:ascii="Arial" w:hAnsi="Arial" w:cs="Arial"/>
          <w:snapToGrid w:val="0"/>
          <w:kern w:val="0"/>
          <w:sz w:val="21"/>
          <w:szCs w:val="21"/>
        </w:rPr>
        <w:t>）</w:t>
      </w:r>
      <w:r>
        <w:rPr>
          <w:rFonts w:hint="eastAsia" w:ascii="Arial" w:hAnsi="Arial" w:cs="Arial"/>
          <w:snapToGrid w:val="0"/>
          <w:kern w:val="0"/>
          <w:sz w:val="21"/>
          <w:szCs w:val="21"/>
        </w:rPr>
        <w:t>开户银行资信证明</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4</w:t>
      </w:r>
      <w:r>
        <w:rPr>
          <w:rFonts w:ascii="Arial" w:hAnsi="Arial" w:cs="Arial"/>
          <w:snapToGrid w:val="0"/>
          <w:kern w:val="0"/>
          <w:sz w:val="21"/>
          <w:szCs w:val="21"/>
        </w:rPr>
        <w:t>）质量体系认证</w:t>
      </w:r>
      <w:r>
        <w:rPr>
          <w:rFonts w:hint="eastAsia" w:ascii="Arial" w:hAnsi="Arial" w:cs="Arial"/>
          <w:snapToGrid w:val="0"/>
          <w:kern w:val="0"/>
          <w:sz w:val="21"/>
          <w:szCs w:val="21"/>
        </w:rPr>
        <w:t>证</w:t>
      </w:r>
      <w:r>
        <w:rPr>
          <w:rFonts w:ascii="Arial" w:hAnsi="Arial" w:cs="Arial"/>
          <w:snapToGrid w:val="0"/>
          <w:kern w:val="0"/>
          <w:sz w:val="21"/>
          <w:szCs w:val="21"/>
        </w:rPr>
        <w:t>书</w:t>
      </w:r>
      <w:r>
        <w:rPr>
          <w:rFonts w:hint="eastAsia" w:ascii="Arial" w:hAnsi="Arial" w:cs="Arial"/>
          <w:snapToGrid w:val="0"/>
          <w:kern w:val="0"/>
          <w:sz w:val="21"/>
          <w:szCs w:val="21"/>
        </w:rPr>
        <w:t>（</w:t>
      </w:r>
      <w:r>
        <w:rPr>
          <w:rFonts w:ascii="Arial" w:hAnsi="Arial" w:cs="Arial"/>
          <w:snapToGrid w:val="0"/>
          <w:kern w:val="0"/>
          <w:sz w:val="21"/>
          <w:szCs w:val="21"/>
        </w:rPr>
        <w:t>如有</w:t>
      </w:r>
      <w:r>
        <w:rPr>
          <w:rFonts w:hint="eastAsia" w:ascii="Arial" w:hAnsi="Arial" w:cs="Arial"/>
          <w:snapToGrid w:val="0"/>
          <w:kern w:val="0"/>
          <w:sz w:val="21"/>
          <w:szCs w:val="21"/>
        </w:rPr>
        <w:t>）</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5</w:t>
      </w:r>
      <w:r>
        <w:rPr>
          <w:rFonts w:ascii="Arial" w:hAnsi="Arial" w:cs="Arial"/>
          <w:snapToGrid w:val="0"/>
          <w:kern w:val="0"/>
          <w:sz w:val="21"/>
          <w:szCs w:val="21"/>
        </w:rPr>
        <w:t>）投标人情况简介</w:t>
      </w:r>
      <w:r>
        <w:rPr>
          <w:rFonts w:hint="eastAsia" w:ascii="Arial" w:hAnsi="Arial" w:cs="Arial"/>
          <w:snapToGrid w:val="0"/>
          <w:kern w:val="0"/>
          <w:sz w:val="21"/>
          <w:szCs w:val="21"/>
        </w:rPr>
        <w:t>（企业规模、净资产及产业分布情况）</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（6）偏离表</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7</w:t>
      </w:r>
      <w:r>
        <w:rPr>
          <w:rFonts w:ascii="Arial" w:hAnsi="Arial" w:cs="Arial"/>
          <w:snapToGrid w:val="0"/>
          <w:kern w:val="0"/>
          <w:sz w:val="21"/>
          <w:szCs w:val="21"/>
        </w:rPr>
        <w:t>）</w:t>
      </w:r>
      <w:r>
        <w:rPr>
          <w:rFonts w:hint="eastAsia" w:ascii="Arial" w:hAnsi="Arial" w:cs="Arial"/>
          <w:snapToGrid w:val="0"/>
          <w:kern w:val="0"/>
          <w:sz w:val="21"/>
          <w:szCs w:val="21"/>
        </w:rPr>
        <w:t>近三年的经营业绩</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8</w:t>
      </w:r>
      <w:r>
        <w:rPr>
          <w:rFonts w:ascii="Arial" w:hAnsi="Arial" w:cs="Arial"/>
          <w:snapToGrid w:val="0"/>
          <w:kern w:val="0"/>
          <w:sz w:val="21"/>
          <w:szCs w:val="21"/>
        </w:rPr>
        <w:t>）</w:t>
      </w:r>
      <w:r>
        <w:rPr>
          <w:rFonts w:hint="eastAsia" w:ascii="Arial" w:hAnsi="Arial" w:cs="Arial"/>
          <w:snapToGrid w:val="0"/>
          <w:kern w:val="0"/>
          <w:sz w:val="21"/>
          <w:szCs w:val="21"/>
        </w:rPr>
        <w:t>业务营销计划（包括经营策划、市场分析、价格控制、超市投资、预算营业额等）</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9</w:t>
      </w:r>
      <w:r>
        <w:rPr>
          <w:rFonts w:ascii="Arial" w:hAnsi="Arial" w:cs="Arial"/>
          <w:snapToGrid w:val="0"/>
          <w:kern w:val="0"/>
          <w:sz w:val="21"/>
          <w:szCs w:val="21"/>
        </w:rPr>
        <w:t>）</w:t>
      </w:r>
      <w:r>
        <w:rPr>
          <w:rFonts w:hint="eastAsia" w:ascii="Arial" w:hAnsi="Arial" w:cs="Arial"/>
          <w:snapToGrid w:val="0"/>
          <w:kern w:val="0"/>
          <w:sz w:val="21"/>
          <w:szCs w:val="21"/>
        </w:rPr>
        <w:t>营销网络（若为连锁机构）</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（10）员工计划（素质、培训、岗位要求、培训计划等）</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（11）</w:t>
      </w:r>
      <w:r>
        <w:rPr>
          <w:rFonts w:ascii="Arial" w:hAnsi="Arial" w:cs="Arial"/>
          <w:snapToGrid w:val="0"/>
          <w:kern w:val="0"/>
          <w:sz w:val="21"/>
          <w:szCs w:val="21"/>
        </w:rPr>
        <w:t>投标人</w:t>
      </w:r>
      <w:r>
        <w:rPr>
          <w:rFonts w:hint="eastAsia" w:ascii="Arial" w:hAnsi="Arial" w:cs="Arial"/>
          <w:snapToGrid w:val="0"/>
          <w:kern w:val="0"/>
          <w:sz w:val="21"/>
          <w:szCs w:val="21"/>
        </w:rPr>
        <w:t>的</w:t>
      </w:r>
      <w:r>
        <w:rPr>
          <w:rFonts w:ascii="Arial" w:hAnsi="Arial" w:cs="Arial"/>
          <w:snapToGrid w:val="0"/>
          <w:kern w:val="0"/>
          <w:sz w:val="21"/>
          <w:szCs w:val="21"/>
        </w:rPr>
        <w:t>获奖</w:t>
      </w:r>
      <w:r>
        <w:rPr>
          <w:rFonts w:hint="eastAsia" w:ascii="Arial" w:hAnsi="Arial" w:cs="Arial"/>
          <w:snapToGrid w:val="0"/>
          <w:kern w:val="0"/>
          <w:sz w:val="21"/>
          <w:szCs w:val="21"/>
        </w:rPr>
        <w:t>/荣誉</w:t>
      </w:r>
      <w:r>
        <w:rPr>
          <w:rFonts w:ascii="Arial" w:hAnsi="Arial" w:cs="Arial"/>
          <w:snapToGrid w:val="0"/>
          <w:kern w:val="0"/>
          <w:sz w:val="21"/>
          <w:szCs w:val="21"/>
        </w:rPr>
        <w:t>证书（</w:t>
      </w:r>
      <w:r>
        <w:rPr>
          <w:rFonts w:hint="eastAsia" w:ascii="Arial" w:hAnsi="Arial" w:cs="Arial"/>
          <w:snapToGrid w:val="0"/>
          <w:kern w:val="0"/>
          <w:sz w:val="21"/>
          <w:szCs w:val="21"/>
        </w:rPr>
        <w:t>如</w:t>
      </w:r>
      <w:r>
        <w:rPr>
          <w:rFonts w:ascii="Arial" w:hAnsi="Arial" w:cs="Arial"/>
          <w:snapToGrid w:val="0"/>
          <w:kern w:val="0"/>
          <w:sz w:val="21"/>
          <w:szCs w:val="21"/>
        </w:rPr>
        <w:t>有）</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12）运营服务方案：包括总体监控方案，商品质量控制方案、服务质量控制方案、卫生管理控制方案（食品卫生，人员卫生，环境卫生，垃圾处理方案等）、货品采购管理方案、成本控制方案、操作规程控制管理方案、食品保存管理方案、人员职责与管理方案、投诉处理方案、消防、治安及意外事故处理、以及其他服务内容说明材料；</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（13）投标人准备购置设备及其他用品清单并提供布局结构方案；</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（14）投标人目前正在执行的各项管理规定及经营模式；</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（15）优惠服务（如有）；</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w:t>
      </w:r>
      <w:r>
        <w:rPr>
          <w:rFonts w:hint="eastAsia" w:ascii="Arial" w:hAnsi="Arial" w:cs="Arial"/>
          <w:snapToGrid w:val="0"/>
          <w:kern w:val="0"/>
          <w:sz w:val="21"/>
          <w:szCs w:val="21"/>
        </w:rPr>
        <w:t>16</w:t>
      </w:r>
      <w:r>
        <w:rPr>
          <w:rFonts w:ascii="Arial" w:hAnsi="Arial" w:cs="Arial"/>
          <w:snapToGrid w:val="0"/>
          <w:kern w:val="0"/>
          <w:sz w:val="21"/>
          <w:szCs w:val="21"/>
        </w:rPr>
        <w:t>）招标文件要求提交的其他有关资料</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（17）投标人认为应提交的其他资料</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10</w:t>
      </w:r>
      <w:r>
        <w:rPr>
          <w:rFonts w:ascii="Arial" w:hAnsi="Arial" w:cs="Arial"/>
          <w:snapToGrid w:val="0"/>
          <w:kern w:val="0"/>
          <w:sz w:val="21"/>
          <w:szCs w:val="21"/>
        </w:rPr>
        <w:t>、投标内容填写说明</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10</w:t>
      </w:r>
      <w:r>
        <w:rPr>
          <w:rFonts w:ascii="Arial" w:hAnsi="Arial" w:cs="Arial"/>
          <w:snapToGrid w:val="0"/>
          <w:kern w:val="0"/>
          <w:sz w:val="21"/>
          <w:szCs w:val="21"/>
        </w:rPr>
        <w:t>.1 投标文件格式</w:t>
      </w:r>
    </w:p>
    <w:p>
      <w:pPr>
        <w:adjustRightInd w:val="0"/>
        <w:snapToGrid w:val="0"/>
        <w:spacing w:line="360" w:lineRule="auto"/>
        <w:ind w:firstLine="422" w:firstLineChars="200"/>
        <w:rPr>
          <w:rFonts w:ascii="Arial" w:hAnsi="Arial" w:cs="Arial"/>
          <w:b/>
          <w:snapToGrid w:val="0"/>
          <w:kern w:val="0"/>
          <w:sz w:val="21"/>
          <w:szCs w:val="21"/>
        </w:rPr>
      </w:pPr>
      <w:r>
        <w:rPr>
          <w:rFonts w:ascii="Arial" w:hAnsi="Arial" w:cs="Arial"/>
          <w:b/>
          <w:snapToGrid w:val="0"/>
          <w:kern w:val="0"/>
          <w:sz w:val="21"/>
          <w:szCs w:val="21"/>
        </w:rPr>
        <w:t>投标人应按照招标文件中所提出的格式、内容填写并按第</w:t>
      </w:r>
      <w:r>
        <w:rPr>
          <w:rFonts w:hint="eastAsia" w:ascii="Arial" w:hAnsi="Arial" w:cs="Arial"/>
          <w:b/>
          <w:snapToGrid w:val="0"/>
          <w:kern w:val="0"/>
          <w:sz w:val="21"/>
          <w:szCs w:val="21"/>
        </w:rPr>
        <w:t>9款</w:t>
      </w:r>
      <w:r>
        <w:rPr>
          <w:rFonts w:ascii="Arial" w:hAnsi="Arial" w:cs="Arial"/>
          <w:b/>
          <w:snapToGrid w:val="0"/>
          <w:kern w:val="0"/>
          <w:sz w:val="21"/>
          <w:szCs w:val="21"/>
        </w:rPr>
        <w:t>的要求</w:t>
      </w:r>
      <w:r>
        <w:rPr>
          <w:rFonts w:hint="eastAsia" w:ascii="Arial" w:hAnsi="Arial" w:cs="Arial"/>
          <w:b/>
          <w:snapToGrid w:val="0"/>
          <w:kern w:val="0"/>
          <w:sz w:val="21"/>
          <w:szCs w:val="21"/>
        </w:rPr>
        <w:t>和顺序装订</w:t>
      </w:r>
      <w:r>
        <w:rPr>
          <w:rFonts w:ascii="Arial" w:hAnsi="Arial" w:cs="Arial"/>
          <w:b/>
          <w:snapToGrid w:val="0"/>
          <w:kern w:val="0"/>
          <w:sz w:val="21"/>
          <w:szCs w:val="21"/>
        </w:rPr>
        <w:t>成册。</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10</w:t>
      </w:r>
      <w:r>
        <w:rPr>
          <w:rFonts w:ascii="Arial" w:hAnsi="Arial" w:cs="Arial"/>
          <w:snapToGrid w:val="0"/>
          <w:kern w:val="0"/>
          <w:sz w:val="21"/>
          <w:szCs w:val="21"/>
        </w:rPr>
        <w:t xml:space="preserve">.2 </w:t>
      </w:r>
      <w:r>
        <w:rPr>
          <w:rFonts w:hint="eastAsia" w:ascii="Arial" w:hAnsi="Arial" w:cs="Arial"/>
          <w:snapToGrid w:val="0"/>
          <w:kern w:val="0"/>
          <w:sz w:val="21"/>
          <w:szCs w:val="21"/>
        </w:rPr>
        <w:t>投标函和</w:t>
      </w:r>
      <w:r>
        <w:rPr>
          <w:rFonts w:ascii="Arial" w:hAnsi="Arial" w:cs="Arial"/>
          <w:snapToGrid w:val="0"/>
          <w:kern w:val="0"/>
          <w:sz w:val="21"/>
          <w:szCs w:val="21"/>
        </w:rPr>
        <w:t>开标一览表为在开标仪式上唱标的内容，投标人需按格式填写，统一规范，不得自行增减内容。</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1</w:t>
      </w:r>
      <w:r>
        <w:rPr>
          <w:rFonts w:ascii="Arial" w:hAnsi="Arial" w:cs="Arial"/>
          <w:snapToGrid w:val="0"/>
          <w:kern w:val="0"/>
          <w:sz w:val="21"/>
          <w:szCs w:val="21"/>
        </w:rPr>
        <w:t>、投标报价</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11.1</w:t>
      </w:r>
      <w:r>
        <w:rPr>
          <w:rFonts w:ascii="Arial" w:hAnsi="Arial" w:cs="Arial"/>
          <w:snapToGrid w:val="0"/>
          <w:kern w:val="0"/>
          <w:sz w:val="21"/>
          <w:szCs w:val="21"/>
        </w:rPr>
        <w:t>只允许有一个报价，有选择的报价将不予接受。</w:t>
      </w:r>
      <w:r>
        <w:rPr>
          <w:rFonts w:hint="eastAsia" w:ascii="Arial" w:hAnsi="Arial" w:cs="Arial"/>
          <w:snapToGrid w:val="0"/>
          <w:kern w:val="0"/>
          <w:sz w:val="21"/>
          <w:szCs w:val="21"/>
        </w:rPr>
        <w:t>投标报价的货币仅接受人民币。</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11.2</w:t>
      </w:r>
      <w:r>
        <w:rPr>
          <w:rFonts w:ascii="Arial" w:hAnsi="Arial" w:cs="Arial"/>
          <w:snapToGrid w:val="0"/>
          <w:kern w:val="0"/>
          <w:sz w:val="21"/>
          <w:szCs w:val="21"/>
        </w:rPr>
        <w:t>投标人应考虑企业自身实力、经验及</w:t>
      </w:r>
      <w:r>
        <w:rPr>
          <w:rFonts w:hint="eastAsia" w:ascii="Arial" w:hAnsi="Arial" w:cs="Arial"/>
          <w:snapToGrid w:val="0"/>
          <w:kern w:val="0"/>
          <w:sz w:val="21"/>
          <w:szCs w:val="21"/>
        </w:rPr>
        <w:t>租赁</w:t>
      </w:r>
      <w:r>
        <w:rPr>
          <w:rFonts w:ascii="Arial" w:hAnsi="Arial" w:cs="Arial"/>
          <w:snapToGrid w:val="0"/>
          <w:kern w:val="0"/>
          <w:sz w:val="21"/>
          <w:szCs w:val="21"/>
        </w:rPr>
        <w:t>过程中的各种因素，根据</w:t>
      </w:r>
      <w:r>
        <w:rPr>
          <w:rFonts w:hint="eastAsia" w:ascii="Arial" w:hAnsi="Arial" w:cs="Arial"/>
          <w:snapToGrid w:val="0"/>
          <w:kern w:val="0"/>
          <w:sz w:val="21"/>
          <w:szCs w:val="21"/>
        </w:rPr>
        <w:t>招标</w:t>
      </w:r>
      <w:r>
        <w:rPr>
          <w:rFonts w:ascii="Arial" w:hAnsi="Arial" w:cs="Arial"/>
          <w:snapToGrid w:val="0"/>
          <w:kern w:val="0"/>
          <w:sz w:val="21"/>
          <w:szCs w:val="21"/>
        </w:rPr>
        <w:t>文件要求，自主确定报价，并独立报价。</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11.3</w:t>
      </w:r>
      <w:r>
        <w:rPr>
          <w:rFonts w:ascii="Arial" w:hAnsi="Arial" w:cs="Arial"/>
          <w:snapToGrid w:val="0"/>
          <w:kern w:val="0"/>
          <w:sz w:val="21"/>
          <w:szCs w:val="21"/>
        </w:rPr>
        <w:t>投标人的报价应</w:t>
      </w:r>
      <w:r>
        <w:rPr>
          <w:rFonts w:hint="eastAsia" w:ascii="Arial" w:hAnsi="Arial" w:cs="Arial"/>
          <w:snapToGrid w:val="0"/>
          <w:kern w:val="0"/>
          <w:sz w:val="21"/>
          <w:szCs w:val="21"/>
        </w:rPr>
        <w:t>充分考虑</w:t>
      </w:r>
      <w:r>
        <w:rPr>
          <w:rFonts w:ascii="Arial" w:hAnsi="Arial" w:cs="Arial"/>
          <w:snapToGrid w:val="0"/>
          <w:kern w:val="0"/>
          <w:sz w:val="21"/>
          <w:szCs w:val="21"/>
        </w:rPr>
        <w:t>为完成本项目服务可能发生的全部费用及投标人的利润和应交纳的税金等（包括人员工资、各种社会保险、</w:t>
      </w:r>
      <w:r>
        <w:rPr>
          <w:rFonts w:hint="eastAsia" w:ascii="Arial" w:hAnsi="Arial" w:cs="Arial"/>
          <w:snapToGrid w:val="0"/>
          <w:kern w:val="0"/>
          <w:sz w:val="21"/>
          <w:szCs w:val="21"/>
        </w:rPr>
        <w:t>用工风险、</w:t>
      </w:r>
      <w:r>
        <w:rPr>
          <w:rFonts w:ascii="Arial" w:hAnsi="Arial" w:cs="Arial"/>
          <w:snapToGrid w:val="0"/>
          <w:kern w:val="0"/>
          <w:sz w:val="21"/>
          <w:szCs w:val="21"/>
        </w:rPr>
        <w:t>人员食宿与交通、工具、办公费等）。投标人对合同内容的费用、质量、安全、文明服务等实行全面承包。</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3</w:t>
      </w:r>
      <w:r>
        <w:rPr>
          <w:rFonts w:ascii="Arial" w:hAnsi="Arial" w:cs="Arial"/>
          <w:snapToGrid w:val="0"/>
          <w:kern w:val="0"/>
          <w:sz w:val="21"/>
          <w:szCs w:val="21"/>
        </w:rPr>
        <w:t>、投标文件的有效期</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3</w:t>
      </w:r>
      <w:r>
        <w:rPr>
          <w:rFonts w:ascii="Arial" w:hAnsi="Arial" w:cs="Arial"/>
          <w:snapToGrid w:val="0"/>
          <w:kern w:val="0"/>
          <w:sz w:val="21"/>
          <w:szCs w:val="21"/>
        </w:rPr>
        <w:t>.1</w:t>
      </w:r>
      <w:r>
        <w:rPr>
          <w:rFonts w:hint="eastAsia" w:ascii="Arial" w:hAnsi="Arial" w:cs="Arial"/>
          <w:snapToGrid w:val="0"/>
          <w:kern w:val="0"/>
          <w:sz w:val="21"/>
          <w:szCs w:val="21"/>
        </w:rPr>
        <w:t>★</w:t>
      </w:r>
      <w:r>
        <w:rPr>
          <w:rFonts w:ascii="Arial" w:hAnsi="Arial" w:cs="Arial"/>
          <w:b/>
          <w:snapToGrid w:val="0"/>
          <w:kern w:val="0"/>
          <w:sz w:val="21"/>
          <w:szCs w:val="21"/>
        </w:rPr>
        <w:t>自开标日起</w:t>
      </w:r>
      <w:r>
        <w:rPr>
          <w:rFonts w:hint="eastAsia" w:ascii="Arial" w:hAnsi="Arial" w:cs="Arial"/>
          <w:b/>
          <w:snapToGrid w:val="0"/>
          <w:kern w:val="0"/>
          <w:sz w:val="21"/>
          <w:szCs w:val="21"/>
        </w:rPr>
        <w:t>120</w:t>
      </w:r>
      <w:r>
        <w:rPr>
          <w:rFonts w:ascii="Arial" w:hAnsi="Arial" w:cs="Arial"/>
          <w:b/>
          <w:snapToGrid w:val="0"/>
          <w:kern w:val="0"/>
          <w:sz w:val="21"/>
          <w:szCs w:val="21"/>
        </w:rPr>
        <w:t>天内，投标文件保持有效。有效期短于这个规定期限的投标将被拒绝。</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3</w:t>
      </w:r>
      <w:r>
        <w:rPr>
          <w:rFonts w:ascii="Arial" w:hAnsi="Arial" w:cs="Arial"/>
          <w:snapToGrid w:val="0"/>
          <w:kern w:val="0"/>
          <w:sz w:val="21"/>
          <w:szCs w:val="21"/>
        </w:rPr>
        <w:t>.2在特殊情况下，招标人可与投标人协商延长投标文件的有效期，这种要求和答复均应以书面形式进行。</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4</w:t>
      </w:r>
      <w:r>
        <w:rPr>
          <w:rFonts w:ascii="Arial" w:hAnsi="Arial" w:cs="Arial"/>
          <w:snapToGrid w:val="0"/>
          <w:kern w:val="0"/>
          <w:sz w:val="21"/>
          <w:szCs w:val="21"/>
        </w:rPr>
        <w:t>、投标文件的签署和份数</w:t>
      </w:r>
    </w:p>
    <w:p>
      <w:pPr>
        <w:adjustRightInd w:val="0"/>
        <w:snapToGrid w:val="0"/>
        <w:spacing w:line="360" w:lineRule="auto"/>
        <w:rPr>
          <w:rFonts w:hint="eastAsia" w:ascii="Arial" w:hAnsi="Arial" w:cs="Arial"/>
          <w:b/>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4</w:t>
      </w:r>
      <w:r>
        <w:rPr>
          <w:rFonts w:ascii="Arial" w:hAnsi="Arial" w:cs="Arial"/>
          <w:snapToGrid w:val="0"/>
          <w:kern w:val="0"/>
          <w:sz w:val="21"/>
          <w:szCs w:val="21"/>
        </w:rPr>
        <w:t>.1投标文件</w:t>
      </w:r>
      <w:r>
        <w:rPr>
          <w:rFonts w:hint="eastAsia" w:ascii="Arial" w:hAnsi="Arial" w:cs="Arial"/>
          <w:snapToGrid w:val="0"/>
          <w:kern w:val="0"/>
          <w:sz w:val="21"/>
          <w:szCs w:val="21"/>
        </w:rPr>
        <w:t>应加盖</w:t>
      </w:r>
      <w:r>
        <w:rPr>
          <w:rFonts w:ascii="Arial" w:hAnsi="Arial" w:cs="Arial"/>
          <w:snapToGrid w:val="0"/>
          <w:kern w:val="0"/>
          <w:sz w:val="21"/>
          <w:szCs w:val="21"/>
        </w:rPr>
        <w:t>投标人公章并由法定代表人或法定代表人授权代表签署</w:t>
      </w:r>
      <w:r>
        <w:rPr>
          <w:rFonts w:hint="eastAsia" w:ascii="Arial" w:hAnsi="Arial" w:cs="Arial"/>
          <w:snapToGrid w:val="0"/>
          <w:kern w:val="0"/>
          <w:sz w:val="21"/>
          <w:szCs w:val="21"/>
        </w:rPr>
        <w:t>，</w:t>
      </w:r>
      <w:r>
        <w:rPr>
          <w:rFonts w:ascii="Arial" w:hAnsi="Arial" w:cs="Arial"/>
          <w:snapToGrid w:val="0"/>
          <w:kern w:val="0"/>
          <w:sz w:val="21"/>
          <w:szCs w:val="21"/>
        </w:rPr>
        <w:t>投标人应写全称。</w:t>
      </w:r>
      <w:r>
        <w:rPr>
          <w:rFonts w:hint="eastAsia" w:ascii="Arial" w:hAnsi="Arial" w:cs="Arial"/>
          <w:snapToGrid w:val="0"/>
          <w:kern w:val="0"/>
          <w:sz w:val="21"/>
          <w:szCs w:val="21"/>
        </w:rPr>
        <w:t>在投标文件封面上注明正、副本标记。</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4</w:t>
      </w:r>
      <w:r>
        <w:rPr>
          <w:rFonts w:ascii="Arial" w:hAnsi="Arial" w:cs="Arial"/>
          <w:snapToGrid w:val="0"/>
          <w:kern w:val="0"/>
          <w:sz w:val="21"/>
          <w:szCs w:val="21"/>
        </w:rPr>
        <w:t>.2 投标文件的份数</w:t>
      </w:r>
      <w:r>
        <w:rPr>
          <w:rFonts w:hint="eastAsia" w:ascii="Arial" w:hAnsi="Arial" w:cs="Arial"/>
          <w:snapToGrid w:val="0"/>
          <w:kern w:val="0"/>
          <w:sz w:val="21"/>
          <w:szCs w:val="21"/>
        </w:rPr>
        <w:t>：</w:t>
      </w:r>
      <w:r>
        <w:rPr>
          <w:rFonts w:ascii="Arial" w:hAnsi="Arial" w:cs="Arial"/>
          <w:snapToGrid w:val="0"/>
          <w:kern w:val="0"/>
          <w:sz w:val="21"/>
          <w:szCs w:val="21"/>
        </w:rPr>
        <w:t>按招标文件第</w:t>
      </w:r>
      <w:r>
        <w:rPr>
          <w:rFonts w:hint="eastAsia" w:ascii="Arial" w:hAnsi="Arial" w:cs="Arial"/>
          <w:snapToGrid w:val="0"/>
          <w:kern w:val="0"/>
          <w:sz w:val="21"/>
          <w:szCs w:val="21"/>
        </w:rPr>
        <w:t>9款</w:t>
      </w:r>
      <w:r>
        <w:rPr>
          <w:rFonts w:ascii="Arial" w:hAnsi="Arial" w:cs="Arial"/>
          <w:snapToGrid w:val="0"/>
          <w:kern w:val="0"/>
          <w:sz w:val="21"/>
          <w:szCs w:val="21"/>
        </w:rPr>
        <w:t>要求提供的各种文件，</w:t>
      </w:r>
      <w:r>
        <w:rPr>
          <w:rFonts w:hint="eastAsia" w:ascii="Arial" w:hAnsi="Arial" w:cs="Arial"/>
          <w:snapToGrid w:val="0"/>
          <w:kern w:val="0"/>
          <w:sz w:val="21"/>
          <w:szCs w:val="21"/>
        </w:rPr>
        <w:t>装订成册，并</w:t>
      </w:r>
      <w:r>
        <w:rPr>
          <w:rFonts w:ascii="Arial" w:hAnsi="Arial" w:cs="Arial"/>
          <w:snapToGrid w:val="0"/>
          <w:kern w:val="0"/>
          <w:sz w:val="21"/>
          <w:szCs w:val="21"/>
        </w:rPr>
        <w:t>均提供一式</w:t>
      </w:r>
      <w:r>
        <w:rPr>
          <w:rFonts w:hint="eastAsia" w:ascii="Arial" w:hAnsi="Arial" w:cs="Arial"/>
          <w:snapToGrid w:val="0"/>
          <w:kern w:val="0"/>
          <w:sz w:val="21"/>
          <w:szCs w:val="21"/>
          <w:lang w:val="en-US" w:eastAsia="zh-CN"/>
        </w:rPr>
        <w:t>五</w:t>
      </w:r>
      <w:r>
        <w:rPr>
          <w:rFonts w:ascii="Arial" w:hAnsi="Arial" w:cs="Arial"/>
          <w:snapToGrid w:val="0"/>
          <w:kern w:val="0"/>
          <w:sz w:val="21"/>
          <w:szCs w:val="21"/>
        </w:rPr>
        <w:t>份</w:t>
      </w:r>
      <w:r>
        <w:rPr>
          <w:rFonts w:hint="eastAsia" w:ascii="Arial" w:hAnsi="Arial" w:cs="Arial"/>
          <w:snapToGrid w:val="0"/>
          <w:kern w:val="0"/>
          <w:sz w:val="21"/>
          <w:szCs w:val="21"/>
        </w:rPr>
        <w:t>（正本一份，副本</w:t>
      </w:r>
      <w:r>
        <w:rPr>
          <w:rFonts w:hint="eastAsia" w:ascii="Arial" w:hAnsi="Arial" w:cs="Arial"/>
          <w:snapToGrid w:val="0"/>
          <w:kern w:val="0"/>
          <w:sz w:val="21"/>
          <w:szCs w:val="21"/>
          <w:lang w:val="en-US" w:eastAsia="zh-CN"/>
        </w:rPr>
        <w:t>五</w:t>
      </w:r>
      <w:r>
        <w:rPr>
          <w:rFonts w:hint="eastAsia" w:ascii="Arial" w:hAnsi="Arial" w:cs="Arial"/>
          <w:snapToGrid w:val="0"/>
          <w:kern w:val="0"/>
          <w:sz w:val="21"/>
          <w:szCs w:val="21"/>
        </w:rPr>
        <w:t>份）</w:t>
      </w:r>
      <w:r>
        <w:rPr>
          <w:rFonts w:ascii="Arial" w:hAnsi="Arial" w:cs="Arial"/>
          <w:snapToGrid w:val="0"/>
          <w:kern w:val="0"/>
          <w:sz w:val="21"/>
          <w:szCs w:val="21"/>
        </w:rPr>
        <w:t>。</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4</w:t>
      </w:r>
      <w:r>
        <w:rPr>
          <w:rFonts w:ascii="Arial" w:hAnsi="Arial" w:cs="Arial"/>
          <w:snapToGrid w:val="0"/>
          <w:kern w:val="0"/>
          <w:sz w:val="21"/>
          <w:szCs w:val="21"/>
        </w:rPr>
        <w:t>.3投标文件如有错漏必须修改，修改处须由法定代表人或法定代表人授权代表签字或盖章。</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4</w:t>
      </w:r>
      <w:r>
        <w:rPr>
          <w:rFonts w:ascii="Arial" w:hAnsi="Arial" w:cs="Arial"/>
          <w:snapToGrid w:val="0"/>
          <w:kern w:val="0"/>
          <w:sz w:val="21"/>
          <w:szCs w:val="21"/>
        </w:rPr>
        <w:t>.4由于字迹模糊或表达不清引起的后果由投标人负责。</w:t>
      </w:r>
    </w:p>
    <w:p>
      <w:pPr>
        <w:pStyle w:val="3"/>
        <w:snapToGrid w:val="0"/>
        <w:spacing w:line="360" w:lineRule="auto"/>
        <w:jc w:val="both"/>
        <w:rPr>
          <w:rFonts w:ascii="Arial" w:hAnsi="Arial"/>
          <w:kern w:val="0"/>
          <w:sz w:val="21"/>
          <w:szCs w:val="21"/>
        </w:rPr>
      </w:pPr>
      <w:bookmarkStart w:id="27" w:name="_Toc1977"/>
      <w:r>
        <w:rPr>
          <w:rFonts w:ascii="Arial" w:hAnsi="Arial"/>
          <w:kern w:val="0"/>
          <w:sz w:val="21"/>
          <w:szCs w:val="21"/>
        </w:rPr>
        <w:t>四、投标文件的递交</w:t>
      </w:r>
      <w:bookmarkEnd w:id="27"/>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5</w:t>
      </w:r>
      <w:r>
        <w:rPr>
          <w:rFonts w:ascii="Arial" w:hAnsi="Arial" w:cs="Arial"/>
          <w:snapToGrid w:val="0"/>
          <w:kern w:val="0"/>
          <w:sz w:val="21"/>
          <w:szCs w:val="21"/>
        </w:rPr>
        <w:t>、投标文件的密封及标记</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5</w:t>
      </w:r>
      <w:r>
        <w:rPr>
          <w:rFonts w:ascii="Arial" w:hAnsi="Arial" w:cs="Arial"/>
          <w:snapToGrid w:val="0"/>
          <w:kern w:val="0"/>
          <w:sz w:val="21"/>
          <w:szCs w:val="21"/>
        </w:rPr>
        <w:t>.1投标文件应按以下方法分别装袋密封</w:t>
      </w:r>
      <w:r>
        <w:rPr>
          <w:rFonts w:hint="eastAsia" w:ascii="Arial" w:hAnsi="Arial" w:cs="Arial"/>
          <w:snapToGrid w:val="0"/>
          <w:kern w:val="0"/>
          <w:sz w:val="21"/>
          <w:szCs w:val="21"/>
        </w:rPr>
        <w:t>及标记</w:t>
      </w:r>
    </w:p>
    <w:p>
      <w:pPr>
        <w:adjustRightInd w:val="0"/>
        <w:snapToGrid w:val="0"/>
        <w:spacing w:line="360" w:lineRule="auto"/>
        <w:ind w:firstLine="422" w:firstLineChars="200"/>
        <w:rPr>
          <w:rFonts w:hint="eastAsia" w:ascii="Arial" w:hAnsi="Arial" w:cs="Arial"/>
          <w:b/>
          <w:snapToGrid w:val="0"/>
          <w:kern w:val="0"/>
          <w:sz w:val="21"/>
          <w:szCs w:val="21"/>
          <w:u w:val="single"/>
        </w:rPr>
      </w:pPr>
      <w:r>
        <w:rPr>
          <w:rFonts w:ascii="Arial" w:hAnsi="Arial" w:cs="Arial"/>
          <w:b/>
          <w:snapToGrid w:val="0"/>
          <w:kern w:val="0"/>
          <w:sz w:val="21"/>
          <w:szCs w:val="21"/>
          <w:u w:val="single"/>
        </w:rPr>
        <w:t>投标文件装袋密封。</w:t>
      </w:r>
      <w:r>
        <w:rPr>
          <w:rFonts w:hint="eastAsia" w:ascii="Arial" w:hAnsi="Arial" w:cs="Arial"/>
          <w:b/>
          <w:snapToGrid w:val="0"/>
          <w:kern w:val="0"/>
          <w:sz w:val="21"/>
          <w:szCs w:val="21"/>
          <w:u w:val="single"/>
        </w:rPr>
        <w:t>密封袋</w:t>
      </w:r>
      <w:r>
        <w:rPr>
          <w:rFonts w:ascii="Arial" w:hAnsi="Arial" w:cs="Arial"/>
          <w:b/>
          <w:snapToGrid w:val="0"/>
          <w:kern w:val="0"/>
          <w:sz w:val="21"/>
          <w:szCs w:val="21"/>
          <w:u w:val="single"/>
        </w:rPr>
        <w:t>上应加盖投标人公章</w:t>
      </w:r>
      <w:r>
        <w:rPr>
          <w:rFonts w:hint="eastAsia" w:ascii="Arial" w:hAnsi="Arial" w:cs="Arial"/>
          <w:b/>
          <w:snapToGrid w:val="0"/>
          <w:kern w:val="0"/>
          <w:sz w:val="21"/>
          <w:szCs w:val="21"/>
          <w:u w:val="single"/>
        </w:rPr>
        <w:t>或</w:t>
      </w:r>
      <w:r>
        <w:rPr>
          <w:rFonts w:ascii="Arial" w:hAnsi="Arial" w:cs="Arial"/>
          <w:b/>
          <w:snapToGrid w:val="0"/>
          <w:kern w:val="0"/>
          <w:sz w:val="21"/>
          <w:szCs w:val="21"/>
          <w:u w:val="single"/>
        </w:rPr>
        <w:t>法定代表人或法定代表人授权代表签字</w:t>
      </w:r>
      <w:r>
        <w:rPr>
          <w:rFonts w:hint="eastAsia" w:ascii="Arial" w:hAnsi="Arial" w:cs="Arial"/>
          <w:b/>
          <w:snapToGrid w:val="0"/>
          <w:kern w:val="0"/>
          <w:sz w:val="21"/>
          <w:szCs w:val="21"/>
          <w:u w:val="single"/>
        </w:rPr>
        <w:t>并标注“招标项目名称”、“标段号”、“投标人名称”等字样</w:t>
      </w:r>
      <w:r>
        <w:rPr>
          <w:rFonts w:ascii="Arial" w:hAnsi="Arial" w:cs="Arial"/>
          <w:b/>
          <w:snapToGrid w:val="0"/>
          <w:kern w:val="0"/>
          <w:sz w:val="21"/>
          <w:szCs w:val="21"/>
          <w:u w:val="single"/>
        </w:rPr>
        <w:t>。</w:t>
      </w:r>
    </w:p>
    <w:p>
      <w:pPr>
        <w:adjustRightInd w:val="0"/>
        <w:snapToGrid w:val="0"/>
        <w:spacing w:line="360" w:lineRule="auto"/>
        <w:rPr>
          <w:rFonts w:ascii="Arial" w:hAnsi="Arial" w:cs="Arial"/>
          <w:b/>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5</w:t>
      </w:r>
      <w:r>
        <w:rPr>
          <w:rFonts w:ascii="Arial" w:hAnsi="Arial" w:cs="Arial"/>
          <w:snapToGrid w:val="0"/>
          <w:kern w:val="0"/>
          <w:sz w:val="21"/>
          <w:szCs w:val="21"/>
        </w:rPr>
        <w:t>.</w:t>
      </w:r>
      <w:r>
        <w:rPr>
          <w:rFonts w:hint="eastAsia" w:ascii="Arial" w:hAnsi="Arial" w:cs="Arial"/>
          <w:snapToGrid w:val="0"/>
          <w:kern w:val="0"/>
          <w:sz w:val="21"/>
          <w:szCs w:val="21"/>
        </w:rPr>
        <w:t>2如果投标人未按上述要求密封及加写标记，由此引起的一切后果均由投标人负责。</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6</w:t>
      </w:r>
      <w:r>
        <w:rPr>
          <w:rFonts w:ascii="Arial" w:hAnsi="Arial" w:cs="Arial"/>
          <w:snapToGrid w:val="0"/>
          <w:kern w:val="0"/>
          <w:sz w:val="21"/>
          <w:szCs w:val="21"/>
        </w:rPr>
        <w:t>、投标截止时间</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6</w:t>
      </w:r>
      <w:r>
        <w:rPr>
          <w:rFonts w:ascii="Arial" w:hAnsi="Arial" w:cs="Arial"/>
          <w:snapToGrid w:val="0"/>
          <w:kern w:val="0"/>
          <w:sz w:val="21"/>
          <w:szCs w:val="21"/>
        </w:rPr>
        <w:t>.1投标文件必须在规定的投标截止时间前派人送达指定的投标地点。</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6</w:t>
      </w:r>
      <w:r>
        <w:rPr>
          <w:rFonts w:ascii="Arial" w:hAnsi="Arial" w:cs="Arial"/>
          <w:snapToGrid w:val="0"/>
          <w:kern w:val="0"/>
          <w:sz w:val="21"/>
          <w:szCs w:val="21"/>
        </w:rPr>
        <w:t>.</w:t>
      </w:r>
      <w:r>
        <w:rPr>
          <w:rFonts w:hint="eastAsia" w:ascii="Arial" w:hAnsi="Arial" w:cs="Arial"/>
          <w:snapToGrid w:val="0"/>
          <w:kern w:val="0"/>
          <w:sz w:val="21"/>
          <w:szCs w:val="21"/>
        </w:rPr>
        <w:t>2</w:t>
      </w:r>
      <w:r>
        <w:rPr>
          <w:rFonts w:ascii="Arial" w:hAnsi="Arial" w:cs="Arial"/>
          <w:snapToGrid w:val="0"/>
          <w:kern w:val="0"/>
          <w:sz w:val="21"/>
          <w:szCs w:val="21"/>
        </w:rPr>
        <w:t>招标人如因故推迟投标截止时间，应通知所有投标人。在这种情况下，招标人和投标人的权利和义务将受到新的截止时间的约束。</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7</w:t>
      </w:r>
      <w:r>
        <w:rPr>
          <w:rFonts w:ascii="Arial" w:hAnsi="Arial" w:cs="Arial"/>
          <w:snapToGrid w:val="0"/>
          <w:kern w:val="0"/>
          <w:sz w:val="21"/>
          <w:szCs w:val="21"/>
        </w:rPr>
        <w:t>、投标文件的修改和撤回</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7</w:t>
      </w:r>
      <w:r>
        <w:rPr>
          <w:rFonts w:ascii="Arial" w:hAnsi="Arial" w:cs="Arial"/>
          <w:snapToGrid w:val="0"/>
          <w:kern w:val="0"/>
          <w:sz w:val="21"/>
          <w:szCs w:val="21"/>
        </w:rPr>
        <w:t>.1投标人在投标以后如必须修改或撤回投标文件，必须在投标截止时间以前将书面的投标修改文件或撤标通知送达招标人。</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7</w:t>
      </w:r>
      <w:r>
        <w:rPr>
          <w:rFonts w:ascii="Arial" w:hAnsi="Arial" w:cs="Arial"/>
          <w:snapToGrid w:val="0"/>
          <w:kern w:val="0"/>
          <w:sz w:val="21"/>
          <w:szCs w:val="21"/>
        </w:rPr>
        <w:t>.2投标修改文件必须密封，在密封袋上写明招标编号、招标项目名称</w:t>
      </w:r>
      <w:r>
        <w:rPr>
          <w:rFonts w:hint="eastAsia" w:ascii="Arial" w:hAnsi="Arial" w:cs="Arial"/>
          <w:snapToGrid w:val="0"/>
          <w:kern w:val="0"/>
          <w:sz w:val="21"/>
          <w:szCs w:val="21"/>
        </w:rPr>
        <w:t>、</w:t>
      </w:r>
      <w:r>
        <w:rPr>
          <w:rFonts w:ascii="Arial" w:hAnsi="Arial" w:cs="Arial"/>
          <w:snapToGrid w:val="0"/>
          <w:kern w:val="0"/>
          <w:sz w:val="21"/>
          <w:szCs w:val="21"/>
        </w:rPr>
        <w:t>投标人名称、并注明</w:t>
      </w:r>
      <w:r>
        <w:rPr>
          <w:rFonts w:hint="eastAsia" w:ascii="Arial" w:hAnsi="Arial" w:cs="Arial"/>
          <w:snapToGrid w:val="0"/>
          <w:kern w:val="0"/>
          <w:sz w:val="21"/>
          <w:szCs w:val="21"/>
        </w:rPr>
        <w:t>“</w:t>
      </w:r>
      <w:r>
        <w:rPr>
          <w:rFonts w:ascii="Arial" w:hAnsi="Arial" w:cs="Arial"/>
          <w:snapToGrid w:val="0"/>
          <w:kern w:val="0"/>
          <w:sz w:val="21"/>
          <w:szCs w:val="21"/>
        </w:rPr>
        <w:t>修改文件</w:t>
      </w:r>
      <w:r>
        <w:rPr>
          <w:rFonts w:hint="eastAsia" w:ascii="Arial" w:hAnsi="Arial" w:cs="Arial"/>
          <w:snapToGrid w:val="0"/>
          <w:kern w:val="0"/>
          <w:sz w:val="21"/>
          <w:szCs w:val="21"/>
        </w:rPr>
        <w:t>”</w:t>
      </w:r>
      <w:r>
        <w:rPr>
          <w:rFonts w:ascii="Arial" w:hAnsi="Arial" w:cs="Arial"/>
          <w:snapToGrid w:val="0"/>
          <w:kern w:val="0"/>
          <w:sz w:val="21"/>
          <w:szCs w:val="21"/>
        </w:rPr>
        <w:t>、</w:t>
      </w:r>
      <w:r>
        <w:rPr>
          <w:rFonts w:hint="eastAsia" w:ascii="Arial" w:hAnsi="Arial" w:cs="Arial"/>
          <w:snapToGrid w:val="0"/>
          <w:kern w:val="0"/>
          <w:sz w:val="21"/>
          <w:szCs w:val="21"/>
        </w:rPr>
        <w:t>“</w:t>
      </w:r>
      <w:r>
        <w:rPr>
          <w:rFonts w:ascii="Arial" w:hAnsi="Arial" w:cs="Arial"/>
          <w:snapToGrid w:val="0"/>
          <w:kern w:val="0"/>
          <w:sz w:val="21"/>
          <w:szCs w:val="21"/>
        </w:rPr>
        <w:t>开标时启封</w:t>
      </w:r>
      <w:r>
        <w:rPr>
          <w:rFonts w:hint="eastAsia" w:ascii="Arial" w:hAnsi="Arial" w:cs="Arial"/>
          <w:snapToGrid w:val="0"/>
          <w:kern w:val="0"/>
          <w:sz w:val="21"/>
          <w:szCs w:val="21"/>
        </w:rPr>
        <w:t>”</w:t>
      </w:r>
      <w:r>
        <w:rPr>
          <w:rFonts w:ascii="Arial" w:hAnsi="Arial" w:cs="Arial"/>
          <w:snapToGrid w:val="0"/>
          <w:kern w:val="0"/>
          <w:sz w:val="21"/>
          <w:szCs w:val="21"/>
        </w:rPr>
        <w:t>字样。</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7</w:t>
      </w:r>
      <w:r>
        <w:rPr>
          <w:rFonts w:ascii="Arial" w:hAnsi="Arial" w:cs="Arial"/>
          <w:snapToGrid w:val="0"/>
          <w:kern w:val="0"/>
          <w:sz w:val="21"/>
          <w:szCs w:val="21"/>
        </w:rPr>
        <w:t>.3投标人以传真或电报形式通知招标人撤标时，必须随后补充有法定代表人或法定代表人授权代表签署的正式文件。</w:t>
      </w:r>
    </w:p>
    <w:p>
      <w:pPr>
        <w:pStyle w:val="3"/>
        <w:snapToGrid w:val="0"/>
        <w:spacing w:line="360" w:lineRule="auto"/>
        <w:jc w:val="both"/>
        <w:rPr>
          <w:rFonts w:ascii="Arial" w:hAnsi="Arial"/>
          <w:kern w:val="0"/>
          <w:sz w:val="21"/>
          <w:szCs w:val="21"/>
        </w:rPr>
      </w:pPr>
      <w:bookmarkStart w:id="28" w:name="_Toc29127"/>
      <w:r>
        <w:rPr>
          <w:rFonts w:ascii="Arial" w:hAnsi="Arial"/>
          <w:kern w:val="0"/>
          <w:sz w:val="21"/>
          <w:szCs w:val="21"/>
        </w:rPr>
        <w:t>五、开标和评标</w:t>
      </w:r>
      <w:bookmarkEnd w:id="28"/>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18</w:t>
      </w:r>
      <w:r>
        <w:rPr>
          <w:rFonts w:ascii="Arial" w:hAnsi="Arial" w:cs="Arial"/>
          <w:snapToGrid w:val="0"/>
          <w:kern w:val="0"/>
          <w:sz w:val="21"/>
          <w:szCs w:val="21"/>
        </w:rPr>
        <w:t>、收标和开标</w:t>
      </w:r>
      <w:r>
        <w:rPr>
          <w:rFonts w:hint="eastAsia" w:ascii="Arial" w:hAnsi="Arial" w:cs="Arial"/>
          <w:snapToGrid w:val="0"/>
          <w:kern w:val="0"/>
          <w:sz w:val="21"/>
          <w:szCs w:val="21"/>
        </w:rPr>
        <w:t>：</w:t>
      </w:r>
      <w:r>
        <w:rPr>
          <w:rFonts w:ascii="Arial" w:hAnsi="Arial" w:cs="Arial"/>
          <w:snapToGrid w:val="0"/>
          <w:kern w:val="0"/>
          <w:sz w:val="21"/>
          <w:szCs w:val="21"/>
        </w:rPr>
        <w:t>招标人按招标文件规定的投标截止时间、地点收标</w:t>
      </w:r>
      <w:r>
        <w:rPr>
          <w:rFonts w:hint="eastAsia" w:ascii="Arial" w:hAnsi="Arial" w:cs="Arial"/>
          <w:snapToGrid w:val="0"/>
          <w:kern w:val="0"/>
          <w:sz w:val="21"/>
          <w:szCs w:val="21"/>
        </w:rPr>
        <w:t>并开标。</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snapToGrid w:val="0"/>
          <w:kern w:val="0"/>
          <w:sz w:val="21"/>
          <w:szCs w:val="21"/>
        </w:rPr>
        <w:t>18</w:t>
      </w:r>
      <w:r>
        <w:rPr>
          <w:rFonts w:ascii="Arial" w:hAnsi="Arial" w:cs="Arial"/>
          <w:snapToGrid w:val="0"/>
          <w:kern w:val="0"/>
          <w:sz w:val="21"/>
          <w:szCs w:val="21"/>
        </w:rPr>
        <w:t>.1</w:t>
      </w:r>
      <w:r>
        <w:rPr>
          <w:rFonts w:ascii="Arial" w:hAnsi="Arial" w:cs="Arial"/>
          <w:b/>
          <w:snapToGrid w:val="0"/>
          <w:kern w:val="0"/>
          <w:sz w:val="21"/>
          <w:szCs w:val="21"/>
        </w:rPr>
        <w:t>投标人</w:t>
      </w:r>
      <w:r>
        <w:rPr>
          <w:rFonts w:hint="eastAsia" w:ascii="Arial" w:hAnsi="Arial" w:cs="Arial"/>
          <w:b/>
          <w:snapToGrid w:val="0"/>
          <w:kern w:val="0"/>
          <w:sz w:val="21"/>
          <w:szCs w:val="21"/>
        </w:rPr>
        <w:t>法定</w:t>
      </w:r>
      <w:r>
        <w:rPr>
          <w:rFonts w:ascii="Arial" w:hAnsi="Arial" w:cs="Arial"/>
          <w:b/>
          <w:snapToGrid w:val="0"/>
          <w:kern w:val="0"/>
          <w:sz w:val="21"/>
          <w:szCs w:val="21"/>
        </w:rPr>
        <w:t>代表人或法定代表人授权代表出席开标大会，并签名报到，以证明其出席开标会议。</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snapToGrid w:val="0"/>
          <w:kern w:val="0"/>
          <w:sz w:val="21"/>
          <w:szCs w:val="21"/>
        </w:rPr>
        <w:t>18</w:t>
      </w:r>
      <w:r>
        <w:rPr>
          <w:rFonts w:ascii="Arial" w:hAnsi="Arial" w:cs="Arial"/>
          <w:snapToGrid w:val="0"/>
          <w:kern w:val="0"/>
          <w:sz w:val="21"/>
          <w:szCs w:val="21"/>
        </w:rPr>
        <w:t>.</w:t>
      </w:r>
      <w:r>
        <w:rPr>
          <w:rFonts w:hint="eastAsia" w:ascii="Arial" w:hAnsi="Arial" w:cs="Arial"/>
          <w:snapToGrid w:val="0"/>
          <w:kern w:val="0"/>
          <w:sz w:val="21"/>
          <w:szCs w:val="21"/>
        </w:rPr>
        <w:t>2</w:t>
      </w:r>
      <w:r>
        <w:rPr>
          <w:rFonts w:ascii="Arial" w:hAnsi="Arial" w:cs="Arial"/>
          <w:b/>
          <w:snapToGrid w:val="0"/>
          <w:kern w:val="0"/>
          <w:sz w:val="21"/>
          <w:szCs w:val="21"/>
        </w:rPr>
        <w:t>开标时，以开标一览表</w:t>
      </w:r>
      <w:r>
        <w:rPr>
          <w:rFonts w:hint="eastAsia" w:ascii="Arial" w:hAnsi="Arial" w:cs="Arial"/>
          <w:b/>
          <w:snapToGrid w:val="0"/>
          <w:kern w:val="0"/>
          <w:sz w:val="21"/>
          <w:szCs w:val="21"/>
        </w:rPr>
        <w:t>的大写金额</w:t>
      </w:r>
      <w:r>
        <w:rPr>
          <w:rFonts w:ascii="Arial" w:hAnsi="Arial" w:cs="Arial"/>
          <w:b/>
          <w:snapToGrid w:val="0"/>
          <w:kern w:val="0"/>
          <w:sz w:val="21"/>
          <w:szCs w:val="21"/>
        </w:rPr>
        <w:t>为准。</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 xml:space="preserve">18.3 </w:t>
      </w:r>
      <w:r>
        <w:rPr>
          <w:rFonts w:hint="eastAsia" w:ascii="Arial" w:hAnsi="Arial" w:cs="Arial"/>
          <w:b/>
          <w:snapToGrid w:val="0"/>
          <w:kern w:val="0"/>
          <w:sz w:val="21"/>
          <w:szCs w:val="21"/>
        </w:rPr>
        <w:t>★</w:t>
      </w:r>
      <w:r>
        <w:rPr>
          <w:rFonts w:ascii="Arial" w:hAnsi="Arial" w:cs="Arial"/>
          <w:b/>
          <w:snapToGrid w:val="0"/>
          <w:kern w:val="0"/>
          <w:sz w:val="21"/>
          <w:szCs w:val="21"/>
        </w:rPr>
        <w:t>开标时有下列情形之一的投标文件将被视为无效：</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1）在投标截止时间以后送达的投标文件；</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2）未</w:t>
      </w:r>
      <w:r>
        <w:rPr>
          <w:rFonts w:hint="eastAsia" w:ascii="Arial" w:hAnsi="Arial" w:cs="Arial"/>
          <w:snapToGrid w:val="0"/>
          <w:kern w:val="0"/>
          <w:sz w:val="21"/>
          <w:szCs w:val="21"/>
        </w:rPr>
        <w:t>按招标文件要求装订及</w:t>
      </w:r>
      <w:r>
        <w:rPr>
          <w:rFonts w:ascii="Arial" w:hAnsi="Arial" w:cs="Arial"/>
          <w:snapToGrid w:val="0"/>
          <w:kern w:val="0"/>
          <w:sz w:val="21"/>
          <w:szCs w:val="21"/>
        </w:rPr>
        <w:t>密封的投标文件；</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3）由于包装不妥在途中严重破损或失散的投标文件；</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w:t>
      </w:r>
      <w:r>
        <w:rPr>
          <w:rFonts w:ascii="Arial" w:hAnsi="Arial" w:cs="Arial"/>
          <w:snapToGrid w:val="0"/>
          <w:kern w:val="0"/>
          <w:sz w:val="21"/>
          <w:szCs w:val="21"/>
        </w:rPr>
        <w:t>）投标人递交两份或两份以上内容不同的投标文件，未声明哪一份有效的</w:t>
      </w:r>
      <w:r>
        <w:rPr>
          <w:rFonts w:hint="eastAsia" w:ascii="Arial" w:hAnsi="Arial" w:cs="Arial"/>
          <w:snapToGrid w:val="0"/>
          <w:kern w:val="0"/>
          <w:sz w:val="21"/>
          <w:szCs w:val="21"/>
        </w:rPr>
        <w:t>。</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、评标</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.1评标由招标人依法组建的评标委员会负责。</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.2</w:t>
      </w:r>
      <w:r>
        <w:rPr>
          <w:rFonts w:hint="eastAsia" w:ascii="Arial" w:hAnsi="Arial" w:cs="Arial"/>
          <w:snapToGrid w:val="0"/>
          <w:kern w:val="0"/>
          <w:sz w:val="21"/>
          <w:szCs w:val="21"/>
        </w:rPr>
        <w:t xml:space="preserve"> </w:t>
      </w:r>
      <w:r>
        <w:rPr>
          <w:rFonts w:hint="eastAsia" w:ascii="Arial" w:hAnsi="Arial" w:cs="Arial"/>
          <w:b/>
          <w:snapToGrid w:val="0"/>
          <w:kern w:val="0"/>
          <w:sz w:val="21"/>
          <w:szCs w:val="21"/>
        </w:rPr>
        <w:t>★</w:t>
      </w:r>
      <w:r>
        <w:rPr>
          <w:rFonts w:ascii="Arial" w:hAnsi="Arial" w:cs="Arial"/>
          <w:b/>
          <w:snapToGrid w:val="0"/>
          <w:kern w:val="0"/>
          <w:sz w:val="21"/>
          <w:szCs w:val="21"/>
        </w:rPr>
        <w:t>评标时发现投标文件有下列情形之一</w:t>
      </w:r>
      <w:r>
        <w:rPr>
          <w:rFonts w:hint="eastAsia" w:ascii="Arial" w:hAnsi="Arial" w:cs="Arial"/>
          <w:b/>
          <w:snapToGrid w:val="0"/>
          <w:kern w:val="0"/>
          <w:sz w:val="21"/>
          <w:szCs w:val="21"/>
        </w:rPr>
        <w:t>，并</w:t>
      </w:r>
      <w:r>
        <w:rPr>
          <w:rFonts w:ascii="Arial" w:hAnsi="Arial" w:cs="Arial"/>
          <w:b/>
          <w:snapToGrid w:val="0"/>
          <w:kern w:val="0"/>
          <w:sz w:val="21"/>
          <w:szCs w:val="21"/>
        </w:rPr>
        <w:t>由评标委员会按少数服从多数原则认定属于重大偏差的，将被视为</w:t>
      </w:r>
      <w:r>
        <w:rPr>
          <w:rFonts w:hint="eastAsia" w:ascii="Arial" w:hAnsi="Arial" w:cs="Arial"/>
          <w:b/>
          <w:snapToGrid w:val="0"/>
          <w:kern w:val="0"/>
          <w:sz w:val="21"/>
          <w:szCs w:val="21"/>
        </w:rPr>
        <w:t>无效</w:t>
      </w:r>
      <w:r>
        <w:rPr>
          <w:rFonts w:ascii="Arial" w:hAnsi="Arial" w:cs="Arial"/>
          <w:b/>
          <w:snapToGrid w:val="0"/>
          <w:kern w:val="0"/>
          <w:sz w:val="21"/>
          <w:szCs w:val="21"/>
        </w:rPr>
        <w:t>标或导致被拒绝：</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1）投标文件</w:t>
      </w:r>
      <w:r>
        <w:rPr>
          <w:rFonts w:hint="eastAsia" w:ascii="Arial" w:hAnsi="Arial" w:cs="Arial"/>
          <w:snapToGrid w:val="0"/>
          <w:kern w:val="0"/>
          <w:sz w:val="21"/>
          <w:szCs w:val="21"/>
        </w:rPr>
        <w:t>未按招标文件规定</w:t>
      </w:r>
      <w:r>
        <w:rPr>
          <w:rFonts w:ascii="Arial" w:hAnsi="Arial" w:cs="Arial"/>
          <w:snapToGrid w:val="0"/>
          <w:kern w:val="0"/>
          <w:sz w:val="21"/>
          <w:szCs w:val="21"/>
        </w:rPr>
        <w:t>加盖公章</w:t>
      </w:r>
      <w:r>
        <w:rPr>
          <w:rFonts w:hint="eastAsia" w:ascii="Arial" w:hAnsi="Arial" w:cs="Arial"/>
          <w:snapToGrid w:val="0"/>
          <w:kern w:val="0"/>
          <w:sz w:val="21"/>
          <w:szCs w:val="21"/>
        </w:rPr>
        <w:t>及签署；</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2）未按招标文件要求编制或字迹模糊、辨认不清的投标文件；</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3</w:t>
      </w:r>
      <w:r>
        <w:rPr>
          <w:rFonts w:ascii="Arial" w:hAnsi="Arial" w:cs="Arial"/>
          <w:snapToGrid w:val="0"/>
          <w:kern w:val="0"/>
          <w:sz w:val="21"/>
          <w:szCs w:val="21"/>
        </w:rPr>
        <w:t>）投标文件载明的</w:t>
      </w:r>
      <w:r>
        <w:rPr>
          <w:rFonts w:hint="eastAsia" w:ascii="Arial" w:hAnsi="Arial" w:cs="Arial"/>
          <w:snapToGrid w:val="0"/>
          <w:kern w:val="0"/>
          <w:sz w:val="21"/>
          <w:szCs w:val="21"/>
        </w:rPr>
        <w:t>服务内容及范围未达到</w:t>
      </w:r>
      <w:r>
        <w:rPr>
          <w:rFonts w:ascii="Arial" w:hAnsi="Arial" w:cs="Arial"/>
          <w:snapToGrid w:val="0"/>
          <w:kern w:val="0"/>
          <w:sz w:val="21"/>
          <w:szCs w:val="21"/>
        </w:rPr>
        <w:t>招标文件规定的</w:t>
      </w:r>
      <w:r>
        <w:rPr>
          <w:rFonts w:hint="eastAsia" w:ascii="Arial" w:hAnsi="Arial" w:cs="Arial"/>
          <w:snapToGrid w:val="0"/>
          <w:kern w:val="0"/>
          <w:sz w:val="21"/>
          <w:szCs w:val="21"/>
        </w:rPr>
        <w:t>要求</w:t>
      </w:r>
      <w:r>
        <w:rPr>
          <w:rFonts w:ascii="Arial" w:hAnsi="Arial" w:cs="Arial"/>
          <w:snapToGrid w:val="0"/>
          <w:kern w:val="0"/>
          <w:sz w:val="21"/>
          <w:szCs w:val="21"/>
        </w:rPr>
        <w:t>；</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4</w:t>
      </w:r>
      <w:r>
        <w:rPr>
          <w:rFonts w:ascii="Arial" w:hAnsi="Arial" w:cs="Arial"/>
          <w:snapToGrid w:val="0"/>
          <w:kern w:val="0"/>
          <w:sz w:val="21"/>
          <w:szCs w:val="21"/>
        </w:rPr>
        <w:t>）明显不符合或不满足招标文件中的主要</w:t>
      </w:r>
      <w:r>
        <w:rPr>
          <w:rFonts w:hint="eastAsia" w:ascii="Arial" w:hAnsi="Arial" w:cs="Arial"/>
          <w:snapToGrid w:val="0"/>
          <w:kern w:val="0"/>
          <w:sz w:val="21"/>
          <w:szCs w:val="21"/>
        </w:rPr>
        <w:t>服务内容及要求的</w:t>
      </w:r>
      <w:r>
        <w:rPr>
          <w:rFonts w:ascii="Arial" w:hAnsi="Arial" w:cs="Arial"/>
          <w:snapToGrid w:val="0"/>
          <w:kern w:val="0"/>
          <w:sz w:val="21"/>
          <w:szCs w:val="21"/>
        </w:rPr>
        <w:t>或提出的偏离招标人不予接受的投标文件；</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5</w:t>
      </w:r>
      <w:r>
        <w:rPr>
          <w:rFonts w:ascii="Arial" w:hAnsi="Arial" w:cs="Arial"/>
          <w:snapToGrid w:val="0"/>
          <w:kern w:val="0"/>
          <w:sz w:val="21"/>
          <w:szCs w:val="21"/>
        </w:rPr>
        <w:t>）投标文件附有招标人不能接受的条款；</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6</w:t>
      </w:r>
      <w:r>
        <w:rPr>
          <w:rFonts w:ascii="Arial" w:hAnsi="Arial" w:cs="Arial"/>
          <w:snapToGrid w:val="0"/>
          <w:kern w:val="0"/>
          <w:sz w:val="21"/>
          <w:szCs w:val="21"/>
        </w:rPr>
        <w:t>）不符合招标文件中规定的</w:t>
      </w:r>
      <w:r>
        <w:rPr>
          <w:rFonts w:hint="eastAsia" w:ascii="Arial" w:hAnsi="Arial" w:cs="Arial"/>
          <w:snapToGrid w:val="0"/>
          <w:kern w:val="0"/>
          <w:sz w:val="21"/>
          <w:szCs w:val="21"/>
        </w:rPr>
        <w:t>带“★”条款</w:t>
      </w:r>
      <w:r>
        <w:rPr>
          <w:rFonts w:ascii="Arial" w:hAnsi="Arial" w:cs="Arial"/>
          <w:snapToGrid w:val="0"/>
          <w:kern w:val="0"/>
          <w:sz w:val="21"/>
          <w:szCs w:val="21"/>
        </w:rPr>
        <w:t>的投标文件；</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7</w:t>
      </w:r>
      <w:r>
        <w:rPr>
          <w:rFonts w:ascii="Arial" w:hAnsi="Arial" w:cs="Arial"/>
          <w:snapToGrid w:val="0"/>
          <w:kern w:val="0"/>
          <w:sz w:val="21"/>
          <w:szCs w:val="21"/>
        </w:rPr>
        <w:t>）投标人的投标文件中有不明确的问题或其报价明显不合理且又不能合理说明（解释清楚）或者不能提供相关证明材料的；</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8</w:t>
      </w:r>
      <w:r>
        <w:rPr>
          <w:rFonts w:ascii="Arial" w:hAnsi="Arial" w:cs="Arial"/>
          <w:snapToGrid w:val="0"/>
          <w:kern w:val="0"/>
          <w:sz w:val="21"/>
          <w:szCs w:val="21"/>
        </w:rPr>
        <w:t>）存在串标、抬标或弄虚作假情况的</w:t>
      </w:r>
      <w:r>
        <w:rPr>
          <w:rFonts w:hint="eastAsia" w:ascii="Arial" w:hAnsi="Arial" w:cs="Arial"/>
          <w:snapToGrid w:val="0"/>
          <w:kern w:val="0"/>
          <w:sz w:val="21"/>
          <w:szCs w:val="21"/>
        </w:rPr>
        <w:t>嫌疑</w:t>
      </w:r>
      <w:r>
        <w:rPr>
          <w:rFonts w:ascii="Arial" w:hAnsi="Arial" w:cs="Arial"/>
          <w:snapToGrid w:val="0"/>
          <w:kern w:val="0"/>
          <w:sz w:val="21"/>
          <w:szCs w:val="21"/>
        </w:rPr>
        <w:t>；</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9</w:t>
      </w:r>
      <w:r>
        <w:rPr>
          <w:rFonts w:ascii="Arial" w:hAnsi="Arial" w:cs="Arial"/>
          <w:snapToGrid w:val="0"/>
          <w:kern w:val="0"/>
          <w:sz w:val="21"/>
          <w:szCs w:val="21"/>
        </w:rPr>
        <w:t>）其他经评标委员会认定的未能在实质上响应的或违反国家有关规定的投标文件。</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w:t>
      </w:r>
      <w:r>
        <w:rPr>
          <w:rFonts w:hint="eastAsia" w:ascii="Arial" w:hAnsi="Arial" w:cs="Arial"/>
          <w:snapToGrid w:val="0"/>
          <w:kern w:val="0"/>
          <w:sz w:val="21"/>
          <w:szCs w:val="21"/>
        </w:rPr>
        <w:t>3</w:t>
      </w:r>
      <w:r>
        <w:rPr>
          <w:rFonts w:ascii="Arial" w:hAnsi="Arial" w:cs="Arial"/>
          <w:snapToGrid w:val="0"/>
          <w:kern w:val="0"/>
          <w:sz w:val="21"/>
          <w:szCs w:val="21"/>
        </w:rPr>
        <w:t>实质上没有响应招标文件要求的投标将被拒绝。投标人不得通过修正或撤消不合要求的偏离从而使其投标成为实质上响应的投标。</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w:t>
      </w:r>
      <w:r>
        <w:rPr>
          <w:rFonts w:hint="eastAsia" w:ascii="Arial" w:hAnsi="Arial" w:cs="Arial"/>
          <w:snapToGrid w:val="0"/>
          <w:kern w:val="0"/>
          <w:sz w:val="21"/>
          <w:szCs w:val="21"/>
        </w:rPr>
        <w:t>4</w:t>
      </w:r>
      <w:r>
        <w:rPr>
          <w:rFonts w:ascii="Arial" w:hAnsi="Arial" w:cs="Arial"/>
          <w:snapToGrid w:val="0"/>
          <w:kern w:val="0"/>
          <w:sz w:val="21"/>
          <w:szCs w:val="21"/>
        </w:rPr>
        <w:t>评标委员会对投标文件的判定，只依据投标内容本身，不依靠开标后的任何外来证明。</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w:t>
      </w:r>
      <w:r>
        <w:rPr>
          <w:rFonts w:hint="eastAsia" w:ascii="Arial" w:hAnsi="Arial" w:cs="Arial"/>
          <w:snapToGrid w:val="0"/>
          <w:kern w:val="0"/>
          <w:sz w:val="21"/>
          <w:szCs w:val="21"/>
        </w:rPr>
        <w:t>5</w:t>
      </w:r>
      <w:r>
        <w:rPr>
          <w:rFonts w:ascii="Arial" w:hAnsi="Arial" w:cs="Arial"/>
          <w:snapToGrid w:val="0"/>
          <w:kern w:val="0"/>
          <w:sz w:val="21"/>
          <w:szCs w:val="21"/>
        </w:rPr>
        <w:t>投标文件的澄清</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w:t>
      </w:r>
      <w:r>
        <w:rPr>
          <w:rFonts w:hint="eastAsia" w:ascii="Arial" w:hAnsi="Arial" w:cs="Arial"/>
          <w:snapToGrid w:val="0"/>
          <w:kern w:val="0"/>
          <w:sz w:val="21"/>
          <w:szCs w:val="21"/>
        </w:rPr>
        <w:t>5</w:t>
      </w:r>
      <w:r>
        <w:rPr>
          <w:rFonts w:ascii="Arial" w:hAnsi="Arial" w:cs="Arial"/>
          <w:snapToGrid w:val="0"/>
          <w:kern w:val="0"/>
          <w:sz w:val="21"/>
          <w:szCs w:val="21"/>
        </w:rPr>
        <w:t>.1为有利于对投标文件的比较和评议，必要时招标人及评标委员会可要求投标人对投标文件及合同条款进行澄清，并做出书面答复。书面答复须有投标全权代表签字并作为投标内容的一部分。</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19</w:t>
      </w:r>
      <w:r>
        <w:rPr>
          <w:rFonts w:ascii="Arial" w:hAnsi="Arial" w:cs="Arial"/>
          <w:snapToGrid w:val="0"/>
          <w:kern w:val="0"/>
          <w:sz w:val="21"/>
          <w:szCs w:val="21"/>
        </w:rPr>
        <w:t>.</w:t>
      </w:r>
      <w:r>
        <w:rPr>
          <w:rFonts w:hint="eastAsia" w:ascii="Arial" w:hAnsi="Arial" w:cs="Arial"/>
          <w:snapToGrid w:val="0"/>
          <w:kern w:val="0"/>
          <w:sz w:val="21"/>
          <w:szCs w:val="21"/>
        </w:rPr>
        <w:t>5</w:t>
      </w:r>
      <w:r>
        <w:rPr>
          <w:rFonts w:ascii="Arial" w:hAnsi="Arial" w:cs="Arial"/>
          <w:snapToGrid w:val="0"/>
          <w:kern w:val="0"/>
          <w:sz w:val="21"/>
          <w:szCs w:val="21"/>
        </w:rPr>
        <w:t>.2投标人对投标文件的澄清不得寻求、提供或允许改变投标价格等实质性内容。</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19.6</w:t>
      </w:r>
      <w:r>
        <w:rPr>
          <w:rFonts w:ascii="Arial" w:hAnsi="Arial" w:cs="Arial"/>
          <w:snapToGrid w:val="0"/>
          <w:kern w:val="0"/>
          <w:sz w:val="21"/>
          <w:szCs w:val="21"/>
        </w:rPr>
        <w:t xml:space="preserve"> 评标办法：</w:t>
      </w:r>
      <w:r>
        <w:rPr>
          <w:rFonts w:hint="eastAsia" w:ascii="Arial" w:hAnsi="Arial" w:cs="Arial"/>
          <w:snapToGrid w:val="0"/>
          <w:kern w:val="0"/>
          <w:sz w:val="21"/>
          <w:szCs w:val="21"/>
        </w:rPr>
        <w:t>详见本招标文件第五部分</w:t>
      </w:r>
      <w:r>
        <w:rPr>
          <w:rFonts w:ascii="Arial" w:hAnsi="Arial" w:cs="Arial"/>
          <w:snapToGrid w:val="0"/>
          <w:kern w:val="0"/>
          <w:sz w:val="21"/>
          <w:szCs w:val="21"/>
        </w:rPr>
        <w:t>。</w:t>
      </w:r>
    </w:p>
    <w:p>
      <w:pPr>
        <w:pStyle w:val="3"/>
        <w:snapToGrid w:val="0"/>
        <w:spacing w:line="360" w:lineRule="auto"/>
        <w:jc w:val="both"/>
        <w:rPr>
          <w:rFonts w:hint="eastAsia" w:ascii="Arial" w:hAnsi="Arial"/>
          <w:kern w:val="0"/>
          <w:sz w:val="21"/>
          <w:szCs w:val="21"/>
        </w:rPr>
      </w:pPr>
      <w:bookmarkStart w:id="29" w:name="_Toc12257"/>
      <w:r>
        <w:rPr>
          <w:rFonts w:hint="eastAsia" w:ascii="Arial" w:hAnsi="Arial"/>
          <w:kern w:val="0"/>
          <w:sz w:val="21"/>
          <w:szCs w:val="21"/>
        </w:rPr>
        <w:t>六、授予合同</w:t>
      </w:r>
      <w:bookmarkEnd w:id="29"/>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20</w:t>
      </w:r>
      <w:r>
        <w:rPr>
          <w:rFonts w:ascii="Arial" w:hAnsi="Arial" w:cs="Arial"/>
          <w:snapToGrid w:val="0"/>
          <w:kern w:val="0"/>
          <w:sz w:val="21"/>
          <w:szCs w:val="21"/>
        </w:rPr>
        <w:t>、最终审查</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20</w:t>
      </w:r>
      <w:r>
        <w:rPr>
          <w:rFonts w:ascii="Arial" w:hAnsi="Arial" w:cs="Arial"/>
          <w:snapToGrid w:val="0"/>
          <w:kern w:val="0"/>
          <w:sz w:val="21"/>
          <w:szCs w:val="21"/>
        </w:rPr>
        <w:t>.1评标结束后，招标人将对投标人进行最终审查。最终审查的主要内容是：</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w:t>
      </w:r>
      <w:r>
        <w:rPr>
          <w:rFonts w:hint="eastAsia" w:ascii="Arial" w:hAnsi="Arial" w:cs="Arial"/>
          <w:snapToGrid w:val="0"/>
          <w:kern w:val="0"/>
          <w:sz w:val="21"/>
          <w:szCs w:val="21"/>
        </w:rPr>
        <w:t>）投标人的实力、资信的真实性及行业口碑等</w:t>
      </w:r>
      <w:r>
        <w:rPr>
          <w:rFonts w:ascii="Arial" w:hAnsi="Arial" w:cs="Arial"/>
          <w:snapToGrid w:val="0"/>
          <w:kern w:val="0"/>
          <w:sz w:val="21"/>
          <w:szCs w:val="21"/>
        </w:rPr>
        <w:t>；</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w:t>
      </w:r>
      <w:r>
        <w:rPr>
          <w:rFonts w:hint="eastAsia" w:ascii="Arial" w:hAnsi="Arial" w:cs="Arial"/>
          <w:snapToGrid w:val="0"/>
          <w:kern w:val="0"/>
          <w:sz w:val="21"/>
          <w:szCs w:val="21"/>
        </w:rPr>
        <w:t>）</w:t>
      </w:r>
      <w:r>
        <w:rPr>
          <w:rFonts w:ascii="Arial" w:hAnsi="Arial" w:cs="Arial"/>
          <w:snapToGrid w:val="0"/>
          <w:kern w:val="0"/>
          <w:sz w:val="21"/>
          <w:szCs w:val="21"/>
        </w:rPr>
        <w:t>投标人履行合同的能力。</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20</w:t>
      </w:r>
      <w:r>
        <w:rPr>
          <w:rFonts w:ascii="Arial" w:hAnsi="Arial" w:cs="Arial"/>
          <w:snapToGrid w:val="0"/>
          <w:kern w:val="0"/>
          <w:sz w:val="21"/>
          <w:szCs w:val="21"/>
        </w:rPr>
        <w:t>.2最终审查工作如需投标人配合，投标人必须接受。</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20</w:t>
      </w:r>
      <w:r>
        <w:rPr>
          <w:rFonts w:ascii="Arial" w:hAnsi="Arial" w:cs="Arial"/>
          <w:snapToGrid w:val="0"/>
          <w:kern w:val="0"/>
          <w:sz w:val="21"/>
          <w:szCs w:val="21"/>
        </w:rPr>
        <w:t>.3招标人在对投标人进行最终审查后，按有关规定确定中标人。</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21</w:t>
      </w:r>
      <w:r>
        <w:rPr>
          <w:rFonts w:ascii="Arial" w:hAnsi="Arial" w:cs="Arial"/>
          <w:snapToGrid w:val="0"/>
          <w:kern w:val="0"/>
          <w:sz w:val="21"/>
          <w:szCs w:val="21"/>
        </w:rPr>
        <w:t>、中标条件</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1） 投标文件基本符合招标文件要求；</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 投标人有很好的执行合同的能力；</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3） 投标人的</w:t>
      </w:r>
      <w:r>
        <w:rPr>
          <w:rFonts w:hint="eastAsia" w:ascii="Arial" w:hAnsi="Arial" w:cs="Arial"/>
          <w:snapToGrid w:val="0"/>
          <w:kern w:val="0"/>
          <w:sz w:val="21"/>
          <w:szCs w:val="21"/>
        </w:rPr>
        <w:t>资信</w:t>
      </w:r>
      <w:r>
        <w:rPr>
          <w:rFonts w:ascii="Arial" w:hAnsi="Arial" w:cs="Arial"/>
          <w:snapToGrid w:val="0"/>
          <w:kern w:val="0"/>
          <w:sz w:val="21"/>
          <w:szCs w:val="21"/>
        </w:rPr>
        <w:t>、商务经济占综合优势。</w:t>
      </w:r>
    </w:p>
    <w:p>
      <w:pPr>
        <w:adjustRightInd w:val="0"/>
        <w:snapToGrid w:val="0"/>
        <w:spacing w:line="360" w:lineRule="auto"/>
        <w:rPr>
          <w:rFonts w:ascii="Arial" w:hAnsi="Arial" w:cs="Arial"/>
          <w:b/>
          <w:snapToGrid w:val="0"/>
          <w:kern w:val="0"/>
          <w:sz w:val="21"/>
          <w:szCs w:val="21"/>
        </w:rPr>
      </w:pPr>
      <w:r>
        <w:rPr>
          <w:rFonts w:hint="eastAsia" w:ascii="Arial" w:hAnsi="Arial" w:cs="Arial"/>
          <w:snapToGrid w:val="0"/>
          <w:kern w:val="0"/>
          <w:sz w:val="21"/>
          <w:szCs w:val="21"/>
        </w:rPr>
        <w:t xml:space="preserve">    </w:t>
      </w:r>
      <w:r>
        <w:rPr>
          <w:rFonts w:ascii="Arial" w:hAnsi="Arial" w:cs="Arial"/>
          <w:b/>
          <w:snapToGrid w:val="0"/>
          <w:kern w:val="0"/>
          <w:sz w:val="21"/>
          <w:szCs w:val="21"/>
        </w:rPr>
        <w:t>招标人将把中标通知书授予最佳投标者，最</w:t>
      </w:r>
      <w:r>
        <w:rPr>
          <w:rFonts w:hint="eastAsia" w:ascii="Arial" w:hAnsi="Arial" w:cs="Arial"/>
          <w:b/>
          <w:snapToGrid w:val="0"/>
          <w:kern w:val="0"/>
          <w:sz w:val="21"/>
          <w:szCs w:val="21"/>
        </w:rPr>
        <w:t>高</w:t>
      </w:r>
      <w:r>
        <w:rPr>
          <w:rFonts w:ascii="Arial" w:hAnsi="Arial" w:cs="Arial"/>
          <w:b/>
          <w:snapToGrid w:val="0"/>
          <w:kern w:val="0"/>
          <w:sz w:val="21"/>
          <w:szCs w:val="21"/>
        </w:rPr>
        <w:t>报价不</w:t>
      </w:r>
      <w:r>
        <w:rPr>
          <w:rFonts w:hint="eastAsia" w:ascii="Arial" w:hAnsi="Arial" w:cs="Arial"/>
          <w:b/>
          <w:snapToGrid w:val="0"/>
          <w:kern w:val="0"/>
          <w:sz w:val="21"/>
          <w:szCs w:val="21"/>
        </w:rPr>
        <w:t>一定</w:t>
      </w:r>
      <w:r>
        <w:rPr>
          <w:rFonts w:ascii="Arial" w:hAnsi="Arial" w:cs="Arial"/>
          <w:b/>
          <w:snapToGrid w:val="0"/>
          <w:kern w:val="0"/>
          <w:sz w:val="21"/>
          <w:szCs w:val="21"/>
        </w:rPr>
        <w:t>是中标的保证。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22、</w:t>
      </w:r>
      <w:r>
        <w:rPr>
          <w:rFonts w:ascii="Arial" w:hAnsi="Arial" w:cs="Arial"/>
          <w:b/>
          <w:snapToGrid w:val="0"/>
          <w:kern w:val="0"/>
          <w:sz w:val="21"/>
          <w:szCs w:val="21"/>
        </w:rPr>
        <w:t>尽管有第2</w:t>
      </w:r>
      <w:r>
        <w:rPr>
          <w:rFonts w:hint="eastAsia" w:ascii="Arial" w:hAnsi="Arial" w:cs="Arial"/>
          <w:b/>
          <w:snapToGrid w:val="0"/>
          <w:kern w:val="0"/>
          <w:sz w:val="21"/>
          <w:szCs w:val="21"/>
        </w:rPr>
        <w:t>1</w:t>
      </w:r>
      <w:r>
        <w:rPr>
          <w:rFonts w:ascii="Arial" w:hAnsi="Arial" w:cs="Arial"/>
          <w:b/>
          <w:snapToGrid w:val="0"/>
          <w:kern w:val="0"/>
          <w:sz w:val="21"/>
          <w:szCs w:val="21"/>
        </w:rPr>
        <w:t>条规定，招标人在发出中标通知之前仍有选择或拒绝任何投标人中标的权利，并对所采取的行为不予解释，也不对因此而受影响的投标人承担责任。</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w:t>
      </w:r>
      <w:r>
        <w:rPr>
          <w:rFonts w:hint="eastAsia" w:ascii="Arial" w:hAnsi="Arial" w:cs="Arial"/>
          <w:snapToGrid w:val="0"/>
          <w:kern w:val="0"/>
          <w:sz w:val="21"/>
          <w:szCs w:val="21"/>
        </w:rPr>
        <w:t>3</w:t>
      </w:r>
      <w:r>
        <w:rPr>
          <w:rFonts w:ascii="Arial" w:hAnsi="Arial" w:cs="Arial"/>
          <w:snapToGrid w:val="0"/>
          <w:kern w:val="0"/>
          <w:sz w:val="21"/>
          <w:szCs w:val="21"/>
        </w:rPr>
        <w:t>、中标通知</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23.1</w:t>
      </w:r>
      <w:r>
        <w:rPr>
          <w:rFonts w:ascii="Arial" w:hAnsi="Arial" w:cs="Arial"/>
          <w:snapToGrid w:val="0"/>
          <w:kern w:val="0"/>
          <w:sz w:val="21"/>
          <w:szCs w:val="21"/>
        </w:rPr>
        <w:t>在投标有效期内，招标人将以书面形式通知中标人</w:t>
      </w:r>
      <w:r>
        <w:rPr>
          <w:rFonts w:hint="eastAsia" w:ascii="Arial" w:hAnsi="Arial" w:cs="Arial"/>
          <w:snapToGrid w:val="0"/>
          <w:kern w:val="0"/>
          <w:sz w:val="21"/>
          <w:szCs w:val="21"/>
        </w:rPr>
        <w:t>，</w:t>
      </w:r>
      <w:r>
        <w:rPr>
          <w:rFonts w:ascii="Arial" w:hAnsi="Arial" w:cs="Arial"/>
          <w:snapToGrid w:val="0"/>
          <w:kern w:val="0"/>
          <w:sz w:val="21"/>
          <w:szCs w:val="21"/>
        </w:rPr>
        <w:t>同时通知未中标的投标人</w:t>
      </w:r>
      <w:r>
        <w:rPr>
          <w:rFonts w:hint="eastAsia" w:ascii="Arial" w:hAnsi="Arial" w:eastAsia="仿宋_GB2312" w:cs="Arial"/>
          <w:kern w:val="0"/>
          <w:sz w:val="24"/>
        </w:rPr>
        <w:t>。</w:t>
      </w:r>
    </w:p>
    <w:p>
      <w:pPr>
        <w:adjustRightInd w:val="0"/>
        <w:snapToGrid w:val="0"/>
        <w:spacing w:line="360" w:lineRule="auto"/>
        <w:rPr>
          <w:rFonts w:ascii="Arial" w:hAnsi="Arial" w:cs="Arial"/>
          <w:b/>
          <w:snapToGrid w:val="0"/>
          <w:kern w:val="0"/>
          <w:sz w:val="21"/>
          <w:szCs w:val="21"/>
        </w:rPr>
      </w:pPr>
      <w:r>
        <w:rPr>
          <w:rFonts w:ascii="Arial" w:hAnsi="Arial" w:cs="Arial"/>
          <w:b/>
          <w:snapToGrid w:val="0"/>
          <w:kern w:val="0"/>
          <w:sz w:val="21"/>
          <w:szCs w:val="21"/>
        </w:rPr>
        <w:t>2</w:t>
      </w:r>
      <w:r>
        <w:rPr>
          <w:rFonts w:hint="eastAsia" w:ascii="Arial" w:hAnsi="Arial" w:cs="Arial"/>
          <w:b/>
          <w:snapToGrid w:val="0"/>
          <w:kern w:val="0"/>
          <w:sz w:val="21"/>
          <w:szCs w:val="21"/>
        </w:rPr>
        <w:t>3</w:t>
      </w:r>
      <w:r>
        <w:rPr>
          <w:rFonts w:ascii="Arial" w:hAnsi="Arial" w:cs="Arial"/>
          <w:b/>
          <w:snapToGrid w:val="0"/>
          <w:kern w:val="0"/>
          <w:sz w:val="21"/>
          <w:szCs w:val="21"/>
        </w:rPr>
        <w:t>.2招标人在向投标人授予中标通知书时，有权变更</w:t>
      </w:r>
      <w:r>
        <w:rPr>
          <w:rFonts w:hint="eastAsia" w:ascii="Arial" w:hAnsi="Arial" w:cs="Arial"/>
          <w:b/>
          <w:snapToGrid w:val="0"/>
          <w:kern w:val="0"/>
          <w:sz w:val="21"/>
          <w:szCs w:val="21"/>
        </w:rPr>
        <w:t>相关服务要求</w:t>
      </w:r>
      <w:r>
        <w:rPr>
          <w:rFonts w:ascii="Arial" w:hAnsi="Arial" w:cs="Arial"/>
          <w:b/>
          <w:snapToGrid w:val="0"/>
          <w:kern w:val="0"/>
          <w:sz w:val="21"/>
          <w:szCs w:val="21"/>
        </w:rPr>
        <w:t>和服务内容。</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 xml:space="preserve">23.3 </w:t>
      </w:r>
      <w:r>
        <w:rPr>
          <w:rFonts w:ascii="Arial" w:hAnsi="Arial" w:cs="Arial"/>
          <w:snapToGrid w:val="0"/>
          <w:kern w:val="0"/>
          <w:sz w:val="21"/>
          <w:szCs w:val="21"/>
        </w:rPr>
        <w:t>招标人对未中标的投标人不作落标原因解释。</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w:t>
      </w:r>
      <w:r>
        <w:rPr>
          <w:rFonts w:hint="eastAsia" w:ascii="Arial" w:hAnsi="Arial" w:cs="Arial"/>
          <w:snapToGrid w:val="0"/>
          <w:kern w:val="0"/>
          <w:sz w:val="21"/>
          <w:szCs w:val="21"/>
        </w:rPr>
        <w:t>4</w:t>
      </w:r>
      <w:r>
        <w:rPr>
          <w:rFonts w:ascii="Arial" w:hAnsi="Arial" w:cs="Arial"/>
          <w:snapToGrid w:val="0"/>
          <w:kern w:val="0"/>
          <w:sz w:val="21"/>
          <w:szCs w:val="21"/>
        </w:rPr>
        <w:t>、签订合同</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w:t>
      </w:r>
      <w:r>
        <w:rPr>
          <w:rFonts w:hint="eastAsia" w:ascii="Arial" w:hAnsi="Arial" w:cs="Arial"/>
          <w:snapToGrid w:val="0"/>
          <w:kern w:val="0"/>
          <w:sz w:val="21"/>
          <w:szCs w:val="21"/>
        </w:rPr>
        <w:t>4</w:t>
      </w:r>
      <w:r>
        <w:rPr>
          <w:rFonts w:ascii="Arial" w:hAnsi="Arial" w:cs="Arial"/>
          <w:snapToGrid w:val="0"/>
          <w:kern w:val="0"/>
          <w:sz w:val="21"/>
          <w:szCs w:val="21"/>
        </w:rPr>
        <w:t>.</w:t>
      </w:r>
      <w:r>
        <w:rPr>
          <w:rFonts w:hint="eastAsia" w:ascii="Arial" w:hAnsi="Arial" w:cs="Arial"/>
          <w:snapToGrid w:val="0"/>
          <w:kern w:val="0"/>
          <w:sz w:val="21"/>
          <w:szCs w:val="21"/>
        </w:rPr>
        <w:t>1</w:t>
      </w:r>
      <w:r>
        <w:rPr>
          <w:rFonts w:ascii="Arial" w:hAnsi="Arial" w:cs="Arial"/>
          <w:snapToGrid w:val="0"/>
          <w:kern w:val="0"/>
          <w:sz w:val="21"/>
          <w:szCs w:val="21"/>
        </w:rPr>
        <w:t xml:space="preserve"> 招标文件、中标人的投标文件及投标修改文件、评标过程中有关澄清文件及经双方签字的询标纪要和中标通知书均作为合同附件。</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w:t>
      </w:r>
      <w:r>
        <w:rPr>
          <w:rFonts w:hint="eastAsia" w:ascii="Arial" w:hAnsi="Arial" w:cs="Arial"/>
          <w:snapToGrid w:val="0"/>
          <w:kern w:val="0"/>
          <w:sz w:val="21"/>
          <w:szCs w:val="21"/>
        </w:rPr>
        <w:t>4</w:t>
      </w:r>
      <w:r>
        <w:rPr>
          <w:rFonts w:ascii="Arial" w:hAnsi="Arial" w:cs="Arial"/>
          <w:snapToGrid w:val="0"/>
          <w:kern w:val="0"/>
          <w:sz w:val="21"/>
          <w:szCs w:val="21"/>
        </w:rPr>
        <w:t>.</w:t>
      </w:r>
      <w:r>
        <w:rPr>
          <w:rFonts w:hint="eastAsia" w:ascii="Arial" w:hAnsi="Arial" w:cs="Arial"/>
          <w:snapToGrid w:val="0"/>
          <w:kern w:val="0"/>
          <w:sz w:val="21"/>
          <w:szCs w:val="21"/>
        </w:rPr>
        <w:t>2</w:t>
      </w:r>
      <w:r>
        <w:rPr>
          <w:rFonts w:ascii="Arial" w:hAnsi="Arial" w:cs="Arial"/>
          <w:snapToGrid w:val="0"/>
          <w:kern w:val="0"/>
          <w:sz w:val="21"/>
          <w:szCs w:val="21"/>
        </w:rPr>
        <w:t xml:space="preserve"> 拒签合同的责任</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 xml:space="preserve">    中标人接到中标通知书后，在</w:t>
      </w:r>
      <w:r>
        <w:rPr>
          <w:rFonts w:hint="eastAsia" w:ascii="Arial" w:hAnsi="Arial" w:cs="Arial"/>
          <w:snapToGrid w:val="0"/>
          <w:kern w:val="0"/>
          <w:sz w:val="21"/>
          <w:szCs w:val="21"/>
        </w:rPr>
        <w:t>7日历天</w:t>
      </w:r>
      <w:r>
        <w:rPr>
          <w:rFonts w:ascii="Arial" w:hAnsi="Arial" w:cs="Arial"/>
          <w:snapToGrid w:val="0"/>
          <w:kern w:val="0"/>
          <w:sz w:val="21"/>
          <w:szCs w:val="21"/>
        </w:rPr>
        <w:t>内拒交履约保证金者或借故否认已经承诺的条件而拒签合同，以投标违约处理，</w:t>
      </w:r>
      <w:r>
        <w:rPr>
          <w:rFonts w:hint="eastAsia" w:ascii="Arial" w:hAnsi="Arial" w:cs="Arial"/>
          <w:snapToGrid w:val="0"/>
          <w:kern w:val="0"/>
          <w:sz w:val="21"/>
          <w:szCs w:val="21"/>
        </w:rPr>
        <w:t>招</w:t>
      </w:r>
      <w:r>
        <w:rPr>
          <w:rFonts w:ascii="Arial" w:hAnsi="Arial" w:cs="Arial"/>
          <w:snapToGrid w:val="0"/>
          <w:kern w:val="0"/>
          <w:sz w:val="21"/>
          <w:szCs w:val="21"/>
        </w:rPr>
        <w:t>标人</w:t>
      </w:r>
      <w:r>
        <w:rPr>
          <w:rFonts w:hint="eastAsia" w:ascii="Arial" w:hAnsi="Arial" w:cs="Arial"/>
          <w:snapToGrid w:val="0"/>
          <w:kern w:val="0"/>
          <w:sz w:val="21"/>
          <w:szCs w:val="21"/>
        </w:rPr>
        <w:t>保留向该中标人索赔</w:t>
      </w:r>
      <w:r>
        <w:rPr>
          <w:rFonts w:ascii="Arial" w:hAnsi="Arial" w:cs="Arial"/>
          <w:snapToGrid w:val="0"/>
          <w:kern w:val="0"/>
          <w:sz w:val="21"/>
          <w:szCs w:val="21"/>
        </w:rPr>
        <w:t>由此造成的经济损失</w:t>
      </w:r>
      <w:r>
        <w:rPr>
          <w:rFonts w:hint="eastAsia" w:ascii="Arial" w:hAnsi="Arial" w:cs="Arial"/>
          <w:snapToGrid w:val="0"/>
          <w:kern w:val="0"/>
          <w:sz w:val="21"/>
          <w:szCs w:val="21"/>
        </w:rPr>
        <w:t>的权力</w:t>
      </w:r>
      <w:r>
        <w:rPr>
          <w:rFonts w:ascii="Arial" w:hAnsi="Arial" w:cs="Arial"/>
          <w:snapToGrid w:val="0"/>
          <w:kern w:val="0"/>
          <w:sz w:val="21"/>
          <w:szCs w:val="21"/>
        </w:rPr>
        <w:t>。</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2</w:t>
      </w:r>
      <w:r>
        <w:rPr>
          <w:rFonts w:hint="eastAsia" w:ascii="Arial" w:hAnsi="Arial" w:cs="Arial"/>
          <w:snapToGrid w:val="0"/>
          <w:kern w:val="0"/>
          <w:sz w:val="21"/>
          <w:szCs w:val="21"/>
        </w:rPr>
        <w:t>5</w:t>
      </w:r>
      <w:r>
        <w:rPr>
          <w:rFonts w:ascii="Arial" w:hAnsi="Arial" w:cs="Arial"/>
          <w:snapToGrid w:val="0"/>
          <w:kern w:val="0"/>
          <w:sz w:val="21"/>
          <w:szCs w:val="21"/>
        </w:rPr>
        <w:t>、履约保证金</w:t>
      </w:r>
    </w:p>
    <w:p>
      <w:pPr>
        <w:adjustRightInd w:val="0"/>
        <w:snapToGrid w:val="0"/>
        <w:spacing w:line="360" w:lineRule="auto"/>
        <w:rPr>
          <w:rFonts w:ascii="Arial" w:hAnsi="Arial" w:cs="Arial"/>
          <w:snapToGrid w:val="0"/>
          <w:kern w:val="0"/>
          <w:sz w:val="21"/>
          <w:szCs w:val="21"/>
        </w:rPr>
      </w:pPr>
      <w:r>
        <w:rPr>
          <w:rFonts w:hint="eastAsia" w:ascii="Arial" w:hAnsi="Arial" w:cs="Arial"/>
          <w:snapToGrid w:val="0"/>
          <w:kern w:val="0"/>
          <w:sz w:val="21"/>
          <w:szCs w:val="21"/>
        </w:rPr>
        <w:t>25.1中标</w:t>
      </w:r>
      <w:r>
        <w:rPr>
          <w:rFonts w:ascii="Arial" w:hAnsi="Arial" w:cs="Arial"/>
          <w:snapToGrid w:val="0"/>
          <w:kern w:val="0"/>
          <w:sz w:val="21"/>
          <w:szCs w:val="21"/>
        </w:rPr>
        <w:t>人应在签订合同前向</w:t>
      </w:r>
      <w:r>
        <w:rPr>
          <w:rFonts w:hint="eastAsia" w:ascii="Arial" w:hAnsi="Arial" w:cs="Arial"/>
          <w:snapToGrid w:val="0"/>
          <w:kern w:val="0"/>
          <w:sz w:val="21"/>
          <w:szCs w:val="21"/>
        </w:rPr>
        <w:t>招标人</w:t>
      </w:r>
      <w:r>
        <w:rPr>
          <w:rFonts w:ascii="Arial" w:hAnsi="Arial" w:cs="Arial"/>
          <w:snapToGrid w:val="0"/>
          <w:kern w:val="0"/>
          <w:sz w:val="21"/>
          <w:szCs w:val="21"/>
        </w:rPr>
        <w:t>提</w:t>
      </w:r>
      <w:r>
        <w:rPr>
          <w:rFonts w:hint="eastAsia" w:ascii="Arial" w:hAnsi="Arial" w:cs="Arial"/>
          <w:snapToGrid w:val="0"/>
          <w:kern w:val="0"/>
          <w:sz w:val="21"/>
          <w:szCs w:val="21"/>
        </w:rPr>
        <w:t>交</w:t>
      </w:r>
      <w:r>
        <w:rPr>
          <w:rFonts w:ascii="Arial" w:hAnsi="Arial" w:cs="Arial"/>
          <w:snapToGrid w:val="0"/>
          <w:kern w:val="0"/>
          <w:sz w:val="21"/>
          <w:szCs w:val="21"/>
        </w:rPr>
        <w:t>履约保证金。履约保证金有效期为自签发之日起至</w:t>
      </w:r>
      <w:r>
        <w:rPr>
          <w:rFonts w:hint="eastAsia" w:ascii="Arial" w:hAnsi="Arial" w:cs="Arial"/>
          <w:snapToGrid w:val="0"/>
          <w:kern w:val="0"/>
          <w:sz w:val="21"/>
          <w:szCs w:val="21"/>
        </w:rPr>
        <w:t>租赁合同执行</w:t>
      </w:r>
      <w:r>
        <w:rPr>
          <w:rFonts w:ascii="Arial" w:hAnsi="Arial" w:cs="Arial"/>
          <w:snapToGrid w:val="0"/>
          <w:kern w:val="0"/>
          <w:sz w:val="21"/>
          <w:szCs w:val="21"/>
        </w:rPr>
        <w:t>完毕止。</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25</w:t>
      </w:r>
      <w:r>
        <w:rPr>
          <w:rFonts w:ascii="Arial" w:hAnsi="Arial" w:cs="Arial"/>
          <w:snapToGrid w:val="0"/>
          <w:kern w:val="0"/>
          <w:sz w:val="21"/>
          <w:szCs w:val="21"/>
        </w:rPr>
        <w:t>.2 履约保证金的退还：履约结束后，凭保证金收据向</w:t>
      </w:r>
      <w:r>
        <w:rPr>
          <w:rFonts w:hint="eastAsia" w:ascii="Arial" w:hAnsi="Arial" w:cs="Arial"/>
          <w:snapToGrid w:val="0"/>
          <w:kern w:val="0"/>
          <w:sz w:val="21"/>
          <w:szCs w:val="21"/>
        </w:rPr>
        <w:t>中</w:t>
      </w:r>
      <w:r>
        <w:rPr>
          <w:rFonts w:ascii="Arial" w:hAnsi="Arial" w:cs="Arial"/>
          <w:snapToGrid w:val="0"/>
          <w:kern w:val="0"/>
          <w:sz w:val="21"/>
          <w:szCs w:val="21"/>
        </w:rPr>
        <w:t>标人</w:t>
      </w:r>
      <w:r>
        <w:rPr>
          <w:rFonts w:hint="eastAsia" w:ascii="Arial" w:hAnsi="Arial"/>
          <w:sz w:val="21"/>
          <w:szCs w:val="21"/>
        </w:rPr>
        <w:t>无息</w:t>
      </w:r>
      <w:r>
        <w:rPr>
          <w:rFonts w:ascii="Arial" w:hAnsi="Arial" w:cs="Arial"/>
          <w:snapToGrid w:val="0"/>
          <w:kern w:val="0"/>
          <w:sz w:val="21"/>
          <w:szCs w:val="21"/>
        </w:rPr>
        <w:t>退还。</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26、招标代理服务费：详见投标须知前附表</w:t>
      </w:r>
    </w:p>
    <w:p>
      <w:pPr>
        <w:pStyle w:val="3"/>
        <w:spacing w:line="360" w:lineRule="auto"/>
        <w:rPr>
          <w:rFonts w:hint="eastAsia" w:ascii="Arial" w:hAnsi="Arial" w:eastAsia="黑体" w:cs="Arial"/>
          <w:snapToGrid w:val="0"/>
          <w:kern w:val="0"/>
          <w:sz w:val="30"/>
        </w:rPr>
      </w:pPr>
      <w:r>
        <w:rPr>
          <w:rFonts w:ascii="Arial" w:hAnsi="Arial" w:cs="Arial"/>
          <w:b w:val="0"/>
          <w:bCs w:val="0"/>
          <w:snapToGrid w:val="0"/>
          <w:kern w:val="0"/>
          <w:sz w:val="21"/>
          <w:szCs w:val="21"/>
        </w:rPr>
        <w:br w:type="page"/>
      </w:r>
      <w:bookmarkStart w:id="30" w:name="_Toc26358"/>
      <w:r>
        <w:rPr>
          <w:rFonts w:ascii="Arial" w:hAnsi="Arial" w:eastAsia="黑体" w:cs="Arial"/>
          <w:snapToGrid w:val="0"/>
          <w:kern w:val="0"/>
          <w:sz w:val="30"/>
        </w:rPr>
        <w:t>第</w:t>
      </w:r>
      <w:r>
        <w:rPr>
          <w:rFonts w:hint="eastAsia" w:ascii="Arial" w:hAnsi="Arial" w:eastAsia="黑体" w:cs="Arial"/>
          <w:snapToGrid w:val="0"/>
          <w:kern w:val="0"/>
          <w:sz w:val="30"/>
        </w:rPr>
        <w:t>三</w:t>
      </w:r>
      <w:r>
        <w:rPr>
          <w:rFonts w:ascii="Arial" w:hAnsi="Arial" w:eastAsia="黑体" w:cs="Arial"/>
          <w:snapToGrid w:val="0"/>
          <w:kern w:val="0"/>
          <w:sz w:val="30"/>
        </w:rPr>
        <w:t xml:space="preserve">部分   </w:t>
      </w:r>
      <w:r>
        <w:rPr>
          <w:rFonts w:hint="eastAsia" w:ascii="Arial" w:hAnsi="Arial" w:eastAsia="黑体" w:cs="Arial"/>
          <w:snapToGrid w:val="0"/>
          <w:kern w:val="0"/>
          <w:sz w:val="30"/>
        </w:rPr>
        <w:t>合同格式及主要条款</w:t>
      </w:r>
      <w:bookmarkEnd w:id="30"/>
    </w:p>
    <w:p>
      <w:pPr>
        <w:adjustRightInd w:val="0"/>
        <w:snapToGrid w:val="0"/>
        <w:spacing w:line="360" w:lineRule="auto"/>
        <w:ind w:firstLine="420" w:firstLineChars="200"/>
        <w:rPr>
          <w:rFonts w:ascii="Arial" w:hAnsi="Arial" w:cs="Arial"/>
          <w:snapToGrid w:val="0"/>
          <w:kern w:val="0"/>
          <w:sz w:val="21"/>
          <w:szCs w:val="21"/>
        </w:rPr>
      </w:pPr>
      <w:r>
        <w:rPr>
          <w:rFonts w:ascii="Arial" w:hAnsi="Arial" w:cs="Arial"/>
          <w:snapToGrid w:val="0"/>
          <w:kern w:val="0"/>
          <w:sz w:val="21"/>
          <w:szCs w:val="21"/>
        </w:rPr>
        <w:t>说明：如双方同意，合同格式也可以按照其它形式。但合同条款的基本内容应与</w:t>
      </w:r>
      <w:r>
        <w:rPr>
          <w:rFonts w:hint="eastAsia" w:ascii="Arial" w:hAnsi="Arial" w:cs="Arial"/>
          <w:snapToGrid w:val="0"/>
          <w:kern w:val="0"/>
          <w:sz w:val="21"/>
          <w:szCs w:val="21"/>
        </w:rPr>
        <w:t>本部分的</w:t>
      </w:r>
      <w:r>
        <w:rPr>
          <w:rFonts w:ascii="Arial" w:hAnsi="Arial" w:cs="Arial"/>
          <w:snapToGrid w:val="0"/>
          <w:kern w:val="0"/>
          <w:sz w:val="21"/>
          <w:szCs w:val="21"/>
        </w:rPr>
        <w:t>内容相一致。</w:t>
      </w:r>
    </w:p>
    <w:p>
      <w:pPr>
        <w:pStyle w:val="117"/>
        <w:spacing w:line="360" w:lineRule="auto"/>
        <w:rPr>
          <w:rFonts w:ascii="宋体" w:hAnsi="宋体"/>
          <w:b w:val="0"/>
          <w:color w:val="auto"/>
          <w:sz w:val="21"/>
          <w:szCs w:val="21"/>
        </w:rPr>
      </w:pPr>
      <w:r>
        <w:rPr>
          <w:rFonts w:hint="eastAsia" w:ascii="宋体" w:hAnsi="宋体"/>
          <w:b w:val="0"/>
          <w:color w:val="auto"/>
          <w:sz w:val="21"/>
          <w:szCs w:val="21"/>
        </w:rPr>
        <w:t>滨文校区学生宿舍6号楼商铺招租（超市）</w:t>
      </w:r>
      <w:r>
        <w:rPr>
          <w:rFonts w:ascii="宋体" w:hAnsi="宋体"/>
          <w:b w:val="0"/>
          <w:color w:val="auto"/>
          <w:sz w:val="21"/>
          <w:szCs w:val="21"/>
        </w:rPr>
        <w:t>合同</w:t>
      </w:r>
    </w:p>
    <w:p>
      <w:pPr>
        <w:adjustRightInd w:val="0"/>
        <w:snapToGrid w:val="0"/>
        <w:spacing w:line="360" w:lineRule="auto"/>
        <w:ind w:firstLine="420" w:firstLineChars="200"/>
        <w:rPr>
          <w:rFonts w:ascii="宋体" w:hAnsi="宋体" w:cs="Arial"/>
          <w:snapToGrid w:val="0"/>
          <w:kern w:val="0"/>
          <w:sz w:val="21"/>
          <w:szCs w:val="21"/>
        </w:rPr>
      </w:pPr>
      <w:r>
        <w:rPr>
          <w:rFonts w:hint="eastAsia" w:ascii="宋体" w:hAnsi="宋体" w:cs="Arial"/>
          <w:snapToGrid w:val="0"/>
          <w:kern w:val="0"/>
          <w:sz w:val="21"/>
          <w:szCs w:val="21"/>
        </w:rPr>
        <w:t xml:space="preserve">项目编号：          </w:t>
      </w:r>
    </w:p>
    <w:p>
      <w:pPr>
        <w:adjustRightInd w:val="0"/>
        <w:snapToGrid w:val="0"/>
        <w:spacing w:line="360" w:lineRule="auto"/>
        <w:ind w:firstLine="420" w:firstLineChars="200"/>
        <w:rPr>
          <w:rFonts w:ascii="宋体" w:hAnsi="宋体" w:cs="Arial"/>
          <w:snapToGrid w:val="0"/>
          <w:kern w:val="0"/>
          <w:sz w:val="21"/>
          <w:szCs w:val="21"/>
        </w:rPr>
      </w:pPr>
      <w:r>
        <w:rPr>
          <w:rFonts w:hint="eastAsia" w:ascii="宋体" w:hAnsi="宋体" w:cs="Arial"/>
          <w:snapToGrid w:val="0"/>
          <w:kern w:val="0"/>
          <w:sz w:val="21"/>
          <w:szCs w:val="21"/>
        </w:rPr>
        <w:t>甲方（出租人）：浙江中医药大学</w:t>
      </w:r>
    </w:p>
    <w:p>
      <w:pPr>
        <w:adjustRightInd w:val="0"/>
        <w:snapToGrid w:val="0"/>
        <w:spacing w:line="360" w:lineRule="auto"/>
        <w:ind w:firstLine="420" w:firstLineChars="200"/>
        <w:rPr>
          <w:rFonts w:ascii="宋体" w:hAnsi="宋体" w:cs="Arial"/>
          <w:snapToGrid w:val="0"/>
          <w:kern w:val="0"/>
          <w:sz w:val="21"/>
          <w:szCs w:val="21"/>
        </w:rPr>
      </w:pPr>
      <w:r>
        <w:rPr>
          <w:rFonts w:hint="eastAsia" w:ascii="宋体" w:hAnsi="宋体" w:cs="Arial"/>
          <w:snapToGrid w:val="0"/>
          <w:kern w:val="0"/>
          <w:sz w:val="21"/>
          <w:szCs w:val="21"/>
        </w:rPr>
        <w:t xml:space="preserve">乙方（承租人）：            </w:t>
      </w:r>
    </w:p>
    <w:p>
      <w:pPr>
        <w:adjustRightInd w:val="0"/>
        <w:snapToGrid w:val="0"/>
        <w:spacing w:line="360" w:lineRule="auto"/>
        <w:ind w:firstLine="420" w:firstLineChars="200"/>
        <w:rPr>
          <w:rFonts w:ascii="宋体" w:hAnsi="宋体" w:cs="Arial"/>
          <w:snapToGrid w:val="0"/>
          <w:kern w:val="0"/>
          <w:sz w:val="21"/>
          <w:szCs w:val="21"/>
        </w:rPr>
      </w:pPr>
      <w:r>
        <w:rPr>
          <w:rFonts w:hint="eastAsia" w:ascii="宋体" w:hAnsi="宋体" w:cs="Arial"/>
          <w:snapToGrid w:val="0"/>
          <w:kern w:val="0"/>
          <w:sz w:val="21"/>
          <w:szCs w:val="21"/>
        </w:rPr>
        <w:t>采购代理机构（鉴证方）：</w:t>
      </w:r>
      <w:bookmarkStart w:id="31" w:name="B07_项目编号"/>
      <w:r>
        <w:rPr>
          <w:rFonts w:hint="eastAsia" w:ascii="宋体" w:hAnsi="宋体" w:cs="Arial"/>
          <w:snapToGrid w:val="0"/>
          <w:kern w:val="0"/>
          <w:sz w:val="21"/>
          <w:szCs w:val="21"/>
        </w:rPr>
        <w:t>浙江五石工程咨询有限公司</w:t>
      </w:r>
    </w:p>
    <w:p>
      <w:pPr>
        <w:adjustRightInd w:val="0"/>
        <w:snapToGrid w:val="0"/>
        <w:spacing w:line="360" w:lineRule="auto"/>
        <w:ind w:firstLine="420" w:firstLineChars="200"/>
        <w:rPr>
          <w:rFonts w:ascii="宋体" w:hAnsi="宋体"/>
          <w:sz w:val="21"/>
          <w:szCs w:val="21"/>
        </w:rPr>
      </w:pPr>
      <w:r>
        <w:rPr>
          <w:rFonts w:hint="eastAsia" w:ascii="宋体" w:hAnsi="宋体" w:cs="Arial"/>
          <w:snapToGrid w:val="0"/>
          <w:kern w:val="0"/>
          <w:sz w:val="21"/>
          <w:szCs w:val="21"/>
        </w:rPr>
        <w:t xml:space="preserve">经采购代理机构对 </w:t>
      </w:r>
      <w:r>
        <w:rPr>
          <w:rFonts w:hint="eastAsia" w:ascii="宋体" w:hAnsi="宋体" w:cs="Arial"/>
          <w:snapToGrid w:val="0"/>
          <w:kern w:val="0"/>
          <w:sz w:val="21"/>
          <w:szCs w:val="21"/>
          <w:u w:val="single"/>
        </w:rPr>
        <w:t xml:space="preserve">    滨文校区学生宿舍6号楼商铺招租（超市）   </w:t>
      </w:r>
      <w:r>
        <w:rPr>
          <w:rFonts w:hint="eastAsia" w:ascii="宋体" w:hAnsi="宋体" w:cs="Arial"/>
          <w:snapToGrid w:val="0"/>
          <w:kern w:val="0"/>
          <w:sz w:val="21"/>
          <w:szCs w:val="21"/>
        </w:rPr>
        <w:t xml:space="preserve">（项目名称）通过 </w:t>
      </w:r>
      <w:r>
        <w:rPr>
          <w:rFonts w:hint="eastAsia" w:ascii="宋体" w:hAnsi="宋体" w:cs="Arial"/>
          <w:snapToGrid w:val="0"/>
          <w:kern w:val="0"/>
          <w:sz w:val="21"/>
          <w:szCs w:val="21"/>
          <w:u w:val="single"/>
        </w:rPr>
        <w:t xml:space="preserve"> 公开招标 </w:t>
      </w:r>
      <w:r>
        <w:rPr>
          <w:rFonts w:hint="eastAsia" w:ascii="宋体" w:hAnsi="宋体" w:cs="Arial"/>
          <w:snapToGrid w:val="0"/>
          <w:kern w:val="0"/>
          <w:sz w:val="21"/>
          <w:szCs w:val="21"/>
        </w:rPr>
        <w:t>方式采购</w:t>
      </w:r>
      <w:bookmarkEnd w:id="31"/>
      <w:r>
        <w:rPr>
          <w:rFonts w:hint="eastAsia" w:ascii="宋体" w:hAnsi="宋体" w:cs="Arial"/>
          <w:snapToGrid w:val="0"/>
          <w:kern w:val="0"/>
          <w:sz w:val="21"/>
          <w:szCs w:val="21"/>
        </w:rPr>
        <w:t xml:space="preserve">，确定 </w:t>
      </w:r>
      <w:r>
        <w:rPr>
          <w:rFonts w:hint="eastAsia" w:ascii="宋体" w:hAnsi="宋体" w:cs="Arial"/>
          <w:snapToGrid w:val="0"/>
          <w:kern w:val="0"/>
          <w:sz w:val="21"/>
          <w:szCs w:val="21"/>
          <w:u w:val="single"/>
        </w:rPr>
        <w:t xml:space="preserve">          </w:t>
      </w:r>
      <w:r>
        <w:rPr>
          <w:rFonts w:hint="eastAsia" w:ascii="宋体" w:hAnsi="宋体" w:cs="Arial"/>
          <w:snapToGrid w:val="0"/>
          <w:kern w:val="0"/>
          <w:sz w:val="21"/>
          <w:szCs w:val="21"/>
        </w:rPr>
        <w:t xml:space="preserve">  为中标人，</w:t>
      </w:r>
      <w:r>
        <w:rPr>
          <w:rFonts w:hint="eastAsia" w:ascii="宋体" w:hAnsi="宋体"/>
          <w:sz w:val="21"/>
          <w:szCs w:val="21"/>
        </w:rPr>
        <w:t>为明确合同双方权利和义务，特签订本租赁合同（以下简称“本合同”），以兹双方共同遵守：</w:t>
      </w:r>
    </w:p>
    <w:p>
      <w:pPr>
        <w:spacing w:line="360" w:lineRule="auto"/>
        <w:ind w:firstLine="420"/>
        <w:rPr>
          <w:rFonts w:ascii="宋体" w:hAnsi="宋体"/>
          <w:b/>
          <w:sz w:val="21"/>
          <w:szCs w:val="21"/>
        </w:rPr>
      </w:pPr>
      <w:r>
        <w:rPr>
          <w:rFonts w:hint="eastAsia" w:ascii="宋体" w:hAnsi="宋体"/>
          <w:b/>
          <w:sz w:val="21"/>
          <w:szCs w:val="21"/>
        </w:rPr>
        <w:t>第一条  租赁场地及期限</w:t>
      </w:r>
    </w:p>
    <w:p>
      <w:pPr>
        <w:spacing w:line="360" w:lineRule="auto"/>
        <w:ind w:firstLine="420" w:firstLineChars="200"/>
        <w:rPr>
          <w:rFonts w:ascii="宋体" w:hAnsi="宋体"/>
          <w:sz w:val="21"/>
          <w:szCs w:val="21"/>
        </w:rPr>
      </w:pPr>
      <w:r>
        <w:rPr>
          <w:rFonts w:hint="eastAsia" w:ascii="宋体" w:hAnsi="宋体"/>
          <w:sz w:val="21"/>
          <w:szCs w:val="21"/>
        </w:rPr>
        <w:t>1、按本合同项下条件，甲方同意出租且乙方同意承租位于</w:t>
      </w:r>
      <w:r>
        <w:rPr>
          <w:rFonts w:hint="eastAsia" w:ascii="宋体" w:hAnsi="宋体" w:cs="Arial"/>
          <w:snapToGrid w:val="0"/>
          <w:kern w:val="0"/>
          <w:sz w:val="21"/>
          <w:szCs w:val="21"/>
          <w:u w:val="single"/>
        </w:rPr>
        <w:t>滨文校区学生宿舍6号楼1层西南</w:t>
      </w:r>
      <w:r>
        <w:rPr>
          <w:rFonts w:hint="eastAsia" w:ascii="宋体" w:hAnsi="宋体"/>
          <w:sz w:val="21"/>
          <w:szCs w:val="21"/>
        </w:rPr>
        <w:t>，面积为</w:t>
      </w:r>
      <w:r>
        <w:rPr>
          <w:rFonts w:ascii="宋体" w:hAnsi="宋体"/>
          <w:sz w:val="21"/>
          <w:szCs w:val="21"/>
        </w:rPr>
        <w:t xml:space="preserve"> </w:t>
      </w:r>
      <w:r>
        <w:rPr>
          <w:rFonts w:hint="eastAsia" w:ascii="宋体" w:hAnsi="宋体"/>
          <w:sz w:val="21"/>
          <w:szCs w:val="21"/>
          <w:u w:val="single"/>
        </w:rPr>
        <w:t xml:space="preserve">  115.8  </w:t>
      </w:r>
      <w:r>
        <w:rPr>
          <w:rFonts w:hint="eastAsia" w:ascii="宋体" w:hAnsi="宋体"/>
          <w:sz w:val="21"/>
          <w:szCs w:val="21"/>
        </w:rPr>
        <w:t>平方米的</w:t>
      </w:r>
      <w:r>
        <w:rPr>
          <w:rFonts w:ascii="宋体" w:hAnsi="宋体"/>
          <w:sz w:val="21"/>
          <w:szCs w:val="21"/>
          <w:u w:val="single"/>
        </w:rPr>
        <w:t xml:space="preserve"> 商铺</w:t>
      </w:r>
      <w:r>
        <w:rPr>
          <w:rFonts w:hint="eastAsia" w:ascii="宋体" w:hAnsi="宋体"/>
          <w:sz w:val="21"/>
          <w:szCs w:val="21"/>
          <w:u w:val="single"/>
        </w:rPr>
        <w:t xml:space="preserve"> </w:t>
      </w:r>
      <w:r>
        <w:rPr>
          <w:rFonts w:hint="eastAsia" w:ascii="宋体" w:hAnsi="宋体"/>
          <w:sz w:val="21"/>
          <w:szCs w:val="21"/>
        </w:rPr>
        <w:t xml:space="preserve"> 场地及其附属设施设备（详见平面分布图）。</w:t>
      </w:r>
    </w:p>
    <w:p>
      <w:pPr>
        <w:spacing w:line="360" w:lineRule="auto"/>
        <w:ind w:firstLine="420" w:firstLineChars="200"/>
        <w:rPr>
          <w:rFonts w:ascii="宋体" w:hAnsi="宋体"/>
          <w:sz w:val="21"/>
          <w:szCs w:val="21"/>
        </w:rPr>
      </w:pPr>
      <w:r>
        <w:rPr>
          <w:rFonts w:hint="eastAsia" w:ascii="宋体" w:hAnsi="宋体"/>
          <w:sz w:val="21"/>
          <w:szCs w:val="21"/>
        </w:rPr>
        <w:t>2、租赁场地的调整。甲方出于对整体规划布局的需要，在本合同有效期限内对租赁场地进行各种形式的调整，乙方须无条件配合。其中使场地面积增大或缩小，则按本合同第三条第（二）款处理。如涉及场地地理位置的变化，乙方就变动的转换条件无法与甲方协商一致，则本合同关止。</w:t>
      </w:r>
    </w:p>
    <w:p>
      <w:pPr>
        <w:spacing w:line="360" w:lineRule="auto"/>
        <w:ind w:left="360" w:leftChars="100" w:firstLine="210" w:firstLineChars="100"/>
        <w:rPr>
          <w:rFonts w:ascii="宋体" w:hAnsi="宋体"/>
          <w:sz w:val="21"/>
          <w:szCs w:val="21"/>
        </w:rPr>
      </w:pPr>
      <w:r>
        <w:rPr>
          <w:rFonts w:hint="eastAsia" w:ascii="宋体" w:hAnsi="宋体"/>
          <w:sz w:val="21"/>
          <w:szCs w:val="21"/>
        </w:rPr>
        <w:t>3、租赁期限：双方共同确认租赁期自</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日至</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日止，共</w:t>
      </w:r>
      <w:r>
        <w:rPr>
          <w:rFonts w:hint="eastAsia" w:ascii="宋体" w:hAnsi="宋体"/>
          <w:sz w:val="21"/>
          <w:szCs w:val="21"/>
          <w:u w:val="single"/>
        </w:rPr>
        <w:t xml:space="preserve"> 3 </w:t>
      </w:r>
      <w:r>
        <w:rPr>
          <w:rFonts w:hint="eastAsia" w:ascii="宋体" w:hAnsi="宋体"/>
          <w:sz w:val="21"/>
          <w:szCs w:val="21"/>
        </w:rPr>
        <w:t>年。租赁期期满，本合同即终止。</w:t>
      </w:r>
    </w:p>
    <w:p>
      <w:pPr>
        <w:spacing w:line="360" w:lineRule="auto"/>
        <w:ind w:left="360" w:leftChars="100" w:firstLine="211" w:firstLineChars="100"/>
        <w:rPr>
          <w:rFonts w:ascii="宋体" w:hAnsi="宋体"/>
          <w:b/>
          <w:sz w:val="21"/>
          <w:szCs w:val="21"/>
        </w:rPr>
      </w:pPr>
      <w:r>
        <w:rPr>
          <w:rFonts w:hint="eastAsia" w:ascii="宋体" w:hAnsi="宋体"/>
          <w:b/>
          <w:sz w:val="21"/>
          <w:szCs w:val="21"/>
        </w:rPr>
        <w:t>第二条  租金</w:t>
      </w:r>
    </w:p>
    <w:p>
      <w:pPr>
        <w:spacing w:line="360" w:lineRule="auto"/>
        <w:ind w:firstLine="420" w:firstLineChars="200"/>
        <w:rPr>
          <w:sz w:val="21"/>
          <w:szCs w:val="21"/>
        </w:rPr>
      </w:pPr>
      <w:r>
        <w:rPr>
          <w:rFonts w:hint="eastAsia"/>
          <w:sz w:val="21"/>
          <w:szCs w:val="21"/>
        </w:rPr>
        <w:t>1、年租金人民币</w:t>
      </w:r>
      <w:r>
        <w:rPr>
          <w:rFonts w:hint="eastAsia"/>
          <w:sz w:val="21"/>
          <w:szCs w:val="21"/>
          <w:u w:val="single"/>
        </w:rPr>
        <w:t xml:space="preserve">      </w:t>
      </w:r>
      <w:r>
        <w:rPr>
          <w:rFonts w:hint="eastAsia"/>
          <w:sz w:val="21"/>
          <w:szCs w:val="21"/>
        </w:rPr>
        <w:t>元（每年按12个月计算），三年租金总计为人民币</w:t>
      </w:r>
      <w:r>
        <w:rPr>
          <w:rFonts w:hint="eastAsia"/>
          <w:sz w:val="21"/>
          <w:szCs w:val="21"/>
          <w:u w:val="single"/>
        </w:rPr>
        <w:t xml:space="preserve">      </w:t>
      </w:r>
      <w:r>
        <w:rPr>
          <w:rFonts w:hint="eastAsia"/>
          <w:sz w:val="21"/>
          <w:szCs w:val="21"/>
        </w:rPr>
        <w:t>元。</w:t>
      </w:r>
    </w:p>
    <w:p>
      <w:pPr>
        <w:spacing w:line="360" w:lineRule="auto"/>
        <w:ind w:firstLine="420" w:firstLineChars="200"/>
        <w:rPr>
          <w:sz w:val="21"/>
          <w:szCs w:val="21"/>
        </w:rPr>
      </w:pPr>
      <w:r>
        <w:rPr>
          <w:rFonts w:hint="eastAsia"/>
          <w:sz w:val="21"/>
          <w:szCs w:val="21"/>
        </w:rPr>
        <w:t>2、租金维持：本合同租赁期间，如因甲方原因或经甲方同意的理由新增商业场地或使租赁场地扩大或缩小时，每平米月租赁费仍维持不变，按实际租赁面积计收租金。</w:t>
      </w:r>
    </w:p>
    <w:p>
      <w:pPr>
        <w:spacing w:line="360" w:lineRule="auto"/>
        <w:ind w:firstLine="420" w:firstLineChars="200"/>
        <w:rPr>
          <w:sz w:val="21"/>
          <w:szCs w:val="21"/>
        </w:rPr>
      </w:pPr>
      <w:r>
        <w:rPr>
          <w:rFonts w:hint="eastAsia"/>
          <w:sz w:val="21"/>
          <w:szCs w:val="21"/>
        </w:rPr>
        <w:t>3、租金不受影响。租金交缴不受合同双方或其他方争议或其他原因影响，在法院判令或仲裁委员会裁决之间，乙方须如期全额向甲方交缴租金，否则，视为逾期交缴租金。</w:t>
      </w:r>
    </w:p>
    <w:p>
      <w:pPr>
        <w:spacing w:line="360" w:lineRule="auto"/>
        <w:ind w:firstLine="422" w:firstLineChars="200"/>
        <w:rPr>
          <w:rFonts w:ascii="宋体" w:hAnsi="宋体"/>
          <w:b/>
          <w:sz w:val="21"/>
          <w:szCs w:val="21"/>
        </w:rPr>
      </w:pPr>
      <w:r>
        <w:rPr>
          <w:rFonts w:hint="eastAsia" w:ascii="宋体" w:hAnsi="宋体"/>
          <w:b/>
          <w:sz w:val="21"/>
          <w:szCs w:val="21"/>
        </w:rPr>
        <w:t>第三条   结算</w:t>
      </w:r>
    </w:p>
    <w:p>
      <w:pPr>
        <w:spacing w:line="360" w:lineRule="auto"/>
        <w:rPr>
          <w:rFonts w:ascii="宋体" w:hAnsi="宋体"/>
          <w:sz w:val="21"/>
          <w:szCs w:val="21"/>
        </w:rPr>
      </w:pPr>
      <w:r>
        <w:rPr>
          <w:rFonts w:hint="eastAsia" w:ascii="宋体" w:hAnsi="宋体"/>
          <w:sz w:val="21"/>
          <w:szCs w:val="21"/>
        </w:rPr>
        <w:t xml:space="preserve">    租金按年度收取，第一年租金由乙方在合同签订后7天内支付给甲方。第二、三年的租金，乙方在每年6 月10 日前支付给甲方。</w:t>
      </w:r>
    </w:p>
    <w:p>
      <w:pPr>
        <w:spacing w:line="360" w:lineRule="auto"/>
        <w:ind w:firstLine="422" w:firstLineChars="200"/>
        <w:rPr>
          <w:rFonts w:ascii="宋体" w:hAnsi="宋体"/>
          <w:b/>
          <w:sz w:val="21"/>
          <w:szCs w:val="21"/>
        </w:rPr>
      </w:pPr>
      <w:r>
        <w:rPr>
          <w:rFonts w:hint="eastAsia" w:ascii="宋体" w:hAnsi="宋体"/>
          <w:b/>
          <w:sz w:val="21"/>
          <w:szCs w:val="21"/>
        </w:rPr>
        <w:t>第四条   履约保证金</w:t>
      </w:r>
    </w:p>
    <w:p>
      <w:pPr>
        <w:spacing w:line="360" w:lineRule="auto"/>
        <w:ind w:firstLine="420" w:firstLineChars="200"/>
        <w:rPr>
          <w:rFonts w:hint="eastAsia" w:ascii="宋体" w:hAnsi="宋体"/>
          <w:sz w:val="21"/>
          <w:szCs w:val="21"/>
        </w:rPr>
      </w:pPr>
      <w:r>
        <w:rPr>
          <w:rFonts w:hint="eastAsia" w:ascii="宋体" w:hAnsi="宋体"/>
          <w:sz w:val="21"/>
          <w:szCs w:val="21"/>
        </w:rPr>
        <w:t>乙方应在收到中标通知书7个工作日内向甲方缴纳3个月租金计</w:t>
      </w:r>
      <w:r>
        <w:rPr>
          <w:rFonts w:hint="eastAsia" w:ascii="宋体" w:hAnsi="宋体"/>
          <w:sz w:val="21"/>
          <w:szCs w:val="21"/>
          <w:u w:val="single"/>
        </w:rPr>
        <w:t xml:space="preserve">        </w:t>
      </w:r>
      <w:r>
        <w:rPr>
          <w:rFonts w:hint="eastAsia" w:ascii="宋体" w:hAnsi="宋体"/>
          <w:sz w:val="21"/>
          <w:szCs w:val="21"/>
        </w:rPr>
        <w:t>元人民币的履约保证金，否则不得使用房屋，合同期满经甲方确认乙方无违约行为后，由甲方无息退给乙方。</w:t>
      </w:r>
    </w:p>
    <w:p>
      <w:pPr>
        <w:spacing w:line="360" w:lineRule="auto"/>
        <w:ind w:firstLine="422" w:firstLineChars="200"/>
        <w:rPr>
          <w:rFonts w:ascii="Arial" w:hAnsi="Arial"/>
          <w:b/>
          <w:sz w:val="21"/>
          <w:szCs w:val="21"/>
        </w:rPr>
      </w:pPr>
      <w:r>
        <w:rPr>
          <w:rFonts w:hint="eastAsia" w:ascii="宋体" w:hAnsi="宋体"/>
          <w:b/>
          <w:sz w:val="21"/>
          <w:szCs w:val="21"/>
        </w:rPr>
        <w:t xml:space="preserve">第五条 </w:t>
      </w:r>
      <w:r>
        <w:rPr>
          <w:rFonts w:hint="eastAsia" w:ascii="Arial" w:hAnsi="Arial"/>
          <w:b/>
          <w:sz w:val="21"/>
          <w:szCs w:val="21"/>
        </w:rPr>
        <w:t>甲方权利和义务</w:t>
      </w:r>
    </w:p>
    <w:p>
      <w:pPr>
        <w:spacing w:line="360" w:lineRule="auto"/>
        <w:ind w:firstLine="420" w:firstLineChars="200"/>
        <w:rPr>
          <w:rFonts w:ascii="宋体" w:hAnsi="宋体"/>
          <w:sz w:val="21"/>
          <w:szCs w:val="21"/>
        </w:rPr>
      </w:pPr>
      <w:r>
        <w:rPr>
          <w:rFonts w:hint="eastAsia" w:ascii="宋体" w:hAnsi="宋体"/>
          <w:sz w:val="21"/>
          <w:szCs w:val="21"/>
        </w:rPr>
        <w:t>1.甲方对乙方经营的超市在卫生、质量、价格、服务态度等方面有检查监督权利，乙方应服从甲方职能部门管理。</w:t>
      </w:r>
    </w:p>
    <w:p>
      <w:pPr>
        <w:spacing w:line="360" w:lineRule="auto"/>
        <w:ind w:firstLine="420" w:firstLineChars="200"/>
        <w:rPr>
          <w:rFonts w:ascii="宋体" w:hAnsi="宋体"/>
          <w:sz w:val="21"/>
          <w:szCs w:val="21"/>
        </w:rPr>
      </w:pPr>
      <w:r>
        <w:rPr>
          <w:rFonts w:hint="eastAsia" w:ascii="宋体" w:hAnsi="宋体"/>
          <w:sz w:val="21"/>
          <w:szCs w:val="21"/>
        </w:rPr>
        <w:t>2.乙方经营中发生食品质量安全问题事件，甲方有权视情节严重情况扣除乙方部分或全部履约保证金，并有权解除合同，并依照合同或法律规定，追究乙方相关责任；乙方因食品价格问题被投诉，甲方有权责令乙方限期整改，否则，甲方有权按照情节严重情况扣除部分或全部履约保证金。</w:t>
      </w:r>
    </w:p>
    <w:p>
      <w:pPr>
        <w:spacing w:line="360" w:lineRule="auto"/>
        <w:ind w:firstLine="420" w:firstLineChars="200"/>
        <w:rPr>
          <w:rFonts w:ascii="宋体" w:hAnsi="宋体"/>
          <w:sz w:val="21"/>
          <w:szCs w:val="21"/>
        </w:rPr>
      </w:pPr>
      <w:r>
        <w:rPr>
          <w:rFonts w:hint="eastAsia" w:ascii="宋体" w:hAnsi="宋体"/>
          <w:sz w:val="21"/>
          <w:szCs w:val="21"/>
        </w:rPr>
        <w:t>3.甲方因教学、科研、后勤房屋调整使用等原因确需收回房屋的，甲方有权提前解除合同，乙方必须服从，但甲方应提前三十天通知乙方，房屋使用费及产生的其他费用双方协商解决。</w:t>
      </w:r>
    </w:p>
    <w:p>
      <w:pPr>
        <w:spacing w:line="360" w:lineRule="auto"/>
        <w:ind w:firstLine="422" w:firstLineChars="200"/>
        <w:rPr>
          <w:rFonts w:ascii="宋体" w:hAnsi="宋体"/>
          <w:b/>
          <w:sz w:val="21"/>
          <w:szCs w:val="21"/>
        </w:rPr>
      </w:pPr>
      <w:r>
        <w:rPr>
          <w:rFonts w:hint="eastAsia" w:ascii="宋体" w:hAnsi="宋体"/>
          <w:b/>
          <w:sz w:val="21"/>
          <w:szCs w:val="21"/>
        </w:rPr>
        <w:t>第六条 乙方权利和义务</w:t>
      </w:r>
    </w:p>
    <w:p>
      <w:pPr>
        <w:spacing w:line="360" w:lineRule="auto"/>
        <w:ind w:firstLine="420" w:firstLineChars="200"/>
        <w:rPr>
          <w:rFonts w:ascii="宋体" w:hAnsi="宋体"/>
          <w:sz w:val="21"/>
          <w:szCs w:val="21"/>
        </w:rPr>
      </w:pPr>
      <w:r>
        <w:rPr>
          <w:rFonts w:hint="eastAsia" w:ascii="宋体" w:hAnsi="宋体"/>
          <w:sz w:val="21"/>
          <w:szCs w:val="21"/>
        </w:rPr>
        <w:t>1.乙方应遵守甲方的管理规章制度和奖惩管理办法，符合国家有关消防、卫生和价格许可等法律法规，主动接受配合政府及有关部门检查。如乙方货品质量、卫生、价格等被政府有关部门查处的，由乙方自行承担全部责任。</w:t>
      </w:r>
    </w:p>
    <w:p>
      <w:pPr>
        <w:spacing w:line="360" w:lineRule="auto"/>
        <w:ind w:firstLine="420" w:firstLineChars="200"/>
        <w:rPr>
          <w:rFonts w:ascii="宋体" w:hAnsi="宋体"/>
          <w:sz w:val="21"/>
          <w:szCs w:val="21"/>
        </w:rPr>
      </w:pPr>
      <w:r>
        <w:rPr>
          <w:rFonts w:hint="eastAsia" w:ascii="宋体" w:hAnsi="宋体"/>
          <w:sz w:val="21"/>
          <w:szCs w:val="21"/>
        </w:rPr>
        <w:t>2.使用房屋由乙方自行装修，装修必须符合消防要求，乙方向甲方提出书面装修方案和书面申请，并征得甲方书面同意方可实施，所产生的一切费用乙方自理。竣工后由甲方组织安全验收，装修验收合格后，非经甲方书面同意，乙方不得对场地进行再次装修、装潢或任何改动。因使用不当或其他人为原因造成房屋设施损坏的，乙方应负责赔偿或修复。合同期满或合同提前解除（终止）时，乙方对房屋内吊顶、地砖、门窗等固定装修和设施不得自行拆除，否则应负责修复。</w:t>
      </w:r>
    </w:p>
    <w:p>
      <w:pPr>
        <w:spacing w:line="360" w:lineRule="auto"/>
        <w:ind w:firstLine="420" w:firstLineChars="200"/>
        <w:rPr>
          <w:rFonts w:ascii="宋体" w:hAnsi="宋体"/>
          <w:sz w:val="21"/>
          <w:szCs w:val="21"/>
        </w:rPr>
      </w:pPr>
      <w:r>
        <w:rPr>
          <w:rFonts w:hint="eastAsia" w:ascii="宋体" w:hAnsi="宋体"/>
          <w:sz w:val="21"/>
          <w:szCs w:val="21"/>
        </w:rPr>
        <w:t>3.乙方应自行办理经营许可手续，并在正式营业前向甲方出具有效的工商执照、税务登记证、卫生许可证、消防等相关证照，现场加工食品、饮料的需提供食品加工许可证，否则不得开业，从业人员必须有健康证，否则不得上岗。</w:t>
      </w:r>
    </w:p>
    <w:p>
      <w:pPr>
        <w:spacing w:line="360" w:lineRule="auto"/>
        <w:ind w:firstLine="420" w:firstLineChars="200"/>
        <w:rPr>
          <w:rFonts w:ascii="宋体" w:hAnsi="宋体"/>
          <w:sz w:val="21"/>
          <w:szCs w:val="21"/>
        </w:rPr>
      </w:pPr>
      <w:r>
        <w:rPr>
          <w:rFonts w:hint="eastAsia" w:ascii="宋体" w:hAnsi="宋体"/>
          <w:sz w:val="21"/>
          <w:szCs w:val="21"/>
        </w:rPr>
        <w:t>4.甲方因房屋使用功能改变或经营格局调整等原因造成合同不能履行的，乙方在甲方通知之日起30日内无条件搬出房屋，甲方不承担违约的责任及预收房屋使用费利息。甲乙双方按实际使用时间结算相应房屋使用费。</w:t>
      </w:r>
    </w:p>
    <w:p>
      <w:pPr>
        <w:spacing w:line="360" w:lineRule="auto"/>
        <w:ind w:firstLine="420" w:firstLineChars="200"/>
        <w:rPr>
          <w:rFonts w:ascii="宋体" w:hAnsi="宋体"/>
          <w:sz w:val="21"/>
          <w:szCs w:val="21"/>
        </w:rPr>
      </w:pPr>
      <w:r>
        <w:rPr>
          <w:rFonts w:hint="eastAsia" w:ascii="宋体" w:hAnsi="宋体"/>
          <w:sz w:val="21"/>
          <w:szCs w:val="21"/>
        </w:rPr>
        <w:t>5.经营范围：除水果、蔬菜、现做餐饮小吃、热得快、电热壶等大功率电器、公安部管制刀具及其它不该出售的物品以外的定装零售食品（包括乳制品、饮料和零食）、文体用品，生活用品、师生日用品等，严禁销售三明治、凉面、包子、寿司、饭团和便当等鲜食类食品。经营商品目录清单需经学校批准后方可营业，不得超范围经营。商品价格实行明码标价，不得销售假冒、伪劣、变质、过期食品。所售商品价格不得高于滨江高教园区周边大型超市的平均价格。</w:t>
      </w:r>
    </w:p>
    <w:p>
      <w:pPr>
        <w:spacing w:line="360" w:lineRule="auto"/>
        <w:ind w:firstLine="420" w:firstLineChars="200"/>
        <w:rPr>
          <w:rFonts w:ascii="宋体" w:hAnsi="宋体"/>
          <w:sz w:val="21"/>
          <w:szCs w:val="21"/>
        </w:rPr>
      </w:pPr>
      <w:r>
        <w:rPr>
          <w:rFonts w:hint="eastAsia" w:ascii="宋体" w:hAnsi="宋体"/>
          <w:sz w:val="21"/>
          <w:szCs w:val="21"/>
        </w:rPr>
        <w:t>6.使用房屋必须安装监控设备，做好防火、防盗及有关安全工作，相关费用乙方自理，若出现安全事故，其责任完全由乙方承担。</w:t>
      </w:r>
    </w:p>
    <w:p>
      <w:pPr>
        <w:spacing w:line="360" w:lineRule="auto"/>
        <w:ind w:firstLine="420" w:firstLineChars="200"/>
        <w:rPr>
          <w:rFonts w:ascii="宋体" w:hAnsi="宋体"/>
          <w:sz w:val="21"/>
          <w:szCs w:val="21"/>
        </w:rPr>
      </w:pPr>
      <w:r>
        <w:rPr>
          <w:rFonts w:hint="eastAsia" w:ascii="宋体" w:hAnsi="宋体"/>
          <w:sz w:val="21"/>
          <w:szCs w:val="21"/>
        </w:rPr>
        <w:t>7.乙方在房屋使用期内对超市经营负全责，必须实施有效管理，指定一名主管经理，负责经营场地的日常经营管理工作。不能随意停止营业，或不正常营业，不能转作其他用途，不能转包，如发现乙方违反上述约定转让转包，甲方有权解除合同，履约保证金及房屋使用费不予退还。</w:t>
      </w:r>
    </w:p>
    <w:p>
      <w:pPr>
        <w:spacing w:line="360" w:lineRule="auto"/>
        <w:ind w:firstLine="420" w:firstLineChars="200"/>
        <w:rPr>
          <w:rFonts w:ascii="宋体" w:hAnsi="宋体"/>
          <w:sz w:val="21"/>
          <w:szCs w:val="21"/>
        </w:rPr>
      </w:pPr>
      <w:r>
        <w:rPr>
          <w:rFonts w:hint="eastAsia" w:ascii="宋体" w:hAnsi="宋体"/>
          <w:sz w:val="21"/>
          <w:szCs w:val="21"/>
        </w:rPr>
        <w:t>8.乙方须有效实施超市管理，倾听甲方师生意见，不断提高服务水平和产品质量，树立热情为广大师生服务的观念，降低成本。如出现投诉，经查实后，按照甲方有关规定处理，乙方必须予以赔偿或补偿。乙方必须文明经营，遵守商业道德，尊重师生的购物意愿，不强卖、不在经营场所外人工导购或在现场以叫卖等形式招揽生意。不得在经营场所进行赌博、打架等非法活动，严禁用语粗俗或辱骂殴打消费者。</w:t>
      </w:r>
    </w:p>
    <w:p>
      <w:pPr>
        <w:spacing w:line="360" w:lineRule="auto"/>
        <w:ind w:firstLine="420" w:firstLineChars="200"/>
        <w:rPr>
          <w:rFonts w:ascii="宋体" w:hAnsi="宋体"/>
          <w:sz w:val="21"/>
          <w:szCs w:val="21"/>
        </w:rPr>
      </w:pPr>
      <w:r>
        <w:rPr>
          <w:rFonts w:hint="eastAsia" w:ascii="宋体" w:hAnsi="宋体"/>
          <w:sz w:val="21"/>
          <w:szCs w:val="21"/>
        </w:rPr>
        <w:t>9.乙方的经营场所以甲方提供的现有场所为限，乙方不得扩大经营场所，不得在现有场所范围外搭盖搭建。</w:t>
      </w:r>
    </w:p>
    <w:p>
      <w:pPr>
        <w:spacing w:line="360" w:lineRule="auto"/>
        <w:ind w:firstLine="420" w:firstLineChars="200"/>
        <w:rPr>
          <w:rFonts w:ascii="宋体" w:hAnsi="宋体"/>
          <w:sz w:val="21"/>
          <w:szCs w:val="21"/>
        </w:rPr>
      </w:pPr>
      <w:r>
        <w:rPr>
          <w:rFonts w:hint="eastAsia" w:ascii="宋体" w:hAnsi="宋体"/>
          <w:sz w:val="21"/>
          <w:szCs w:val="21"/>
        </w:rPr>
        <w:t>10.市场监管、税务等校外行政部门需要收取的所有税费由乙方自负，乙方与第三方的一切债权债务与甲方无关。</w:t>
      </w:r>
    </w:p>
    <w:p>
      <w:pPr>
        <w:spacing w:line="360" w:lineRule="auto"/>
        <w:ind w:firstLine="420" w:firstLineChars="200"/>
        <w:rPr>
          <w:rFonts w:ascii="宋体" w:hAnsi="宋体"/>
          <w:sz w:val="21"/>
          <w:szCs w:val="21"/>
        </w:rPr>
      </w:pPr>
      <w:r>
        <w:rPr>
          <w:rFonts w:hint="eastAsia" w:ascii="宋体" w:hAnsi="宋体"/>
          <w:sz w:val="21"/>
          <w:szCs w:val="21"/>
        </w:rPr>
        <w:t>11.乙方应严格遵守《中华人民共和国劳动合同法》的规定聘用员工，并交甲方备案；发生任何劳动合同纠纷由乙方自行解决。乙方工作人员必须严格遵守甲方各项规章制度，服从校方治安管理制度，乙方法定代表人对其招聘雇用员工的行为向甲方负连带责任。乙方人员信息应及时报甲方备案。</w:t>
      </w:r>
    </w:p>
    <w:p>
      <w:pPr>
        <w:spacing w:line="360" w:lineRule="auto"/>
        <w:ind w:firstLine="420" w:firstLineChars="200"/>
        <w:rPr>
          <w:rFonts w:ascii="宋体" w:hAnsi="宋体"/>
          <w:sz w:val="21"/>
          <w:szCs w:val="21"/>
        </w:rPr>
      </w:pPr>
      <w:r>
        <w:rPr>
          <w:rFonts w:hint="eastAsia" w:ascii="宋体" w:hAnsi="宋体"/>
          <w:sz w:val="21"/>
          <w:szCs w:val="21"/>
        </w:rPr>
        <w:t>12. 乙方必须统一使用校园一卡通结算（按交易额的0.5%支付服务费（月最低服务费为每台50元）），甲方对资金支付进行统一归口管理时，乙方必须无条件服从。营业时间根据甲方安排确定，保证正常时段内营业（公休、节假日应正常营业）。乙方严格遵守甲方有关作息制度，不影响师生生活。</w:t>
      </w:r>
    </w:p>
    <w:p>
      <w:pPr>
        <w:spacing w:line="360" w:lineRule="auto"/>
        <w:ind w:firstLine="420" w:firstLineChars="200"/>
        <w:rPr>
          <w:rFonts w:hint="eastAsia" w:ascii="宋体" w:hAnsi="宋体"/>
          <w:sz w:val="21"/>
          <w:szCs w:val="21"/>
        </w:rPr>
      </w:pPr>
      <w:r>
        <w:rPr>
          <w:rFonts w:hint="eastAsia" w:ascii="宋体" w:hAnsi="宋体"/>
          <w:sz w:val="21"/>
          <w:szCs w:val="21"/>
        </w:rPr>
        <w:t>13.乙方须维护、保养所使用房屋，并做好门前三包卫生保洁工作，不允许对经营场地及附属设施进行改造或移动、或增设他物，严禁牵拉电线、布置插座，严禁使用电炉、电饭锅、电水壶、电炒锅等增加电负荷的设备。否则，甲方有权没收并责令乙方承担恢复原状和赔偿损失的责任。乙方须配合甲方对经营场地及有关设施完好性、安全性进行检查。</w:t>
      </w:r>
    </w:p>
    <w:p>
      <w:pPr>
        <w:spacing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w:t>
      </w:r>
      <w:r>
        <w:rPr>
          <w:rFonts w:hint="eastAsia" w:ascii="宋体" w:hAnsi="宋体"/>
          <w:sz w:val="21"/>
          <w:szCs w:val="21"/>
        </w:rPr>
        <w:t>水电费用按照杭州市商业用水、用电收费标准由乙方自理并按季度上交甲方，如电力局、自来水公司的收费标准发生变化，甲方向乙方收取的费用也应作相应调整。</w:t>
      </w:r>
    </w:p>
    <w:p>
      <w:pPr>
        <w:spacing w:line="360" w:lineRule="auto"/>
        <w:ind w:firstLine="420" w:firstLineChars="200"/>
        <w:rPr>
          <w:rFonts w:ascii="宋体" w:hAnsi="宋体"/>
          <w:sz w:val="21"/>
          <w:szCs w:val="21"/>
        </w:rPr>
      </w:pPr>
      <w:r>
        <w:rPr>
          <w:rFonts w:hint="eastAsia" w:ascii="宋体" w:hAnsi="宋体"/>
          <w:sz w:val="21"/>
          <w:szCs w:val="21"/>
        </w:rPr>
        <w:t>15.乙方未能及时、全面履行前述义务的，甲方有权视情节决定解除合同。合同解除后，乙方应按本合同未届满部分期限和本合同约定的使用费标准的2倍向甲方支付违约赔偿金。</w:t>
      </w:r>
    </w:p>
    <w:p>
      <w:pPr>
        <w:spacing w:line="360" w:lineRule="auto"/>
        <w:ind w:firstLine="422" w:firstLineChars="200"/>
        <w:rPr>
          <w:rFonts w:ascii="宋体" w:hAnsi="宋体"/>
          <w:b/>
          <w:sz w:val="21"/>
          <w:szCs w:val="21"/>
        </w:rPr>
      </w:pPr>
      <w:r>
        <w:rPr>
          <w:rFonts w:hint="eastAsia" w:ascii="宋体" w:hAnsi="宋体"/>
          <w:b/>
          <w:sz w:val="21"/>
          <w:szCs w:val="21"/>
        </w:rPr>
        <w:t xml:space="preserve">第七条 违约责任 </w:t>
      </w:r>
    </w:p>
    <w:p>
      <w:pPr>
        <w:spacing w:line="360" w:lineRule="auto"/>
        <w:ind w:firstLine="420" w:firstLineChars="200"/>
        <w:rPr>
          <w:rFonts w:ascii="宋体" w:hAnsi="宋体"/>
          <w:sz w:val="21"/>
          <w:szCs w:val="21"/>
        </w:rPr>
      </w:pPr>
      <w:r>
        <w:rPr>
          <w:rFonts w:hint="eastAsia" w:ascii="宋体" w:hAnsi="宋体"/>
          <w:sz w:val="21"/>
          <w:szCs w:val="21"/>
        </w:rPr>
        <w:t>1.乙方若中途停止营业，所交纳的履约保证金作为乙方不正常经营给甲方造成损失的补偿，不予退还。乙方中途提出解除合同的，应按未届满部分期限的房屋使用费总额的2倍向甲方支付违约赔偿金。</w:t>
      </w:r>
    </w:p>
    <w:p>
      <w:pPr>
        <w:spacing w:line="360" w:lineRule="auto"/>
        <w:ind w:firstLine="420" w:firstLineChars="200"/>
        <w:rPr>
          <w:rFonts w:ascii="宋体" w:hAnsi="宋体"/>
          <w:sz w:val="21"/>
          <w:szCs w:val="21"/>
        </w:rPr>
      </w:pPr>
      <w:r>
        <w:rPr>
          <w:rFonts w:hint="eastAsia" w:ascii="宋体" w:hAnsi="宋体"/>
          <w:sz w:val="21"/>
          <w:szCs w:val="21"/>
        </w:rPr>
        <w:t>2.乙方违反相关法律法规或本合同约定的，甲方有权解除合同，并要求乙方支付本合同年租金2倍的赔偿金，其违约行为造成学校及师生其他损失的，乙方还应负相应法律责任及全部赔偿责任。</w:t>
      </w:r>
    </w:p>
    <w:p>
      <w:pPr>
        <w:spacing w:line="360" w:lineRule="auto"/>
        <w:ind w:firstLine="420" w:firstLineChars="200"/>
        <w:rPr>
          <w:rFonts w:ascii="宋体" w:hAnsi="宋体"/>
          <w:sz w:val="21"/>
          <w:szCs w:val="21"/>
        </w:rPr>
      </w:pPr>
      <w:r>
        <w:rPr>
          <w:rFonts w:hint="eastAsia" w:ascii="宋体" w:hAnsi="宋体"/>
          <w:sz w:val="21"/>
          <w:szCs w:val="21"/>
        </w:rPr>
        <w:t>3.乙方逾期办理卫生许可证及从业人员健康证，甲方有权责令乙方整改。因乙方不具备上述两证而被卫生部门处罚，乙方应承担全部责任。</w:t>
      </w:r>
    </w:p>
    <w:p>
      <w:pPr>
        <w:spacing w:line="360" w:lineRule="auto"/>
        <w:ind w:firstLine="420" w:firstLineChars="200"/>
        <w:rPr>
          <w:rFonts w:ascii="宋体" w:hAnsi="宋体"/>
          <w:sz w:val="21"/>
          <w:szCs w:val="21"/>
        </w:rPr>
      </w:pPr>
      <w:r>
        <w:rPr>
          <w:rFonts w:hint="eastAsia" w:ascii="宋体" w:hAnsi="宋体"/>
          <w:sz w:val="21"/>
          <w:szCs w:val="21"/>
        </w:rPr>
        <w:t>4.本合同期限届满或依法提前解除（终止）的，乙方须在10天内搬离，并将房屋清洁完好无损的交还给甲方，逾期则应按天数和房屋使用费标准的2倍支付房屋占用费。</w:t>
      </w:r>
    </w:p>
    <w:p>
      <w:pPr>
        <w:spacing w:line="360" w:lineRule="auto"/>
        <w:ind w:firstLine="420" w:firstLineChars="200"/>
        <w:rPr>
          <w:rFonts w:ascii="宋体" w:hAnsi="宋体"/>
          <w:sz w:val="21"/>
          <w:szCs w:val="21"/>
        </w:rPr>
      </w:pPr>
      <w:r>
        <w:rPr>
          <w:rFonts w:hint="eastAsia" w:ascii="宋体" w:hAnsi="宋体"/>
          <w:sz w:val="21"/>
          <w:szCs w:val="21"/>
        </w:rPr>
        <w:t>5.乙方违反本合同约定，甲方将有权责令其限期整改，并视情况直接从乙方所交的履约保证金中每次扣减1000元直至全部作为乙方违约金，若乙方应支付的违约金或赔偿金数额超过履约保证金数额的，乙方应于3天内直接向甲方支付。甲方扣减履约保证金后5个工作日内，乙方应负责补足扣减金额，否则视为乙方单方解除合同，乙方应按本合同第二条承担责任。</w:t>
      </w:r>
    </w:p>
    <w:p>
      <w:pPr>
        <w:spacing w:line="360" w:lineRule="auto"/>
        <w:ind w:firstLine="422" w:firstLineChars="200"/>
        <w:rPr>
          <w:rFonts w:ascii="宋体" w:hAnsi="宋体"/>
          <w:b/>
          <w:sz w:val="21"/>
          <w:szCs w:val="21"/>
        </w:rPr>
      </w:pPr>
      <w:r>
        <w:rPr>
          <w:rFonts w:hint="eastAsia" w:ascii="宋体" w:hAnsi="宋体"/>
          <w:b/>
          <w:sz w:val="21"/>
          <w:szCs w:val="21"/>
        </w:rPr>
        <w:t xml:space="preserve">第八条 其他事项 </w:t>
      </w:r>
    </w:p>
    <w:p>
      <w:pPr>
        <w:spacing w:line="360" w:lineRule="auto"/>
        <w:ind w:firstLine="420" w:firstLineChars="200"/>
        <w:rPr>
          <w:rFonts w:ascii="宋体" w:hAnsi="宋体"/>
          <w:sz w:val="21"/>
          <w:szCs w:val="21"/>
        </w:rPr>
      </w:pPr>
      <w:r>
        <w:rPr>
          <w:rFonts w:hint="eastAsia" w:ascii="宋体" w:hAnsi="宋体"/>
          <w:sz w:val="21"/>
          <w:szCs w:val="21"/>
        </w:rPr>
        <w:t>1.房屋使用权招标过程中的招标文件、投标文件、询标纪录作为本合同附件，与合同具有同等法律效力，如与合同冲突，以合同为准。</w:t>
      </w:r>
    </w:p>
    <w:p>
      <w:pPr>
        <w:spacing w:line="360" w:lineRule="auto"/>
        <w:ind w:firstLine="420" w:firstLineChars="200"/>
        <w:rPr>
          <w:rFonts w:ascii="宋体" w:hAnsi="宋体"/>
          <w:sz w:val="21"/>
          <w:szCs w:val="21"/>
        </w:rPr>
      </w:pPr>
      <w:r>
        <w:rPr>
          <w:rFonts w:hint="eastAsia" w:ascii="宋体" w:hAnsi="宋体"/>
          <w:sz w:val="21"/>
          <w:szCs w:val="21"/>
        </w:rPr>
        <w:t>2.如因不可抗力的原因而使房屋及设备损坏或造成合同不能履行的，双方应按有关法律法规及时协商处理。</w:t>
      </w:r>
    </w:p>
    <w:p>
      <w:pPr>
        <w:spacing w:line="360" w:lineRule="auto"/>
        <w:ind w:firstLine="420" w:firstLineChars="200"/>
        <w:rPr>
          <w:rFonts w:ascii="宋体" w:hAnsi="宋体"/>
          <w:sz w:val="21"/>
          <w:szCs w:val="21"/>
        </w:rPr>
      </w:pPr>
      <w:r>
        <w:rPr>
          <w:rFonts w:hint="eastAsia" w:ascii="宋体" w:hAnsi="宋体"/>
          <w:sz w:val="21"/>
          <w:szCs w:val="21"/>
        </w:rPr>
        <w:t>3.未经甲方书面同意，乙方不得转让、转租。</w:t>
      </w:r>
    </w:p>
    <w:p>
      <w:pPr>
        <w:spacing w:line="360" w:lineRule="auto"/>
        <w:ind w:firstLine="420" w:firstLineChars="200"/>
        <w:rPr>
          <w:rFonts w:ascii="宋体" w:hAnsi="宋体"/>
          <w:sz w:val="21"/>
          <w:szCs w:val="21"/>
        </w:rPr>
      </w:pPr>
      <w:r>
        <w:rPr>
          <w:rFonts w:hint="eastAsia" w:ascii="宋体" w:hAnsi="宋体"/>
          <w:sz w:val="21"/>
          <w:szCs w:val="21"/>
        </w:rPr>
        <w:t>4.乙方应做好其员工安全教育工作，乙方及其工作人员的人身伤害事故，均由乙方自行负责，无论任何原因，甲方概不负责。</w:t>
      </w:r>
    </w:p>
    <w:p>
      <w:pPr>
        <w:spacing w:line="360" w:lineRule="auto"/>
        <w:ind w:firstLine="422" w:firstLineChars="200"/>
        <w:rPr>
          <w:rFonts w:ascii="宋体" w:hAnsi="宋体"/>
          <w:b/>
          <w:sz w:val="21"/>
          <w:szCs w:val="21"/>
        </w:rPr>
      </w:pPr>
      <w:r>
        <w:rPr>
          <w:rFonts w:hint="eastAsia" w:ascii="宋体" w:hAnsi="宋体"/>
          <w:b/>
          <w:sz w:val="21"/>
          <w:szCs w:val="21"/>
        </w:rPr>
        <w:t>第九条 争议的解决</w:t>
      </w:r>
    </w:p>
    <w:p>
      <w:pPr>
        <w:adjustRightInd w:val="0"/>
        <w:snapToGrid w:val="0"/>
        <w:spacing w:line="360" w:lineRule="auto"/>
        <w:rPr>
          <w:rFonts w:ascii="宋体" w:hAnsi="宋体"/>
          <w:sz w:val="21"/>
          <w:szCs w:val="21"/>
        </w:rPr>
      </w:pPr>
      <w:r>
        <w:rPr>
          <w:rFonts w:hint="eastAsia" w:ascii="宋体" w:hAnsi="宋体"/>
          <w:sz w:val="21"/>
          <w:szCs w:val="21"/>
        </w:rPr>
        <w:t xml:space="preserve">   本合同纠纷由双方协商解决，协商不成，由甲方所在地人民法院诉讼解决。</w:t>
      </w:r>
    </w:p>
    <w:p>
      <w:pPr>
        <w:spacing w:line="360" w:lineRule="auto"/>
        <w:ind w:firstLine="422" w:firstLineChars="200"/>
        <w:rPr>
          <w:rFonts w:ascii="宋体" w:hAnsi="宋体"/>
          <w:b/>
          <w:sz w:val="21"/>
          <w:szCs w:val="21"/>
        </w:rPr>
      </w:pPr>
      <w:r>
        <w:rPr>
          <w:rFonts w:hint="eastAsia" w:ascii="宋体" w:hAnsi="宋体"/>
          <w:b/>
          <w:sz w:val="21"/>
          <w:szCs w:val="21"/>
        </w:rPr>
        <w:t>第十条 合同的生效</w:t>
      </w:r>
    </w:p>
    <w:p>
      <w:pPr>
        <w:spacing w:line="360" w:lineRule="auto"/>
        <w:ind w:firstLine="420" w:firstLineChars="200"/>
        <w:rPr>
          <w:rFonts w:ascii="宋体" w:hAnsi="宋体"/>
          <w:sz w:val="21"/>
          <w:szCs w:val="21"/>
        </w:rPr>
      </w:pPr>
      <w:r>
        <w:rPr>
          <w:rFonts w:hint="eastAsia" w:ascii="宋体" w:hAnsi="宋体"/>
          <w:sz w:val="21"/>
          <w:szCs w:val="21"/>
        </w:rPr>
        <w:t>1.本合同经甲、乙双方法定代表人或其委托代理人签字并加盖单位印章后生效。</w:t>
      </w:r>
    </w:p>
    <w:p>
      <w:pPr>
        <w:spacing w:line="360" w:lineRule="auto"/>
        <w:ind w:firstLine="420" w:firstLineChars="200"/>
        <w:rPr>
          <w:rFonts w:hint="eastAsia" w:ascii="Arial" w:hAnsi="Arial"/>
          <w:sz w:val="21"/>
          <w:szCs w:val="21"/>
        </w:rPr>
      </w:pPr>
      <w:r>
        <w:rPr>
          <w:rFonts w:hint="eastAsia" w:ascii="宋体" w:hAnsi="宋体"/>
          <w:sz w:val="21"/>
          <w:szCs w:val="21"/>
        </w:rPr>
        <w:t>2.本合同一式陆份，甲方执肆份，乙方和鉴证方各执壹份，具有同等法律效力。</w:t>
      </w:r>
    </w:p>
    <w:tbl>
      <w:tblPr>
        <w:tblStyle w:val="29"/>
        <w:tblpPr w:leftFromText="180" w:rightFromText="180" w:vertAnchor="text" w:horzAnchor="margin"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trPr>
        <w:tc>
          <w:tcPr>
            <w:tcW w:w="4968" w:type="dxa"/>
            <w:noWrap w:val="0"/>
            <w:vAlign w:val="center"/>
          </w:tcPr>
          <w:p>
            <w:pPr>
              <w:spacing w:line="360" w:lineRule="auto"/>
              <w:rPr>
                <w:spacing w:val="-6"/>
                <w:sz w:val="21"/>
                <w:szCs w:val="21"/>
              </w:rPr>
            </w:pPr>
            <w:r>
              <w:rPr>
                <w:rFonts w:hAnsi="宋体"/>
                <w:spacing w:val="-6"/>
                <w:sz w:val="21"/>
                <w:szCs w:val="21"/>
              </w:rPr>
              <w:t>甲方（公章）：</w:t>
            </w:r>
            <w:r>
              <w:rPr>
                <w:rFonts w:hAnsi="宋体"/>
                <w:b/>
                <w:bCs/>
                <w:sz w:val="21"/>
                <w:szCs w:val="21"/>
              </w:rPr>
              <w:t>浙江中医药大学</w:t>
            </w:r>
          </w:p>
        </w:tc>
        <w:tc>
          <w:tcPr>
            <w:tcW w:w="4071" w:type="dxa"/>
            <w:noWrap w:val="0"/>
            <w:vAlign w:val="center"/>
          </w:tcPr>
          <w:p>
            <w:pPr>
              <w:spacing w:line="360" w:lineRule="auto"/>
              <w:rPr>
                <w:spacing w:val="-6"/>
                <w:sz w:val="21"/>
                <w:szCs w:val="21"/>
              </w:rPr>
            </w:pPr>
            <w:r>
              <w:rPr>
                <w:rFonts w:hAnsi="宋体"/>
                <w:spacing w:val="-6"/>
                <w:sz w:val="21"/>
                <w:szCs w:val="21"/>
              </w:rPr>
              <w:t>乙方（公章）：</w:t>
            </w:r>
            <w:r>
              <w:rPr>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7" w:hRule="atLeast"/>
        </w:trPr>
        <w:tc>
          <w:tcPr>
            <w:tcW w:w="4968" w:type="dxa"/>
            <w:noWrap w:val="0"/>
            <w:vAlign w:val="center"/>
          </w:tcPr>
          <w:p>
            <w:pPr>
              <w:spacing w:line="360" w:lineRule="auto"/>
              <w:rPr>
                <w:spacing w:val="-6"/>
                <w:sz w:val="21"/>
                <w:szCs w:val="21"/>
              </w:rPr>
            </w:pPr>
            <w:r>
              <w:rPr>
                <w:rFonts w:hAnsi="宋体"/>
                <w:spacing w:val="-6"/>
                <w:sz w:val="21"/>
                <w:szCs w:val="21"/>
              </w:rPr>
              <w:t>法定代表人或其委托代理人：</w:t>
            </w:r>
          </w:p>
          <w:p>
            <w:pPr>
              <w:spacing w:line="360" w:lineRule="auto"/>
              <w:rPr>
                <w:spacing w:val="-6"/>
                <w:sz w:val="21"/>
                <w:szCs w:val="21"/>
              </w:rPr>
            </w:pPr>
            <w:r>
              <w:rPr>
                <w:spacing w:val="-6"/>
                <w:sz w:val="21"/>
                <w:szCs w:val="21"/>
              </w:rPr>
              <w:t>(</w:t>
            </w:r>
            <w:r>
              <w:rPr>
                <w:rFonts w:hAnsi="宋体"/>
                <w:spacing w:val="-6"/>
                <w:sz w:val="21"/>
                <w:szCs w:val="21"/>
              </w:rPr>
              <w:t>签字）</w:t>
            </w:r>
          </w:p>
        </w:tc>
        <w:tc>
          <w:tcPr>
            <w:tcW w:w="4071" w:type="dxa"/>
            <w:noWrap w:val="0"/>
            <w:vAlign w:val="center"/>
          </w:tcPr>
          <w:p>
            <w:pPr>
              <w:spacing w:line="360" w:lineRule="auto"/>
              <w:rPr>
                <w:rFonts w:hAnsi="宋体"/>
                <w:spacing w:val="-6"/>
                <w:sz w:val="21"/>
                <w:szCs w:val="21"/>
              </w:rPr>
            </w:pPr>
            <w:r>
              <w:rPr>
                <w:rFonts w:hAnsi="宋体"/>
                <w:spacing w:val="-6"/>
                <w:sz w:val="21"/>
                <w:szCs w:val="21"/>
              </w:rPr>
              <w:t>法定代表人或其委托代理人：</w:t>
            </w:r>
          </w:p>
          <w:p>
            <w:pPr>
              <w:spacing w:line="360" w:lineRule="auto"/>
              <w:rPr>
                <w:rFonts w:hAnsi="宋体"/>
                <w:spacing w:val="-6"/>
                <w:sz w:val="21"/>
                <w:szCs w:val="21"/>
              </w:rPr>
            </w:pPr>
            <w:r>
              <w:rPr>
                <w:rFonts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地址：浙江省杭州市滨江滨文路</w:t>
            </w:r>
            <w:r>
              <w:rPr>
                <w:spacing w:val="-6"/>
                <w:sz w:val="21"/>
                <w:szCs w:val="21"/>
              </w:rPr>
              <w:t>548</w:t>
            </w:r>
            <w:r>
              <w:rPr>
                <w:rFonts w:hAnsi="宋体"/>
                <w:spacing w:val="-6"/>
                <w:sz w:val="21"/>
                <w:szCs w:val="21"/>
              </w:rPr>
              <w:t>号</w:t>
            </w:r>
          </w:p>
        </w:tc>
        <w:tc>
          <w:tcPr>
            <w:tcW w:w="4071" w:type="dxa"/>
            <w:noWrap w:val="0"/>
            <w:vAlign w:val="center"/>
          </w:tcPr>
          <w:p>
            <w:pPr>
              <w:spacing w:line="360" w:lineRule="auto"/>
              <w:rPr>
                <w:rFonts w:hAnsi="宋体"/>
                <w:spacing w:val="-6"/>
                <w:sz w:val="21"/>
                <w:szCs w:val="21"/>
              </w:rPr>
            </w:pPr>
            <w:r>
              <w:rPr>
                <w:rFonts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邮编：</w:t>
            </w:r>
            <w:r>
              <w:rPr>
                <w:sz w:val="21"/>
                <w:szCs w:val="21"/>
              </w:rPr>
              <w:t>310053</w:t>
            </w:r>
          </w:p>
        </w:tc>
        <w:tc>
          <w:tcPr>
            <w:tcW w:w="4071" w:type="dxa"/>
            <w:noWrap w:val="0"/>
            <w:vAlign w:val="center"/>
          </w:tcPr>
          <w:p>
            <w:pPr>
              <w:spacing w:line="360" w:lineRule="auto"/>
              <w:rPr>
                <w:rFonts w:hint="eastAsia" w:hAnsi="宋体"/>
                <w:spacing w:val="-6"/>
                <w:sz w:val="21"/>
                <w:szCs w:val="21"/>
              </w:rPr>
            </w:pPr>
            <w:r>
              <w:rPr>
                <w:rFonts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电话：</w:t>
            </w:r>
            <w:r>
              <w:rPr>
                <w:sz w:val="21"/>
                <w:szCs w:val="21"/>
              </w:rPr>
              <w:t>0571--86613563</w:t>
            </w:r>
          </w:p>
        </w:tc>
        <w:tc>
          <w:tcPr>
            <w:tcW w:w="4071" w:type="dxa"/>
            <w:noWrap w:val="0"/>
            <w:vAlign w:val="center"/>
          </w:tcPr>
          <w:p>
            <w:pPr>
              <w:spacing w:line="360" w:lineRule="auto"/>
              <w:rPr>
                <w:rFonts w:hAnsi="宋体"/>
                <w:spacing w:val="-6"/>
                <w:sz w:val="21"/>
                <w:szCs w:val="21"/>
              </w:rPr>
            </w:pPr>
            <w:r>
              <w:rPr>
                <w:rFonts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传真：</w:t>
            </w:r>
            <w:r>
              <w:rPr>
                <w:sz w:val="21"/>
                <w:szCs w:val="21"/>
              </w:rPr>
              <w:t>0571--86613563</w:t>
            </w:r>
          </w:p>
        </w:tc>
        <w:tc>
          <w:tcPr>
            <w:tcW w:w="4071" w:type="dxa"/>
            <w:noWrap w:val="0"/>
            <w:vAlign w:val="center"/>
          </w:tcPr>
          <w:p>
            <w:pPr>
              <w:spacing w:line="360" w:lineRule="auto"/>
              <w:rPr>
                <w:rFonts w:hAnsi="宋体"/>
                <w:spacing w:val="-6"/>
                <w:sz w:val="21"/>
                <w:szCs w:val="21"/>
              </w:rPr>
            </w:pPr>
            <w:r>
              <w:rPr>
                <w:rFonts w:hAnsi="宋体"/>
                <w:spacing w:val="-6"/>
                <w:sz w:val="21"/>
                <w:szCs w:val="21"/>
              </w:rPr>
              <w:t>传真：</w:t>
            </w:r>
            <w:r>
              <w:rPr>
                <w:rFonts w:hAnsi="宋体"/>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电子邮箱：</w:t>
            </w:r>
          </w:p>
        </w:tc>
        <w:tc>
          <w:tcPr>
            <w:tcW w:w="4071" w:type="dxa"/>
            <w:noWrap w:val="0"/>
            <w:vAlign w:val="center"/>
          </w:tcPr>
          <w:p>
            <w:pPr>
              <w:spacing w:line="360" w:lineRule="auto"/>
              <w:rPr>
                <w:rFonts w:hint="eastAsia" w:hAnsi="宋体"/>
                <w:spacing w:val="-6"/>
                <w:sz w:val="21"/>
                <w:szCs w:val="21"/>
              </w:rPr>
            </w:pPr>
            <w:r>
              <w:rPr>
                <w:rFonts w:hAnsi="宋体"/>
                <w:spacing w:val="-6"/>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开户银行：</w:t>
            </w:r>
            <w:r>
              <w:rPr>
                <w:rFonts w:hAnsi="宋体"/>
                <w:sz w:val="21"/>
                <w:szCs w:val="21"/>
              </w:rPr>
              <w:t>工商银行景江苑支行</w:t>
            </w:r>
          </w:p>
        </w:tc>
        <w:tc>
          <w:tcPr>
            <w:tcW w:w="4071" w:type="dxa"/>
            <w:noWrap w:val="0"/>
            <w:vAlign w:val="center"/>
          </w:tcPr>
          <w:p>
            <w:pPr>
              <w:spacing w:line="360" w:lineRule="auto"/>
              <w:rPr>
                <w:rFonts w:hAnsi="宋体"/>
                <w:spacing w:val="-6"/>
                <w:sz w:val="21"/>
                <w:szCs w:val="21"/>
              </w:rPr>
            </w:pPr>
            <w:r>
              <w:rPr>
                <w:rFonts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68" w:type="dxa"/>
            <w:noWrap w:val="0"/>
            <w:vAlign w:val="center"/>
          </w:tcPr>
          <w:p>
            <w:pPr>
              <w:spacing w:line="360" w:lineRule="auto"/>
              <w:rPr>
                <w:spacing w:val="-6"/>
                <w:sz w:val="21"/>
                <w:szCs w:val="21"/>
              </w:rPr>
            </w:pPr>
            <w:r>
              <w:rPr>
                <w:rFonts w:hAnsi="宋体"/>
                <w:spacing w:val="-6"/>
                <w:sz w:val="21"/>
                <w:szCs w:val="21"/>
              </w:rPr>
              <w:t>帐号：</w:t>
            </w:r>
            <w:r>
              <w:rPr>
                <w:sz w:val="21"/>
                <w:szCs w:val="21"/>
              </w:rPr>
              <w:t>1202023419100001174</w:t>
            </w:r>
          </w:p>
        </w:tc>
        <w:tc>
          <w:tcPr>
            <w:tcW w:w="4071" w:type="dxa"/>
            <w:noWrap w:val="0"/>
            <w:vAlign w:val="center"/>
          </w:tcPr>
          <w:p>
            <w:pPr>
              <w:spacing w:line="360" w:lineRule="auto"/>
              <w:rPr>
                <w:rFonts w:hAnsi="宋体"/>
                <w:spacing w:val="-6"/>
                <w:sz w:val="21"/>
                <w:szCs w:val="21"/>
              </w:rPr>
            </w:pPr>
            <w:r>
              <w:rPr>
                <w:rFonts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39" w:type="dxa"/>
            <w:gridSpan w:val="2"/>
            <w:noWrap w:val="0"/>
            <w:vAlign w:val="center"/>
          </w:tcPr>
          <w:p>
            <w:pPr>
              <w:spacing w:line="360" w:lineRule="auto"/>
              <w:rPr>
                <w:spacing w:val="-6"/>
                <w:sz w:val="21"/>
                <w:szCs w:val="21"/>
              </w:rPr>
            </w:pPr>
            <w:r>
              <w:rPr>
                <w:rFonts w:hAnsi="宋体"/>
                <w:spacing w:val="-6"/>
                <w:sz w:val="21"/>
                <w:szCs w:val="21"/>
              </w:rPr>
              <w:t>合同签订地点：浙江省杭州市滨江滨文路</w:t>
            </w:r>
            <w:r>
              <w:rPr>
                <w:spacing w:val="-6"/>
                <w:sz w:val="21"/>
                <w:szCs w:val="21"/>
              </w:rPr>
              <w:t>548</w:t>
            </w:r>
            <w:r>
              <w:rPr>
                <w:rFonts w:hAnsi="宋体"/>
                <w:spacing w:val="-6"/>
                <w:sz w:val="21"/>
                <w:szCs w:val="21"/>
              </w:rPr>
              <w:t>号</w:t>
            </w:r>
            <w:r>
              <w:rPr>
                <w:spacing w:val="-6"/>
                <w:sz w:val="21"/>
                <w:szCs w:val="21"/>
              </w:rPr>
              <w:t xml:space="preserve">              </w:t>
            </w:r>
            <w:r>
              <w:rPr>
                <w:rFonts w:hAnsi="宋体"/>
                <w:spacing w:val="-6"/>
                <w:sz w:val="21"/>
                <w:szCs w:val="21"/>
              </w:rPr>
              <w:t>签订时间：</w:t>
            </w:r>
            <w:r>
              <w:rPr>
                <w:spacing w:val="-6"/>
                <w:sz w:val="21"/>
                <w:szCs w:val="21"/>
              </w:rPr>
              <w:t xml:space="preserve">      </w:t>
            </w:r>
            <w:r>
              <w:rPr>
                <w:rFonts w:hint="eastAsia"/>
                <w:spacing w:val="-6"/>
                <w:sz w:val="21"/>
                <w:szCs w:val="21"/>
              </w:rPr>
              <w:t xml:space="preserve"> </w:t>
            </w:r>
            <w:r>
              <w:rPr>
                <w:rFonts w:hAnsi="宋体"/>
                <w:spacing w:val="-6"/>
                <w:sz w:val="21"/>
                <w:szCs w:val="21"/>
              </w:rPr>
              <w:t>年</w:t>
            </w:r>
            <w:r>
              <w:rPr>
                <w:spacing w:val="-6"/>
                <w:sz w:val="21"/>
                <w:szCs w:val="21"/>
              </w:rPr>
              <w:t xml:space="preserve"> </w:t>
            </w:r>
            <w:r>
              <w:rPr>
                <w:rFonts w:hint="eastAsia"/>
                <w:spacing w:val="-6"/>
                <w:sz w:val="21"/>
                <w:szCs w:val="21"/>
              </w:rPr>
              <w:t xml:space="preserve"> </w:t>
            </w:r>
            <w:r>
              <w:rPr>
                <w:spacing w:val="-6"/>
                <w:sz w:val="21"/>
                <w:szCs w:val="21"/>
              </w:rPr>
              <w:t xml:space="preserve"> </w:t>
            </w:r>
            <w:r>
              <w:rPr>
                <w:rFonts w:hAnsi="宋体"/>
                <w:spacing w:val="-6"/>
                <w:sz w:val="21"/>
                <w:szCs w:val="21"/>
              </w:rPr>
              <w:t>月</w:t>
            </w:r>
            <w:r>
              <w:rPr>
                <w:spacing w:val="-6"/>
                <w:sz w:val="21"/>
                <w:szCs w:val="21"/>
              </w:rPr>
              <w:t xml:space="preserve"> </w:t>
            </w:r>
            <w:r>
              <w:rPr>
                <w:rFonts w:hint="eastAsia"/>
                <w:spacing w:val="-6"/>
                <w:sz w:val="21"/>
                <w:szCs w:val="21"/>
              </w:rPr>
              <w:t xml:space="preserve"> </w:t>
            </w:r>
            <w:r>
              <w:rPr>
                <w:spacing w:val="-6"/>
                <w:sz w:val="21"/>
                <w:szCs w:val="21"/>
              </w:rPr>
              <w:t xml:space="preserve"> </w:t>
            </w:r>
            <w:r>
              <w:rPr>
                <w:rFonts w:hAnsi="宋体"/>
                <w:spacing w:val="-6"/>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39" w:type="dxa"/>
            <w:gridSpan w:val="2"/>
            <w:noWrap w:val="0"/>
            <w:vAlign w:val="center"/>
          </w:tcPr>
          <w:p>
            <w:pPr>
              <w:spacing w:line="360" w:lineRule="auto"/>
              <w:rPr>
                <w:spacing w:val="-6"/>
                <w:sz w:val="21"/>
                <w:szCs w:val="21"/>
              </w:rPr>
            </w:pPr>
            <w:r>
              <w:rPr>
                <w:rFonts w:hAnsi="宋体"/>
                <w:spacing w:val="-6"/>
                <w:sz w:val="21"/>
                <w:szCs w:val="21"/>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39" w:type="dxa"/>
            <w:gridSpan w:val="2"/>
            <w:noWrap w:val="0"/>
            <w:vAlign w:val="center"/>
          </w:tcPr>
          <w:p>
            <w:pPr>
              <w:spacing w:line="360" w:lineRule="auto"/>
              <w:rPr>
                <w:spacing w:val="-6"/>
                <w:sz w:val="21"/>
                <w:szCs w:val="21"/>
              </w:rPr>
            </w:pPr>
            <w:r>
              <w:rPr>
                <w:rFonts w:hAnsi="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39" w:type="dxa"/>
            <w:gridSpan w:val="2"/>
            <w:noWrap w:val="0"/>
            <w:vAlign w:val="center"/>
          </w:tcPr>
          <w:p>
            <w:pPr>
              <w:spacing w:line="360" w:lineRule="auto"/>
              <w:rPr>
                <w:spacing w:val="-6"/>
                <w:sz w:val="21"/>
                <w:szCs w:val="21"/>
              </w:rPr>
            </w:pPr>
            <w:r>
              <w:rPr>
                <w:rFonts w:hAnsi="宋体"/>
                <w:spacing w:val="-6"/>
                <w:sz w:val="21"/>
                <w:szCs w:val="21"/>
              </w:rPr>
              <w:t>代表人：</w:t>
            </w:r>
          </w:p>
          <w:p>
            <w:pPr>
              <w:spacing w:line="360" w:lineRule="auto"/>
              <w:rPr>
                <w:spacing w:val="-6"/>
                <w:sz w:val="21"/>
                <w:szCs w:val="21"/>
              </w:rPr>
            </w:pPr>
            <w:r>
              <w:rPr>
                <w:spacing w:val="-6"/>
                <w:sz w:val="21"/>
                <w:szCs w:val="21"/>
              </w:rPr>
              <w:t>(</w:t>
            </w:r>
            <w:r>
              <w:rPr>
                <w:rFonts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39" w:type="dxa"/>
            <w:gridSpan w:val="2"/>
            <w:noWrap w:val="0"/>
            <w:vAlign w:val="center"/>
          </w:tcPr>
          <w:p>
            <w:pPr>
              <w:spacing w:line="360" w:lineRule="auto"/>
              <w:rPr>
                <w:spacing w:val="-6"/>
                <w:sz w:val="21"/>
                <w:szCs w:val="21"/>
              </w:rPr>
            </w:pPr>
            <w:r>
              <w:rPr>
                <w:rFonts w:hAnsi="宋体"/>
                <w:spacing w:val="-6"/>
                <w:sz w:val="21"/>
                <w:szCs w:val="21"/>
              </w:rPr>
              <w:t>电话：</w:t>
            </w:r>
            <w:r>
              <w:rPr>
                <w:rFonts w:hint="eastAsia" w:hAnsi="宋体"/>
                <w:spacing w:val="-6"/>
                <w:sz w:val="21"/>
                <w:szCs w:val="21"/>
              </w:rPr>
              <w:t>0571-86098397</w:t>
            </w:r>
            <w:r>
              <w:rPr>
                <w:spacing w:val="-6"/>
                <w:sz w:val="21"/>
                <w:szCs w:val="21"/>
              </w:rPr>
              <w:t xml:space="preserve">                     </w:t>
            </w:r>
            <w:r>
              <w:rPr>
                <w:rFonts w:hAnsi="宋体"/>
                <w:spacing w:val="-6"/>
                <w:sz w:val="21"/>
                <w:szCs w:val="21"/>
              </w:rPr>
              <w:t>鉴证时间：</w:t>
            </w:r>
            <w:r>
              <w:rPr>
                <w:spacing w:val="-6"/>
                <w:sz w:val="21"/>
                <w:szCs w:val="21"/>
              </w:rPr>
              <w:t xml:space="preserve">    </w:t>
            </w:r>
            <w:r>
              <w:rPr>
                <w:rFonts w:hAnsi="宋体"/>
                <w:spacing w:val="-6"/>
                <w:sz w:val="21"/>
                <w:szCs w:val="21"/>
              </w:rPr>
              <w:t>年</w:t>
            </w:r>
            <w:r>
              <w:rPr>
                <w:spacing w:val="-6"/>
                <w:sz w:val="21"/>
                <w:szCs w:val="21"/>
              </w:rPr>
              <w:t xml:space="preserve">   </w:t>
            </w:r>
            <w:r>
              <w:rPr>
                <w:rFonts w:hAnsi="宋体"/>
                <w:spacing w:val="-6"/>
                <w:sz w:val="21"/>
                <w:szCs w:val="21"/>
              </w:rPr>
              <w:t>月</w:t>
            </w:r>
            <w:r>
              <w:rPr>
                <w:spacing w:val="-6"/>
                <w:sz w:val="21"/>
                <w:szCs w:val="21"/>
              </w:rPr>
              <w:t xml:space="preserve">   </w:t>
            </w:r>
            <w:r>
              <w:rPr>
                <w:rFonts w:hAnsi="宋体"/>
                <w:spacing w:val="-6"/>
                <w:sz w:val="21"/>
                <w:szCs w:val="21"/>
              </w:rPr>
              <w:t>日</w:t>
            </w:r>
          </w:p>
        </w:tc>
      </w:tr>
    </w:tbl>
    <w:p>
      <w:pPr>
        <w:pStyle w:val="3"/>
        <w:spacing w:line="360" w:lineRule="auto"/>
        <w:rPr>
          <w:rFonts w:hint="eastAsia" w:ascii="Arial" w:hAnsi="Arial" w:eastAsia="黑体" w:cs="Arial"/>
          <w:snapToGrid w:val="0"/>
          <w:kern w:val="0"/>
          <w:sz w:val="30"/>
        </w:rPr>
      </w:pPr>
      <w:bookmarkStart w:id="32" w:name="_Toc31481"/>
      <w:r>
        <w:rPr>
          <w:rFonts w:ascii="Arial" w:hAnsi="Arial" w:eastAsia="黑体" w:cs="Arial"/>
          <w:snapToGrid w:val="0"/>
          <w:kern w:val="0"/>
          <w:sz w:val="30"/>
        </w:rPr>
        <w:t>第</w:t>
      </w:r>
      <w:r>
        <w:rPr>
          <w:rFonts w:hint="eastAsia" w:ascii="Arial" w:hAnsi="Arial" w:eastAsia="黑体" w:cs="Arial"/>
          <w:snapToGrid w:val="0"/>
          <w:kern w:val="0"/>
          <w:sz w:val="30"/>
        </w:rPr>
        <w:t>四</w:t>
      </w:r>
      <w:r>
        <w:rPr>
          <w:rFonts w:ascii="Arial" w:hAnsi="Arial" w:eastAsia="黑体" w:cs="Arial"/>
          <w:snapToGrid w:val="0"/>
          <w:kern w:val="0"/>
          <w:sz w:val="30"/>
        </w:rPr>
        <w:t>部分   投标文件格式</w:t>
      </w:r>
      <w:bookmarkEnd w:id="32"/>
    </w:p>
    <w:p>
      <w:pPr>
        <w:spacing w:line="360" w:lineRule="auto"/>
        <w:rPr>
          <w:rFonts w:hint="eastAsia"/>
          <w:b/>
          <w:sz w:val="32"/>
          <w:szCs w:val="32"/>
        </w:rPr>
      </w:pPr>
      <w:bookmarkStart w:id="33" w:name="_Toc180299005"/>
      <w:r>
        <w:rPr>
          <w:b/>
          <w:sz w:val="32"/>
          <w:szCs w:val="32"/>
        </w:rPr>
        <w:t>附件一</w:t>
      </w:r>
      <w:bookmarkEnd w:id="33"/>
    </w:p>
    <w:p>
      <w:pPr>
        <w:spacing w:line="360" w:lineRule="auto"/>
        <w:jc w:val="center"/>
        <w:rPr>
          <w:b/>
          <w:sz w:val="32"/>
          <w:szCs w:val="32"/>
        </w:rPr>
      </w:pPr>
      <w:bookmarkStart w:id="34" w:name="_Toc188395331"/>
      <w:bookmarkStart w:id="35" w:name="_Toc188415061"/>
      <w:bookmarkStart w:id="36" w:name="_Toc188987257"/>
      <w:r>
        <w:rPr>
          <w:b/>
          <w:sz w:val="32"/>
          <w:szCs w:val="32"/>
        </w:rPr>
        <w:t>投标函</w:t>
      </w:r>
      <w:bookmarkEnd w:id="34"/>
      <w:bookmarkEnd w:id="35"/>
      <w:bookmarkEnd w:id="36"/>
    </w:p>
    <w:p>
      <w:pPr>
        <w:tabs>
          <w:tab w:val="left" w:pos="7920"/>
        </w:tabs>
        <w:spacing w:line="360" w:lineRule="auto"/>
        <w:ind w:firstLine="570"/>
        <w:rPr>
          <w:rFonts w:ascii="宋体" w:hAnsi="宋体"/>
          <w:sz w:val="21"/>
          <w:szCs w:val="21"/>
        </w:rPr>
      </w:pPr>
      <w:r>
        <w:rPr>
          <w:rFonts w:hint="eastAsia" w:ascii="宋体" w:hAnsi="宋体"/>
          <w:sz w:val="21"/>
          <w:szCs w:val="21"/>
        </w:rPr>
        <w:t xml:space="preserve">根据贵方的滨文校区学生宿舍6号楼商铺招租（超市）招标文件（招标编号为： </w:t>
      </w:r>
      <w:r>
        <w:rPr>
          <w:rFonts w:hint="eastAsia" w:ascii="宋体" w:hAnsi="宋体"/>
          <w:sz w:val="21"/>
          <w:szCs w:val="21"/>
          <w:u w:val="single"/>
        </w:rPr>
        <w:t xml:space="preserve">               </w:t>
      </w:r>
      <w:r>
        <w:rPr>
          <w:rFonts w:hint="eastAsia" w:ascii="宋体" w:hAnsi="宋体"/>
          <w:sz w:val="21"/>
          <w:szCs w:val="21"/>
        </w:rPr>
        <w:t xml:space="preserve"> ，投标文件签字人</w:t>
      </w:r>
      <w:r>
        <w:rPr>
          <w:rFonts w:ascii="宋体" w:hAnsi="宋体"/>
          <w:sz w:val="21"/>
          <w:szCs w:val="21"/>
          <w:u w:val="single"/>
        </w:rPr>
        <w:t>(</w:t>
      </w:r>
      <w:r>
        <w:rPr>
          <w:rFonts w:hint="eastAsia" w:ascii="宋体" w:hAnsi="宋体"/>
          <w:sz w:val="21"/>
          <w:szCs w:val="21"/>
          <w:u w:val="single"/>
        </w:rPr>
        <w:t>全名、职务)</w:t>
      </w:r>
      <w:r>
        <w:rPr>
          <w:rFonts w:hint="eastAsia" w:ascii="宋体" w:hAnsi="宋体"/>
          <w:sz w:val="21"/>
          <w:szCs w:val="21"/>
        </w:rPr>
        <w:t>经授权并代表</w:t>
      </w:r>
      <w:r>
        <w:rPr>
          <w:rFonts w:ascii="宋体" w:hAnsi="宋体"/>
          <w:sz w:val="21"/>
          <w:szCs w:val="21"/>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（投标人名称、地址）</w:t>
      </w:r>
      <w:r>
        <w:rPr>
          <w:rFonts w:hint="eastAsia" w:ascii="宋体" w:hAnsi="宋体"/>
          <w:sz w:val="21"/>
          <w:szCs w:val="21"/>
        </w:rPr>
        <w:t>提交下述文件正本一份、副本</w:t>
      </w:r>
      <w:r>
        <w:rPr>
          <w:rFonts w:hint="eastAsia" w:ascii="宋体" w:hAnsi="宋体"/>
          <w:sz w:val="21"/>
          <w:szCs w:val="21"/>
          <w:lang w:val="en-US" w:eastAsia="zh-CN"/>
        </w:rPr>
        <w:t>五</w:t>
      </w:r>
      <w:r>
        <w:rPr>
          <w:rFonts w:hint="eastAsia" w:ascii="宋体" w:hAnsi="宋体"/>
          <w:sz w:val="21"/>
          <w:szCs w:val="21"/>
        </w:rPr>
        <w:t>份，电子版一份。</w:t>
      </w:r>
    </w:p>
    <w:p>
      <w:pPr>
        <w:spacing w:line="360" w:lineRule="auto"/>
        <w:rPr>
          <w:rFonts w:hint="eastAsia" w:ascii="宋体" w:hAnsi="宋体"/>
          <w:sz w:val="21"/>
          <w:szCs w:val="21"/>
        </w:rPr>
      </w:pPr>
      <w:r>
        <w:rPr>
          <w:rFonts w:hint="eastAsia" w:ascii="宋体" w:hAnsi="宋体"/>
          <w:sz w:val="21"/>
          <w:szCs w:val="21"/>
        </w:rPr>
        <w:t>（1）开标一览表</w:t>
      </w:r>
    </w:p>
    <w:p>
      <w:pPr>
        <w:spacing w:line="360" w:lineRule="auto"/>
        <w:rPr>
          <w:rFonts w:hint="eastAsia" w:ascii="宋体" w:hAnsi="宋体"/>
          <w:sz w:val="21"/>
          <w:szCs w:val="21"/>
        </w:rPr>
      </w:pPr>
      <w:r>
        <w:rPr>
          <w:rFonts w:hint="eastAsia" w:ascii="宋体" w:hAnsi="宋体"/>
          <w:sz w:val="21"/>
          <w:szCs w:val="21"/>
        </w:rPr>
        <w:t>（2）投标人基本情况</w:t>
      </w:r>
    </w:p>
    <w:p>
      <w:pPr>
        <w:spacing w:line="360" w:lineRule="auto"/>
        <w:rPr>
          <w:rFonts w:hint="eastAsia" w:ascii="宋体" w:hAnsi="宋体"/>
          <w:sz w:val="21"/>
          <w:szCs w:val="21"/>
        </w:rPr>
      </w:pPr>
      <w:r>
        <w:rPr>
          <w:rFonts w:hint="eastAsia" w:ascii="宋体" w:hAnsi="宋体"/>
          <w:sz w:val="21"/>
          <w:szCs w:val="21"/>
        </w:rPr>
        <w:t>（3）投标人资格证明文件</w:t>
      </w:r>
    </w:p>
    <w:p>
      <w:pPr>
        <w:spacing w:line="360" w:lineRule="auto"/>
        <w:rPr>
          <w:rFonts w:hint="eastAsia" w:ascii="宋体" w:hAnsi="宋体"/>
          <w:sz w:val="21"/>
          <w:szCs w:val="21"/>
        </w:rPr>
      </w:pPr>
      <w:r>
        <w:rPr>
          <w:rFonts w:hint="eastAsia" w:ascii="宋体" w:hAnsi="宋体"/>
          <w:sz w:val="21"/>
          <w:szCs w:val="21"/>
        </w:rPr>
        <w:t>（4）服务方案及有关承诺</w:t>
      </w:r>
    </w:p>
    <w:p>
      <w:pPr>
        <w:spacing w:line="360" w:lineRule="auto"/>
        <w:rPr>
          <w:rFonts w:hint="eastAsia" w:ascii="宋体" w:hAnsi="宋体" w:eastAsia="宋体"/>
          <w:sz w:val="21"/>
          <w:szCs w:val="21"/>
          <w:lang w:eastAsia="zh-CN"/>
        </w:rPr>
      </w:pPr>
      <w:r>
        <w:rPr>
          <w:rFonts w:hint="eastAsia" w:ascii="宋体" w:hAnsi="宋体"/>
          <w:sz w:val="21"/>
          <w:szCs w:val="21"/>
          <w:lang w:eastAsia="zh-CN"/>
        </w:rPr>
        <w:t>……</w:t>
      </w:r>
    </w:p>
    <w:p>
      <w:pPr>
        <w:spacing w:line="360" w:lineRule="auto"/>
        <w:rPr>
          <w:rFonts w:hint="eastAsia" w:ascii="宋体" w:hAnsi="宋体"/>
          <w:sz w:val="21"/>
          <w:szCs w:val="21"/>
        </w:rPr>
      </w:pPr>
      <w:r>
        <w:rPr>
          <w:rFonts w:hint="eastAsia" w:ascii="宋体" w:hAnsi="宋体"/>
          <w:sz w:val="21"/>
          <w:szCs w:val="21"/>
        </w:rPr>
        <w:t>投标总报价为：人民币</w:t>
      </w:r>
      <w:r>
        <w:rPr>
          <w:rFonts w:hint="eastAsia" w:ascii="宋体" w:hAnsi="宋体"/>
          <w:sz w:val="21"/>
          <w:szCs w:val="21"/>
          <w:u w:val="single"/>
        </w:rPr>
        <w:t xml:space="preserve">        </w:t>
      </w:r>
      <w:r>
        <w:rPr>
          <w:rFonts w:hint="eastAsia" w:ascii="宋体" w:hAnsi="宋体"/>
          <w:sz w:val="21"/>
          <w:szCs w:val="21"/>
        </w:rPr>
        <w:t>（大写）、￥</w:t>
      </w:r>
      <w:r>
        <w:rPr>
          <w:rFonts w:hint="eastAsia" w:ascii="宋体" w:hAnsi="宋体"/>
          <w:sz w:val="21"/>
          <w:szCs w:val="21"/>
          <w:u w:val="single"/>
        </w:rPr>
        <w:t xml:space="preserve">        </w:t>
      </w:r>
      <w:r>
        <w:rPr>
          <w:rFonts w:hint="eastAsia" w:ascii="宋体" w:hAnsi="宋体"/>
          <w:sz w:val="21"/>
          <w:szCs w:val="21"/>
        </w:rPr>
        <w:t>（小写）（说明：此处填写1年的金额）</w:t>
      </w:r>
    </w:p>
    <w:p>
      <w:pPr>
        <w:spacing w:line="360" w:lineRule="auto"/>
        <w:rPr>
          <w:rFonts w:hint="eastAsia" w:ascii="宋体" w:hAnsi="宋体"/>
          <w:sz w:val="21"/>
          <w:szCs w:val="21"/>
        </w:rPr>
      </w:pPr>
    </w:p>
    <w:p>
      <w:pPr>
        <w:spacing w:line="360" w:lineRule="auto"/>
        <w:rPr>
          <w:rFonts w:ascii="宋体" w:hAnsi="宋体"/>
          <w:sz w:val="21"/>
          <w:szCs w:val="21"/>
        </w:rPr>
      </w:pPr>
      <w:r>
        <w:rPr>
          <w:rFonts w:hint="eastAsia" w:ascii="宋体" w:hAnsi="宋体"/>
          <w:sz w:val="21"/>
          <w:szCs w:val="21"/>
        </w:rPr>
        <w:t>据此函，签字代表宣布同意如下：</w:t>
      </w:r>
    </w:p>
    <w:p>
      <w:pPr>
        <w:spacing w:line="360" w:lineRule="auto"/>
        <w:rPr>
          <w:rFonts w:ascii="宋体" w:hAnsi="宋体"/>
          <w:sz w:val="21"/>
          <w:szCs w:val="21"/>
        </w:rPr>
      </w:pPr>
      <w:r>
        <w:rPr>
          <w:rFonts w:hint="eastAsia" w:ascii="宋体" w:hAnsi="宋体"/>
          <w:sz w:val="21"/>
          <w:szCs w:val="21"/>
        </w:rPr>
        <w:t>1、按招标文件要求提交服务方案。</w:t>
      </w:r>
    </w:p>
    <w:p>
      <w:pPr>
        <w:spacing w:line="360" w:lineRule="auto"/>
        <w:rPr>
          <w:rFonts w:ascii="宋体" w:hAnsi="宋体"/>
          <w:sz w:val="21"/>
          <w:szCs w:val="21"/>
        </w:rPr>
      </w:pPr>
      <w:r>
        <w:rPr>
          <w:rFonts w:hint="eastAsia" w:ascii="宋体" w:hAnsi="宋体"/>
          <w:sz w:val="21"/>
          <w:szCs w:val="21"/>
        </w:rPr>
        <w:t>2、投标人将按招标文件的规定履行合同责任和义务。</w:t>
      </w:r>
    </w:p>
    <w:p>
      <w:pPr>
        <w:spacing w:line="360" w:lineRule="auto"/>
        <w:rPr>
          <w:rFonts w:ascii="宋体" w:hAnsi="宋体"/>
          <w:sz w:val="21"/>
          <w:szCs w:val="21"/>
        </w:rPr>
      </w:pPr>
      <w:r>
        <w:rPr>
          <w:rFonts w:hint="eastAsia" w:ascii="宋体" w:hAnsi="宋体"/>
          <w:sz w:val="21"/>
          <w:szCs w:val="21"/>
        </w:rPr>
        <w:t>3、投人已详细审查全部招标文件，包括修改文件（如有的话）以及全部参考资料和有关附件。我们完全理解并同意放弃对这方面有不明及误解的权利。</w:t>
      </w:r>
    </w:p>
    <w:p>
      <w:pPr>
        <w:spacing w:line="360" w:lineRule="auto"/>
        <w:rPr>
          <w:rFonts w:ascii="宋体" w:hAnsi="宋体"/>
          <w:sz w:val="21"/>
          <w:szCs w:val="21"/>
        </w:rPr>
      </w:pPr>
      <w:r>
        <w:rPr>
          <w:rFonts w:hint="eastAsia" w:ascii="宋体" w:hAnsi="宋体"/>
          <w:sz w:val="21"/>
          <w:szCs w:val="21"/>
        </w:rPr>
        <w:t>4、本投自开标日起有效期为120天。</w:t>
      </w:r>
    </w:p>
    <w:p>
      <w:pPr>
        <w:spacing w:line="360" w:lineRule="auto"/>
        <w:rPr>
          <w:rFonts w:ascii="宋体" w:hAnsi="宋体"/>
          <w:sz w:val="21"/>
          <w:szCs w:val="21"/>
        </w:rPr>
      </w:pPr>
      <w:r>
        <w:rPr>
          <w:rFonts w:hint="eastAsia" w:ascii="宋体" w:hAnsi="宋体"/>
          <w:sz w:val="21"/>
          <w:szCs w:val="21"/>
        </w:rPr>
        <w:t>5、投标人意提供按照贵方可能要求的与其投标有关的一切数据或资料，完全理解贵方不一定接受最高报价的投标或收到的任何投标。</w:t>
      </w:r>
    </w:p>
    <w:p>
      <w:pPr>
        <w:spacing w:line="360" w:lineRule="auto"/>
        <w:rPr>
          <w:rFonts w:hint="eastAsia" w:ascii="宋体" w:hAnsi="宋体"/>
          <w:sz w:val="21"/>
          <w:szCs w:val="21"/>
        </w:rPr>
      </w:pPr>
      <w:r>
        <w:rPr>
          <w:rFonts w:hint="eastAsia" w:ascii="宋体" w:hAnsi="宋体"/>
          <w:sz w:val="21"/>
          <w:szCs w:val="21"/>
        </w:rPr>
        <w:t>6、与本投标有关的一切正式往来通讯请寄：</w:t>
      </w:r>
    </w:p>
    <w:p>
      <w:pPr>
        <w:spacing w:line="360" w:lineRule="auto"/>
        <w:rPr>
          <w:rFonts w:hint="eastAsia"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地址：</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邮编：</w:t>
      </w:r>
      <w:r>
        <w:rPr>
          <w:rFonts w:ascii="宋体" w:hAnsi="宋体"/>
          <w:sz w:val="21"/>
          <w:szCs w:val="21"/>
          <w:u w:val="single"/>
        </w:rPr>
        <w:t xml:space="preserve"> </w:t>
      </w:r>
      <w:r>
        <w:rPr>
          <w:rFonts w:hint="eastAsia" w:ascii="宋体" w:hAnsi="宋体"/>
          <w:sz w:val="21"/>
          <w:szCs w:val="21"/>
          <w:u w:val="single"/>
        </w:rPr>
        <w:t xml:space="preserve">                   </w:t>
      </w:r>
    </w:p>
    <w:p>
      <w:pPr>
        <w:spacing w:line="360" w:lineRule="auto"/>
        <w:rPr>
          <w:rFonts w:ascii="宋体" w:hAnsi="宋体"/>
          <w:sz w:val="21"/>
          <w:szCs w:val="21"/>
        </w:rPr>
      </w:pPr>
      <w:r>
        <w:rPr>
          <w:rFonts w:ascii="宋体" w:hAnsi="宋体"/>
          <w:sz w:val="21"/>
          <w:szCs w:val="21"/>
        </w:rPr>
        <w:tab/>
      </w:r>
      <w:r>
        <w:rPr>
          <w:rFonts w:hint="eastAsia" w:ascii="宋体" w:hAnsi="宋体"/>
          <w:sz w:val="21"/>
          <w:szCs w:val="21"/>
        </w:rPr>
        <w:t>电话：</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传真：</w:t>
      </w:r>
      <w:r>
        <w:rPr>
          <w:rFonts w:ascii="宋体" w:hAnsi="宋体"/>
          <w:sz w:val="21"/>
          <w:szCs w:val="21"/>
          <w:u w:val="single"/>
        </w:rPr>
        <w:t xml:space="preserve"> </w:t>
      </w:r>
      <w:r>
        <w:rPr>
          <w:rFonts w:hint="eastAsia" w:ascii="宋体" w:hAnsi="宋体"/>
          <w:sz w:val="21"/>
          <w:szCs w:val="21"/>
          <w:u w:val="single"/>
        </w:rPr>
        <w:t xml:space="preserve">                   </w:t>
      </w:r>
    </w:p>
    <w:p>
      <w:pPr>
        <w:spacing w:line="360" w:lineRule="auto"/>
        <w:rPr>
          <w:rFonts w:ascii="宋体" w:hAnsi="宋体"/>
          <w:sz w:val="21"/>
          <w:szCs w:val="21"/>
        </w:rPr>
      </w:pPr>
      <w:r>
        <w:rPr>
          <w:rFonts w:ascii="宋体" w:hAnsi="宋体"/>
          <w:sz w:val="21"/>
          <w:szCs w:val="21"/>
        </w:rPr>
        <w:tab/>
      </w:r>
      <w:r>
        <w:rPr>
          <w:rFonts w:hint="eastAsia" w:ascii="宋体" w:hAnsi="宋体"/>
          <w:sz w:val="21"/>
          <w:szCs w:val="21"/>
        </w:rPr>
        <w:t>投标人代表姓名、职务（印刷体）：</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cr/>
      </w:r>
      <w:r>
        <w:rPr>
          <w:rFonts w:ascii="宋体" w:hAnsi="宋体"/>
          <w:sz w:val="21"/>
          <w:szCs w:val="21"/>
        </w:rPr>
        <w:tab/>
      </w:r>
      <w:r>
        <w:rPr>
          <w:rFonts w:hint="eastAsia" w:ascii="宋体" w:hAnsi="宋体"/>
          <w:sz w:val="21"/>
          <w:szCs w:val="21"/>
        </w:rPr>
        <w:t>投标人名称：</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（公章）</w:t>
      </w:r>
    </w:p>
    <w:p>
      <w:pPr>
        <w:spacing w:line="360" w:lineRule="auto"/>
        <w:rPr>
          <w:rFonts w:hint="eastAsia" w:ascii="宋体" w:hAnsi="宋体"/>
          <w:sz w:val="21"/>
          <w:szCs w:val="21"/>
        </w:rPr>
      </w:pPr>
      <w:r>
        <w:rPr>
          <w:rFonts w:ascii="宋体" w:hAnsi="宋体"/>
          <w:sz w:val="21"/>
          <w:szCs w:val="21"/>
        </w:rPr>
        <w:tab/>
      </w:r>
      <w:r>
        <w:rPr>
          <w:rFonts w:hint="eastAsia" w:ascii="宋体" w:hAnsi="宋体"/>
          <w:sz w:val="21"/>
          <w:szCs w:val="21"/>
        </w:rPr>
        <w:t>法定代表人（或其授权代表）签字：</w:t>
      </w:r>
      <w:r>
        <w:rPr>
          <w:rFonts w:ascii="宋体" w:hAnsi="宋体"/>
          <w:sz w:val="21"/>
          <w:szCs w:val="21"/>
          <w:u w:val="single"/>
        </w:rPr>
        <w:t xml:space="preserve"> </w:t>
      </w:r>
      <w:r>
        <w:rPr>
          <w:rFonts w:hint="eastAsia" w:ascii="宋体" w:hAnsi="宋体"/>
          <w:sz w:val="21"/>
          <w:szCs w:val="21"/>
          <w:u w:val="single"/>
        </w:rPr>
        <w:t xml:space="preserve">                   </w:t>
      </w:r>
    </w:p>
    <w:p>
      <w:pPr>
        <w:spacing w:line="360" w:lineRule="auto"/>
        <w:rPr>
          <w:rFonts w:hint="eastAsia" w:ascii="Arial" w:hAnsi="Arial" w:cs="Arial"/>
          <w:snapToGrid w:val="0"/>
          <w:kern w:val="0"/>
          <w:sz w:val="21"/>
          <w:szCs w:val="21"/>
        </w:rPr>
      </w:pPr>
      <w:r>
        <w:rPr>
          <w:rFonts w:hint="eastAsia" w:ascii="宋体" w:hAnsi="宋体"/>
          <w:sz w:val="21"/>
          <w:szCs w:val="21"/>
        </w:rPr>
        <w:t xml:space="preserve">    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360" w:lineRule="auto"/>
        <w:rPr>
          <w:rFonts w:hint="eastAsia"/>
          <w:b/>
          <w:sz w:val="32"/>
          <w:szCs w:val="32"/>
        </w:rPr>
      </w:pPr>
      <w:bookmarkStart w:id="37" w:name="_Toc180299006"/>
      <w:r>
        <w:rPr>
          <w:rFonts w:cs="Arial"/>
          <w:b/>
          <w:snapToGrid w:val="0"/>
          <w:kern w:val="0"/>
          <w:sz w:val="32"/>
          <w:szCs w:val="32"/>
        </w:rPr>
        <w:br w:type="page"/>
      </w:r>
      <w:bookmarkStart w:id="38" w:name="_Toc180299007"/>
      <w:r>
        <w:rPr>
          <w:b/>
          <w:sz w:val="32"/>
          <w:szCs w:val="32"/>
        </w:rPr>
        <w:t>附件二</w:t>
      </w:r>
      <w:bookmarkEnd w:id="38"/>
    </w:p>
    <w:bookmarkEnd w:id="37"/>
    <w:p>
      <w:pPr>
        <w:spacing w:line="360" w:lineRule="auto"/>
        <w:jc w:val="center"/>
        <w:rPr>
          <w:rFonts w:hint="eastAsia"/>
          <w:b/>
          <w:sz w:val="32"/>
          <w:szCs w:val="32"/>
        </w:rPr>
      </w:pPr>
      <w:bookmarkStart w:id="39" w:name="_Toc188395333"/>
      <w:bookmarkStart w:id="40" w:name="_Toc180299008"/>
      <w:bookmarkStart w:id="41" w:name="_Toc188415063"/>
      <w:bookmarkStart w:id="42" w:name="_Toc188987259"/>
      <w:r>
        <w:rPr>
          <w:rFonts w:hint="eastAsia"/>
          <w:b/>
          <w:sz w:val="32"/>
          <w:szCs w:val="32"/>
        </w:rPr>
        <w:t>开标一览表</w:t>
      </w:r>
      <w:bookmarkEnd w:id="39"/>
      <w:bookmarkEnd w:id="40"/>
      <w:bookmarkEnd w:id="41"/>
      <w:bookmarkEnd w:id="42"/>
    </w:p>
    <w:tbl>
      <w:tblPr>
        <w:tblStyle w:val="2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u w:val="single"/>
              </w:rPr>
            </w:pPr>
            <w:r>
              <w:rPr>
                <w:rFonts w:hint="eastAsia" w:ascii="宋体" w:hAnsi="宋体"/>
                <w:b/>
                <w:spacing w:val="-6"/>
                <w:sz w:val="24"/>
              </w:rPr>
              <w:t>投标总价（投标总价为1个年度租赁期的租金）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pacing w:val="-6"/>
                <w:sz w:val="24"/>
              </w:rPr>
            </w:pPr>
          </w:p>
          <w:p>
            <w:pPr>
              <w:spacing w:line="360" w:lineRule="auto"/>
              <w:rPr>
                <w:rFonts w:hint="eastAsia"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spacing w:line="360" w:lineRule="auto"/>
              <w:rPr>
                <w:rFonts w:hint="eastAsia" w:ascii="宋体" w:hAnsi="宋体"/>
                <w:spacing w:val="-6"/>
                <w:sz w:val="24"/>
                <w:u w:val="single"/>
              </w:rPr>
            </w:pPr>
          </w:p>
          <w:p>
            <w:pPr>
              <w:spacing w:line="360" w:lineRule="auto"/>
              <w:rPr>
                <w:rFonts w:hint="eastAsia" w:ascii="宋体" w:hAnsi="宋体"/>
                <w:b/>
                <w:spacing w:val="-6"/>
                <w:sz w:val="24"/>
              </w:rPr>
            </w:pPr>
            <w:r>
              <w:rPr>
                <w:rFonts w:hint="eastAsia" w:ascii="宋体" w:hAnsi="宋体"/>
                <w:spacing w:val="-6"/>
                <w:sz w:val="24"/>
              </w:rPr>
              <w:t>单位：人民币元</w:t>
            </w:r>
          </w:p>
        </w:tc>
      </w:tr>
    </w:tbl>
    <w:p>
      <w:pPr>
        <w:spacing w:line="360" w:lineRule="auto"/>
        <w:rPr>
          <w:rFonts w:hint="eastAsia" w:ascii="Arial" w:hAnsi="Arial" w:cs="Arial"/>
          <w:snapToGrid w:val="0"/>
          <w:kern w:val="0"/>
          <w:sz w:val="21"/>
          <w:szCs w:val="21"/>
        </w:rPr>
      </w:pPr>
    </w:p>
    <w:p>
      <w:pPr>
        <w:spacing w:line="360" w:lineRule="auto"/>
        <w:rPr>
          <w:rFonts w:hint="eastAsia" w:ascii="Arial" w:hAnsi="Arial" w:cs="Arial"/>
          <w:snapToGrid w:val="0"/>
          <w:kern w:val="0"/>
          <w:sz w:val="21"/>
          <w:szCs w:val="21"/>
        </w:rPr>
      </w:pPr>
    </w:p>
    <w:p>
      <w:pPr>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投标人全称（盖章）：</w:t>
      </w:r>
    </w:p>
    <w:p>
      <w:pPr>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全权代表（签字）：</w:t>
      </w:r>
    </w:p>
    <w:p>
      <w:pPr>
        <w:spacing w:line="360" w:lineRule="auto"/>
        <w:rPr>
          <w:rFonts w:ascii="Arial" w:hAnsi="Arial" w:cs="Arial"/>
          <w:snapToGrid w:val="0"/>
          <w:kern w:val="0"/>
          <w:sz w:val="21"/>
          <w:szCs w:val="21"/>
        </w:rPr>
      </w:pPr>
      <w:r>
        <w:rPr>
          <w:rFonts w:hint="eastAsia" w:ascii="Arial" w:hAnsi="Arial" w:cs="Arial"/>
          <w:snapToGrid w:val="0"/>
          <w:kern w:val="0"/>
          <w:sz w:val="21"/>
          <w:szCs w:val="21"/>
        </w:rPr>
        <w:t>日期：</w:t>
      </w:r>
    </w:p>
    <w:p>
      <w:pPr>
        <w:spacing w:line="360" w:lineRule="auto"/>
        <w:rPr>
          <w:rFonts w:hint="eastAsia"/>
          <w:b/>
          <w:sz w:val="32"/>
          <w:szCs w:val="32"/>
        </w:rPr>
      </w:pPr>
      <w:r>
        <w:rPr>
          <w:rFonts w:cs="Arial"/>
          <w:snapToGrid w:val="0"/>
          <w:kern w:val="0"/>
        </w:rPr>
        <w:br w:type="page"/>
      </w:r>
      <w:bookmarkStart w:id="43" w:name="_Toc180299009"/>
      <w:r>
        <w:rPr>
          <w:b/>
          <w:sz w:val="32"/>
          <w:szCs w:val="32"/>
        </w:rPr>
        <w:t>附件三</w:t>
      </w:r>
      <w:bookmarkEnd w:id="43"/>
    </w:p>
    <w:p>
      <w:pPr>
        <w:spacing w:line="360" w:lineRule="auto"/>
        <w:jc w:val="center"/>
        <w:rPr>
          <w:rFonts w:hint="eastAsia"/>
          <w:b/>
          <w:sz w:val="32"/>
          <w:szCs w:val="32"/>
        </w:rPr>
      </w:pPr>
      <w:r>
        <w:rPr>
          <w:rFonts w:hint="eastAsia"/>
          <w:b/>
          <w:sz w:val="32"/>
          <w:szCs w:val="32"/>
        </w:rPr>
        <w:t>承租期内经营的主要商品或服务价格一览表</w:t>
      </w:r>
    </w:p>
    <w:p>
      <w:pPr>
        <w:spacing w:line="360" w:lineRule="auto"/>
        <w:jc w:val="center"/>
        <w:rPr>
          <w:rFonts w:hint="eastAsia"/>
          <w:b/>
          <w:sz w:val="32"/>
          <w:szCs w:val="32"/>
        </w:rPr>
      </w:pPr>
      <w:r>
        <w:rPr>
          <w:rFonts w:hint="eastAsia"/>
          <w:b/>
          <w:sz w:val="32"/>
          <w:szCs w:val="32"/>
        </w:rPr>
        <w:t>（格式自拟）</w:t>
      </w:r>
    </w:p>
    <w:p>
      <w:pPr>
        <w:spacing w:line="360" w:lineRule="auto"/>
        <w:rPr>
          <w:rFonts w:hint="eastAsia"/>
          <w:b/>
          <w:sz w:val="32"/>
          <w:szCs w:val="32"/>
        </w:rPr>
      </w:pPr>
      <w:r>
        <w:rPr>
          <w:b/>
          <w:sz w:val="32"/>
          <w:szCs w:val="32"/>
        </w:rPr>
        <w:t>附件</w:t>
      </w:r>
      <w:r>
        <w:rPr>
          <w:rFonts w:hint="eastAsia"/>
          <w:b/>
          <w:sz w:val="32"/>
          <w:szCs w:val="32"/>
        </w:rPr>
        <w:t>四</w:t>
      </w:r>
    </w:p>
    <w:p>
      <w:pPr>
        <w:spacing w:line="360" w:lineRule="auto"/>
        <w:jc w:val="center"/>
        <w:rPr>
          <w:rFonts w:hint="eastAsia"/>
          <w:b/>
          <w:sz w:val="32"/>
          <w:szCs w:val="32"/>
        </w:rPr>
      </w:pPr>
      <w:r>
        <w:rPr>
          <w:rFonts w:hint="eastAsia"/>
          <w:b/>
          <w:sz w:val="32"/>
          <w:szCs w:val="32"/>
        </w:rPr>
        <w:t>投标人拟投入设备及其他用品清单</w:t>
      </w:r>
    </w:p>
    <w:p>
      <w:pPr>
        <w:spacing w:line="360" w:lineRule="auto"/>
        <w:jc w:val="center"/>
        <w:rPr>
          <w:rFonts w:hint="eastAsia"/>
          <w:b/>
          <w:sz w:val="32"/>
          <w:szCs w:val="32"/>
        </w:rPr>
      </w:pPr>
      <w:r>
        <w:rPr>
          <w:rFonts w:hint="eastAsia"/>
          <w:b/>
          <w:sz w:val="32"/>
          <w:szCs w:val="32"/>
        </w:rPr>
        <w:t>（格式自拟）</w:t>
      </w:r>
    </w:p>
    <w:p>
      <w:pPr>
        <w:spacing w:line="360" w:lineRule="auto"/>
        <w:jc w:val="center"/>
        <w:rPr>
          <w:rFonts w:hint="eastAsia"/>
          <w:b/>
          <w:sz w:val="32"/>
          <w:szCs w:val="32"/>
        </w:rPr>
      </w:pPr>
    </w:p>
    <w:p>
      <w:pPr>
        <w:spacing w:line="360" w:lineRule="auto"/>
        <w:rPr>
          <w:rFonts w:hint="eastAsia"/>
          <w:b/>
        </w:rPr>
      </w:pPr>
      <w:bookmarkStart w:id="44" w:name="_Toc180299010"/>
      <w:r>
        <w:rPr>
          <w:b/>
        </w:rPr>
        <w:t>附件</w:t>
      </w:r>
      <w:bookmarkEnd w:id="44"/>
      <w:r>
        <w:rPr>
          <w:rFonts w:hint="eastAsia"/>
          <w:b/>
        </w:rPr>
        <w:t>五</w:t>
      </w:r>
    </w:p>
    <w:p>
      <w:pPr>
        <w:spacing w:line="360" w:lineRule="auto"/>
        <w:jc w:val="center"/>
        <w:rPr>
          <w:rFonts w:hint="eastAsia"/>
          <w:b/>
        </w:rPr>
      </w:pPr>
      <w:bookmarkStart w:id="45" w:name="_Toc180299013"/>
      <w:bookmarkStart w:id="46" w:name="_Toc188395339"/>
      <w:bookmarkStart w:id="47" w:name="_Toc188415069"/>
      <w:bookmarkStart w:id="48" w:name="_Toc188987263"/>
      <w:r>
        <w:rPr>
          <w:b/>
        </w:rPr>
        <w:t>偏离表</w:t>
      </w:r>
      <w:bookmarkEnd w:id="45"/>
      <w:bookmarkEnd w:id="46"/>
      <w:bookmarkEnd w:id="47"/>
      <w:bookmarkEnd w:id="48"/>
    </w:p>
    <w:tbl>
      <w:tblPr>
        <w:tblStyle w:val="2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20"/>
        <w:gridCol w:w="3420"/>
        <w:gridCol w:w="12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8" w:hRule="atLeast"/>
        </w:trPr>
        <w:tc>
          <w:tcPr>
            <w:tcW w:w="720" w:type="dxa"/>
            <w:tcBorders>
              <w:top w:val="double" w:color="auto" w:sz="4" w:space="0"/>
              <w:bottom w:val="double" w:color="auto" w:sz="4" w:space="0"/>
            </w:tcBorders>
            <w:noWrap w:val="0"/>
            <w:vAlign w:val="center"/>
          </w:tcPr>
          <w:p>
            <w:pPr>
              <w:pStyle w:val="18"/>
              <w:spacing w:line="360" w:lineRule="auto"/>
              <w:jc w:val="center"/>
              <w:rPr>
                <w:rFonts w:ascii="Arial" w:hAnsi="Arial" w:cs="Arial"/>
                <w:snapToGrid w:val="0"/>
                <w:kern w:val="0"/>
                <w:szCs w:val="21"/>
              </w:rPr>
            </w:pPr>
            <w:r>
              <w:rPr>
                <w:rFonts w:ascii="Arial" w:hAnsi="Arial" w:cs="Arial"/>
                <w:snapToGrid w:val="0"/>
                <w:kern w:val="0"/>
                <w:szCs w:val="21"/>
              </w:rPr>
              <w:t>序号</w:t>
            </w:r>
          </w:p>
        </w:tc>
        <w:tc>
          <w:tcPr>
            <w:tcW w:w="3420" w:type="dxa"/>
            <w:tcBorders>
              <w:top w:val="double" w:color="auto" w:sz="4" w:space="0"/>
              <w:bottom w:val="double" w:color="auto" w:sz="4" w:space="0"/>
            </w:tcBorders>
            <w:noWrap w:val="0"/>
            <w:vAlign w:val="center"/>
          </w:tcPr>
          <w:p>
            <w:pPr>
              <w:pStyle w:val="18"/>
              <w:spacing w:line="360" w:lineRule="auto"/>
              <w:jc w:val="center"/>
              <w:rPr>
                <w:rFonts w:ascii="Arial" w:hAnsi="Arial" w:cs="Arial"/>
                <w:snapToGrid w:val="0"/>
                <w:kern w:val="0"/>
                <w:szCs w:val="21"/>
              </w:rPr>
            </w:pPr>
            <w:r>
              <w:rPr>
                <w:rFonts w:ascii="Arial" w:hAnsi="Arial" w:cs="Arial"/>
                <w:snapToGrid w:val="0"/>
                <w:kern w:val="0"/>
                <w:szCs w:val="21"/>
              </w:rPr>
              <w:t>招标文件要求</w:t>
            </w:r>
          </w:p>
        </w:tc>
        <w:tc>
          <w:tcPr>
            <w:tcW w:w="3420" w:type="dxa"/>
            <w:tcBorders>
              <w:top w:val="double" w:color="auto" w:sz="4" w:space="0"/>
              <w:bottom w:val="double" w:color="auto" w:sz="4" w:space="0"/>
            </w:tcBorders>
            <w:noWrap w:val="0"/>
            <w:vAlign w:val="center"/>
          </w:tcPr>
          <w:p>
            <w:pPr>
              <w:pStyle w:val="18"/>
              <w:spacing w:line="360" w:lineRule="auto"/>
              <w:jc w:val="center"/>
              <w:rPr>
                <w:rFonts w:ascii="Arial" w:hAnsi="Arial" w:cs="Arial"/>
                <w:snapToGrid w:val="0"/>
                <w:kern w:val="0"/>
                <w:szCs w:val="21"/>
              </w:rPr>
            </w:pPr>
            <w:r>
              <w:rPr>
                <w:rFonts w:ascii="Arial" w:hAnsi="Arial" w:cs="Arial"/>
                <w:snapToGrid w:val="0"/>
                <w:kern w:val="0"/>
                <w:szCs w:val="21"/>
              </w:rPr>
              <w:t>投标文件对应</w:t>
            </w:r>
          </w:p>
        </w:tc>
        <w:tc>
          <w:tcPr>
            <w:tcW w:w="1281" w:type="dxa"/>
            <w:tcBorders>
              <w:top w:val="double" w:color="auto" w:sz="4" w:space="0"/>
              <w:bottom w:val="double" w:color="auto" w:sz="4" w:space="0"/>
            </w:tcBorders>
            <w:noWrap w:val="0"/>
            <w:vAlign w:val="center"/>
          </w:tcPr>
          <w:p>
            <w:pPr>
              <w:pStyle w:val="18"/>
              <w:spacing w:line="360" w:lineRule="auto"/>
              <w:jc w:val="center"/>
              <w:rPr>
                <w:rFonts w:ascii="Arial" w:hAnsi="Arial" w:cs="Arial"/>
                <w:snapToGrid w:val="0"/>
                <w:kern w:val="0"/>
                <w:szCs w:val="21"/>
              </w:rPr>
            </w:pPr>
            <w:r>
              <w:rPr>
                <w:rFonts w:ascii="Arial" w:hAnsi="Arial" w:cs="Arial"/>
                <w:snapToGrid w:val="0"/>
                <w:kern w:val="0"/>
                <w:szCs w:val="21"/>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tcBorders>
              <w:top w:val="double" w:color="auto" w:sz="4" w:space="0"/>
            </w:tcBorders>
            <w:noWrap w:val="0"/>
            <w:vAlign w:val="top"/>
          </w:tcPr>
          <w:p>
            <w:pPr>
              <w:pStyle w:val="18"/>
              <w:spacing w:line="360" w:lineRule="auto"/>
              <w:jc w:val="center"/>
              <w:rPr>
                <w:rFonts w:ascii="Arial" w:hAnsi="Arial" w:cs="Arial"/>
                <w:snapToGrid w:val="0"/>
                <w:kern w:val="0"/>
                <w:szCs w:val="21"/>
              </w:rPr>
            </w:pPr>
          </w:p>
        </w:tc>
        <w:tc>
          <w:tcPr>
            <w:tcW w:w="3420" w:type="dxa"/>
            <w:tcBorders>
              <w:top w:val="double" w:color="auto" w:sz="4" w:space="0"/>
            </w:tcBorders>
            <w:noWrap w:val="0"/>
            <w:vAlign w:val="top"/>
          </w:tcPr>
          <w:p>
            <w:pPr>
              <w:pStyle w:val="18"/>
              <w:spacing w:line="360" w:lineRule="auto"/>
              <w:jc w:val="center"/>
              <w:rPr>
                <w:rFonts w:ascii="Arial" w:hAnsi="Arial" w:cs="Arial"/>
                <w:snapToGrid w:val="0"/>
                <w:kern w:val="0"/>
                <w:szCs w:val="21"/>
              </w:rPr>
            </w:pPr>
          </w:p>
        </w:tc>
        <w:tc>
          <w:tcPr>
            <w:tcW w:w="3420" w:type="dxa"/>
            <w:tcBorders>
              <w:top w:val="double" w:color="auto" w:sz="4" w:space="0"/>
            </w:tcBorders>
            <w:noWrap w:val="0"/>
            <w:vAlign w:val="top"/>
          </w:tcPr>
          <w:p>
            <w:pPr>
              <w:pStyle w:val="18"/>
              <w:spacing w:line="360" w:lineRule="auto"/>
              <w:jc w:val="center"/>
              <w:rPr>
                <w:rFonts w:ascii="Arial" w:hAnsi="Arial" w:cs="Arial"/>
                <w:snapToGrid w:val="0"/>
                <w:kern w:val="0"/>
                <w:szCs w:val="21"/>
              </w:rPr>
            </w:pPr>
          </w:p>
        </w:tc>
        <w:tc>
          <w:tcPr>
            <w:tcW w:w="1281" w:type="dxa"/>
            <w:tcBorders>
              <w:top w:val="double" w:color="auto" w:sz="4" w:space="0"/>
            </w:tcBorders>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3420" w:type="dxa"/>
            <w:noWrap w:val="0"/>
            <w:vAlign w:val="top"/>
          </w:tcPr>
          <w:p>
            <w:pPr>
              <w:pStyle w:val="18"/>
              <w:spacing w:line="360" w:lineRule="auto"/>
              <w:jc w:val="center"/>
              <w:rPr>
                <w:rFonts w:ascii="Arial" w:hAnsi="Arial" w:cs="Arial"/>
                <w:snapToGrid w:val="0"/>
                <w:kern w:val="0"/>
                <w:szCs w:val="21"/>
              </w:rPr>
            </w:pPr>
          </w:p>
        </w:tc>
        <w:tc>
          <w:tcPr>
            <w:tcW w:w="1281" w:type="dxa"/>
            <w:noWrap w:val="0"/>
            <w:vAlign w:val="top"/>
          </w:tcPr>
          <w:p>
            <w:pPr>
              <w:pStyle w:val="18"/>
              <w:spacing w:line="360" w:lineRule="auto"/>
              <w:jc w:val="center"/>
              <w:rPr>
                <w:rFonts w:ascii="Arial" w:hAnsi="Arial" w:cs="Arial"/>
                <w:snapToGrid w:val="0"/>
                <w:kern w:val="0"/>
                <w:szCs w:val="21"/>
              </w:rPr>
            </w:pPr>
          </w:p>
        </w:tc>
      </w:tr>
    </w:tbl>
    <w:p>
      <w:pPr>
        <w:pStyle w:val="18"/>
        <w:spacing w:line="360" w:lineRule="auto"/>
        <w:rPr>
          <w:rFonts w:ascii="Arial" w:hAnsi="Arial" w:cs="Arial"/>
          <w:snapToGrid w:val="0"/>
          <w:kern w:val="0"/>
          <w:szCs w:val="21"/>
        </w:rPr>
      </w:pPr>
      <w:bookmarkStart w:id="49" w:name="_Toc180299014"/>
      <w:r>
        <w:rPr>
          <w:rFonts w:ascii="Arial" w:hAnsi="Arial" w:cs="Arial"/>
          <w:snapToGrid w:val="0"/>
          <w:kern w:val="0"/>
          <w:szCs w:val="21"/>
        </w:rPr>
        <w:t>注：如不填写，则视作完全响应招标文件的要求。</w:t>
      </w:r>
    </w:p>
    <w:p>
      <w:pPr>
        <w:pStyle w:val="18"/>
        <w:spacing w:line="360" w:lineRule="auto"/>
        <w:rPr>
          <w:rFonts w:ascii="Arial" w:hAnsi="Arial" w:cs="Arial"/>
          <w:snapToGrid w:val="0"/>
          <w:kern w:val="0"/>
          <w:szCs w:val="21"/>
        </w:rPr>
      </w:pP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投标人（盖</w:t>
      </w:r>
      <w:r>
        <w:rPr>
          <w:rFonts w:hint="eastAsia" w:ascii="Arial" w:hAnsi="Arial" w:cs="Arial"/>
          <w:snapToGrid w:val="0"/>
          <w:kern w:val="0"/>
          <w:sz w:val="21"/>
          <w:szCs w:val="21"/>
        </w:rPr>
        <w:t>公</w:t>
      </w:r>
      <w:r>
        <w:rPr>
          <w:rFonts w:ascii="Arial" w:hAnsi="Arial" w:cs="Arial"/>
          <w:snapToGrid w:val="0"/>
          <w:kern w:val="0"/>
          <w:sz w:val="21"/>
          <w:szCs w:val="21"/>
        </w:rPr>
        <w:t>章）：</w:t>
      </w:r>
    </w:p>
    <w:p>
      <w:pPr>
        <w:spacing w:line="360" w:lineRule="auto"/>
        <w:rPr>
          <w:rFonts w:hint="eastAsia" w:ascii="Arial" w:hAnsi="Arial" w:cs="Arial"/>
          <w:snapToGrid w:val="0"/>
          <w:kern w:val="0"/>
          <w:sz w:val="21"/>
          <w:szCs w:val="21"/>
        </w:rPr>
      </w:pPr>
      <w:r>
        <w:rPr>
          <w:rFonts w:ascii="Arial" w:hAnsi="Arial" w:cs="Arial"/>
          <w:snapToGrid w:val="0"/>
          <w:kern w:val="0"/>
          <w:sz w:val="21"/>
          <w:szCs w:val="21"/>
        </w:rPr>
        <w:t>全权代表签字：</w:t>
      </w:r>
    </w:p>
    <w:p>
      <w:pPr>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日期：</w:t>
      </w:r>
    </w:p>
    <w:bookmarkEnd w:id="49"/>
    <w:p>
      <w:pPr>
        <w:spacing w:line="360" w:lineRule="auto"/>
        <w:outlineLvl w:val="1"/>
        <w:rPr>
          <w:rFonts w:ascii="Arial" w:hAnsi="Arial" w:cs="Arial"/>
          <w:snapToGrid w:val="0"/>
          <w:kern w:val="0"/>
          <w:sz w:val="18"/>
          <w:szCs w:val="18"/>
        </w:rPr>
        <w:sectPr>
          <w:footerReference r:id="rId6" w:type="first"/>
          <w:pgSz w:w="11907" w:h="16840"/>
          <w:pgMar w:top="1440" w:right="1287" w:bottom="1440" w:left="1797" w:header="851" w:footer="992" w:gutter="0"/>
          <w:cols w:space="720" w:num="1"/>
          <w:titlePg/>
          <w:docGrid w:linePitch="312" w:charSpace="0"/>
        </w:sectPr>
      </w:pPr>
    </w:p>
    <w:p>
      <w:pPr>
        <w:pStyle w:val="3"/>
        <w:spacing w:line="360" w:lineRule="auto"/>
        <w:rPr>
          <w:rFonts w:ascii="Arial" w:hAnsi="Arial" w:eastAsia="黑体" w:cs="Arial"/>
          <w:snapToGrid w:val="0"/>
          <w:kern w:val="0"/>
          <w:sz w:val="30"/>
        </w:rPr>
      </w:pPr>
      <w:bookmarkStart w:id="50" w:name="_Toc10971"/>
      <w:bookmarkStart w:id="51" w:name="_Toc421869914"/>
      <w:r>
        <w:rPr>
          <w:rFonts w:ascii="Arial" w:hAnsi="Arial" w:eastAsia="黑体" w:cs="Arial"/>
          <w:snapToGrid w:val="0"/>
          <w:kern w:val="0"/>
          <w:sz w:val="30"/>
        </w:rPr>
        <w:t>第</w:t>
      </w:r>
      <w:r>
        <w:rPr>
          <w:rFonts w:hint="eastAsia" w:ascii="Arial" w:hAnsi="Arial" w:eastAsia="黑体" w:cs="Arial"/>
          <w:snapToGrid w:val="0"/>
          <w:kern w:val="0"/>
          <w:sz w:val="30"/>
        </w:rPr>
        <w:t>五</w:t>
      </w:r>
      <w:r>
        <w:rPr>
          <w:rFonts w:ascii="Arial" w:hAnsi="Arial" w:eastAsia="黑体" w:cs="Arial"/>
          <w:snapToGrid w:val="0"/>
          <w:kern w:val="0"/>
          <w:sz w:val="30"/>
        </w:rPr>
        <w:t xml:space="preserve">部分 </w:t>
      </w:r>
      <w:r>
        <w:rPr>
          <w:rFonts w:hint="eastAsia" w:ascii="Arial" w:hAnsi="Arial" w:eastAsia="黑体" w:cs="Arial"/>
          <w:snapToGrid w:val="0"/>
          <w:kern w:val="0"/>
          <w:sz w:val="30"/>
        </w:rPr>
        <w:t xml:space="preserve">  </w:t>
      </w:r>
      <w:r>
        <w:rPr>
          <w:rFonts w:ascii="Arial" w:hAnsi="Arial" w:eastAsia="黑体" w:cs="Arial"/>
          <w:snapToGrid w:val="0"/>
          <w:kern w:val="0"/>
          <w:sz w:val="30"/>
        </w:rPr>
        <w:t>评标办法</w:t>
      </w:r>
      <w:bookmarkEnd w:id="50"/>
      <w:bookmarkEnd w:id="51"/>
    </w:p>
    <w:p>
      <w:pPr>
        <w:adjustRightInd w:val="0"/>
        <w:snapToGrid w:val="0"/>
        <w:spacing w:line="360" w:lineRule="auto"/>
        <w:ind w:firstLine="420" w:firstLineChars="200"/>
        <w:rPr>
          <w:rFonts w:ascii="Arial" w:hAnsi="Arial" w:cs="Arial"/>
          <w:snapToGrid w:val="0"/>
          <w:kern w:val="0"/>
          <w:sz w:val="21"/>
          <w:szCs w:val="21"/>
        </w:rPr>
      </w:pPr>
      <w:r>
        <w:rPr>
          <w:rFonts w:ascii="Arial" w:hAnsi="Arial" w:cs="Arial"/>
          <w:snapToGrid w:val="0"/>
          <w:kern w:val="0"/>
          <w:sz w:val="21"/>
          <w:szCs w:val="21"/>
        </w:rPr>
        <w:t>根据</w:t>
      </w:r>
      <w:r>
        <w:rPr>
          <w:rFonts w:hint="eastAsia" w:ascii="Arial" w:hAnsi="Arial" w:cs="Arial"/>
          <w:snapToGrid w:val="0"/>
          <w:kern w:val="0"/>
          <w:sz w:val="21"/>
          <w:szCs w:val="21"/>
        </w:rPr>
        <w:t>《中华人民共和国政府采购法》</w:t>
      </w:r>
      <w:r>
        <w:rPr>
          <w:rFonts w:ascii="Arial" w:hAnsi="Arial" w:cs="Arial"/>
          <w:snapToGrid w:val="0"/>
          <w:kern w:val="0"/>
          <w:sz w:val="21"/>
          <w:szCs w:val="21"/>
        </w:rPr>
        <w:t>等有关法规，结合</w:t>
      </w:r>
      <w:r>
        <w:rPr>
          <w:rFonts w:hint="eastAsia" w:ascii="Arial" w:hAnsi="Arial" w:cs="Arial"/>
          <w:snapToGrid w:val="0"/>
          <w:kern w:val="0"/>
          <w:sz w:val="21"/>
          <w:szCs w:val="21"/>
        </w:rPr>
        <w:t>本项目</w:t>
      </w:r>
      <w:r>
        <w:rPr>
          <w:rFonts w:ascii="Arial" w:hAnsi="Arial" w:cs="Arial"/>
          <w:snapToGrid w:val="0"/>
          <w:kern w:val="0"/>
          <w:sz w:val="21"/>
          <w:szCs w:val="21"/>
        </w:rPr>
        <w:t>的实际</w:t>
      </w:r>
      <w:r>
        <w:rPr>
          <w:rFonts w:hint="eastAsia" w:ascii="Arial" w:hAnsi="Arial" w:cs="Arial"/>
          <w:snapToGrid w:val="0"/>
          <w:kern w:val="0"/>
          <w:sz w:val="21"/>
          <w:szCs w:val="21"/>
        </w:rPr>
        <w:t>情况</w:t>
      </w:r>
      <w:r>
        <w:rPr>
          <w:rFonts w:ascii="Arial" w:hAnsi="Arial" w:cs="Arial"/>
          <w:snapToGrid w:val="0"/>
          <w:kern w:val="0"/>
          <w:sz w:val="21"/>
          <w:szCs w:val="21"/>
        </w:rPr>
        <w:t>，遵循公开、公平、公正、科学、择优原则和诚实、信誉、效率的服务原则。制定本评标办法。</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一、本次评标办法采用综合评</w:t>
      </w:r>
      <w:r>
        <w:rPr>
          <w:rFonts w:hint="eastAsia" w:ascii="Arial" w:hAnsi="Arial" w:cs="Arial"/>
          <w:snapToGrid w:val="0"/>
          <w:kern w:val="0"/>
          <w:sz w:val="21"/>
          <w:szCs w:val="21"/>
        </w:rPr>
        <w:t>分</w:t>
      </w:r>
      <w:r>
        <w:rPr>
          <w:rFonts w:ascii="Arial" w:hAnsi="Arial" w:cs="Arial"/>
          <w:snapToGrid w:val="0"/>
          <w:kern w:val="0"/>
          <w:sz w:val="21"/>
          <w:szCs w:val="21"/>
        </w:rPr>
        <w:t>法</w:t>
      </w:r>
    </w:p>
    <w:p>
      <w:pPr>
        <w:adjustRightInd w:val="0"/>
        <w:snapToGrid w:val="0"/>
        <w:spacing w:line="360" w:lineRule="auto"/>
        <w:rPr>
          <w:rFonts w:ascii="Arial" w:hAnsi="Arial" w:cs="Arial"/>
          <w:snapToGrid w:val="0"/>
          <w:kern w:val="0"/>
          <w:sz w:val="21"/>
          <w:szCs w:val="21"/>
        </w:rPr>
      </w:pPr>
      <w:r>
        <w:rPr>
          <w:rFonts w:ascii="Arial" w:hAnsi="Arial" w:cs="Arial"/>
          <w:snapToGrid w:val="0"/>
          <w:kern w:val="0"/>
          <w:sz w:val="21"/>
          <w:szCs w:val="21"/>
        </w:rPr>
        <w:t>二、评标工作由评标委员会负责，评标委员由招标人按有关规定产</w:t>
      </w:r>
      <w:r>
        <w:rPr>
          <w:rFonts w:hint="eastAsia" w:ascii="Arial" w:hAnsi="Arial" w:cs="Arial"/>
          <w:snapToGrid w:val="0"/>
          <w:kern w:val="0"/>
          <w:sz w:val="21"/>
          <w:szCs w:val="21"/>
        </w:rPr>
        <w:t>生</w:t>
      </w:r>
      <w:r>
        <w:rPr>
          <w:rFonts w:ascii="Arial" w:hAnsi="Arial" w:cs="Arial"/>
          <w:snapToGrid w:val="0"/>
          <w:kern w:val="0"/>
          <w:sz w:val="21"/>
          <w:szCs w:val="21"/>
        </w:rPr>
        <w:t>组成。</w:t>
      </w:r>
    </w:p>
    <w:p>
      <w:p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三、</w:t>
      </w:r>
      <w:r>
        <w:rPr>
          <w:rFonts w:hint="eastAsia" w:ascii="Arial" w:hAnsi="Arial" w:cs="Arial"/>
          <w:snapToGrid w:val="0"/>
          <w:kern w:val="0"/>
          <w:sz w:val="21"/>
          <w:szCs w:val="21"/>
        </w:rPr>
        <w:t>开标程序</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w:t>
      </w:r>
      <w:r>
        <w:rPr>
          <w:rFonts w:ascii="Arial" w:hAnsi="Arial" w:cs="Arial"/>
          <w:snapToGrid w:val="0"/>
          <w:kern w:val="0"/>
          <w:sz w:val="21"/>
          <w:szCs w:val="21"/>
        </w:rPr>
        <w:t>在投标截止时间后，招标人举行开标会议，参加开标的投标人代表应签名报到，以证明其出席开标会议</w:t>
      </w:r>
      <w:r>
        <w:rPr>
          <w:rFonts w:hint="eastAsia" w:ascii="Arial" w:hAnsi="Arial" w:cs="Arial"/>
          <w:snapToGrid w:val="0"/>
          <w:kern w:val="0"/>
          <w:sz w:val="21"/>
          <w:szCs w:val="21"/>
        </w:rPr>
        <w:t>。</w:t>
      </w:r>
    </w:p>
    <w:p>
      <w:pPr>
        <w:spacing w:line="360" w:lineRule="auto"/>
        <w:rPr>
          <w:rFonts w:ascii="Arial" w:hAnsi="Arial" w:cs="Arial"/>
          <w:snapToGrid w:val="0"/>
          <w:kern w:val="0"/>
          <w:sz w:val="21"/>
          <w:szCs w:val="21"/>
        </w:rPr>
      </w:pPr>
      <w:r>
        <w:rPr>
          <w:rFonts w:hint="eastAsia" w:ascii="Arial" w:hAnsi="Arial" w:cs="Arial"/>
          <w:snapToGrid w:val="0"/>
          <w:kern w:val="0"/>
          <w:sz w:val="21"/>
          <w:szCs w:val="21"/>
        </w:rPr>
        <w:t>2、</w:t>
      </w:r>
      <w:r>
        <w:rPr>
          <w:rFonts w:ascii="Arial" w:hAnsi="Arial" w:cs="Arial"/>
          <w:snapToGrid w:val="0"/>
          <w:kern w:val="0"/>
          <w:sz w:val="21"/>
          <w:szCs w:val="21"/>
        </w:rPr>
        <w:t>如有效投标单位为</w:t>
      </w:r>
      <w:r>
        <w:rPr>
          <w:rFonts w:hint="eastAsia" w:ascii="Arial" w:hAnsi="Arial" w:cs="Arial"/>
          <w:snapToGrid w:val="0"/>
          <w:kern w:val="0"/>
          <w:sz w:val="21"/>
          <w:szCs w:val="21"/>
        </w:rPr>
        <w:t>不足3</w:t>
      </w:r>
      <w:r>
        <w:rPr>
          <w:rFonts w:ascii="Arial" w:hAnsi="Arial" w:cs="Arial"/>
          <w:snapToGrid w:val="0"/>
          <w:kern w:val="0"/>
          <w:sz w:val="21"/>
          <w:szCs w:val="21"/>
        </w:rPr>
        <w:t>家的，</w:t>
      </w:r>
      <w:r>
        <w:rPr>
          <w:rFonts w:hint="eastAsia" w:ascii="Arial" w:hAnsi="Arial" w:cs="Arial"/>
          <w:snapToGrid w:val="0"/>
          <w:kern w:val="0"/>
          <w:sz w:val="21"/>
          <w:szCs w:val="21"/>
        </w:rPr>
        <w:t>经评标委员会根据有</w:t>
      </w:r>
      <w:r>
        <w:rPr>
          <w:rFonts w:ascii="Arial" w:hAnsi="Arial" w:cs="Arial"/>
          <w:snapToGrid w:val="0"/>
          <w:kern w:val="0"/>
          <w:sz w:val="21"/>
          <w:szCs w:val="21"/>
        </w:rPr>
        <w:t>效投标单位</w:t>
      </w:r>
      <w:r>
        <w:rPr>
          <w:rFonts w:hint="eastAsia" w:ascii="Arial" w:hAnsi="Arial" w:cs="Arial"/>
          <w:snapToGrid w:val="0"/>
          <w:kern w:val="0"/>
          <w:sz w:val="21"/>
          <w:szCs w:val="21"/>
        </w:rPr>
        <w:t>的报价是否具有竞争性来决定是否继续评审。</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四</w:t>
      </w:r>
      <w:r>
        <w:rPr>
          <w:rFonts w:ascii="Arial" w:hAnsi="Arial" w:cs="Arial"/>
          <w:snapToGrid w:val="0"/>
          <w:kern w:val="0"/>
          <w:sz w:val="21"/>
          <w:szCs w:val="21"/>
        </w:rPr>
        <w:t>、</w:t>
      </w:r>
      <w:r>
        <w:rPr>
          <w:rFonts w:hint="eastAsia" w:ascii="Arial" w:hAnsi="Arial" w:cs="Arial"/>
          <w:snapToGrid w:val="0"/>
          <w:kern w:val="0"/>
          <w:sz w:val="21"/>
          <w:szCs w:val="21"/>
        </w:rPr>
        <w:t>评标程序</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1、符合性审查</w:t>
      </w:r>
    </w:p>
    <w:p>
      <w:pPr>
        <w:adjustRightInd w:val="0"/>
        <w:snapToGrid w:val="0"/>
        <w:spacing w:line="360" w:lineRule="auto"/>
        <w:ind w:firstLine="384" w:firstLineChars="183"/>
        <w:rPr>
          <w:rFonts w:hint="eastAsia" w:ascii="Arial" w:hAnsi="Arial" w:cs="Arial"/>
          <w:snapToGrid w:val="0"/>
          <w:kern w:val="0"/>
          <w:sz w:val="21"/>
          <w:szCs w:val="21"/>
        </w:rPr>
      </w:pPr>
      <w:r>
        <w:rPr>
          <w:rFonts w:hint="eastAsia" w:ascii="Arial" w:hAnsi="Arial" w:cs="Arial"/>
          <w:snapToGrid w:val="0"/>
          <w:kern w:val="0"/>
          <w:sz w:val="21"/>
          <w:szCs w:val="21"/>
        </w:rPr>
        <w:t>依据招标文件的规定，从投标文件的有效性、完整性和对招标文件的响应程度进行审查，以确定是否对招标文件的实质性要求作出响应。实质上响应的投标应该是与招标文件要求的全部条款、条件和规格，没有重大偏离的投标。</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2、澄清有关问题</w:t>
      </w:r>
    </w:p>
    <w:p>
      <w:pPr>
        <w:adjustRightInd w:val="0"/>
        <w:snapToGrid w:val="0"/>
        <w:spacing w:line="360" w:lineRule="auto"/>
        <w:ind w:firstLine="420"/>
        <w:rPr>
          <w:rFonts w:hint="eastAsia" w:ascii="Arial" w:hAnsi="Arial" w:cs="Arial"/>
          <w:snapToGrid w:val="0"/>
          <w:kern w:val="0"/>
          <w:sz w:val="21"/>
          <w:szCs w:val="21"/>
        </w:rPr>
      </w:pPr>
      <w:r>
        <w:rPr>
          <w:rFonts w:hint="eastAsia" w:ascii="Arial" w:hAnsi="Arial" w:cs="Arial"/>
          <w:snapToGrid w:val="0"/>
          <w:kern w:val="0"/>
          <w:sz w:val="21"/>
          <w:szCs w:val="21"/>
        </w:rPr>
        <w:t>为有利于对投标文件的比较和评议，对投标文件中含义不明确、同类问题表述不一致或者有明显文字和计算错误的内容，评标委员会可以书面形式要求投标人作出必要的澄清、说明或者纠正。投标人的澄清、说明或者补正应当采用书面形式，由其全权代表签字，并不得超出投标文件的范围或者改变投标文件的实质性内容。</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3、商务部分（35分）</w:t>
      </w:r>
    </w:p>
    <w:p>
      <w:pPr>
        <w:spacing w:line="360" w:lineRule="auto"/>
        <w:rPr>
          <w:rFonts w:ascii="Arial" w:hAnsi="Arial" w:cs="Arial"/>
          <w:snapToGrid w:val="0"/>
          <w:kern w:val="0"/>
          <w:sz w:val="21"/>
          <w:szCs w:val="21"/>
        </w:rPr>
      </w:pPr>
      <w:r>
        <w:rPr>
          <w:rFonts w:hint="eastAsia"/>
          <w:sz w:val="21"/>
          <w:szCs w:val="21"/>
        </w:rPr>
        <w:t xml:space="preserve">    </w:t>
      </w:r>
      <w:r>
        <w:rPr>
          <w:rFonts w:hint="eastAsia" w:ascii="Arial" w:hAnsi="Arial" w:cs="Arial"/>
          <w:snapToGrid w:val="0"/>
          <w:kern w:val="0"/>
          <w:sz w:val="21"/>
          <w:szCs w:val="21"/>
        </w:rPr>
        <w:t xml:space="preserve">满足招标文件要求的各投标人报价的平均值为最佳报价值。其他合格投标人的价格分统一按照下列公式计算： </w:t>
      </w:r>
    </w:p>
    <w:p>
      <w:pPr>
        <w:spacing w:line="360" w:lineRule="auto"/>
        <w:ind w:firstLine="420" w:firstLineChars="200"/>
        <w:rPr>
          <w:rFonts w:ascii="Arial" w:hAnsi="Arial" w:cs="Arial"/>
          <w:snapToGrid w:val="0"/>
          <w:kern w:val="0"/>
          <w:sz w:val="21"/>
          <w:szCs w:val="21"/>
        </w:rPr>
      </w:pPr>
      <w:r>
        <w:rPr>
          <w:rFonts w:hint="eastAsia" w:ascii="Arial" w:hAnsi="Arial" w:cs="Arial"/>
          <w:snapToGrid w:val="0"/>
          <w:kern w:val="0"/>
          <w:sz w:val="21"/>
          <w:szCs w:val="21"/>
        </w:rPr>
        <w:t>投标价等于最佳报价值的，得满分</w:t>
      </w:r>
      <w:r>
        <w:rPr>
          <w:rFonts w:ascii="Arial" w:hAnsi="Arial" w:cs="Arial"/>
          <w:snapToGrid w:val="0"/>
          <w:kern w:val="0"/>
          <w:sz w:val="21"/>
          <w:szCs w:val="21"/>
        </w:rPr>
        <w:t>35</w:t>
      </w:r>
      <w:r>
        <w:rPr>
          <w:rFonts w:hint="eastAsia" w:ascii="Arial" w:hAnsi="Arial" w:cs="Arial"/>
          <w:snapToGrid w:val="0"/>
          <w:kern w:val="0"/>
          <w:sz w:val="21"/>
          <w:szCs w:val="21"/>
        </w:rPr>
        <w:t>分；</w:t>
      </w:r>
    </w:p>
    <w:p>
      <w:pPr>
        <w:spacing w:line="360" w:lineRule="auto"/>
        <w:ind w:firstLine="420" w:firstLineChars="200"/>
        <w:rPr>
          <w:rFonts w:ascii="Arial" w:hAnsi="Arial" w:cs="Arial"/>
          <w:snapToGrid w:val="0"/>
          <w:kern w:val="0"/>
          <w:sz w:val="21"/>
          <w:szCs w:val="21"/>
        </w:rPr>
      </w:pPr>
      <w:r>
        <w:rPr>
          <w:rFonts w:hint="eastAsia" w:ascii="Arial" w:hAnsi="Arial" w:cs="Arial"/>
          <w:snapToGrid w:val="0"/>
          <w:kern w:val="0"/>
          <w:sz w:val="21"/>
          <w:szCs w:val="21"/>
        </w:rPr>
        <w:t>投标价每高于最佳报价值一个百分点，扣</w:t>
      </w:r>
      <w:r>
        <w:rPr>
          <w:rFonts w:ascii="Arial" w:hAnsi="Arial" w:cs="Arial"/>
          <w:snapToGrid w:val="0"/>
          <w:kern w:val="0"/>
          <w:sz w:val="21"/>
          <w:szCs w:val="21"/>
        </w:rPr>
        <w:t>0.</w:t>
      </w:r>
      <w:r>
        <w:rPr>
          <w:rFonts w:hint="eastAsia" w:ascii="Arial" w:hAnsi="Arial" w:cs="Arial"/>
          <w:snapToGrid w:val="0"/>
          <w:kern w:val="0"/>
          <w:sz w:val="21"/>
          <w:szCs w:val="21"/>
        </w:rPr>
        <w:t>3分；</w:t>
      </w:r>
    </w:p>
    <w:p>
      <w:pPr>
        <w:spacing w:line="360" w:lineRule="auto"/>
        <w:ind w:firstLine="420" w:firstLineChars="200"/>
        <w:rPr>
          <w:rFonts w:hint="eastAsia" w:ascii="Arial" w:hAnsi="Arial" w:cs="Arial"/>
          <w:snapToGrid w:val="0"/>
          <w:kern w:val="0"/>
          <w:sz w:val="21"/>
          <w:szCs w:val="21"/>
        </w:rPr>
      </w:pPr>
      <w:r>
        <w:rPr>
          <w:rFonts w:hint="eastAsia" w:ascii="Arial" w:hAnsi="Arial" w:cs="Arial"/>
          <w:snapToGrid w:val="0"/>
          <w:kern w:val="0"/>
          <w:sz w:val="21"/>
          <w:szCs w:val="21"/>
        </w:rPr>
        <w:t>投标价每低于最佳报价值一个百分点，扣</w:t>
      </w:r>
      <w:r>
        <w:rPr>
          <w:rFonts w:ascii="Arial" w:hAnsi="Arial" w:cs="Arial"/>
          <w:snapToGrid w:val="0"/>
          <w:kern w:val="0"/>
          <w:sz w:val="21"/>
          <w:szCs w:val="21"/>
        </w:rPr>
        <w:t>0.</w:t>
      </w:r>
      <w:r>
        <w:rPr>
          <w:rFonts w:hint="eastAsia" w:ascii="Arial" w:hAnsi="Arial" w:cs="Arial"/>
          <w:snapToGrid w:val="0"/>
          <w:kern w:val="0"/>
          <w:sz w:val="21"/>
          <w:szCs w:val="21"/>
        </w:rPr>
        <w:t>6分。</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 xml:space="preserve">4、资信部分（16分） </w:t>
      </w:r>
    </w:p>
    <w:p>
      <w:pPr>
        <w:spacing w:line="360" w:lineRule="auto"/>
        <w:ind w:firstLine="420" w:firstLineChars="200"/>
        <w:rPr>
          <w:rFonts w:hint="eastAsia"/>
          <w:sz w:val="21"/>
          <w:szCs w:val="21"/>
        </w:rPr>
      </w:pPr>
      <w:r>
        <w:rPr>
          <w:rFonts w:hint="eastAsia"/>
          <w:sz w:val="21"/>
          <w:szCs w:val="21"/>
        </w:rPr>
        <w:t>投标人的服务经验、业绩，经营信誉，用户评价意见，企业质量管理，企业财务状况及可持续经营能力，合同执行能力，竞争性投标文件的完整性；</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855"/>
        <w:gridCol w:w="517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84" w:type="dxa"/>
            <w:noWrap w:val="0"/>
            <w:vAlign w:val="center"/>
          </w:tcPr>
          <w:p>
            <w:pPr>
              <w:pStyle w:val="101"/>
              <w:spacing w:line="360" w:lineRule="auto"/>
              <w:ind w:right="-227" w:rightChars="-63"/>
              <w:rPr>
                <w:rFonts w:hint="eastAsia" w:ascii="宋体" w:eastAsia="宋体"/>
                <w:sz w:val="21"/>
                <w:szCs w:val="21"/>
              </w:rPr>
            </w:pPr>
            <w:r>
              <w:rPr>
                <w:rFonts w:hint="eastAsia" w:ascii="宋体" w:eastAsia="宋体"/>
                <w:sz w:val="21"/>
                <w:szCs w:val="21"/>
              </w:rPr>
              <w:t>序号</w:t>
            </w:r>
          </w:p>
        </w:tc>
        <w:tc>
          <w:tcPr>
            <w:tcW w:w="2855"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内  容</w:t>
            </w:r>
          </w:p>
        </w:tc>
        <w:tc>
          <w:tcPr>
            <w:tcW w:w="5173"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具 体 标 准</w:t>
            </w:r>
          </w:p>
        </w:tc>
        <w:tc>
          <w:tcPr>
            <w:tcW w:w="1220" w:type="dxa"/>
            <w:noWrap w:val="0"/>
            <w:vAlign w:val="center"/>
          </w:tcPr>
          <w:p>
            <w:pPr>
              <w:pStyle w:val="101"/>
              <w:spacing w:line="360" w:lineRule="auto"/>
              <w:ind w:left="-1253" w:leftChars="-348" w:firstLine="640" w:firstLineChars="305"/>
              <w:jc w:val="center"/>
              <w:rPr>
                <w:rFonts w:hint="eastAsia" w:ascii="宋体" w:eastAsia="宋体"/>
                <w:sz w:val="21"/>
                <w:szCs w:val="21"/>
              </w:rPr>
            </w:pPr>
            <w:r>
              <w:rPr>
                <w:rFonts w:hint="eastAsia" w:ascii="宋体" w:eastAsia="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 w:hRule="atLeast"/>
          <w:jc w:val="center"/>
        </w:trPr>
        <w:tc>
          <w:tcPr>
            <w:tcW w:w="584"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1</w:t>
            </w:r>
          </w:p>
        </w:tc>
        <w:tc>
          <w:tcPr>
            <w:tcW w:w="2855" w:type="dxa"/>
            <w:vMerge w:val="restart"/>
            <w:noWrap w:val="0"/>
            <w:vAlign w:val="center"/>
          </w:tcPr>
          <w:p>
            <w:pPr>
              <w:spacing w:line="360" w:lineRule="auto"/>
              <w:jc w:val="center"/>
              <w:rPr>
                <w:rFonts w:hint="eastAsia" w:ascii="宋体" w:hAnsi="宋体"/>
                <w:sz w:val="21"/>
                <w:szCs w:val="21"/>
              </w:rPr>
            </w:pPr>
            <w:r>
              <w:rPr>
                <w:rFonts w:hint="eastAsia" w:ascii="宋体" w:hAnsi="宋体"/>
                <w:sz w:val="21"/>
                <w:szCs w:val="21"/>
              </w:rPr>
              <w:t>近3年财务状况（3分，考虑投标人注册资金及经营状况）</w:t>
            </w:r>
          </w:p>
        </w:tc>
        <w:tc>
          <w:tcPr>
            <w:tcW w:w="5173" w:type="dxa"/>
            <w:noWrap w:val="0"/>
            <w:vAlign w:val="center"/>
          </w:tcPr>
          <w:p>
            <w:pPr>
              <w:spacing w:line="360" w:lineRule="auto"/>
              <w:jc w:val="center"/>
              <w:rPr>
                <w:rFonts w:hint="eastAsia" w:ascii="宋体" w:hAnsi="宋体"/>
                <w:sz w:val="21"/>
                <w:szCs w:val="21"/>
              </w:rPr>
            </w:pPr>
            <w:r>
              <w:rPr>
                <w:rFonts w:hint="eastAsia" w:ascii="宋体" w:hAnsi="宋体"/>
                <w:sz w:val="21"/>
                <w:szCs w:val="21"/>
              </w:rPr>
              <w:t>好</w:t>
            </w:r>
          </w:p>
        </w:tc>
        <w:tc>
          <w:tcPr>
            <w:tcW w:w="1220" w:type="dxa"/>
            <w:noWrap w:val="0"/>
            <w:vAlign w:val="center"/>
          </w:tcPr>
          <w:p>
            <w:pPr>
              <w:spacing w:line="360" w:lineRule="auto"/>
              <w:ind w:left="-1253" w:leftChars="-348" w:firstLine="640" w:firstLineChars="305"/>
              <w:jc w:val="center"/>
              <w:rPr>
                <w:rFonts w:hint="eastAsia" w:ascii="宋体" w:hAnsi="宋体"/>
                <w:sz w:val="21"/>
                <w:szCs w:val="21"/>
              </w:rPr>
            </w:pPr>
            <w:r>
              <w:rPr>
                <w:rFonts w:hint="eastAsia" w:ascii="宋体" w:hAnsi="宋体"/>
                <w:sz w:val="21"/>
                <w:szCs w:val="21"/>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7" w:hRule="atLeast"/>
          <w:jc w:val="center"/>
        </w:trPr>
        <w:tc>
          <w:tcPr>
            <w:tcW w:w="584" w:type="dxa"/>
            <w:vMerge w:val="continue"/>
            <w:noWrap w:val="0"/>
            <w:vAlign w:val="center"/>
          </w:tcPr>
          <w:p>
            <w:pPr>
              <w:pStyle w:val="101"/>
              <w:spacing w:line="360" w:lineRule="auto"/>
              <w:jc w:val="center"/>
              <w:rPr>
                <w:rFonts w:hint="eastAsia" w:ascii="宋体" w:eastAsia="宋体"/>
                <w:sz w:val="21"/>
                <w:szCs w:val="21"/>
              </w:rPr>
            </w:pPr>
          </w:p>
        </w:tc>
        <w:tc>
          <w:tcPr>
            <w:tcW w:w="2855" w:type="dxa"/>
            <w:vMerge w:val="continue"/>
            <w:noWrap w:val="0"/>
            <w:vAlign w:val="center"/>
          </w:tcPr>
          <w:p>
            <w:pPr>
              <w:spacing w:line="360" w:lineRule="auto"/>
              <w:jc w:val="center"/>
              <w:rPr>
                <w:rFonts w:hint="eastAsia" w:ascii="宋体" w:hAnsi="宋体"/>
                <w:sz w:val="21"/>
                <w:szCs w:val="21"/>
              </w:rPr>
            </w:pPr>
          </w:p>
        </w:tc>
        <w:tc>
          <w:tcPr>
            <w:tcW w:w="5173" w:type="dxa"/>
            <w:noWrap w:val="0"/>
            <w:vAlign w:val="center"/>
          </w:tcPr>
          <w:p>
            <w:pPr>
              <w:spacing w:line="360" w:lineRule="auto"/>
              <w:jc w:val="center"/>
              <w:rPr>
                <w:rFonts w:hint="eastAsia" w:ascii="宋体" w:hAnsi="宋体"/>
                <w:sz w:val="21"/>
                <w:szCs w:val="21"/>
              </w:rPr>
            </w:pPr>
            <w:r>
              <w:rPr>
                <w:rFonts w:hint="eastAsia" w:ascii="宋体" w:hAnsi="宋体"/>
                <w:sz w:val="21"/>
                <w:szCs w:val="21"/>
              </w:rPr>
              <w:t>一般</w:t>
            </w:r>
          </w:p>
        </w:tc>
        <w:tc>
          <w:tcPr>
            <w:tcW w:w="1220" w:type="dxa"/>
            <w:tcBorders>
              <w:bottom w:val="single" w:color="auto" w:sz="4" w:space="0"/>
            </w:tcBorders>
            <w:noWrap w:val="0"/>
            <w:vAlign w:val="center"/>
          </w:tcPr>
          <w:p>
            <w:pPr>
              <w:spacing w:line="360" w:lineRule="auto"/>
              <w:ind w:left="-1253" w:leftChars="-348" w:firstLine="640" w:firstLineChars="305"/>
              <w:jc w:val="center"/>
              <w:rPr>
                <w:rFonts w:hint="eastAsia" w:ascii="宋体" w:hAnsi="宋体"/>
                <w:sz w:val="21"/>
                <w:szCs w:val="21"/>
              </w:rPr>
            </w:pPr>
            <w:r>
              <w:rPr>
                <w:rFonts w:hint="eastAsia" w:ascii="宋体" w:hAnsi="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2" w:hRule="atLeast"/>
          <w:jc w:val="center"/>
        </w:trPr>
        <w:tc>
          <w:tcPr>
            <w:tcW w:w="584"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2</w:t>
            </w:r>
          </w:p>
        </w:tc>
        <w:tc>
          <w:tcPr>
            <w:tcW w:w="2855" w:type="dxa"/>
            <w:noWrap w:val="0"/>
            <w:vAlign w:val="center"/>
          </w:tcPr>
          <w:p>
            <w:pPr>
              <w:spacing w:line="360" w:lineRule="auto"/>
              <w:jc w:val="center"/>
              <w:rPr>
                <w:rFonts w:hint="eastAsia" w:ascii="宋体" w:hAnsi="宋体"/>
                <w:sz w:val="21"/>
                <w:szCs w:val="21"/>
              </w:rPr>
            </w:pPr>
            <w:r>
              <w:rPr>
                <w:rFonts w:hint="eastAsia" w:ascii="宋体" w:hAnsi="宋体"/>
                <w:sz w:val="21"/>
                <w:szCs w:val="21"/>
              </w:rPr>
              <w:t>用户评价（2分）</w:t>
            </w:r>
          </w:p>
        </w:tc>
        <w:tc>
          <w:tcPr>
            <w:tcW w:w="5173" w:type="dxa"/>
            <w:noWrap w:val="0"/>
            <w:vAlign w:val="center"/>
          </w:tcPr>
          <w:p>
            <w:pPr>
              <w:spacing w:line="360" w:lineRule="auto"/>
              <w:rPr>
                <w:rFonts w:hint="eastAsia" w:ascii="宋体" w:hAnsi="宋体"/>
                <w:sz w:val="21"/>
                <w:szCs w:val="21"/>
              </w:rPr>
            </w:pPr>
            <w:r>
              <w:rPr>
                <w:rFonts w:hint="eastAsia" w:ascii="宋体" w:hAnsi="宋体"/>
                <w:sz w:val="21"/>
                <w:szCs w:val="21"/>
              </w:rPr>
              <w:t>投标人自2017年1月1日以来同类项目的用户评价（至少良好），每提供一份有效证明材料得0.5分，最高得2分（响应文件中提供复印件，不提供不得分）</w:t>
            </w:r>
          </w:p>
        </w:tc>
        <w:tc>
          <w:tcPr>
            <w:tcW w:w="1220" w:type="dxa"/>
            <w:noWrap w:val="0"/>
            <w:vAlign w:val="center"/>
          </w:tcPr>
          <w:p>
            <w:pPr>
              <w:spacing w:line="360" w:lineRule="auto"/>
              <w:ind w:left="-1253" w:leftChars="-348" w:firstLine="640" w:firstLineChars="305"/>
              <w:jc w:val="center"/>
              <w:rPr>
                <w:rFonts w:hint="eastAsia" w:ascii="宋体" w:hAnsi="宋体"/>
                <w:sz w:val="21"/>
                <w:szCs w:val="21"/>
              </w:rPr>
            </w:pPr>
            <w:r>
              <w:rPr>
                <w:rFonts w:hint="eastAsia" w:ascii="宋体" w:hAnsi="宋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4" w:hRule="atLeast"/>
          <w:jc w:val="center"/>
        </w:trPr>
        <w:tc>
          <w:tcPr>
            <w:tcW w:w="584"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w:t>
            </w:r>
          </w:p>
        </w:tc>
        <w:tc>
          <w:tcPr>
            <w:tcW w:w="2855" w:type="dxa"/>
            <w:noWrap w:val="0"/>
            <w:vAlign w:val="center"/>
          </w:tcPr>
          <w:p>
            <w:pPr>
              <w:spacing w:line="360" w:lineRule="auto"/>
              <w:jc w:val="center"/>
              <w:rPr>
                <w:rFonts w:hint="eastAsia" w:ascii="宋体" w:hAnsi="宋体"/>
                <w:sz w:val="21"/>
                <w:szCs w:val="21"/>
              </w:rPr>
            </w:pPr>
            <w:r>
              <w:rPr>
                <w:rFonts w:hint="eastAsia" w:ascii="宋体" w:hAnsi="宋体"/>
                <w:sz w:val="21"/>
                <w:szCs w:val="21"/>
              </w:rPr>
              <w:t>信用等级（3分）</w:t>
            </w:r>
          </w:p>
        </w:tc>
        <w:tc>
          <w:tcPr>
            <w:tcW w:w="5173" w:type="dxa"/>
            <w:noWrap w:val="0"/>
            <w:vAlign w:val="center"/>
          </w:tcPr>
          <w:p>
            <w:pPr>
              <w:spacing w:line="360" w:lineRule="auto"/>
              <w:rPr>
                <w:rFonts w:hint="eastAsia" w:ascii="宋体" w:hAnsi="宋体"/>
                <w:sz w:val="21"/>
                <w:szCs w:val="21"/>
              </w:rPr>
            </w:pPr>
            <w:r>
              <w:rPr>
                <w:rFonts w:hint="eastAsia" w:ascii="宋体" w:hAnsi="宋体"/>
                <w:sz w:val="21"/>
                <w:szCs w:val="21"/>
              </w:rPr>
              <w:t>投标人有效期内的信用等级证书（政府部门或银行或有资质的第三方信用评级单位），AAA或同等级的得3分，AA或同等级的得2分，A或同等级的得1分，其他不得分（响应文件中提供复印件，不提供不得分）。</w:t>
            </w:r>
          </w:p>
        </w:tc>
        <w:tc>
          <w:tcPr>
            <w:tcW w:w="1220" w:type="dxa"/>
            <w:noWrap w:val="0"/>
            <w:vAlign w:val="center"/>
          </w:tcPr>
          <w:p>
            <w:pPr>
              <w:spacing w:line="360" w:lineRule="auto"/>
              <w:ind w:left="-1253" w:leftChars="-348" w:firstLine="640" w:firstLineChars="305"/>
              <w:jc w:val="center"/>
              <w:rPr>
                <w:rFonts w:hint="eastAsia" w:ascii="宋体" w:hAnsi="宋体"/>
                <w:sz w:val="21"/>
                <w:szCs w:val="21"/>
              </w:rPr>
            </w:pPr>
            <w:r>
              <w:rPr>
                <w:rFonts w:hint="eastAsia" w:ascii="宋体" w:hAnsi="宋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3" w:hRule="atLeast"/>
          <w:jc w:val="center"/>
        </w:trPr>
        <w:tc>
          <w:tcPr>
            <w:tcW w:w="584"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4</w:t>
            </w:r>
          </w:p>
        </w:tc>
        <w:tc>
          <w:tcPr>
            <w:tcW w:w="2855" w:type="dxa"/>
            <w:noWrap w:val="0"/>
            <w:vAlign w:val="center"/>
          </w:tcPr>
          <w:p>
            <w:pPr>
              <w:spacing w:line="360" w:lineRule="auto"/>
              <w:jc w:val="center"/>
              <w:rPr>
                <w:rFonts w:hint="eastAsia" w:ascii="宋体" w:hAnsi="宋体"/>
                <w:sz w:val="21"/>
                <w:szCs w:val="21"/>
              </w:rPr>
            </w:pPr>
            <w:r>
              <w:rPr>
                <w:rFonts w:hint="eastAsia" w:ascii="宋体" w:hAnsi="宋体"/>
                <w:sz w:val="21"/>
                <w:szCs w:val="21"/>
              </w:rPr>
              <w:t>业绩（8分）</w:t>
            </w:r>
          </w:p>
        </w:tc>
        <w:tc>
          <w:tcPr>
            <w:tcW w:w="5173" w:type="dxa"/>
            <w:noWrap w:val="0"/>
            <w:vAlign w:val="center"/>
          </w:tcPr>
          <w:p>
            <w:pPr>
              <w:spacing w:line="360" w:lineRule="auto"/>
              <w:rPr>
                <w:rFonts w:hint="eastAsia" w:ascii="宋体" w:hAnsi="宋体"/>
                <w:sz w:val="21"/>
                <w:szCs w:val="21"/>
              </w:rPr>
            </w:pPr>
            <w:r>
              <w:rPr>
                <w:rFonts w:hint="eastAsia" w:ascii="宋体" w:hAnsi="宋体"/>
                <w:sz w:val="21"/>
                <w:szCs w:val="21"/>
              </w:rPr>
              <w:t>有超市业绩或经营场所（连锁门店），每一个得1分；或有学校超市业绩，一个得1分（同一学校多校区业绩只能算一个业绩），最高得8分。</w:t>
            </w:r>
          </w:p>
        </w:tc>
        <w:tc>
          <w:tcPr>
            <w:tcW w:w="1220" w:type="dxa"/>
            <w:noWrap w:val="0"/>
            <w:vAlign w:val="center"/>
          </w:tcPr>
          <w:p>
            <w:pPr>
              <w:spacing w:line="360" w:lineRule="auto"/>
              <w:ind w:left="-1253" w:leftChars="-348" w:firstLine="640" w:firstLineChars="305"/>
              <w:jc w:val="center"/>
              <w:rPr>
                <w:rFonts w:hint="eastAsia" w:ascii="宋体" w:hAnsi="宋体"/>
                <w:sz w:val="21"/>
                <w:szCs w:val="21"/>
              </w:rPr>
            </w:pPr>
            <w:r>
              <w:rPr>
                <w:rFonts w:hint="eastAsia" w:ascii="宋体" w:hAnsi="宋体"/>
                <w:sz w:val="21"/>
                <w:szCs w:val="21"/>
              </w:rPr>
              <w:t>0-8分</w:t>
            </w:r>
          </w:p>
        </w:tc>
      </w:tr>
    </w:tbl>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5、方案部分（49分）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83"/>
        <w:gridCol w:w="362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序号</w:t>
            </w:r>
          </w:p>
        </w:tc>
        <w:tc>
          <w:tcPr>
            <w:tcW w:w="4183"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内  容</w:t>
            </w:r>
          </w:p>
        </w:tc>
        <w:tc>
          <w:tcPr>
            <w:tcW w:w="3625"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具 体 标 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6"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1</w:t>
            </w:r>
          </w:p>
        </w:tc>
        <w:tc>
          <w:tcPr>
            <w:tcW w:w="4183"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经营理念及设备投入情况（如经营模式、结算支付的设备等）</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完整、科学、合理，拥有线上线下经营新业态，结算支付设备快捷方便</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较完整、科学、合理，具有较为完整的经营理念</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jc w:val="left"/>
              <w:rPr>
                <w:rFonts w:hint="eastAsia" w:ascii="宋体" w:eastAsia="宋体"/>
                <w:sz w:val="21"/>
                <w:szCs w:val="21"/>
              </w:rPr>
            </w:pPr>
            <w:r>
              <w:rPr>
                <w:rFonts w:hint="eastAsia" w:ascii="宋体" w:eastAsia="宋体"/>
                <w:sz w:val="21"/>
                <w:szCs w:val="21"/>
              </w:rPr>
              <w:t>合理、一般</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6" w:hRule="atLeast"/>
          <w:jc w:val="center"/>
        </w:trPr>
        <w:tc>
          <w:tcPr>
            <w:tcW w:w="816"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2</w:t>
            </w:r>
          </w:p>
        </w:tc>
        <w:tc>
          <w:tcPr>
            <w:tcW w:w="4183"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商品质量控制方案</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完整、科学、合理，进货渠道正规，有严格的质量控制措施</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较完整、科学、合理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jc w:val="left"/>
              <w:rPr>
                <w:rFonts w:hint="eastAsia" w:ascii="宋体" w:eastAsia="宋体"/>
                <w:sz w:val="21"/>
                <w:szCs w:val="21"/>
              </w:rPr>
            </w:pPr>
            <w:r>
              <w:rPr>
                <w:rFonts w:hint="eastAsia" w:ascii="宋体" w:eastAsia="宋体"/>
                <w:sz w:val="21"/>
                <w:szCs w:val="21"/>
              </w:rPr>
              <w:t>合理、一般</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46" w:hRule="atLeast"/>
          <w:jc w:val="center"/>
        </w:trPr>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w:t>
            </w:r>
          </w:p>
        </w:tc>
        <w:tc>
          <w:tcPr>
            <w:tcW w:w="4183"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品牌形象和知名度</w:t>
            </w:r>
          </w:p>
        </w:tc>
        <w:tc>
          <w:tcPr>
            <w:tcW w:w="3625" w:type="dxa"/>
            <w:noWrap w:val="0"/>
            <w:vAlign w:val="center"/>
          </w:tcPr>
          <w:p>
            <w:pPr>
              <w:pStyle w:val="101"/>
              <w:spacing w:line="360" w:lineRule="auto"/>
              <w:ind w:left="79" w:leftChars="22"/>
              <w:jc w:val="left"/>
              <w:rPr>
                <w:rFonts w:hint="eastAsia" w:ascii="宋体" w:eastAsia="宋体"/>
                <w:sz w:val="21"/>
                <w:szCs w:val="21"/>
              </w:rPr>
            </w:pPr>
            <w:r>
              <w:rPr>
                <w:rFonts w:hint="eastAsia" w:ascii="宋体" w:eastAsia="宋体"/>
                <w:sz w:val="21"/>
                <w:szCs w:val="21"/>
              </w:rPr>
              <w:t>招标人将按投标人在市场和社会公众中的知名度、认同度、荣誉证书等级等相关因素对投标人的品牌形象进行打分。优的得8-10分，良的得5-7分，一般的得3-4，差的得0-2分。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4</w:t>
            </w:r>
          </w:p>
        </w:tc>
        <w:tc>
          <w:tcPr>
            <w:tcW w:w="4183"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卫生管理控制方案（食品卫生，人员卫生，环境卫生，垃圾处理方案等）</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完整、科学、合理，人员具有职业健康证</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较完整、科学、合理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jc w:val="left"/>
              <w:rPr>
                <w:rFonts w:hint="eastAsia" w:ascii="宋体" w:eastAsia="宋体"/>
                <w:sz w:val="21"/>
                <w:szCs w:val="21"/>
              </w:rPr>
            </w:pPr>
            <w:r>
              <w:rPr>
                <w:rFonts w:hint="eastAsia" w:ascii="宋体" w:eastAsia="宋体"/>
                <w:sz w:val="21"/>
                <w:szCs w:val="21"/>
              </w:rPr>
              <w:t>合理、一般</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5</w:t>
            </w:r>
          </w:p>
        </w:tc>
        <w:tc>
          <w:tcPr>
            <w:tcW w:w="4183"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人员职责与管理方案、投诉处理方案、消防、治安及意外事故处理方案</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落实到人，责任明确，有处理预案，自有网上平台，与师生良好互动，听取师生建议。</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欠合理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6</w:t>
            </w:r>
          </w:p>
        </w:tc>
        <w:tc>
          <w:tcPr>
            <w:tcW w:w="4183"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人员配置方案</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完整、科学、合理，人员经过正规超市经营培训</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欠完整、科学、合理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7</w:t>
            </w:r>
          </w:p>
        </w:tc>
        <w:tc>
          <w:tcPr>
            <w:tcW w:w="4183" w:type="dxa"/>
            <w:vMerge w:val="restart"/>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装修方案（设计方案、平面图、装修材料等）</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完整、科学、合理，有完整的设计方案，装修材料环保</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vMerge w:val="continue"/>
            <w:noWrap w:val="0"/>
            <w:vAlign w:val="center"/>
          </w:tcPr>
          <w:p>
            <w:pPr>
              <w:pStyle w:val="101"/>
              <w:spacing w:line="360" w:lineRule="auto"/>
              <w:jc w:val="center"/>
              <w:rPr>
                <w:rFonts w:hint="eastAsia" w:ascii="宋体" w:eastAsia="宋体"/>
                <w:sz w:val="21"/>
                <w:szCs w:val="21"/>
              </w:rPr>
            </w:pPr>
          </w:p>
        </w:tc>
        <w:tc>
          <w:tcPr>
            <w:tcW w:w="4183" w:type="dxa"/>
            <w:vMerge w:val="continue"/>
            <w:noWrap w:val="0"/>
            <w:vAlign w:val="center"/>
          </w:tcPr>
          <w:p>
            <w:pPr>
              <w:pStyle w:val="101"/>
              <w:spacing w:line="360" w:lineRule="auto"/>
              <w:jc w:val="center"/>
              <w:rPr>
                <w:rFonts w:hint="eastAsia" w:ascii="宋体" w:eastAsia="宋体"/>
                <w:sz w:val="21"/>
                <w:szCs w:val="21"/>
              </w:rPr>
            </w:pP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欠合理</w:t>
            </w:r>
          </w:p>
        </w:tc>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816"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8</w:t>
            </w:r>
          </w:p>
        </w:tc>
        <w:tc>
          <w:tcPr>
            <w:tcW w:w="4183" w:type="dxa"/>
            <w:noWrap w:val="0"/>
            <w:vAlign w:val="center"/>
          </w:tcPr>
          <w:p>
            <w:pPr>
              <w:pStyle w:val="101"/>
              <w:spacing w:line="360" w:lineRule="auto"/>
              <w:jc w:val="center"/>
              <w:rPr>
                <w:rFonts w:hint="eastAsia" w:ascii="宋体" w:eastAsia="宋体"/>
                <w:sz w:val="21"/>
                <w:szCs w:val="21"/>
              </w:rPr>
            </w:pPr>
            <w:r>
              <w:rPr>
                <w:rFonts w:hint="eastAsia" w:ascii="宋体" w:eastAsia="宋体"/>
                <w:sz w:val="21"/>
                <w:szCs w:val="21"/>
              </w:rPr>
              <w:t>承租期内经营的主要商品或服务价格</w:t>
            </w:r>
          </w:p>
        </w:tc>
        <w:tc>
          <w:tcPr>
            <w:tcW w:w="3625" w:type="dxa"/>
            <w:noWrap w:val="0"/>
            <w:vAlign w:val="center"/>
          </w:tcPr>
          <w:p>
            <w:pPr>
              <w:pStyle w:val="101"/>
              <w:spacing w:line="360" w:lineRule="auto"/>
              <w:ind w:left="79" w:leftChars="22"/>
              <w:rPr>
                <w:rFonts w:hint="eastAsia" w:ascii="宋体" w:eastAsia="宋体"/>
                <w:sz w:val="21"/>
                <w:szCs w:val="21"/>
              </w:rPr>
            </w:pPr>
            <w:r>
              <w:rPr>
                <w:rFonts w:hint="eastAsia" w:ascii="宋体" w:eastAsia="宋体"/>
                <w:sz w:val="21"/>
                <w:szCs w:val="21"/>
              </w:rPr>
              <w:t>各投标人价格予以横向对比</w:t>
            </w:r>
          </w:p>
        </w:tc>
        <w:tc>
          <w:tcPr>
            <w:tcW w:w="816" w:type="dxa"/>
            <w:noWrap w:val="0"/>
            <w:vAlign w:val="center"/>
          </w:tcPr>
          <w:p>
            <w:pPr>
              <w:pStyle w:val="101"/>
              <w:spacing w:line="360" w:lineRule="auto"/>
              <w:ind w:left="43" w:leftChars="12"/>
              <w:jc w:val="center"/>
              <w:rPr>
                <w:rFonts w:hint="eastAsia" w:ascii="宋体" w:eastAsia="宋体"/>
                <w:sz w:val="21"/>
                <w:szCs w:val="21"/>
              </w:rPr>
            </w:pPr>
            <w:r>
              <w:rPr>
                <w:rFonts w:hint="eastAsia" w:ascii="宋体" w:eastAsia="宋体"/>
                <w:sz w:val="21"/>
                <w:szCs w:val="21"/>
              </w:rPr>
              <w:t>0-5</w:t>
            </w:r>
          </w:p>
        </w:tc>
      </w:tr>
    </w:tbl>
    <w:p>
      <w:pPr>
        <w:pStyle w:val="26"/>
        <w:adjustRightInd w:val="0"/>
        <w:snapToGrid w:val="0"/>
        <w:spacing w:line="360" w:lineRule="auto"/>
        <w:ind w:firstLine="0"/>
        <w:rPr>
          <w:rFonts w:hint="eastAsia" w:ascii="Arial" w:hAnsi="Arial" w:eastAsia="宋体" w:cs="Arial"/>
          <w:snapToGrid w:val="0"/>
          <w:kern w:val="0"/>
          <w:sz w:val="21"/>
          <w:szCs w:val="21"/>
        </w:rPr>
      </w:pPr>
      <w:r>
        <w:rPr>
          <w:rFonts w:hint="eastAsia" w:ascii="Arial" w:hAnsi="Arial" w:eastAsia="宋体" w:cs="Arial"/>
          <w:snapToGrid w:val="0"/>
          <w:kern w:val="0"/>
          <w:sz w:val="21"/>
          <w:szCs w:val="21"/>
        </w:rPr>
        <w:t xml:space="preserve">    </w:t>
      </w:r>
      <w:r>
        <w:rPr>
          <w:rFonts w:ascii="Arial" w:hAnsi="Arial" w:eastAsia="宋体" w:cs="Arial"/>
          <w:snapToGrid w:val="0"/>
          <w:kern w:val="0"/>
          <w:sz w:val="21"/>
          <w:szCs w:val="21"/>
        </w:rPr>
        <w:t>由评标委员会根据评审情况在分值范围内独立打分，小数点后保留1位小数。每个投标人的最终资信得分为评标委员会</w:t>
      </w:r>
      <w:r>
        <w:rPr>
          <w:rFonts w:hint="eastAsia" w:ascii="Arial" w:hAnsi="Arial" w:eastAsia="宋体" w:cs="Arial"/>
          <w:snapToGrid w:val="0"/>
          <w:kern w:val="0"/>
          <w:sz w:val="21"/>
          <w:szCs w:val="21"/>
        </w:rPr>
        <w:t>全体专家评分的</w:t>
      </w:r>
      <w:r>
        <w:rPr>
          <w:rFonts w:ascii="Arial" w:hAnsi="Arial" w:eastAsia="宋体" w:cs="Arial"/>
          <w:snapToGrid w:val="0"/>
          <w:kern w:val="0"/>
          <w:sz w:val="21"/>
          <w:szCs w:val="21"/>
        </w:rPr>
        <w:t>平均值。</w:t>
      </w:r>
    </w:p>
    <w:p>
      <w:pPr>
        <w:spacing w:line="360" w:lineRule="auto"/>
        <w:rPr>
          <w:rFonts w:ascii="Arial" w:hAnsi="Arial" w:cs="Arial"/>
          <w:snapToGrid w:val="0"/>
          <w:kern w:val="0"/>
          <w:sz w:val="21"/>
          <w:szCs w:val="21"/>
        </w:rPr>
      </w:pPr>
      <w:r>
        <w:rPr>
          <w:rFonts w:hint="eastAsia" w:ascii="Arial" w:hAnsi="Arial" w:cs="Arial"/>
          <w:snapToGrid w:val="0"/>
          <w:kern w:val="0"/>
          <w:sz w:val="21"/>
          <w:szCs w:val="21"/>
        </w:rPr>
        <w:t>六</w:t>
      </w:r>
      <w:r>
        <w:rPr>
          <w:rFonts w:ascii="Arial" w:hAnsi="Arial" w:cs="Arial"/>
          <w:snapToGrid w:val="0"/>
          <w:kern w:val="0"/>
          <w:sz w:val="21"/>
          <w:szCs w:val="21"/>
        </w:rPr>
        <w:t>、评审时，如各评委对某关键性问题存在不同认定的，将在评标委员会范围内进行表决并按少数服从多数的原则确定最终评审判定结果。</w:t>
      </w:r>
    </w:p>
    <w:p>
      <w:pPr>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七</w:t>
      </w:r>
      <w:r>
        <w:rPr>
          <w:rFonts w:ascii="Arial" w:hAnsi="Arial" w:cs="Arial"/>
          <w:snapToGrid w:val="0"/>
          <w:kern w:val="0"/>
          <w:sz w:val="21"/>
          <w:szCs w:val="21"/>
        </w:rPr>
        <w:t>、评标委员会将通过审查后</w:t>
      </w:r>
      <w:r>
        <w:rPr>
          <w:rFonts w:hint="eastAsia" w:ascii="Arial" w:hAnsi="Arial" w:cs="Arial"/>
          <w:snapToGrid w:val="0"/>
          <w:kern w:val="0"/>
          <w:sz w:val="21"/>
          <w:szCs w:val="21"/>
        </w:rPr>
        <w:t>资信分</w:t>
      </w:r>
      <w:r>
        <w:rPr>
          <w:rFonts w:ascii="Arial" w:hAnsi="Arial" w:cs="Arial"/>
          <w:snapToGrid w:val="0"/>
          <w:kern w:val="0"/>
          <w:sz w:val="21"/>
          <w:szCs w:val="21"/>
        </w:rPr>
        <w:t>、商务</w:t>
      </w:r>
      <w:r>
        <w:rPr>
          <w:rFonts w:hint="eastAsia" w:ascii="Arial" w:hAnsi="Arial" w:cs="Arial"/>
          <w:snapToGrid w:val="0"/>
          <w:kern w:val="0"/>
          <w:sz w:val="21"/>
          <w:szCs w:val="21"/>
        </w:rPr>
        <w:t>分、方案分</w:t>
      </w:r>
      <w:r>
        <w:rPr>
          <w:rFonts w:ascii="Arial" w:hAnsi="Arial" w:cs="Arial"/>
          <w:snapToGrid w:val="0"/>
          <w:kern w:val="0"/>
          <w:sz w:val="21"/>
          <w:szCs w:val="21"/>
        </w:rPr>
        <w:t>合计得分</w:t>
      </w:r>
      <w:r>
        <w:rPr>
          <w:rFonts w:hint="eastAsia" w:ascii="Arial" w:hAnsi="Arial" w:cs="Arial"/>
          <w:snapToGrid w:val="0"/>
          <w:kern w:val="0"/>
          <w:sz w:val="21"/>
          <w:szCs w:val="21"/>
        </w:rPr>
        <w:t>由高到低</w:t>
      </w:r>
      <w:r>
        <w:rPr>
          <w:rFonts w:ascii="Arial" w:hAnsi="Arial" w:cs="Arial"/>
          <w:snapToGrid w:val="0"/>
          <w:kern w:val="0"/>
          <w:sz w:val="21"/>
          <w:szCs w:val="21"/>
        </w:rPr>
        <w:t>依次</w:t>
      </w:r>
      <w:r>
        <w:rPr>
          <w:rFonts w:hint="eastAsia" w:ascii="Arial" w:hAnsi="Arial" w:cs="Arial"/>
          <w:snapToGrid w:val="0"/>
          <w:kern w:val="0"/>
          <w:sz w:val="21"/>
          <w:szCs w:val="21"/>
        </w:rPr>
        <w:t>排列</w:t>
      </w:r>
      <w:r>
        <w:rPr>
          <w:rFonts w:ascii="Arial" w:hAnsi="Arial" w:cs="Arial"/>
          <w:snapToGrid w:val="0"/>
          <w:kern w:val="0"/>
          <w:sz w:val="21"/>
          <w:szCs w:val="21"/>
        </w:rPr>
        <w:t>投标人（评分相同时，投标总价</w:t>
      </w:r>
      <w:r>
        <w:rPr>
          <w:rFonts w:hint="eastAsia" w:ascii="Arial" w:hAnsi="Arial" w:cs="Arial"/>
          <w:snapToGrid w:val="0"/>
          <w:kern w:val="0"/>
          <w:sz w:val="21"/>
          <w:szCs w:val="21"/>
        </w:rPr>
        <w:t>高</w:t>
      </w:r>
      <w:r>
        <w:rPr>
          <w:rFonts w:ascii="Arial" w:hAnsi="Arial" w:cs="Arial"/>
          <w:snapToGrid w:val="0"/>
          <w:kern w:val="0"/>
          <w:sz w:val="21"/>
          <w:szCs w:val="21"/>
        </w:rPr>
        <w:t>者优先</w:t>
      </w:r>
      <w:r>
        <w:rPr>
          <w:rFonts w:hint="eastAsia" w:ascii="Arial" w:hAnsi="Arial" w:cs="Arial"/>
          <w:snapToGrid w:val="0"/>
          <w:kern w:val="0"/>
          <w:sz w:val="21"/>
          <w:szCs w:val="21"/>
        </w:rPr>
        <w:t>；若价格也相同，则抽签确定</w:t>
      </w:r>
      <w:r>
        <w:rPr>
          <w:rFonts w:ascii="Arial" w:hAnsi="Arial" w:cs="Arial"/>
          <w:snapToGrid w:val="0"/>
          <w:kern w:val="0"/>
          <w:sz w:val="21"/>
          <w:szCs w:val="21"/>
        </w:rPr>
        <w:t>）向招标人推荐，并提交评标报告。</w:t>
      </w:r>
    </w:p>
    <w:p>
      <w:pPr>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 xml:space="preserve">  八</w:t>
      </w:r>
      <w:r>
        <w:rPr>
          <w:rFonts w:ascii="Arial" w:hAnsi="Arial" w:cs="Arial"/>
          <w:snapToGrid w:val="0"/>
          <w:kern w:val="0"/>
          <w:sz w:val="21"/>
          <w:szCs w:val="21"/>
        </w:rPr>
        <w:t>、招标人对评标报告充分评议研究后，</w:t>
      </w:r>
      <w:r>
        <w:rPr>
          <w:rFonts w:hint="eastAsia" w:ascii="Arial" w:hAnsi="Arial" w:cs="Arial"/>
          <w:snapToGrid w:val="0"/>
          <w:kern w:val="0"/>
          <w:sz w:val="21"/>
          <w:szCs w:val="21"/>
        </w:rPr>
        <w:t>综合审议</w:t>
      </w:r>
      <w:r>
        <w:rPr>
          <w:rFonts w:ascii="Arial" w:hAnsi="Arial" w:cs="Arial"/>
          <w:snapToGrid w:val="0"/>
          <w:kern w:val="0"/>
          <w:sz w:val="21"/>
          <w:szCs w:val="21"/>
        </w:rPr>
        <w:t>确定</w:t>
      </w:r>
      <w:r>
        <w:rPr>
          <w:rFonts w:hint="eastAsia" w:ascii="Arial" w:hAnsi="Arial" w:cs="Arial"/>
          <w:snapToGrid w:val="0"/>
          <w:kern w:val="0"/>
          <w:sz w:val="21"/>
          <w:szCs w:val="21"/>
        </w:rPr>
        <w:t>各租赁单位的</w:t>
      </w:r>
      <w:r>
        <w:rPr>
          <w:rFonts w:ascii="Arial" w:hAnsi="Arial" w:cs="Arial"/>
          <w:snapToGrid w:val="0"/>
          <w:kern w:val="0"/>
          <w:sz w:val="21"/>
          <w:szCs w:val="21"/>
        </w:rPr>
        <w:t>中标人，若</w:t>
      </w:r>
      <w:r>
        <w:rPr>
          <w:rFonts w:hint="eastAsia" w:ascii="Arial" w:hAnsi="Arial" w:cs="Arial"/>
          <w:snapToGrid w:val="0"/>
          <w:kern w:val="0"/>
          <w:sz w:val="21"/>
          <w:szCs w:val="21"/>
        </w:rPr>
        <w:t>某个租赁单位</w:t>
      </w:r>
      <w:r>
        <w:rPr>
          <w:rFonts w:ascii="Arial" w:hAnsi="Arial" w:cs="Arial"/>
          <w:snapToGrid w:val="0"/>
          <w:kern w:val="0"/>
          <w:sz w:val="21"/>
          <w:szCs w:val="21"/>
        </w:rPr>
        <w:t>排名</w:t>
      </w:r>
      <w:r>
        <w:rPr>
          <w:rFonts w:hint="eastAsia" w:ascii="Arial" w:hAnsi="Arial" w:cs="Arial"/>
          <w:snapToGrid w:val="0"/>
          <w:kern w:val="0"/>
          <w:sz w:val="21"/>
          <w:szCs w:val="21"/>
        </w:rPr>
        <w:t>前面</w:t>
      </w:r>
      <w:r>
        <w:rPr>
          <w:rFonts w:ascii="Arial" w:hAnsi="Arial" w:cs="Arial"/>
          <w:snapToGrid w:val="0"/>
          <w:kern w:val="0"/>
          <w:sz w:val="21"/>
          <w:szCs w:val="21"/>
        </w:rPr>
        <w:t>的中标候选人放弃中标、或者因不可抗力提出不能履行合同，或者未能按招标文件规定期限内提交履约保证金，则视为其违约，并取消其中标资格，招标人可以选择排名</w:t>
      </w:r>
      <w:r>
        <w:rPr>
          <w:rFonts w:hint="eastAsia" w:ascii="Arial" w:hAnsi="Arial" w:cs="Arial"/>
          <w:snapToGrid w:val="0"/>
          <w:kern w:val="0"/>
          <w:sz w:val="21"/>
          <w:szCs w:val="21"/>
        </w:rPr>
        <w:t>其次</w:t>
      </w:r>
      <w:r>
        <w:rPr>
          <w:rFonts w:ascii="Arial" w:hAnsi="Arial" w:cs="Arial"/>
          <w:snapToGrid w:val="0"/>
          <w:kern w:val="0"/>
          <w:sz w:val="21"/>
          <w:szCs w:val="21"/>
        </w:rPr>
        <w:t>的中标候选人为中标人</w:t>
      </w:r>
      <w:r>
        <w:rPr>
          <w:rFonts w:hint="eastAsia" w:ascii="Arial" w:hAnsi="Arial" w:cs="Arial"/>
          <w:snapToGrid w:val="0"/>
          <w:kern w:val="0"/>
          <w:sz w:val="21"/>
          <w:szCs w:val="21"/>
        </w:rPr>
        <w:t>（依次类推）</w:t>
      </w:r>
      <w:r>
        <w:rPr>
          <w:rFonts w:ascii="Arial" w:hAnsi="Arial" w:cs="Arial"/>
          <w:snapToGrid w:val="0"/>
          <w:kern w:val="0"/>
          <w:sz w:val="21"/>
          <w:szCs w:val="21"/>
        </w:rPr>
        <w:t>。</w:t>
      </w:r>
    </w:p>
    <w:p>
      <w:pPr>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九</w:t>
      </w:r>
      <w:r>
        <w:rPr>
          <w:rFonts w:ascii="Arial" w:hAnsi="Arial" w:cs="Arial"/>
          <w:snapToGrid w:val="0"/>
          <w:kern w:val="0"/>
          <w:sz w:val="21"/>
          <w:szCs w:val="21"/>
        </w:rPr>
        <w:t>、未尽事宜按国家相关法律法规处理执行。</w:t>
      </w:r>
    </w:p>
    <w:p>
      <w:pPr>
        <w:spacing w:line="360" w:lineRule="auto"/>
        <w:rPr>
          <w:rFonts w:hint="eastAsia" w:ascii="Arial" w:hAnsi="Arial" w:cs="Arial"/>
          <w:snapToGrid w:val="0"/>
          <w:kern w:val="0"/>
          <w:sz w:val="21"/>
          <w:szCs w:val="21"/>
        </w:rPr>
      </w:pPr>
    </w:p>
    <w:sectPr>
      <w:pgSz w:w="11907" w:h="16840"/>
      <w:pgMar w:top="1531" w:right="1418" w:bottom="153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CS?o｡ﾀ?">
    <w:altName w:val="Yu Gothic"/>
    <w:panose1 w:val="00000000000000000000"/>
    <w:charset w:val="80"/>
    <w:family w:val="modern"/>
    <w:pitch w:val="default"/>
    <w:sig w:usb0="00000001" w:usb1="08070000" w:usb2="00000010" w:usb3="00000000" w:csb0="00020000" w:csb1="00000000"/>
  </w:font>
  <w:font w:name="Verdana">
    <w:panose1 w:val="020B0604030504040204"/>
    <w:charset w:val="00"/>
    <w:family w:val="swiss"/>
    <w:pitch w:val="default"/>
    <w:sig w:usb0="A00006FF" w:usb1="4000205B" w:usb2="00000010" w:usb3="00000000" w:csb0="2000019F" w:csb1="00000000"/>
  </w:font>
  <w:font w:name="_x000E__x0005_ƨ">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2"/>
      </w:rPr>
    </w:pPr>
    <w:r>
      <w:fldChar w:fldCharType="begin"/>
    </w:r>
    <w:r>
      <w:rPr>
        <w:rStyle w:val="32"/>
      </w:rPr>
      <w:instrText xml:space="preserve">PAGE  </w:instrText>
    </w:r>
    <w:r>
      <w:fldChar w:fldCharType="separate"/>
    </w:r>
    <w:r>
      <w:rPr>
        <w:rStyle w:val="32"/>
        <w:lang/>
      </w:rPr>
      <w:t>19</w:t>
    </w:r>
    <w:r>
      <w:fldChar w:fldCharType="end"/>
    </w:r>
  </w:p>
  <w:p>
    <w:pPr>
      <w:pStyle w:val="23"/>
      <w:ind w:right="360"/>
      <w:jc w:val="both"/>
      <w:rPr>
        <w:rFonts w:hint="eastAsia"/>
      </w:rPr>
    </w:pPr>
    <w:r>
      <w:rPr>
        <w:rFonts w:hint="eastAsia"/>
      </w:rPr>
      <w:t>浙江五石工程咨询有限公司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2"/>
      </w:rPr>
    </w:pPr>
    <w:r>
      <w:fldChar w:fldCharType="begin"/>
    </w:r>
    <w:r>
      <w:rPr>
        <w:rStyle w:val="32"/>
      </w:rPr>
      <w:instrText xml:space="preserve">PAGE  </w:instrText>
    </w:r>
    <w:r>
      <w:fldChar w:fldCharType="separate"/>
    </w:r>
    <w:r>
      <w:rPr>
        <w:rStyle w:val="32"/>
        <w:lang/>
      </w:rPr>
      <w:t>1</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rFonts w:hint="eastAsia"/>
      </w:rPr>
      <w:t>滨文校区学生宿舍6号楼商铺招租（超市）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19"/>
      <w:lvlText w:val="%1."/>
      <w:lvlJc w:val="left"/>
      <w:pPr>
        <w:tabs>
          <w:tab w:val="left" w:pos="1620"/>
        </w:tabs>
        <w:ind w:left="1620" w:hanging="360"/>
      </w:pPr>
    </w:lvl>
  </w:abstractNum>
  <w:abstractNum w:abstractNumId="1">
    <w:nsid w:val="1AF139A7"/>
    <w:multiLevelType w:val="multilevel"/>
    <w:tmpl w:val="1AF139A7"/>
    <w:lvl w:ilvl="0" w:tentative="0">
      <w:start w:val="1"/>
      <w:numFmt w:val="bullet"/>
      <w:pStyle w:val="51"/>
      <w:lvlText w:val=""/>
      <w:lvlJc w:val="left"/>
      <w:pPr>
        <w:tabs>
          <w:tab w:val="left" w:pos="361"/>
        </w:tabs>
        <w:ind w:left="361" w:hanging="420"/>
      </w:pPr>
      <w:rPr>
        <w:rFonts w:hint="default" w:ascii="Wingdings" w:hAnsi="Wingdings"/>
      </w:rPr>
    </w:lvl>
    <w:lvl w:ilvl="1" w:tentative="0">
      <w:start w:val="1"/>
      <w:numFmt w:val="bullet"/>
      <w:lvlText w:val=""/>
      <w:lvlJc w:val="left"/>
      <w:pPr>
        <w:tabs>
          <w:tab w:val="left" w:pos="781"/>
        </w:tabs>
        <w:ind w:left="781" w:hanging="420"/>
      </w:pPr>
      <w:rPr>
        <w:rFonts w:hint="default" w:ascii="Wingdings" w:hAnsi="Wingdings"/>
      </w:rPr>
    </w:lvl>
    <w:lvl w:ilvl="2" w:tentative="0">
      <w:start w:val="1"/>
      <w:numFmt w:val="bullet"/>
      <w:lvlText w:val=""/>
      <w:lvlJc w:val="left"/>
      <w:pPr>
        <w:tabs>
          <w:tab w:val="left" w:pos="1201"/>
        </w:tabs>
        <w:ind w:left="1201" w:hanging="420"/>
      </w:pPr>
      <w:rPr>
        <w:rFonts w:hint="default" w:ascii="Wingdings" w:hAnsi="Wingdings"/>
      </w:rPr>
    </w:lvl>
    <w:lvl w:ilvl="3" w:tentative="0">
      <w:start w:val="1"/>
      <w:numFmt w:val="bullet"/>
      <w:lvlText w:val=""/>
      <w:lvlJc w:val="left"/>
      <w:pPr>
        <w:tabs>
          <w:tab w:val="left" w:pos="1621"/>
        </w:tabs>
        <w:ind w:left="1621" w:hanging="420"/>
      </w:pPr>
      <w:rPr>
        <w:rFonts w:hint="default" w:ascii="Wingdings" w:hAnsi="Wingdings"/>
      </w:rPr>
    </w:lvl>
    <w:lvl w:ilvl="4" w:tentative="0">
      <w:start w:val="1"/>
      <w:numFmt w:val="bullet"/>
      <w:lvlText w:val=""/>
      <w:lvlJc w:val="left"/>
      <w:pPr>
        <w:tabs>
          <w:tab w:val="left" w:pos="2041"/>
        </w:tabs>
        <w:ind w:left="2041" w:hanging="420"/>
      </w:pPr>
      <w:rPr>
        <w:rFonts w:hint="default" w:ascii="Wingdings" w:hAnsi="Wingdings"/>
      </w:rPr>
    </w:lvl>
    <w:lvl w:ilvl="5" w:tentative="0">
      <w:start w:val="1"/>
      <w:numFmt w:val="bullet"/>
      <w:lvlText w:val=""/>
      <w:lvlJc w:val="left"/>
      <w:pPr>
        <w:tabs>
          <w:tab w:val="left" w:pos="2461"/>
        </w:tabs>
        <w:ind w:left="2461" w:hanging="420"/>
      </w:pPr>
      <w:rPr>
        <w:rFonts w:hint="default" w:ascii="Wingdings" w:hAnsi="Wingdings"/>
      </w:rPr>
    </w:lvl>
    <w:lvl w:ilvl="6" w:tentative="0">
      <w:start w:val="1"/>
      <w:numFmt w:val="bullet"/>
      <w:lvlText w:val=""/>
      <w:lvlJc w:val="left"/>
      <w:pPr>
        <w:tabs>
          <w:tab w:val="left" w:pos="2881"/>
        </w:tabs>
        <w:ind w:left="2881" w:hanging="420"/>
      </w:pPr>
      <w:rPr>
        <w:rFonts w:hint="default" w:ascii="Wingdings" w:hAnsi="Wingdings"/>
      </w:rPr>
    </w:lvl>
    <w:lvl w:ilvl="7" w:tentative="0">
      <w:start w:val="1"/>
      <w:numFmt w:val="bullet"/>
      <w:lvlText w:val=""/>
      <w:lvlJc w:val="left"/>
      <w:pPr>
        <w:tabs>
          <w:tab w:val="left" w:pos="3301"/>
        </w:tabs>
        <w:ind w:left="3301" w:hanging="420"/>
      </w:pPr>
      <w:rPr>
        <w:rFonts w:hint="default" w:ascii="Wingdings" w:hAnsi="Wingdings"/>
      </w:rPr>
    </w:lvl>
    <w:lvl w:ilvl="8" w:tentative="0">
      <w:start w:val="1"/>
      <w:numFmt w:val="bullet"/>
      <w:lvlText w:val=""/>
      <w:lvlJc w:val="left"/>
      <w:pPr>
        <w:tabs>
          <w:tab w:val="left" w:pos="3721"/>
        </w:tabs>
        <w:ind w:left="3721" w:hanging="420"/>
      </w:pPr>
      <w:rPr>
        <w:rFonts w:hint="default" w:ascii="Wingdings" w:hAnsi="Wingdings"/>
      </w:rPr>
    </w:lvl>
  </w:abstractNum>
  <w:abstractNum w:abstractNumId="2">
    <w:nsid w:val="1CB04D36"/>
    <w:multiLevelType w:val="multilevel"/>
    <w:tmpl w:val="1CB04D36"/>
    <w:lvl w:ilvl="0" w:tentative="0">
      <w:start w:val="1"/>
      <w:numFmt w:val="none"/>
      <w:lvlText w:val="%1."/>
      <w:lvlJc w:val="left"/>
      <w:pPr>
        <w:tabs>
          <w:tab w:val="left" w:pos="425"/>
        </w:tabs>
        <w:ind w:left="425" w:hanging="425"/>
      </w:pPr>
      <w:rPr>
        <w:rFonts w:hint="eastAsia"/>
        <w:b/>
        <w:i w:val="0"/>
        <w:sz w:val="24"/>
      </w:rPr>
    </w:lvl>
    <w:lvl w:ilvl="1" w:tentative="0">
      <w:start w:val="1"/>
      <w:numFmt w:val="decimal"/>
      <w:pStyle w:val="126"/>
      <w:lvlText w:val="%2."/>
      <w:lvlJc w:val="left"/>
      <w:pPr>
        <w:tabs>
          <w:tab w:val="left" w:pos="170"/>
        </w:tabs>
        <w:ind w:left="454" w:hanging="284"/>
      </w:pPr>
      <w:rPr>
        <w:rFonts w:hint="eastAsia" w:ascii="黑体" w:eastAsia="黑体"/>
        <w:b w:val="0"/>
        <w:i w:val="0"/>
        <w:sz w:val="30"/>
        <w:szCs w:val="30"/>
      </w:rPr>
    </w:lvl>
    <w:lvl w:ilvl="2" w:tentative="0">
      <w:start w:val="1"/>
      <w:numFmt w:val="decimal"/>
      <w:lvlText w:val="%2.%3."/>
      <w:lvlJc w:val="left"/>
      <w:pPr>
        <w:tabs>
          <w:tab w:val="left" w:pos="170"/>
        </w:tabs>
        <w:ind w:left="454" w:hanging="284"/>
      </w:pPr>
      <w:rPr>
        <w:rFonts w:hint="eastAsia" w:ascii="黑体" w:eastAsia="黑体"/>
        <w:b w:val="0"/>
        <w:i w:val="0"/>
        <w:sz w:val="30"/>
        <w:szCs w:val="30"/>
      </w:rPr>
    </w:lvl>
    <w:lvl w:ilvl="3" w:tentative="0">
      <w:start w:val="1"/>
      <w:numFmt w:val="decimal"/>
      <w:lvlText w:val="%2.%3.%4."/>
      <w:lvlJc w:val="left"/>
      <w:pPr>
        <w:tabs>
          <w:tab w:val="left" w:pos="170"/>
        </w:tabs>
        <w:ind w:left="567" w:hanging="397"/>
      </w:pPr>
      <w:rPr>
        <w:rFonts w:hint="eastAsia" w:ascii="黑体" w:eastAsia="黑体"/>
        <w:b w:val="0"/>
        <w:i w:val="0"/>
        <w:sz w:val="30"/>
        <w:szCs w:val="30"/>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3EBA2FA8"/>
    <w:multiLevelType w:val="multilevel"/>
    <w:tmpl w:val="3EBA2FA8"/>
    <w:lvl w:ilvl="0" w:tentative="0">
      <w:start w:val="2"/>
      <w:numFmt w:val="japaneseCounting"/>
      <w:lvlText w:val="%1．"/>
      <w:lvlJc w:val="left"/>
      <w:pPr>
        <w:tabs>
          <w:tab w:val="left" w:pos="720"/>
        </w:tabs>
        <w:ind w:left="720" w:hanging="720"/>
      </w:pPr>
      <w:rPr>
        <w:rFonts w:hint="eastAsia" w:hAnsi="Times New Roman"/>
        <w:sz w:val="24"/>
      </w:rPr>
    </w:lvl>
    <w:lvl w:ilvl="1" w:tentative="0">
      <w:start w:val="2"/>
      <w:numFmt w:val="decimal"/>
      <w:lvlText w:val="%2．"/>
      <w:lvlJc w:val="left"/>
      <w:pPr>
        <w:tabs>
          <w:tab w:val="left" w:pos="1140"/>
        </w:tabs>
        <w:ind w:left="1140" w:hanging="720"/>
      </w:pPr>
      <w:rPr>
        <w:rFonts w:hint="eastAsia"/>
        <w:i w:val="0"/>
      </w:rPr>
    </w:lvl>
    <w:lvl w:ilvl="2" w:tentative="0">
      <w:start w:val="1"/>
      <w:numFmt w:val="lowerRoman"/>
      <w:lvlText w:val="%3."/>
      <w:lvlJc w:val="right"/>
      <w:pPr>
        <w:tabs>
          <w:tab w:val="left" w:pos="1260"/>
        </w:tabs>
        <w:ind w:left="1260" w:hanging="420"/>
      </w:pPr>
    </w:lvl>
    <w:lvl w:ilvl="3" w:tentative="0">
      <w:start w:val="1"/>
      <w:numFmt w:val="decimal"/>
      <w:pStyle w:val="67"/>
      <w:lvlText w:val="5.%4."/>
      <w:lvlJc w:val="left"/>
      <w:pPr>
        <w:tabs>
          <w:tab w:val="left" w:pos="1174"/>
        </w:tabs>
        <w:ind w:left="567" w:hanging="113"/>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EE56B59"/>
    <w:multiLevelType w:val="multilevel"/>
    <w:tmpl w:val="4EE56B59"/>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636A38B6"/>
    <w:multiLevelType w:val="multilevel"/>
    <w:tmpl w:val="636A38B6"/>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B4"/>
    <w:rsid w:val="00002B1C"/>
    <w:rsid w:val="00004152"/>
    <w:rsid w:val="00005353"/>
    <w:rsid w:val="00007C0B"/>
    <w:rsid w:val="0001103C"/>
    <w:rsid w:val="00011823"/>
    <w:rsid w:val="00013A7F"/>
    <w:rsid w:val="000142E8"/>
    <w:rsid w:val="00015E71"/>
    <w:rsid w:val="0002233F"/>
    <w:rsid w:val="00022C4B"/>
    <w:rsid w:val="00024152"/>
    <w:rsid w:val="000244A2"/>
    <w:rsid w:val="000252A1"/>
    <w:rsid w:val="00026BFF"/>
    <w:rsid w:val="00027605"/>
    <w:rsid w:val="0003263A"/>
    <w:rsid w:val="00033C3F"/>
    <w:rsid w:val="000351F4"/>
    <w:rsid w:val="00036C55"/>
    <w:rsid w:val="00037698"/>
    <w:rsid w:val="000405E5"/>
    <w:rsid w:val="00040CB1"/>
    <w:rsid w:val="00040DEA"/>
    <w:rsid w:val="000430DB"/>
    <w:rsid w:val="00043D12"/>
    <w:rsid w:val="00044DF7"/>
    <w:rsid w:val="000456B4"/>
    <w:rsid w:val="00046427"/>
    <w:rsid w:val="000504A9"/>
    <w:rsid w:val="00051103"/>
    <w:rsid w:val="00051F23"/>
    <w:rsid w:val="00053932"/>
    <w:rsid w:val="00054924"/>
    <w:rsid w:val="0005543A"/>
    <w:rsid w:val="000568C4"/>
    <w:rsid w:val="00056CAC"/>
    <w:rsid w:val="000605D7"/>
    <w:rsid w:val="0006156C"/>
    <w:rsid w:val="000616F8"/>
    <w:rsid w:val="0006184D"/>
    <w:rsid w:val="00062091"/>
    <w:rsid w:val="000628A4"/>
    <w:rsid w:val="000633DF"/>
    <w:rsid w:val="00066350"/>
    <w:rsid w:val="00066681"/>
    <w:rsid w:val="00066B01"/>
    <w:rsid w:val="00066D0E"/>
    <w:rsid w:val="0006780C"/>
    <w:rsid w:val="000679F9"/>
    <w:rsid w:val="000722FA"/>
    <w:rsid w:val="0007288A"/>
    <w:rsid w:val="0007330A"/>
    <w:rsid w:val="00075E69"/>
    <w:rsid w:val="000761BB"/>
    <w:rsid w:val="000778F8"/>
    <w:rsid w:val="0007798E"/>
    <w:rsid w:val="0008017B"/>
    <w:rsid w:val="0008197C"/>
    <w:rsid w:val="00083861"/>
    <w:rsid w:val="000838CC"/>
    <w:rsid w:val="00085928"/>
    <w:rsid w:val="00086755"/>
    <w:rsid w:val="00087227"/>
    <w:rsid w:val="0008748E"/>
    <w:rsid w:val="0009507E"/>
    <w:rsid w:val="0009615B"/>
    <w:rsid w:val="00097065"/>
    <w:rsid w:val="000A05B7"/>
    <w:rsid w:val="000A3721"/>
    <w:rsid w:val="000A42CD"/>
    <w:rsid w:val="000A489C"/>
    <w:rsid w:val="000A5675"/>
    <w:rsid w:val="000B0B35"/>
    <w:rsid w:val="000B20CD"/>
    <w:rsid w:val="000B2677"/>
    <w:rsid w:val="000B2FEC"/>
    <w:rsid w:val="000B37F7"/>
    <w:rsid w:val="000B49B0"/>
    <w:rsid w:val="000B4C66"/>
    <w:rsid w:val="000B513B"/>
    <w:rsid w:val="000B5BA4"/>
    <w:rsid w:val="000B7693"/>
    <w:rsid w:val="000B7B80"/>
    <w:rsid w:val="000C00A5"/>
    <w:rsid w:val="000C2265"/>
    <w:rsid w:val="000C4193"/>
    <w:rsid w:val="000C62C5"/>
    <w:rsid w:val="000C70BB"/>
    <w:rsid w:val="000C77EB"/>
    <w:rsid w:val="000D178B"/>
    <w:rsid w:val="000D275E"/>
    <w:rsid w:val="000D441A"/>
    <w:rsid w:val="000D5BF8"/>
    <w:rsid w:val="000D5C84"/>
    <w:rsid w:val="000D7B1B"/>
    <w:rsid w:val="000E465F"/>
    <w:rsid w:val="000E52A3"/>
    <w:rsid w:val="000F255B"/>
    <w:rsid w:val="000F3E01"/>
    <w:rsid w:val="000F486B"/>
    <w:rsid w:val="000F49BC"/>
    <w:rsid w:val="000F70B1"/>
    <w:rsid w:val="00102749"/>
    <w:rsid w:val="00103C6D"/>
    <w:rsid w:val="0010486C"/>
    <w:rsid w:val="00104C3B"/>
    <w:rsid w:val="001050EC"/>
    <w:rsid w:val="0010555F"/>
    <w:rsid w:val="001073FF"/>
    <w:rsid w:val="00107AFD"/>
    <w:rsid w:val="00107B61"/>
    <w:rsid w:val="001103E9"/>
    <w:rsid w:val="00110BA2"/>
    <w:rsid w:val="001114C1"/>
    <w:rsid w:val="00111BA9"/>
    <w:rsid w:val="00114C22"/>
    <w:rsid w:val="00115D08"/>
    <w:rsid w:val="00117787"/>
    <w:rsid w:val="00120386"/>
    <w:rsid w:val="00120637"/>
    <w:rsid w:val="00120B7F"/>
    <w:rsid w:val="00122D0F"/>
    <w:rsid w:val="00124A40"/>
    <w:rsid w:val="001264BF"/>
    <w:rsid w:val="00126CD4"/>
    <w:rsid w:val="00127ABE"/>
    <w:rsid w:val="0013331E"/>
    <w:rsid w:val="001337FC"/>
    <w:rsid w:val="00133806"/>
    <w:rsid w:val="00134EF8"/>
    <w:rsid w:val="00137A8E"/>
    <w:rsid w:val="00141100"/>
    <w:rsid w:val="00141933"/>
    <w:rsid w:val="001423B2"/>
    <w:rsid w:val="0014357B"/>
    <w:rsid w:val="001442F2"/>
    <w:rsid w:val="0014545E"/>
    <w:rsid w:val="0014599E"/>
    <w:rsid w:val="00146660"/>
    <w:rsid w:val="00147CF4"/>
    <w:rsid w:val="0015190E"/>
    <w:rsid w:val="0015361D"/>
    <w:rsid w:val="001572A8"/>
    <w:rsid w:val="00157BCB"/>
    <w:rsid w:val="001623F4"/>
    <w:rsid w:val="001625C4"/>
    <w:rsid w:val="001627F6"/>
    <w:rsid w:val="001633B2"/>
    <w:rsid w:val="0016423B"/>
    <w:rsid w:val="00165653"/>
    <w:rsid w:val="00166AA2"/>
    <w:rsid w:val="001670A5"/>
    <w:rsid w:val="0017084A"/>
    <w:rsid w:val="00173952"/>
    <w:rsid w:val="0017438E"/>
    <w:rsid w:val="00174D0C"/>
    <w:rsid w:val="00176E8D"/>
    <w:rsid w:val="0017723E"/>
    <w:rsid w:val="001774C7"/>
    <w:rsid w:val="00181AEE"/>
    <w:rsid w:val="0018302E"/>
    <w:rsid w:val="00183AF7"/>
    <w:rsid w:val="0018534C"/>
    <w:rsid w:val="00185AE0"/>
    <w:rsid w:val="0018748E"/>
    <w:rsid w:val="00187491"/>
    <w:rsid w:val="001875D4"/>
    <w:rsid w:val="00190E02"/>
    <w:rsid w:val="0019111B"/>
    <w:rsid w:val="00192F26"/>
    <w:rsid w:val="00193723"/>
    <w:rsid w:val="0019432D"/>
    <w:rsid w:val="00195EED"/>
    <w:rsid w:val="001A0F98"/>
    <w:rsid w:val="001A15FD"/>
    <w:rsid w:val="001A476A"/>
    <w:rsid w:val="001A5823"/>
    <w:rsid w:val="001A5D85"/>
    <w:rsid w:val="001A65CF"/>
    <w:rsid w:val="001A7270"/>
    <w:rsid w:val="001B08E3"/>
    <w:rsid w:val="001B0A75"/>
    <w:rsid w:val="001B0E41"/>
    <w:rsid w:val="001B26A1"/>
    <w:rsid w:val="001B2F2A"/>
    <w:rsid w:val="001B3AB0"/>
    <w:rsid w:val="001B3EC3"/>
    <w:rsid w:val="001B6A92"/>
    <w:rsid w:val="001C0003"/>
    <w:rsid w:val="001C0624"/>
    <w:rsid w:val="001C1232"/>
    <w:rsid w:val="001C2903"/>
    <w:rsid w:val="001C2A24"/>
    <w:rsid w:val="001C3748"/>
    <w:rsid w:val="001C4913"/>
    <w:rsid w:val="001C4A98"/>
    <w:rsid w:val="001C6A85"/>
    <w:rsid w:val="001C7892"/>
    <w:rsid w:val="001D0A42"/>
    <w:rsid w:val="001D0C35"/>
    <w:rsid w:val="001D2FCB"/>
    <w:rsid w:val="001D3DB1"/>
    <w:rsid w:val="001D51E2"/>
    <w:rsid w:val="001D51E5"/>
    <w:rsid w:val="001E2DEF"/>
    <w:rsid w:val="001E6D30"/>
    <w:rsid w:val="001E754D"/>
    <w:rsid w:val="001F03F8"/>
    <w:rsid w:val="001F0993"/>
    <w:rsid w:val="001F25C5"/>
    <w:rsid w:val="001F46E9"/>
    <w:rsid w:val="001F4AC2"/>
    <w:rsid w:val="001F50E0"/>
    <w:rsid w:val="001F7571"/>
    <w:rsid w:val="001F77A4"/>
    <w:rsid w:val="001F7B1C"/>
    <w:rsid w:val="002028DE"/>
    <w:rsid w:val="00203377"/>
    <w:rsid w:val="0020737D"/>
    <w:rsid w:val="002073C4"/>
    <w:rsid w:val="002100D0"/>
    <w:rsid w:val="00211FF7"/>
    <w:rsid w:val="00212B01"/>
    <w:rsid w:val="00215843"/>
    <w:rsid w:val="00215B54"/>
    <w:rsid w:val="00216027"/>
    <w:rsid w:val="002164AA"/>
    <w:rsid w:val="00216718"/>
    <w:rsid w:val="002179FD"/>
    <w:rsid w:val="00226D4A"/>
    <w:rsid w:val="0023230A"/>
    <w:rsid w:val="00232E63"/>
    <w:rsid w:val="002336D1"/>
    <w:rsid w:val="002349CE"/>
    <w:rsid w:val="00235984"/>
    <w:rsid w:val="002365B1"/>
    <w:rsid w:val="0023702B"/>
    <w:rsid w:val="0024128F"/>
    <w:rsid w:val="002427C8"/>
    <w:rsid w:val="00244A99"/>
    <w:rsid w:val="00245D08"/>
    <w:rsid w:val="00245E51"/>
    <w:rsid w:val="00245E7F"/>
    <w:rsid w:val="00247757"/>
    <w:rsid w:val="0025374F"/>
    <w:rsid w:val="00253B7C"/>
    <w:rsid w:val="002557E4"/>
    <w:rsid w:val="00257B3E"/>
    <w:rsid w:val="002609F6"/>
    <w:rsid w:val="00264592"/>
    <w:rsid w:val="00266167"/>
    <w:rsid w:val="002661FC"/>
    <w:rsid w:val="00267570"/>
    <w:rsid w:val="002737EF"/>
    <w:rsid w:val="00281360"/>
    <w:rsid w:val="00282548"/>
    <w:rsid w:val="00283049"/>
    <w:rsid w:val="00283AD4"/>
    <w:rsid w:val="00284754"/>
    <w:rsid w:val="00284B37"/>
    <w:rsid w:val="002857A8"/>
    <w:rsid w:val="0028644A"/>
    <w:rsid w:val="00293594"/>
    <w:rsid w:val="00293639"/>
    <w:rsid w:val="00293923"/>
    <w:rsid w:val="00293BC9"/>
    <w:rsid w:val="00294C28"/>
    <w:rsid w:val="00296948"/>
    <w:rsid w:val="00297164"/>
    <w:rsid w:val="002A2560"/>
    <w:rsid w:val="002A2B5A"/>
    <w:rsid w:val="002A2C16"/>
    <w:rsid w:val="002A3B0A"/>
    <w:rsid w:val="002A3C06"/>
    <w:rsid w:val="002A3F03"/>
    <w:rsid w:val="002A4E50"/>
    <w:rsid w:val="002A5933"/>
    <w:rsid w:val="002A5D68"/>
    <w:rsid w:val="002B1F3D"/>
    <w:rsid w:val="002B312C"/>
    <w:rsid w:val="002B5D96"/>
    <w:rsid w:val="002B6350"/>
    <w:rsid w:val="002B7498"/>
    <w:rsid w:val="002B7C42"/>
    <w:rsid w:val="002C0299"/>
    <w:rsid w:val="002C0CEF"/>
    <w:rsid w:val="002C1A92"/>
    <w:rsid w:val="002C1D05"/>
    <w:rsid w:val="002C4D4C"/>
    <w:rsid w:val="002C4F62"/>
    <w:rsid w:val="002C6175"/>
    <w:rsid w:val="002C61C3"/>
    <w:rsid w:val="002C7BA4"/>
    <w:rsid w:val="002D0155"/>
    <w:rsid w:val="002D188E"/>
    <w:rsid w:val="002D3DA8"/>
    <w:rsid w:val="002D472E"/>
    <w:rsid w:val="002D5608"/>
    <w:rsid w:val="002D7F49"/>
    <w:rsid w:val="002E030C"/>
    <w:rsid w:val="002E0F54"/>
    <w:rsid w:val="002E14EF"/>
    <w:rsid w:val="002E3A48"/>
    <w:rsid w:val="002E41A4"/>
    <w:rsid w:val="002E43D5"/>
    <w:rsid w:val="002E4731"/>
    <w:rsid w:val="002E6666"/>
    <w:rsid w:val="002F046C"/>
    <w:rsid w:val="002F0D08"/>
    <w:rsid w:val="002F1BE0"/>
    <w:rsid w:val="002F3023"/>
    <w:rsid w:val="002F594A"/>
    <w:rsid w:val="002F688D"/>
    <w:rsid w:val="002F79DC"/>
    <w:rsid w:val="00304E58"/>
    <w:rsid w:val="0030523C"/>
    <w:rsid w:val="00305564"/>
    <w:rsid w:val="00307C0B"/>
    <w:rsid w:val="00310561"/>
    <w:rsid w:val="003111F9"/>
    <w:rsid w:val="003118C6"/>
    <w:rsid w:val="00311994"/>
    <w:rsid w:val="00312070"/>
    <w:rsid w:val="003133C9"/>
    <w:rsid w:val="0031630B"/>
    <w:rsid w:val="00317121"/>
    <w:rsid w:val="00321AAD"/>
    <w:rsid w:val="00324565"/>
    <w:rsid w:val="00325175"/>
    <w:rsid w:val="0032744E"/>
    <w:rsid w:val="003279BD"/>
    <w:rsid w:val="00330905"/>
    <w:rsid w:val="003323E9"/>
    <w:rsid w:val="00332F7A"/>
    <w:rsid w:val="00333513"/>
    <w:rsid w:val="003341C0"/>
    <w:rsid w:val="0033506E"/>
    <w:rsid w:val="00336A83"/>
    <w:rsid w:val="00336F3B"/>
    <w:rsid w:val="00345C0F"/>
    <w:rsid w:val="003460D2"/>
    <w:rsid w:val="0035023A"/>
    <w:rsid w:val="003503DE"/>
    <w:rsid w:val="00351510"/>
    <w:rsid w:val="00351E2B"/>
    <w:rsid w:val="00351E50"/>
    <w:rsid w:val="00351F44"/>
    <w:rsid w:val="003523D0"/>
    <w:rsid w:val="003526D0"/>
    <w:rsid w:val="00356B9D"/>
    <w:rsid w:val="00357BCF"/>
    <w:rsid w:val="00360960"/>
    <w:rsid w:val="00361349"/>
    <w:rsid w:val="003621DF"/>
    <w:rsid w:val="0036221B"/>
    <w:rsid w:val="00364E8D"/>
    <w:rsid w:val="00365752"/>
    <w:rsid w:val="003701B5"/>
    <w:rsid w:val="00370434"/>
    <w:rsid w:val="00371184"/>
    <w:rsid w:val="00372CB8"/>
    <w:rsid w:val="00373A99"/>
    <w:rsid w:val="00373D27"/>
    <w:rsid w:val="00374B1A"/>
    <w:rsid w:val="00375486"/>
    <w:rsid w:val="00375C49"/>
    <w:rsid w:val="00376190"/>
    <w:rsid w:val="00380329"/>
    <w:rsid w:val="003816A1"/>
    <w:rsid w:val="003833E7"/>
    <w:rsid w:val="003849F3"/>
    <w:rsid w:val="00385FEB"/>
    <w:rsid w:val="00386762"/>
    <w:rsid w:val="003872A0"/>
    <w:rsid w:val="003911E2"/>
    <w:rsid w:val="00391A2C"/>
    <w:rsid w:val="00396A11"/>
    <w:rsid w:val="0039756B"/>
    <w:rsid w:val="00397C29"/>
    <w:rsid w:val="003A03B4"/>
    <w:rsid w:val="003A0B8E"/>
    <w:rsid w:val="003A3994"/>
    <w:rsid w:val="003A4309"/>
    <w:rsid w:val="003A5313"/>
    <w:rsid w:val="003A59B0"/>
    <w:rsid w:val="003A6497"/>
    <w:rsid w:val="003B04B3"/>
    <w:rsid w:val="003B1DF0"/>
    <w:rsid w:val="003B2A2D"/>
    <w:rsid w:val="003B649A"/>
    <w:rsid w:val="003B6570"/>
    <w:rsid w:val="003C0BD3"/>
    <w:rsid w:val="003C2938"/>
    <w:rsid w:val="003C578E"/>
    <w:rsid w:val="003D5ABA"/>
    <w:rsid w:val="003D6D4A"/>
    <w:rsid w:val="003D6FBA"/>
    <w:rsid w:val="003E3169"/>
    <w:rsid w:val="003E4EAD"/>
    <w:rsid w:val="003E5505"/>
    <w:rsid w:val="003E5AF1"/>
    <w:rsid w:val="003E5D1F"/>
    <w:rsid w:val="003E69CE"/>
    <w:rsid w:val="003E7FB7"/>
    <w:rsid w:val="003F1026"/>
    <w:rsid w:val="003F2CD6"/>
    <w:rsid w:val="003F60B7"/>
    <w:rsid w:val="003F62F1"/>
    <w:rsid w:val="004008BA"/>
    <w:rsid w:val="004028B8"/>
    <w:rsid w:val="00402DDC"/>
    <w:rsid w:val="004032FF"/>
    <w:rsid w:val="00403463"/>
    <w:rsid w:val="004039FF"/>
    <w:rsid w:val="00404870"/>
    <w:rsid w:val="0041098A"/>
    <w:rsid w:val="00412580"/>
    <w:rsid w:val="00413A15"/>
    <w:rsid w:val="00416DE2"/>
    <w:rsid w:val="0041742E"/>
    <w:rsid w:val="004179A4"/>
    <w:rsid w:val="00420358"/>
    <w:rsid w:val="00422E7B"/>
    <w:rsid w:val="0042663C"/>
    <w:rsid w:val="00427830"/>
    <w:rsid w:val="0043084D"/>
    <w:rsid w:val="0043236C"/>
    <w:rsid w:val="00433996"/>
    <w:rsid w:val="00437ACA"/>
    <w:rsid w:val="00437C0C"/>
    <w:rsid w:val="00441CD8"/>
    <w:rsid w:val="00442F5C"/>
    <w:rsid w:val="00444B10"/>
    <w:rsid w:val="004462E1"/>
    <w:rsid w:val="00446B77"/>
    <w:rsid w:val="00447BA4"/>
    <w:rsid w:val="004501AD"/>
    <w:rsid w:val="004519CA"/>
    <w:rsid w:val="00453EA7"/>
    <w:rsid w:val="0046118D"/>
    <w:rsid w:val="00462284"/>
    <w:rsid w:val="004629E6"/>
    <w:rsid w:val="0046354A"/>
    <w:rsid w:val="00464D22"/>
    <w:rsid w:val="004654E1"/>
    <w:rsid w:val="00466228"/>
    <w:rsid w:val="00466862"/>
    <w:rsid w:val="00467990"/>
    <w:rsid w:val="00471911"/>
    <w:rsid w:val="00471B36"/>
    <w:rsid w:val="0047489B"/>
    <w:rsid w:val="00474C89"/>
    <w:rsid w:val="00475A86"/>
    <w:rsid w:val="00476A1D"/>
    <w:rsid w:val="004805A2"/>
    <w:rsid w:val="00485CDD"/>
    <w:rsid w:val="0049211E"/>
    <w:rsid w:val="00492631"/>
    <w:rsid w:val="0049309C"/>
    <w:rsid w:val="00493330"/>
    <w:rsid w:val="00494B3F"/>
    <w:rsid w:val="00495B05"/>
    <w:rsid w:val="00496EFE"/>
    <w:rsid w:val="004A58CC"/>
    <w:rsid w:val="004A6FAC"/>
    <w:rsid w:val="004B05D2"/>
    <w:rsid w:val="004B08F5"/>
    <w:rsid w:val="004B15FB"/>
    <w:rsid w:val="004B217E"/>
    <w:rsid w:val="004B24A7"/>
    <w:rsid w:val="004B2EA0"/>
    <w:rsid w:val="004B3B51"/>
    <w:rsid w:val="004B3B8B"/>
    <w:rsid w:val="004B423C"/>
    <w:rsid w:val="004B4BB4"/>
    <w:rsid w:val="004B700E"/>
    <w:rsid w:val="004C0456"/>
    <w:rsid w:val="004C1182"/>
    <w:rsid w:val="004C1AAE"/>
    <w:rsid w:val="004C295B"/>
    <w:rsid w:val="004C381F"/>
    <w:rsid w:val="004C3D5A"/>
    <w:rsid w:val="004C3E93"/>
    <w:rsid w:val="004C6CBD"/>
    <w:rsid w:val="004C7247"/>
    <w:rsid w:val="004C7F0E"/>
    <w:rsid w:val="004D25F0"/>
    <w:rsid w:val="004D4A67"/>
    <w:rsid w:val="004D4BEE"/>
    <w:rsid w:val="004D5758"/>
    <w:rsid w:val="004D6794"/>
    <w:rsid w:val="004E1352"/>
    <w:rsid w:val="004E2B29"/>
    <w:rsid w:val="004E2F1D"/>
    <w:rsid w:val="004E4F2B"/>
    <w:rsid w:val="004E5664"/>
    <w:rsid w:val="004E56D0"/>
    <w:rsid w:val="004E5C93"/>
    <w:rsid w:val="004E70FB"/>
    <w:rsid w:val="004F4E99"/>
    <w:rsid w:val="004F5820"/>
    <w:rsid w:val="004F5FEC"/>
    <w:rsid w:val="004F67A1"/>
    <w:rsid w:val="0050013D"/>
    <w:rsid w:val="00503642"/>
    <w:rsid w:val="0050449D"/>
    <w:rsid w:val="00504D7F"/>
    <w:rsid w:val="0050567C"/>
    <w:rsid w:val="005059EB"/>
    <w:rsid w:val="00506913"/>
    <w:rsid w:val="00507014"/>
    <w:rsid w:val="0051143D"/>
    <w:rsid w:val="00511E8D"/>
    <w:rsid w:val="005124D6"/>
    <w:rsid w:val="00512765"/>
    <w:rsid w:val="00514FDF"/>
    <w:rsid w:val="005165FB"/>
    <w:rsid w:val="00517578"/>
    <w:rsid w:val="00517A50"/>
    <w:rsid w:val="0052078A"/>
    <w:rsid w:val="00520AE6"/>
    <w:rsid w:val="005271F9"/>
    <w:rsid w:val="00531BAE"/>
    <w:rsid w:val="00532492"/>
    <w:rsid w:val="00534ACD"/>
    <w:rsid w:val="0053526F"/>
    <w:rsid w:val="00544AFC"/>
    <w:rsid w:val="00545E9D"/>
    <w:rsid w:val="00547FBE"/>
    <w:rsid w:val="00550D29"/>
    <w:rsid w:val="005522A4"/>
    <w:rsid w:val="00553A7F"/>
    <w:rsid w:val="00555BE1"/>
    <w:rsid w:val="005560BA"/>
    <w:rsid w:val="005562C7"/>
    <w:rsid w:val="00557B05"/>
    <w:rsid w:val="005608B6"/>
    <w:rsid w:val="005635AE"/>
    <w:rsid w:val="00563735"/>
    <w:rsid w:val="005637E0"/>
    <w:rsid w:val="00563E29"/>
    <w:rsid w:val="00564CC1"/>
    <w:rsid w:val="00565FA3"/>
    <w:rsid w:val="005666D6"/>
    <w:rsid w:val="005669E5"/>
    <w:rsid w:val="00574B06"/>
    <w:rsid w:val="0057574E"/>
    <w:rsid w:val="00575DAA"/>
    <w:rsid w:val="00576040"/>
    <w:rsid w:val="00576A28"/>
    <w:rsid w:val="00577566"/>
    <w:rsid w:val="005775E6"/>
    <w:rsid w:val="0058197D"/>
    <w:rsid w:val="005820A7"/>
    <w:rsid w:val="00582BEA"/>
    <w:rsid w:val="00582DCB"/>
    <w:rsid w:val="0058443E"/>
    <w:rsid w:val="00584DC0"/>
    <w:rsid w:val="00585893"/>
    <w:rsid w:val="00586204"/>
    <w:rsid w:val="00587498"/>
    <w:rsid w:val="005879D1"/>
    <w:rsid w:val="00592331"/>
    <w:rsid w:val="00593109"/>
    <w:rsid w:val="00593A6E"/>
    <w:rsid w:val="00593EB8"/>
    <w:rsid w:val="00595619"/>
    <w:rsid w:val="00595F41"/>
    <w:rsid w:val="005961DD"/>
    <w:rsid w:val="00596E8C"/>
    <w:rsid w:val="005973E3"/>
    <w:rsid w:val="005A0882"/>
    <w:rsid w:val="005A09DD"/>
    <w:rsid w:val="005A161D"/>
    <w:rsid w:val="005A22D9"/>
    <w:rsid w:val="005A35B0"/>
    <w:rsid w:val="005A35DE"/>
    <w:rsid w:val="005A6395"/>
    <w:rsid w:val="005B5851"/>
    <w:rsid w:val="005B5C45"/>
    <w:rsid w:val="005B7B24"/>
    <w:rsid w:val="005C09A7"/>
    <w:rsid w:val="005C0CAF"/>
    <w:rsid w:val="005C0D53"/>
    <w:rsid w:val="005C1507"/>
    <w:rsid w:val="005C350B"/>
    <w:rsid w:val="005C4491"/>
    <w:rsid w:val="005C5BF3"/>
    <w:rsid w:val="005C6091"/>
    <w:rsid w:val="005C7452"/>
    <w:rsid w:val="005C7BE0"/>
    <w:rsid w:val="005D2EA7"/>
    <w:rsid w:val="005D329A"/>
    <w:rsid w:val="005D3541"/>
    <w:rsid w:val="005D42ED"/>
    <w:rsid w:val="005D4D12"/>
    <w:rsid w:val="005D5595"/>
    <w:rsid w:val="005D5750"/>
    <w:rsid w:val="005D704E"/>
    <w:rsid w:val="005D7C36"/>
    <w:rsid w:val="005E167D"/>
    <w:rsid w:val="005E1874"/>
    <w:rsid w:val="005E2EEE"/>
    <w:rsid w:val="005E3E55"/>
    <w:rsid w:val="005E3ED9"/>
    <w:rsid w:val="005E5C52"/>
    <w:rsid w:val="005E6068"/>
    <w:rsid w:val="005F1A2B"/>
    <w:rsid w:val="005F375B"/>
    <w:rsid w:val="005F3854"/>
    <w:rsid w:val="0060133F"/>
    <w:rsid w:val="006034A3"/>
    <w:rsid w:val="0060504D"/>
    <w:rsid w:val="0060569D"/>
    <w:rsid w:val="006135EF"/>
    <w:rsid w:val="00617BE3"/>
    <w:rsid w:val="00620AF7"/>
    <w:rsid w:val="00620E87"/>
    <w:rsid w:val="006218C0"/>
    <w:rsid w:val="00623346"/>
    <w:rsid w:val="00624030"/>
    <w:rsid w:val="00624627"/>
    <w:rsid w:val="00624A89"/>
    <w:rsid w:val="006260B0"/>
    <w:rsid w:val="00627CD3"/>
    <w:rsid w:val="00627EB1"/>
    <w:rsid w:val="00630447"/>
    <w:rsid w:val="00630D4A"/>
    <w:rsid w:val="00632DED"/>
    <w:rsid w:val="00633E13"/>
    <w:rsid w:val="0063577B"/>
    <w:rsid w:val="00636145"/>
    <w:rsid w:val="00640305"/>
    <w:rsid w:val="0064038A"/>
    <w:rsid w:val="006429DE"/>
    <w:rsid w:val="00642FF7"/>
    <w:rsid w:val="00644E78"/>
    <w:rsid w:val="00645312"/>
    <w:rsid w:val="0064566E"/>
    <w:rsid w:val="00646272"/>
    <w:rsid w:val="00646DF9"/>
    <w:rsid w:val="00650D82"/>
    <w:rsid w:val="00650E06"/>
    <w:rsid w:val="006510EC"/>
    <w:rsid w:val="00652596"/>
    <w:rsid w:val="00653A23"/>
    <w:rsid w:val="00654FBE"/>
    <w:rsid w:val="00655F75"/>
    <w:rsid w:val="0065780B"/>
    <w:rsid w:val="00660EB1"/>
    <w:rsid w:val="00661894"/>
    <w:rsid w:val="00663EA4"/>
    <w:rsid w:val="00667564"/>
    <w:rsid w:val="00670150"/>
    <w:rsid w:val="00672BEE"/>
    <w:rsid w:val="00677C46"/>
    <w:rsid w:val="006817C6"/>
    <w:rsid w:val="0068417F"/>
    <w:rsid w:val="00684843"/>
    <w:rsid w:val="00684DB0"/>
    <w:rsid w:val="00686545"/>
    <w:rsid w:val="00690498"/>
    <w:rsid w:val="00691692"/>
    <w:rsid w:val="0069257A"/>
    <w:rsid w:val="00694A8D"/>
    <w:rsid w:val="006962C4"/>
    <w:rsid w:val="00696732"/>
    <w:rsid w:val="00696758"/>
    <w:rsid w:val="00696C81"/>
    <w:rsid w:val="006A00D1"/>
    <w:rsid w:val="006A0AA2"/>
    <w:rsid w:val="006A0E34"/>
    <w:rsid w:val="006A103B"/>
    <w:rsid w:val="006A4AA9"/>
    <w:rsid w:val="006B1298"/>
    <w:rsid w:val="006B132B"/>
    <w:rsid w:val="006B29FE"/>
    <w:rsid w:val="006B3B1B"/>
    <w:rsid w:val="006B4EF7"/>
    <w:rsid w:val="006B6013"/>
    <w:rsid w:val="006B7161"/>
    <w:rsid w:val="006B74E8"/>
    <w:rsid w:val="006C032E"/>
    <w:rsid w:val="006C07E3"/>
    <w:rsid w:val="006C167B"/>
    <w:rsid w:val="006C1CDF"/>
    <w:rsid w:val="006C22A3"/>
    <w:rsid w:val="006C430E"/>
    <w:rsid w:val="006C480A"/>
    <w:rsid w:val="006C52CA"/>
    <w:rsid w:val="006C5DA4"/>
    <w:rsid w:val="006C63B2"/>
    <w:rsid w:val="006D18CA"/>
    <w:rsid w:val="006D21EF"/>
    <w:rsid w:val="006D2C1A"/>
    <w:rsid w:val="006D2F7B"/>
    <w:rsid w:val="006E045F"/>
    <w:rsid w:val="006E4AB6"/>
    <w:rsid w:val="006F0359"/>
    <w:rsid w:val="006F1EA5"/>
    <w:rsid w:val="006F2834"/>
    <w:rsid w:val="006F324A"/>
    <w:rsid w:val="006F3A88"/>
    <w:rsid w:val="006F4D66"/>
    <w:rsid w:val="00703C14"/>
    <w:rsid w:val="00704232"/>
    <w:rsid w:val="00705085"/>
    <w:rsid w:val="0071418A"/>
    <w:rsid w:val="00715312"/>
    <w:rsid w:val="0071729C"/>
    <w:rsid w:val="0071750B"/>
    <w:rsid w:val="00717F63"/>
    <w:rsid w:val="0072343D"/>
    <w:rsid w:val="00725B14"/>
    <w:rsid w:val="00726650"/>
    <w:rsid w:val="00727F5F"/>
    <w:rsid w:val="007303FE"/>
    <w:rsid w:val="00733033"/>
    <w:rsid w:val="007358A9"/>
    <w:rsid w:val="0073693F"/>
    <w:rsid w:val="00736FBB"/>
    <w:rsid w:val="007405BA"/>
    <w:rsid w:val="00744EB1"/>
    <w:rsid w:val="00747075"/>
    <w:rsid w:val="0075025C"/>
    <w:rsid w:val="00751C59"/>
    <w:rsid w:val="00751F79"/>
    <w:rsid w:val="0075246C"/>
    <w:rsid w:val="007527FA"/>
    <w:rsid w:val="0075298C"/>
    <w:rsid w:val="00754AC7"/>
    <w:rsid w:val="00755505"/>
    <w:rsid w:val="00756CA9"/>
    <w:rsid w:val="00757F8D"/>
    <w:rsid w:val="00761459"/>
    <w:rsid w:val="007653E9"/>
    <w:rsid w:val="0076723B"/>
    <w:rsid w:val="0077151D"/>
    <w:rsid w:val="00771754"/>
    <w:rsid w:val="007722A5"/>
    <w:rsid w:val="007731AE"/>
    <w:rsid w:val="00774192"/>
    <w:rsid w:val="00775C66"/>
    <w:rsid w:val="00777155"/>
    <w:rsid w:val="00777207"/>
    <w:rsid w:val="00781828"/>
    <w:rsid w:val="0078330B"/>
    <w:rsid w:val="007835C2"/>
    <w:rsid w:val="00784125"/>
    <w:rsid w:val="00786A0F"/>
    <w:rsid w:val="00786C45"/>
    <w:rsid w:val="00786E10"/>
    <w:rsid w:val="00787AE7"/>
    <w:rsid w:val="00792B12"/>
    <w:rsid w:val="0079356D"/>
    <w:rsid w:val="00794866"/>
    <w:rsid w:val="007A07BA"/>
    <w:rsid w:val="007A25E0"/>
    <w:rsid w:val="007A3BC1"/>
    <w:rsid w:val="007A40FD"/>
    <w:rsid w:val="007A45FA"/>
    <w:rsid w:val="007A56CE"/>
    <w:rsid w:val="007A61E6"/>
    <w:rsid w:val="007A71A8"/>
    <w:rsid w:val="007A7AFC"/>
    <w:rsid w:val="007B19F3"/>
    <w:rsid w:val="007B2A07"/>
    <w:rsid w:val="007B363B"/>
    <w:rsid w:val="007B4FA7"/>
    <w:rsid w:val="007B59C5"/>
    <w:rsid w:val="007B6E9F"/>
    <w:rsid w:val="007C1253"/>
    <w:rsid w:val="007C147E"/>
    <w:rsid w:val="007C225D"/>
    <w:rsid w:val="007C3720"/>
    <w:rsid w:val="007C5116"/>
    <w:rsid w:val="007C53B4"/>
    <w:rsid w:val="007D0233"/>
    <w:rsid w:val="007D0682"/>
    <w:rsid w:val="007D4CEA"/>
    <w:rsid w:val="007D50C8"/>
    <w:rsid w:val="007D53A1"/>
    <w:rsid w:val="007D66CC"/>
    <w:rsid w:val="007D673A"/>
    <w:rsid w:val="007E1041"/>
    <w:rsid w:val="007E2F62"/>
    <w:rsid w:val="007E66C6"/>
    <w:rsid w:val="007E714D"/>
    <w:rsid w:val="007E73A0"/>
    <w:rsid w:val="007E7615"/>
    <w:rsid w:val="007E765E"/>
    <w:rsid w:val="007F40F2"/>
    <w:rsid w:val="007F41D8"/>
    <w:rsid w:val="007F7602"/>
    <w:rsid w:val="008007D5"/>
    <w:rsid w:val="0080140B"/>
    <w:rsid w:val="0080140D"/>
    <w:rsid w:val="008034D1"/>
    <w:rsid w:val="00804444"/>
    <w:rsid w:val="00807758"/>
    <w:rsid w:val="00807844"/>
    <w:rsid w:val="0080788B"/>
    <w:rsid w:val="00810031"/>
    <w:rsid w:val="0081041F"/>
    <w:rsid w:val="00810764"/>
    <w:rsid w:val="008108C0"/>
    <w:rsid w:val="008109D9"/>
    <w:rsid w:val="00811807"/>
    <w:rsid w:val="00811C22"/>
    <w:rsid w:val="00812498"/>
    <w:rsid w:val="00812DB0"/>
    <w:rsid w:val="00813022"/>
    <w:rsid w:val="00813FDB"/>
    <w:rsid w:val="00815124"/>
    <w:rsid w:val="008214D6"/>
    <w:rsid w:val="00821BCB"/>
    <w:rsid w:val="008226F4"/>
    <w:rsid w:val="00824495"/>
    <w:rsid w:val="008255BA"/>
    <w:rsid w:val="00825967"/>
    <w:rsid w:val="008260EA"/>
    <w:rsid w:val="00827086"/>
    <w:rsid w:val="008308F6"/>
    <w:rsid w:val="00830C82"/>
    <w:rsid w:val="00830C87"/>
    <w:rsid w:val="008318FA"/>
    <w:rsid w:val="008326B3"/>
    <w:rsid w:val="00833BB0"/>
    <w:rsid w:val="00833BC8"/>
    <w:rsid w:val="00834E82"/>
    <w:rsid w:val="00835428"/>
    <w:rsid w:val="008365B3"/>
    <w:rsid w:val="008418BD"/>
    <w:rsid w:val="00841F3B"/>
    <w:rsid w:val="00843C04"/>
    <w:rsid w:val="00843D04"/>
    <w:rsid w:val="00846515"/>
    <w:rsid w:val="00846BD2"/>
    <w:rsid w:val="00847336"/>
    <w:rsid w:val="00847ACF"/>
    <w:rsid w:val="00850552"/>
    <w:rsid w:val="00850F5F"/>
    <w:rsid w:val="00852361"/>
    <w:rsid w:val="00854250"/>
    <w:rsid w:val="00854744"/>
    <w:rsid w:val="00854DF4"/>
    <w:rsid w:val="00855139"/>
    <w:rsid w:val="00855393"/>
    <w:rsid w:val="00856522"/>
    <w:rsid w:val="008575F5"/>
    <w:rsid w:val="008608D2"/>
    <w:rsid w:val="0086154D"/>
    <w:rsid w:val="008628AA"/>
    <w:rsid w:val="008638AE"/>
    <w:rsid w:val="008653BD"/>
    <w:rsid w:val="008660C9"/>
    <w:rsid w:val="00866665"/>
    <w:rsid w:val="00866F42"/>
    <w:rsid w:val="008737D0"/>
    <w:rsid w:val="00873B64"/>
    <w:rsid w:val="00874EA4"/>
    <w:rsid w:val="00877A8C"/>
    <w:rsid w:val="00880577"/>
    <w:rsid w:val="00880A24"/>
    <w:rsid w:val="00883BF6"/>
    <w:rsid w:val="008841EA"/>
    <w:rsid w:val="00884740"/>
    <w:rsid w:val="00887031"/>
    <w:rsid w:val="0088767E"/>
    <w:rsid w:val="0089052A"/>
    <w:rsid w:val="00890610"/>
    <w:rsid w:val="00890BE0"/>
    <w:rsid w:val="00891842"/>
    <w:rsid w:val="00891D93"/>
    <w:rsid w:val="00892BF5"/>
    <w:rsid w:val="00893287"/>
    <w:rsid w:val="00893715"/>
    <w:rsid w:val="00894B85"/>
    <w:rsid w:val="00894EF2"/>
    <w:rsid w:val="00896D2F"/>
    <w:rsid w:val="008A1FAF"/>
    <w:rsid w:val="008A70C9"/>
    <w:rsid w:val="008B0BC5"/>
    <w:rsid w:val="008B0C26"/>
    <w:rsid w:val="008B0CC8"/>
    <w:rsid w:val="008C51FF"/>
    <w:rsid w:val="008C6448"/>
    <w:rsid w:val="008C68CF"/>
    <w:rsid w:val="008C69BF"/>
    <w:rsid w:val="008D23E6"/>
    <w:rsid w:val="008D29D3"/>
    <w:rsid w:val="008D2CBD"/>
    <w:rsid w:val="008D339E"/>
    <w:rsid w:val="008D3F20"/>
    <w:rsid w:val="008D3F40"/>
    <w:rsid w:val="008D6BAA"/>
    <w:rsid w:val="008D705A"/>
    <w:rsid w:val="008E1619"/>
    <w:rsid w:val="008E1A67"/>
    <w:rsid w:val="008E2B04"/>
    <w:rsid w:val="008E34DB"/>
    <w:rsid w:val="008E3CB3"/>
    <w:rsid w:val="008E3ED3"/>
    <w:rsid w:val="008E571A"/>
    <w:rsid w:val="008E6011"/>
    <w:rsid w:val="008E7223"/>
    <w:rsid w:val="008E7661"/>
    <w:rsid w:val="008F004C"/>
    <w:rsid w:val="008F1760"/>
    <w:rsid w:val="008F1C51"/>
    <w:rsid w:val="008F280A"/>
    <w:rsid w:val="008F2E92"/>
    <w:rsid w:val="008F56AD"/>
    <w:rsid w:val="008F5DD9"/>
    <w:rsid w:val="008F5DDC"/>
    <w:rsid w:val="009009F5"/>
    <w:rsid w:val="00900A94"/>
    <w:rsid w:val="00902504"/>
    <w:rsid w:val="00902862"/>
    <w:rsid w:val="00903162"/>
    <w:rsid w:val="009039AC"/>
    <w:rsid w:val="00904A5F"/>
    <w:rsid w:val="00906A38"/>
    <w:rsid w:val="009119B8"/>
    <w:rsid w:val="00911E5B"/>
    <w:rsid w:val="009124AC"/>
    <w:rsid w:val="00913652"/>
    <w:rsid w:val="00913680"/>
    <w:rsid w:val="009213FF"/>
    <w:rsid w:val="00921629"/>
    <w:rsid w:val="00922053"/>
    <w:rsid w:val="0092219E"/>
    <w:rsid w:val="00922AD7"/>
    <w:rsid w:val="00923EBF"/>
    <w:rsid w:val="00924F58"/>
    <w:rsid w:val="0092556D"/>
    <w:rsid w:val="00925A48"/>
    <w:rsid w:val="009260E0"/>
    <w:rsid w:val="009265AE"/>
    <w:rsid w:val="009304A4"/>
    <w:rsid w:val="00931049"/>
    <w:rsid w:val="00931753"/>
    <w:rsid w:val="009331D9"/>
    <w:rsid w:val="0093480D"/>
    <w:rsid w:val="009351E5"/>
    <w:rsid w:val="0093752D"/>
    <w:rsid w:val="009375F9"/>
    <w:rsid w:val="00943914"/>
    <w:rsid w:val="00944094"/>
    <w:rsid w:val="00944E28"/>
    <w:rsid w:val="00945001"/>
    <w:rsid w:val="00947C1B"/>
    <w:rsid w:val="009523D1"/>
    <w:rsid w:val="00952CD8"/>
    <w:rsid w:val="009536D1"/>
    <w:rsid w:val="00953C5B"/>
    <w:rsid w:val="0095434E"/>
    <w:rsid w:val="00956266"/>
    <w:rsid w:val="00956C5A"/>
    <w:rsid w:val="00957266"/>
    <w:rsid w:val="00957EB9"/>
    <w:rsid w:val="00963648"/>
    <w:rsid w:val="0096441F"/>
    <w:rsid w:val="0096485A"/>
    <w:rsid w:val="00965904"/>
    <w:rsid w:val="009677FB"/>
    <w:rsid w:val="00970C8C"/>
    <w:rsid w:val="00971303"/>
    <w:rsid w:val="00973128"/>
    <w:rsid w:val="009742E1"/>
    <w:rsid w:val="00975834"/>
    <w:rsid w:val="00976065"/>
    <w:rsid w:val="009768CA"/>
    <w:rsid w:val="00980BA9"/>
    <w:rsid w:val="00980D3B"/>
    <w:rsid w:val="00981970"/>
    <w:rsid w:val="0098222F"/>
    <w:rsid w:val="0098320A"/>
    <w:rsid w:val="009870B2"/>
    <w:rsid w:val="009875A4"/>
    <w:rsid w:val="009905B6"/>
    <w:rsid w:val="00990729"/>
    <w:rsid w:val="00990B71"/>
    <w:rsid w:val="0099105D"/>
    <w:rsid w:val="0099288B"/>
    <w:rsid w:val="00992D17"/>
    <w:rsid w:val="00993300"/>
    <w:rsid w:val="0099374B"/>
    <w:rsid w:val="00993B34"/>
    <w:rsid w:val="00997279"/>
    <w:rsid w:val="009978D7"/>
    <w:rsid w:val="00997C9B"/>
    <w:rsid w:val="009A0351"/>
    <w:rsid w:val="009A4AB6"/>
    <w:rsid w:val="009A59FD"/>
    <w:rsid w:val="009A7E38"/>
    <w:rsid w:val="009B1398"/>
    <w:rsid w:val="009B1B46"/>
    <w:rsid w:val="009B333A"/>
    <w:rsid w:val="009B4236"/>
    <w:rsid w:val="009B528E"/>
    <w:rsid w:val="009B55FB"/>
    <w:rsid w:val="009B571F"/>
    <w:rsid w:val="009C0837"/>
    <w:rsid w:val="009C2B6D"/>
    <w:rsid w:val="009C3F95"/>
    <w:rsid w:val="009C5C6E"/>
    <w:rsid w:val="009C7105"/>
    <w:rsid w:val="009D2AC4"/>
    <w:rsid w:val="009D4B40"/>
    <w:rsid w:val="009D59F4"/>
    <w:rsid w:val="009D6CE0"/>
    <w:rsid w:val="009D777A"/>
    <w:rsid w:val="009D7BC8"/>
    <w:rsid w:val="009E01F6"/>
    <w:rsid w:val="009E1333"/>
    <w:rsid w:val="009E3743"/>
    <w:rsid w:val="009E3EA2"/>
    <w:rsid w:val="009E52E7"/>
    <w:rsid w:val="009E56E4"/>
    <w:rsid w:val="009E5C2A"/>
    <w:rsid w:val="009E66F3"/>
    <w:rsid w:val="009E6A01"/>
    <w:rsid w:val="009E762E"/>
    <w:rsid w:val="009F4928"/>
    <w:rsid w:val="009F734A"/>
    <w:rsid w:val="00A00717"/>
    <w:rsid w:val="00A02464"/>
    <w:rsid w:val="00A026BD"/>
    <w:rsid w:val="00A05851"/>
    <w:rsid w:val="00A06620"/>
    <w:rsid w:val="00A11AE1"/>
    <w:rsid w:val="00A11E79"/>
    <w:rsid w:val="00A1614A"/>
    <w:rsid w:val="00A16FF1"/>
    <w:rsid w:val="00A208FE"/>
    <w:rsid w:val="00A20A25"/>
    <w:rsid w:val="00A21078"/>
    <w:rsid w:val="00A22FFD"/>
    <w:rsid w:val="00A23983"/>
    <w:rsid w:val="00A2485E"/>
    <w:rsid w:val="00A2592C"/>
    <w:rsid w:val="00A25ACF"/>
    <w:rsid w:val="00A25B6A"/>
    <w:rsid w:val="00A26DD6"/>
    <w:rsid w:val="00A27783"/>
    <w:rsid w:val="00A27F4D"/>
    <w:rsid w:val="00A30D6C"/>
    <w:rsid w:val="00A32707"/>
    <w:rsid w:val="00A357EE"/>
    <w:rsid w:val="00A366A4"/>
    <w:rsid w:val="00A3785C"/>
    <w:rsid w:val="00A40216"/>
    <w:rsid w:val="00A406C6"/>
    <w:rsid w:val="00A420A2"/>
    <w:rsid w:val="00A42DE5"/>
    <w:rsid w:val="00A431CE"/>
    <w:rsid w:val="00A43332"/>
    <w:rsid w:val="00A44B87"/>
    <w:rsid w:val="00A4531B"/>
    <w:rsid w:val="00A47151"/>
    <w:rsid w:val="00A47359"/>
    <w:rsid w:val="00A474B3"/>
    <w:rsid w:val="00A47BE0"/>
    <w:rsid w:val="00A504F8"/>
    <w:rsid w:val="00A5085D"/>
    <w:rsid w:val="00A51B0B"/>
    <w:rsid w:val="00A53A67"/>
    <w:rsid w:val="00A54D48"/>
    <w:rsid w:val="00A5517A"/>
    <w:rsid w:val="00A57284"/>
    <w:rsid w:val="00A60564"/>
    <w:rsid w:val="00A60662"/>
    <w:rsid w:val="00A60B87"/>
    <w:rsid w:val="00A6313C"/>
    <w:rsid w:val="00A6505D"/>
    <w:rsid w:val="00A66CC7"/>
    <w:rsid w:val="00A70519"/>
    <w:rsid w:val="00A70593"/>
    <w:rsid w:val="00A7101A"/>
    <w:rsid w:val="00A745E0"/>
    <w:rsid w:val="00A75B7C"/>
    <w:rsid w:val="00A80CE6"/>
    <w:rsid w:val="00A80E31"/>
    <w:rsid w:val="00A84B35"/>
    <w:rsid w:val="00A87AE4"/>
    <w:rsid w:val="00A908AF"/>
    <w:rsid w:val="00A94579"/>
    <w:rsid w:val="00A9461E"/>
    <w:rsid w:val="00A955E3"/>
    <w:rsid w:val="00A96C18"/>
    <w:rsid w:val="00A97CCF"/>
    <w:rsid w:val="00AA0A08"/>
    <w:rsid w:val="00AA30A5"/>
    <w:rsid w:val="00AA46E1"/>
    <w:rsid w:val="00AA5860"/>
    <w:rsid w:val="00AA5BFE"/>
    <w:rsid w:val="00AA68EC"/>
    <w:rsid w:val="00AB1869"/>
    <w:rsid w:val="00AB537A"/>
    <w:rsid w:val="00AB55BB"/>
    <w:rsid w:val="00AB5B68"/>
    <w:rsid w:val="00AB776A"/>
    <w:rsid w:val="00AC0DB8"/>
    <w:rsid w:val="00AC3370"/>
    <w:rsid w:val="00AC56A4"/>
    <w:rsid w:val="00AC58AB"/>
    <w:rsid w:val="00AC6A44"/>
    <w:rsid w:val="00AC7164"/>
    <w:rsid w:val="00AC738A"/>
    <w:rsid w:val="00AC76B9"/>
    <w:rsid w:val="00AC7D00"/>
    <w:rsid w:val="00AC7D78"/>
    <w:rsid w:val="00AD0E18"/>
    <w:rsid w:val="00AD1741"/>
    <w:rsid w:val="00AD286F"/>
    <w:rsid w:val="00AD7A62"/>
    <w:rsid w:val="00AE144D"/>
    <w:rsid w:val="00AE24EE"/>
    <w:rsid w:val="00AE35CA"/>
    <w:rsid w:val="00AE377E"/>
    <w:rsid w:val="00AE3E36"/>
    <w:rsid w:val="00AE69A8"/>
    <w:rsid w:val="00AF211F"/>
    <w:rsid w:val="00AF2FD2"/>
    <w:rsid w:val="00AF4213"/>
    <w:rsid w:val="00AF6057"/>
    <w:rsid w:val="00AF6953"/>
    <w:rsid w:val="00B01DD6"/>
    <w:rsid w:val="00B031E2"/>
    <w:rsid w:val="00B05650"/>
    <w:rsid w:val="00B118CE"/>
    <w:rsid w:val="00B12A3C"/>
    <w:rsid w:val="00B12CEA"/>
    <w:rsid w:val="00B14A72"/>
    <w:rsid w:val="00B14FD1"/>
    <w:rsid w:val="00B156F7"/>
    <w:rsid w:val="00B1677F"/>
    <w:rsid w:val="00B168E4"/>
    <w:rsid w:val="00B17404"/>
    <w:rsid w:val="00B205D7"/>
    <w:rsid w:val="00B20FB6"/>
    <w:rsid w:val="00B22B13"/>
    <w:rsid w:val="00B23221"/>
    <w:rsid w:val="00B2457B"/>
    <w:rsid w:val="00B268E6"/>
    <w:rsid w:val="00B26A0C"/>
    <w:rsid w:val="00B27110"/>
    <w:rsid w:val="00B275CA"/>
    <w:rsid w:val="00B300B8"/>
    <w:rsid w:val="00B3193D"/>
    <w:rsid w:val="00B32D53"/>
    <w:rsid w:val="00B3470F"/>
    <w:rsid w:val="00B347F0"/>
    <w:rsid w:val="00B377B1"/>
    <w:rsid w:val="00B3792D"/>
    <w:rsid w:val="00B4065E"/>
    <w:rsid w:val="00B4170D"/>
    <w:rsid w:val="00B443AF"/>
    <w:rsid w:val="00B454F3"/>
    <w:rsid w:val="00B459F6"/>
    <w:rsid w:val="00B45E42"/>
    <w:rsid w:val="00B471CB"/>
    <w:rsid w:val="00B50D27"/>
    <w:rsid w:val="00B51F0E"/>
    <w:rsid w:val="00B5221F"/>
    <w:rsid w:val="00B5275F"/>
    <w:rsid w:val="00B53BF2"/>
    <w:rsid w:val="00B53D95"/>
    <w:rsid w:val="00B545F8"/>
    <w:rsid w:val="00B547C7"/>
    <w:rsid w:val="00B548D8"/>
    <w:rsid w:val="00B55B17"/>
    <w:rsid w:val="00B55EE9"/>
    <w:rsid w:val="00B56033"/>
    <w:rsid w:val="00B61790"/>
    <w:rsid w:val="00B63ADD"/>
    <w:rsid w:val="00B63BC3"/>
    <w:rsid w:val="00B666A9"/>
    <w:rsid w:val="00B6789F"/>
    <w:rsid w:val="00B67A1C"/>
    <w:rsid w:val="00B7158F"/>
    <w:rsid w:val="00B7236D"/>
    <w:rsid w:val="00B72A61"/>
    <w:rsid w:val="00B734FE"/>
    <w:rsid w:val="00B7451A"/>
    <w:rsid w:val="00B749D7"/>
    <w:rsid w:val="00B76402"/>
    <w:rsid w:val="00B80185"/>
    <w:rsid w:val="00B80DCE"/>
    <w:rsid w:val="00B82E40"/>
    <w:rsid w:val="00B84A81"/>
    <w:rsid w:val="00B8566E"/>
    <w:rsid w:val="00B8578F"/>
    <w:rsid w:val="00B85CF6"/>
    <w:rsid w:val="00B861A9"/>
    <w:rsid w:val="00B868B6"/>
    <w:rsid w:val="00B91FC1"/>
    <w:rsid w:val="00B92102"/>
    <w:rsid w:val="00B925D4"/>
    <w:rsid w:val="00B92D57"/>
    <w:rsid w:val="00B9400D"/>
    <w:rsid w:val="00B94DC3"/>
    <w:rsid w:val="00B95687"/>
    <w:rsid w:val="00B97825"/>
    <w:rsid w:val="00BA0958"/>
    <w:rsid w:val="00BA09A9"/>
    <w:rsid w:val="00BA1CC3"/>
    <w:rsid w:val="00BA31F9"/>
    <w:rsid w:val="00BA403A"/>
    <w:rsid w:val="00BA7221"/>
    <w:rsid w:val="00BA7EDB"/>
    <w:rsid w:val="00BB0918"/>
    <w:rsid w:val="00BB4083"/>
    <w:rsid w:val="00BB70B2"/>
    <w:rsid w:val="00BB7AAD"/>
    <w:rsid w:val="00BC092D"/>
    <w:rsid w:val="00BC23F0"/>
    <w:rsid w:val="00BC2E13"/>
    <w:rsid w:val="00BC38FC"/>
    <w:rsid w:val="00BC4B4A"/>
    <w:rsid w:val="00BC7CD2"/>
    <w:rsid w:val="00BD0886"/>
    <w:rsid w:val="00BD0CD7"/>
    <w:rsid w:val="00BD19CF"/>
    <w:rsid w:val="00BD1D46"/>
    <w:rsid w:val="00BD24AA"/>
    <w:rsid w:val="00BD4D31"/>
    <w:rsid w:val="00BD5B7C"/>
    <w:rsid w:val="00BD615E"/>
    <w:rsid w:val="00BE0315"/>
    <w:rsid w:val="00BE0701"/>
    <w:rsid w:val="00BE1265"/>
    <w:rsid w:val="00BE1908"/>
    <w:rsid w:val="00BE1B2C"/>
    <w:rsid w:val="00BE3AA5"/>
    <w:rsid w:val="00BE3E1B"/>
    <w:rsid w:val="00BE4070"/>
    <w:rsid w:val="00BE6001"/>
    <w:rsid w:val="00BE602A"/>
    <w:rsid w:val="00BE6D33"/>
    <w:rsid w:val="00BE757F"/>
    <w:rsid w:val="00BF043A"/>
    <w:rsid w:val="00BF2377"/>
    <w:rsid w:val="00BF38AE"/>
    <w:rsid w:val="00BF7BC7"/>
    <w:rsid w:val="00C032EA"/>
    <w:rsid w:val="00C04274"/>
    <w:rsid w:val="00C052F1"/>
    <w:rsid w:val="00C06CD6"/>
    <w:rsid w:val="00C109EF"/>
    <w:rsid w:val="00C12F1C"/>
    <w:rsid w:val="00C1306B"/>
    <w:rsid w:val="00C15A22"/>
    <w:rsid w:val="00C15E4A"/>
    <w:rsid w:val="00C161D2"/>
    <w:rsid w:val="00C20FC0"/>
    <w:rsid w:val="00C22671"/>
    <w:rsid w:val="00C23F37"/>
    <w:rsid w:val="00C25672"/>
    <w:rsid w:val="00C27658"/>
    <w:rsid w:val="00C301FE"/>
    <w:rsid w:val="00C30BE2"/>
    <w:rsid w:val="00C32C33"/>
    <w:rsid w:val="00C32FFA"/>
    <w:rsid w:val="00C33D9E"/>
    <w:rsid w:val="00C34CEE"/>
    <w:rsid w:val="00C36E84"/>
    <w:rsid w:val="00C402F1"/>
    <w:rsid w:val="00C4283B"/>
    <w:rsid w:val="00C437F8"/>
    <w:rsid w:val="00C43D08"/>
    <w:rsid w:val="00C441FD"/>
    <w:rsid w:val="00C44294"/>
    <w:rsid w:val="00C44436"/>
    <w:rsid w:val="00C45CFC"/>
    <w:rsid w:val="00C46BCF"/>
    <w:rsid w:val="00C50319"/>
    <w:rsid w:val="00C5118B"/>
    <w:rsid w:val="00C51557"/>
    <w:rsid w:val="00C53551"/>
    <w:rsid w:val="00C53BD0"/>
    <w:rsid w:val="00C53C91"/>
    <w:rsid w:val="00C559BC"/>
    <w:rsid w:val="00C55BDC"/>
    <w:rsid w:val="00C606FE"/>
    <w:rsid w:val="00C60F78"/>
    <w:rsid w:val="00C6175D"/>
    <w:rsid w:val="00C61CF2"/>
    <w:rsid w:val="00C62CED"/>
    <w:rsid w:val="00C6312E"/>
    <w:rsid w:val="00C64ED6"/>
    <w:rsid w:val="00C70EF1"/>
    <w:rsid w:val="00C71419"/>
    <w:rsid w:val="00C718C1"/>
    <w:rsid w:val="00C7474F"/>
    <w:rsid w:val="00C77A48"/>
    <w:rsid w:val="00C82DA2"/>
    <w:rsid w:val="00C85B5C"/>
    <w:rsid w:val="00C86E04"/>
    <w:rsid w:val="00C91804"/>
    <w:rsid w:val="00C9300E"/>
    <w:rsid w:val="00C93164"/>
    <w:rsid w:val="00C93454"/>
    <w:rsid w:val="00C93E76"/>
    <w:rsid w:val="00C96340"/>
    <w:rsid w:val="00C96EBE"/>
    <w:rsid w:val="00CA06D2"/>
    <w:rsid w:val="00CA217E"/>
    <w:rsid w:val="00CA2FBB"/>
    <w:rsid w:val="00CA57DB"/>
    <w:rsid w:val="00CA5BF1"/>
    <w:rsid w:val="00CA6768"/>
    <w:rsid w:val="00CA7814"/>
    <w:rsid w:val="00CA7F39"/>
    <w:rsid w:val="00CB1193"/>
    <w:rsid w:val="00CB2917"/>
    <w:rsid w:val="00CB3FCE"/>
    <w:rsid w:val="00CB5DCF"/>
    <w:rsid w:val="00CB7FA9"/>
    <w:rsid w:val="00CC02E8"/>
    <w:rsid w:val="00CC1EB2"/>
    <w:rsid w:val="00CC2A0B"/>
    <w:rsid w:val="00CC45F5"/>
    <w:rsid w:val="00CC4831"/>
    <w:rsid w:val="00CD07D4"/>
    <w:rsid w:val="00CD080D"/>
    <w:rsid w:val="00CD2691"/>
    <w:rsid w:val="00CD4191"/>
    <w:rsid w:val="00CD5CBB"/>
    <w:rsid w:val="00CE2B47"/>
    <w:rsid w:val="00CE2B6F"/>
    <w:rsid w:val="00CE2C80"/>
    <w:rsid w:val="00CE2D7A"/>
    <w:rsid w:val="00CE2DAF"/>
    <w:rsid w:val="00CE38BB"/>
    <w:rsid w:val="00CF0387"/>
    <w:rsid w:val="00CF1CC6"/>
    <w:rsid w:val="00CF4022"/>
    <w:rsid w:val="00CF4B15"/>
    <w:rsid w:val="00CF5799"/>
    <w:rsid w:val="00CF61F9"/>
    <w:rsid w:val="00D00C60"/>
    <w:rsid w:val="00D031C0"/>
    <w:rsid w:val="00D03421"/>
    <w:rsid w:val="00D03520"/>
    <w:rsid w:val="00D049A1"/>
    <w:rsid w:val="00D05E16"/>
    <w:rsid w:val="00D0658D"/>
    <w:rsid w:val="00D068A4"/>
    <w:rsid w:val="00D07916"/>
    <w:rsid w:val="00D07F93"/>
    <w:rsid w:val="00D114B8"/>
    <w:rsid w:val="00D12B64"/>
    <w:rsid w:val="00D139D3"/>
    <w:rsid w:val="00D14B36"/>
    <w:rsid w:val="00D1525A"/>
    <w:rsid w:val="00D15F0F"/>
    <w:rsid w:val="00D16476"/>
    <w:rsid w:val="00D16DD4"/>
    <w:rsid w:val="00D207B8"/>
    <w:rsid w:val="00D207DD"/>
    <w:rsid w:val="00D2153B"/>
    <w:rsid w:val="00D2217A"/>
    <w:rsid w:val="00D22BBC"/>
    <w:rsid w:val="00D24800"/>
    <w:rsid w:val="00D2668A"/>
    <w:rsid w:val="00D27A04"/>
    <w:rsid w:val="00D27F45"/>
    <w:rsid w:val="00D3206E"/>
    <w:rsid w:val="00D32437"/>
    <w:rsid w:val="00D3348E"/>
    <w:rsid w:val="00D3461C"/>
    <w:rsid w:val="00D36805"/>
    <w:rsid w:val="00D368F2"/>
    <w:rsid w:val="00D36E03"/>
    <w:rsid w:val="00D415C0"/>
    <w:rsid w:val="00D41D6D"/>
    <w:rsid w:val="00D4236E"/>
    <w:rsid w:val="00D430B2"/>
    <w:rsid w:val="00D44A32"/>
    <w:rsid w:val="00D44DE5"/>
    <w:rsid w:val="00D45060"/>
    <w:rsid w:val="00D45DEF"/>
    <w:rsid w:val="00D46E30"/>
    <w:rsid w:val="00D51954"/>
    <w:rsid w:val="00D52EEE"/>
    <w:rsid w:val="00D533B4"/>
    <w:rsid w:val="00D548B4"/>
    <w:rsid w:val="00D54D19"/>
    <w:rsid w:val="00D54E80"/>
    <w:rsid w:val="00D6027E"/>
    <w:rsid w:val="00D603F5"/>
    <w:rsid w:val="00D60A15"/>
    <w:rsid w:val="00D62403"/>
    <w:rsid w:val="00D62D03"/>
    <w:rsid w:val="00D62EC1"/>
    <w:rsid w:val="00D6574C"/>
    <w:rsid w:val="00D66B08"/>
    <w:rsid w:val="00D66F81"/>
    <w:rsid w:val="00D67D07"/>
    <w:rsid w:val="00D71500"/>
    <w:rsid w:val="00D7196B"/>
    <w:rsid w:val="00D73FB1"/>
    <w:rsid w:val="00D7421C"/>
    <w:rsid w:val="00D7550D"/>
    <w:rsid w:val="00D77993"/>
    <w:rsid w:val="00D819E9"/>
    <w:rsid w:val="00D90598"/>
    <w:rsid w:val="00D91762"/>
    <w:rsid w:val="00D9258A"/>
    <w:rsid w:val="00D92AE6"/>
    <w:rsid w:val="00D931A1"/>
    <w:rsid w:val="00D9627D"/>
    <w:rsid w:val="00DA0048"/>
    <w:rsid w:val="00DA0617"/>
    <w:rsid w:val="00DA1E00"/>
    <w:rsid w:val="00DA290C"/>
    <w:rsid w:val="00DA5717"/>
    <w:rsid w:val="00DA7EE7"/>
    <w:rsid w:val="00DB3991"/>
    <w:rsid w:val="00DB40BF"/>
    <w:rsid w:val="00DB55B5"/>
    <w:rsid w:val="00DB6288"/>
    <w:rsid w:val="00DB7504"/>
    <w:rsid w:val="00DB7B15"/>
    <w:rsid w:val="00DB7E7F"/>
    <w:rsid w:val="00DC3BD5"/>
    <w:rsid w:val="00DC413C"/>
    <w:rsid w:val="00DC6B2D"/>
    <w:rsid w:val="00DC7C98"/>
    <w:rsid w:val="00DD216C"/>
    <w:rsid w:val="00DD42DB"/>
    <w:rsid w:val="00DD4B08"/>
    <w:rsid w:val="00DD5967"/>
    <w:rsid w:val="00DD5A70"/>
    <w:rsid w:val="00DD7AD7"/>
    <w:rsid w:val="00DE1E1C"/>
    <w:rsid w:val="00DE2689"/>
    <w:rsid w:val="00DE3166"/>
    <w:rsid w:val="00DE3F89"/>
    <w:rsid w:val="00DF1630"/>
    <w:rsid w:val="00DF1E97"/>
    <w:rsid w:val="00DF3617"/>
    <w:rsid w:val="00DF3FB6"/>
    <w:rsid w:val="00DF4C5E"/>
    <w:rsid w:val="00E0306A"/>
    <w:rsid w:val="00E03B23"/>
    <w:rsid w:val="00E04BE0"/>
    <w:rsid w:val="00E06EB3"/>
    <w:rsid w:val="00E07C9E"/>
    <w:rsid w:val="00E10508"/>
    <w:rsid w:val="00E1120D"/>
    <w:rsid w:val="00E1296C"/>
    <w:rsid w:val="00E13774"/>
    <w:rsid w:val="00E15FB8"/>
    <w:rsid w:val="00E17F4B"/>
    <w:rsid w:val="00E21747"/>
    <w:rsid w:val="00E224EF"/>
    <w:rsid w:val="00E23818"/>
    <w:rsid w:val="00E23FEF"/>
    <w:rsid w:val="00E25D4A"/>
    <w:rsid w:val="00E30DF3"/>
    <w:rsid w:val="00E30FFC"/>
    <w:rsid w:val="00E31453"/>
    <w:rsid w:val="00E318C8"/>
    <w:rsid w:val="00E33092"/>
    <w:rsid w:val="00E336FF"/>
    <w:rsid w:val="00E33826"/>
    <w:rsid w:val="00E33EF5"/>
    <w:rsid w:val="00E34209"/>
    <w:rsid w:val="00E409B4"/>
    <w:rsid w:val="00E43CD3"/>
    <w:rsid w:val="00E46910"/>
    <w:rsid w:val="00E47380"/>
    <w:rsid w:val="00E52B60"/>
    <w:rsid w:val="00E53958"/>
    <w:rsid w:val="00E53CC6"/>
    <w:rsid w:val="00E572B7"/>
    <w:rsid w:val="00E5792A"/>
    <w:rsid w:val="00E6030C"/>
    <w:rsid w:val="00E60E9A"/>
    <w:rsid w:val="00E616D8"/>
    <w:rsid w:val="00E652AE"/>
    <w:rsid w:val="00E727FB"/>
    <w:rsid w:val="00E74DA1"/>
    <w:rsid w:val="00E754E1"/>
    <w:rsid w:val="00E76EA3"/>
    <w:rsid w:val="00E774B7"/>
    <w:rsid w:val="00E77D94"/>
    <w:rsid w:val="00E77FA8"/>
    <w:rsid w:val="00E80181"/>
    <w:rsid w:val="00E81B57"/>
    <w:rsid w:val="00E81B94"/>
    <w:rsid w:val="00E8332B"/>
    <w:rsid w:val="00E83BF8"/>
    <w:rsid w:val="00E84573"/>
    <w:rsid w:val="00E90697"/>
    <w:rsid w:val="00E91861"/>
    <w:rsid w:val="00E920E7"/>
    <w:rsid w:val="00E921B7"/>
    <w:rsid w:val="00E96A4D"/>
    <w:rsid w:val="00E96A7C"/>
    <w:rsid w:val="00EA1A7C"/>
    <w:rsid w:val="00EA1C16"/>
    <w:rsid w:val="00EA2ED5"/>
    <w:rsid w:val="00EA52AF"/>
    <w:rsid w:val="00EA7798"/>
    <w:rsid w:val="00EA7D57"/>
    <w:rsid w:val="00EB0906"/>
    <w:rsid w:val="00EB15C9"/>
    <w:rsid w:val="00EB24E3"/>
    <w:rsid w:val="00EB2960"/>
    <w:rsid w:val="00EB3FB2"/>
    <w:rsid w:val="00EB4FB2"/>
    <w:rsid w:val="00EB570F"/>
    <w:rsid w:val="00EB5F73"/>
    <w:rsid w:val="00EB6DA0"/>
    <w:rsid w:val="00EB7058"/>
    <w:rsid w:val="00EB7D2E"/>
    <w:rsid w:val="00EC0460"/>
    <w:rsid w:val="00EC2FA6"/>
    <w:rsid w:val="00EC5C94"/>
    <w:rsid w:val="00EC67AD"/>
    <w:rsid w:val="00EC6BBD"/>
    <w:rsid w:val="00ED0BB8"/>
    <w:rsid w:val="00ED0FB7"/>
    <w:rsid w:val="00ED1400"/>
    <w:rsid w:val="00ED1831"/>
    <w:rsid w:val="00ED18E3"/>
    <w:rsid w:val="00ED50AC"/>
    <w:rsid w:val="00ED616C"/>
    <w:rsid w:val="00EE010C"/>
    <w:rsid w:val="00EE1250"/>
    <w:rsid w:val="00EE253D"/>
    <w:rsid w:val="00EE2CCC"/>
    <w:rsid w:val="00EE49D2"/>
    <w:rsid w:val="00EF0C57"/>
    <w:rsid w:val="00EF3464"/>
    <w:rsid w:val="00EF3B3B"/>
    <w:rsid w:val="00EF5040"/>
    <w:rsid w:val="00EF53CB"/>
    <w:rsid w:val="00F000D0"/>
    <w:rsid w:val="00F01961"/>
    <w:rsid w:val="00F0204E"/>
    <w:rsid w:val="00F0270B"/>
    <w:rsid w:val="00F03367"/>
    <w:rsid w:val="00F03C75"/>
    <w:rsid w:val="00F043FF"/>
    <w:rsid w:val="00F04966"/>
    <w:rsid w:val="00F04F7D"/>
    <w:rsid w:val="00F05CFE"/>
    <w:rsid w:val="00F07650"/>
    <w:rsid w:val="00F07FBA"/>
    <w:rsid w:val="00F13109"/>
    <w:rsid w:val="00F16015"/>
    <w:rsid w:val="00F200E1"/>
    <w:rsid w:val="00F203AA"/>
    <w:rsid w:val="00F2062D"/>
    <w:rsid w:val="00F212A4"/>
    <w:rsid w:val="00F230FD"/>
    <w:rsid w:val="00F259B1"/>
    <w:rsid w:val="00F27D12"/>
    <w:rsid w:val="00F27EE5"/>
    <w:rsid w:val="00F318DB"/>
    <w:rsid w:val="00F32724"/>
    <w:rsid w:val="00F3302E"/>
    <w:rsid w:val="00F3369F"/>
    <w:rsid w:val="00F34588"/>
    <w:rsid w:val="00F3573A"/>
    <w:rsid w:val="00F36DC3"/>
    <w:rsid w:val="00F4003D"/>
    <w:rsid w:val="00F40156"/>
    <w:rsid w:val="00F41740"/>
    <w:rsid w:val="00F42455"/>
    <w:rsid w:val="00F42BAB"/>
    <w:rsid w:val="00F43871"/>
    <w:rsid w:val="00F43B6A"/>
    <w:rsid w:val="00F44195"/>
    <w:rsid w:val="00F461E4"/>
    <w:rsid w:val="00F50E19"/>
    <w:rsid w:val="00F53945"/>
    <w:rsid w:val="00F57DA7"/>
    <w:rsid w:val="00F64B10"/>
    <w:rsid w:val="00F6660E"/>
    <w:rsid w:val="00F702AE"/>
    <w:rsid w:val="00F70E94"/>
    <w:rsid w:val="00F71200"/>
    <w:rsid w:val="00F71389"/>
    <w:rsid w:val="00F713C3"/>
    <w:rsid w:val="00F71653"/>
    <w:rsid w:val="00F71B11"/>
    <w:rsid w:val="00F728CB"/>
    <w:rsid w:val="00F74E8F"/>
    <w:rsid w:val="00F769BF"/>
    <w:rsid w:val="00F776AB"/>
    <w:rsid w:val="00F819D3"/>
    <w:rsid w:val="00F82B7B"/>
    <w:rsid w:val="00F82D12"/>
    <w:rsid w:val="00F84429"/>
    <w:rsid w:val="00F84D98"/>
    <w:rsid w:val="00F8511F"/>
    <w:rsid w:val="00F85E1D"/>
    <w:rsid w:val="00F955A9"/>
    <w:rsid w:val="00F97363"/>
    <w:rsid w:val="00FA0BF6"/>
    <w:rsid w:val="00FA0C2D"/>
    <w:rsid w:val="00FA3107"/>
    <w:rsid w:val="00FA5AFA"/>
    <w:rsid w:val="00FB06C1"/>
    <w:rsid w:val="00FB0E09"/>
    <w:rsid w:val="00FB22D7"/>
    <w:rsid w:val="00FB37C0"/>
    <w:rsid w:val="00FB3D5C"/>
    <w:rsid w:val="00FB3FFC"/>
    <w:rsid w:val="00FB4318"/>
    <w:rsid w:val="00FB59FF"/>
    <w:rsid w:val="00FB6C31"/>
    <w:rsid w:val="00FB6F3E"/>
    <w:rsid w:val="00FC476E"/>
    <w:rsid w:val="00FC541F"/>
    <w:rsid w:val="00FC57C2"/>
    <w:rsid w:val="00FC7415"/>
    <w:rsid w:val="00FC7F03"/>
    <w:rsid w:val="00FD1AF0"/>
    <w:rsid w:val="00FD1BA7"/>
    <w:rsid w:val="00FD3BE6"/>
    <w:rsid w:val="00FD3CF8"/>
    <w:rsid w:val="00FD6381"/>
    <w:rsid w:val="00FD78CB"/>
    <w:rsid w:val="00FE0F21"/>
    <w:rsid w:val="00FE12FF"/>
    <w:rsid w:val="00FE2A14"/>
    <w:rsid w:val="00FE33CB"/>
    <w:rsid w:val="00FE3EE1"/>
    <w:rsid w:val="00FE49B8"/>
    <w:rsid w:val="00FE4A18"/>
    <w:rsid w:val="00FE52B3"/>
    <w:rsid w:val="00FE563E"/>
    <w:rsid w:val="00FF046C"/>
    <w:rsid w:val="00FF0714"/>
    <w:rsid w:val="00FF11D3"/>
    <w:rsid w:val="00FF1DB9"/>
    <w:rsid w:val="00FF2823"/>
    <w:rsid w:val="00FF2F19"/>
    <w:rsid w:val="00FF5E20"/>
    <w:rsid w:val="00FF76A1"/>
    <w:rsid w:val="0B7479B5"/>
    <w:rsid w:val="1196404A"/>
    <w:rsid w:val="12416C52"/>
    <w:rsid w:val="129D0132"/>
    <w:rsid w:val="18B6319D"/>
    <w:rsid w:val="1BA46630"/>
    <w:rsid w:val="1E240968"/>
    <w:rsid w:val="24027FFF"/>
    <w:rsid w:val="247B54FF"/>
    <w:rsid w:val="278D3F33"/>
    <w:rsid w:val="27984201"/>
    <w:rsid w:val="27A50482"/>
    <w:rsid w:val="2854423E"/>
    <w:rsid w:val="29C01703"/>
    <w:rsid w:val="2C166148"/>
    <w:rsid w:val="2D8F79F6"/>
    <w:rsid w:val="30430883"/>
    <w:rsid w:val="31356A9E"/>
    <w:rsid w:val="3156506D"/>
    <w:rsid w:val="351A7CDA"/>
    <w:rsid w:val="356118B1"/>
    <w:rsid w:val="3AF05214"/>
    <w:rsid w:val="3BA5787A"/>
    <w:rsid w:val="3E346A11"/>
    <w:rsid w:val="3F0D38BB"/>
    <w:rsid w:val="467F4E7B"/>
    <w:rsid w:val="47CC396A"/>
    <w:rsid w:val="59AA022C"/>
    <w:rsid w:val="5E9A1367"/>
    <w:rsid w:val="62865A49"/>
    <w:rsid w:val="6ADA6385"/>
    <w:rsid w:val="6C3344A4"/>
    <w:rsid w:val="6EF9104F"/>
    <w:rsid w:val="6F817ED3"/>
    <w:rsid w:val="73AE088B"/>
    <w:rsid w:val="782137C6"/>
    <w:rsid w:val="78265F8F"/>
    <w:rsid w:val="78614BF4"/>
    <w:rsid w:val="7DAC395A"/>
    <w:rsid w:val="7ED93A55"/>
    <w:rsid w:val="7F7908BA"/>
    <w:rsid w:val="7FD640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6"/>
      <w:szCs w:val="24"/>
      <w:lang w:val="en-US" w:eastAsia="zh-CN" w:bidi="ar-SA"/>
    </w:rPr>
  </w:style>
  <w:style w:type="paragraph" w:styleId="3">
    <w:name w:val="heading 1"/>
    <w:basedOn w:val="1"/>
    <w:next w:val="1"/>
    <w:qFormat/>
    <w:uiPriority w:val="0"/>
    <w:pPr>
      <w:keepNext/>
      <w:jc w:val="center"/>
      <w:outlineLvl w:val="0"/>
    </w:pPr>
    <w:rPr>
      <w:b/>
      <w:bCs/>
      <w:sz w:val="20"/>
      <w:szCs w:val="20"/>
    </w:rPr>
  </w:style>
  <w:style w:type="paragraph" w:styleId="4">
    <w:name w:val="heading 2"/>
    <w:basedOn w:val="1"/>
    <w:next w:val="1"/>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5">
    <w:name w:val="heading 3"/>
    <w:basedOn w:val="1"/>
    <w:next w:val="1"/>
    <w:qFormat/>
    <w:uiPriority w:val="0"/>
    <w:pPr>
      <w:keepNext/>
      <w:keepLines/>
      <w:spacing w:before="260" w:after="260" w:line="416" w:lineRule="auto"/>
      <w:jc w:val="center"/>
      <w:outlineLvl w:val="2"/>
    </w:pPr>
    <w:rPr>
      <w:rFonts w:eastAsia="楷体_GB2312"/>
      <w:b/>
      <w:bCs/>
      <w:sz w:val="32"/>
      <w:szCs w:val="32"/>
    </w:rPr>
  </w:style>
  <w:style w:type="paragraph" w:styleId="6">
    <w:name w:val="heading 4"/>
    <w:next w:val="7"/>
    <w:qFormat/>
    <w:uiPriority w:val="0"/>
    <w:pPr>
      <w:spacing w:before="240" w:after="240"/>
      <w:outlineLvl w:val="3"/>
    </w:pPr>
    <w:rPr>
      <w:rFonts w:ascii="黑体" w:eastAsia="黑体"/>
      <w:bCs/>
      <w:iCs/>
      <w:snapToGrid w:val="0"/>
      <w:sz w:val="30"/>
      <w:lang w:val="en-US" w:eastAsia="zh-CN" w:bidi="ar-SA"/>
    </w:rPr>
  </w:style>
  <w:style w:type="paragraph" w:styleId="7">
    <w:name w:val="heading 5"/>
    <w:next w:val="8"/>
    <w:qFormat/>
    <w:uiPriority w:val="0"/>
    <w:pPr>
      <w:keepNext/>
      <w:keepLines/>
      <w:spacing w:before="280" w:after="290" w:line="376" w:lineRule="auto"/>
      <w:outlineLvl w:val="4"/>
    </w:pPr>
    <w:rPr>
      <w:b/>
      <w:sz w:val="24"/>
      <w:u w:val="single"/>
      <w:lang w:val="en-US" w:eastAsia="zh-CN" w:bidi="ar-SA"/>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 w:val="21"/>
      <w:szCs w:val="21"/>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cs="Arial"/>
      <w:color w:val="000000"/>
      <w:sz w:val="24"/>
      <w:szCs w:val="24"/>
      <w:lang w:val="en-US" w:eastAsia="zh-CN" w:bidi="ar-SA"/>
    </w:rPr>
  </w:style>
  <w:style w:type="paragraph" w:styleId="8">
    <w:name w:val="Normal Indent"/>
    <w:basedOn w:val="1"/>
    <w:uiPriority w:val="0"/>
    <w:pPr>
      <w:ind w:firstLine="420"/>
    </w:pPr>
    <w:rPr>
      <w:sz w:val="21"/>
      <w:szCs w:val="20"/>
    </w:rPr>
  </w:style>
  <w:style w:type="paragraph" w:styleId="13">
    <w:name w:val="Document Map"/>
    <w:basedOn w:val="1"/>
    <w:semiHidden/>
    <w:uiPriority w:val="0"/>
    <w:pPr>
      <w:shd w:val="clear" w:color="auto" w:fill="000080"/>
    </w:pPr>
  </w:style>
  <w:style w:type="paragraph" w:styleId="14">
    <w:name w:val="Salutation"/>
    <w:basedOn w:val="1"/>
    <w:uiPriority w:val="0"/>
    <w:pPr>
      <w:widowControl/>
      <w:spacing w:before="100" w:beforeAutospacing="1" w:after="100" w:afterAutospacing="1"/>
      <w:jc w:val="left"/>
    </w:pPr>
    <w:rPr>
      <w:rFonts w:ascii="宋体" w:hAnsi="宋体"/>
      <w:kern w:val="0"/>
      <w:sz w:val="24"/>
    </w:rPr>
  </w:style>
  <w:style w:type="paragraph" w:styleId="15">
    <w:name w:val="Body Text"/>
    <w:basedOn w:val="1"/>
    <w:uiPriority w:val="0"/>
    <w:pPr>
      <w:snapToGrid w:val="0"/>
      <w:spacing w:line="500" w:lineRule="atLeast"/>
    </w:pPr>
    <w:rPr>
      <w:rFonts w:ascii="楷体_GB2312" w:hAnsi="宋体" w:eastAsia="楷体_GB2312"/>
      <w:bCs/>
      <w:sz w:val="24"/>
    </w:rPr>
  </w:style>
  <w:style w:type="paragraph" w:styleId="16">
    <w:name w:val="Body Text Indent"/>
    <w:basedOn w:val="1"/>
    <w:uiPriority w:val="0"/>
    <w:pPr>
      <w:adjustRightInd w:val="0"/>
      <w:spacing w:line="500" w:lineRule="atLeast"/>
      <w:ind w:firstLine="210"/>
      <w:textAlignment w:val="baseline"/>
    </w:pPr>
    <w:rPr>
      <w:rFonts w:ascii="仿宋_GB2312" w:eastAsia="仿宋_GB2312"/>
      <w:kern w:val="0"/>
      <w:sz w:val="24"/>
      <w:szCs w:val="20"/>
    </w:rPr>
  </w:style>
  <w:style w:type="paragraph" w:styleId="17">
    <w:name w:val="Block Text"/>
    <w:basedOn w:val="1"/>
    <w:uiPriority w:val="0"/>
    <w:pPr>
      <w:ind w:left="902" w:right="386"/>
    </w:pPr>
    <w:rPr>
      <w:sz w:val="21"/>
      <w:szCs w:val="20"/>
    </w:rPr>
  </w:style>
  <w:style w:type="paragraph" w:styleId="18">
    <w:name w:val="Plain Text"/>
    <w:basedOn w:val="1"/>
    <w:link w:val="36"/>
    <w:uiPriority w:val="0"/>
    <w:rPr>
      <w:rFonts w:ascii="宋体" w:hAnsi="Courier New"/>
      <w:sz w:val="21"/>
      <w:szCs w:val="20"/>
    </w:rPr>
  </w:style>
  <w:style w:type="paragraph" w:styleId="19">
    <w:name w:val="List Number 4"/>
    <w:basedOn w:val="1"/>
    <w:uiPriority w:val="0"/>
    <w:pPr>
      <w:numPr>
        <w:ilvl w:val="0"/>
        <w:numId w:val="1"/>
      </w:numPr>
    </w:pPr>
    <w:rPr>
      <w:sz w:val="21"/>
    </w:rPr>
  </w:style>
  <w:style w:type="paragraph" w:styleId="20">
    <w:name w:val="Date"/>
    <w:basedOn w:val="1"/>
    <w:next w:val="1"/>
    <w:uiPriority w:val="0"/>
  </w:style>
  <w:style w:type="paragraph" w:styleId="21">
    <w:name w:val="Body Text Indent 2"/>
    <w:basedOn w:val="1"/>
    <w:uiPriority w:val="0"/>
    <w:pPr>
      <w:spacing w:line="500" w:lineRule="atLeast"/>
      <w:ind w:firstLine="480"/>
    </w:pPr>
    <w:rPr>
      <w:rFonts w:ascii="楷体_GB2312" w:eastAsia="楷体_GB2312"/>
      <w:color w:val="FF0000"/>
      <w:sz w:val="24"/>
    </w:rPr>
  </w:style>
  <w:style w:type="paragraph" w:styleId="22">
    <w:name w:val="Balloon Text"/>
    <w:basedOn w:val="1"/>
    <w:semiHidden/>
    <w:uiPriority w:val="0"/>
    <w:rPr>
      <w:sz w:val="18"/>
      <w:szCs w:val="18"/>
    </w:rPr>
  </w:style>
  <w:style w:type="paragraph" w:styleId="23">
    <w:name w:val="footer"/>
    <w:basedOn w:val="1"/>
    <w:uiPriority w:val="0"/>
    <w:pPr>
      <w:tabs>
        <w:tab w:val="center" w:pos="4153"/>
        <w:tab w:val="right" w:pos="8306"/>
      </w:tabs>
      <w:snapToGrid w:val="0"/>
      <w:jc w:val="left"/>
    </w:pPr>
    <w:rPr>
      <w:sz w:val="18"/>
      <w:szCs w:val="18"/>
    </w:rPr>
  </w:style>
  <w:style w:type="paragraph" w:styleId="2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uiPriority w:val="0"/>
    <w:rPr>
      <w:sz w:val="21"/>
    </w:rPr>
  </w:style>
  <w:style w:type="paragraph" w:styleId="26">
    <w:name w:val="Body Text Indent 3"/>
    <w:basedOn w:val="1"/>
    <w:uiPriority w:val="0"/>
    <w:pPr>
      <w:spacing w:line="480" w:lineRule="atLeast"/>
      <w:ind w:firstLine="500"/>
    </w:pPr>
    <w:rPr>
      <w:rFonts w:ascii="楷体_GB2312" w:eastAsia="楷体_GB2312"/>
      <w:sz w:val="24"/>
    </w:rPr>
  </w:style>
  <w:style w:type="paragraph" w:styleId="27">
    <w:name w:val="toc 2"/>
    <w:basedOn w:val="1"/>
    <w:next w:val="1"/>
    <w:semiHidden/>
    <w:uiPriority w:val="0"/>
    <w:pPr>
      <w:tabs>
        <w:tab w:val="right" w:leader="dot" w:pos="8813"/>
      </w:tabs>
      <w:spacing w:line="360" w:lineRule="auto"/>
      <w:ind w:left="420"/>
    </w:pPr>
    <w:rPr>
      <w:rFonts w:ascii="Arial" w:hAnsi="Arial" w:cs="Arial"/>
      <w:b/>
      <w:snapToGrid w:val="0"/>
      <w:kern w:val="0"/>
      <w:sz w:val="21"/>
      <w:szCs w:val="21"/>
      <w:lang/>
    </w:rPr>
  </w:style>
  <w:style w:type="paragraph" w:styleId="28">
    <w:name w:val="Normal (Web)"/>
    <w:basedOn w:val="1"/>
    <w:uiPriority w:val="0"/>
    <w:pPr>
      <w:widowControl/>
      <w:spacing w:before="100" w:beforeAutospacing="1" w:after="100" w:afterAutospacing="1"/>
      <w:jc w:val="left"/>
    </w:pPr>
    <w:rPr>
      <w:rFonts w:ascii="宋体" w:hAnsi="宋体" w:cs="宋体"/>
      <w:kern w:val="0"/>
      <w:sz w:val="24"/>
    </w:rPr>
  </w:style>
  <w:style w:type="table" w:styleId="30">
    <w:name w:val="Table Grid"/>
    <w:basedOn w:val="29"/>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uiPriority w:val="0"/>
  </w:style>
  <w:style w:type="character" w:styleId="33">
    <w:name w:val="FollowedHyperlink"/>
    <w:uiPriority w:val="0"/>
    <w:rPr>
      <w:color w:val="800080"/>
      <w:u w:val="single"/>
    </w:rPr>
  </w:style>
  <w:style w:type="character" w:styleId="34">
    <w:name w:val="Hyperlink"/>
    <w:uiPriority w:val="0"/>
    <w:rPr>
      <w:color w:val="0000FF"/>
      <w:u w:val="single"/>
    </w:rPr>
  </w:style>
  <w:style w:type="character" w:customStyle="1" w:styleId="35">
    <w:name w:val="contentheaderrev1"/>
    <w:uiPriority w:val="0"/>
    <w:rPr>
      <w:rFonts w:hint="default" w:ascii="Arial" w:hAnsi="Arial" w:cs="Arial"/>
      <w:b/>
      <w:bCs/>
      <w:color w:val="FFFFFF"/>
      <w:sz w:val="24"/>
      <w:szCs w:val="24"/>
      <w:u w:val="none"/>
    </w:rPr>
  </w:style>
  <w:style w:type="character" w:customStyle="1" w:styleId="36">
    <w:name w:val="纯文本 Char"/>
    <w:link w:val="18"/>
    <w:uiPriority w:val="0"/>
    <w:rPr>
      <w:rFonts w:ascii="宋体" w:hAnsi="Courier New" w:eastAsia="宋体"/>
      <w:kern w:val="2"/>
      <w:sz w:val="21"/>
      <w:lang w:val="en-US" w:eastAsia="zh-CN" w:bidi="ar-SA"/>
    </w:rPr>
  </w:style>
  <w:style w:type="character" w:customStyle="1" w:styleId="37">
    <w:name w:val="text1"/>
    <w:uiPriority w:val="0"/>
    <w:rPr>
      <w:rFonts w:hint="default" w:ascii="_x000B__x000C_" w:hAnsi="_x000B__x000C_"/>
      <w:color w:val="666666"/>
      <w:sz w:val="18"/>
      <w:szCs w:val="18"/>
      <w:u w:val="none"/>
    </w:rPr>
  </w:style>
  <w:style w:type="character" w:customStyle="1" w:styleId="38">
    <w:name w:val="styles11"/>
    <w:uiPriority w:val="0"/>
    <w:rPr>
      <w:rFonts w:hint="default" w:ascii="_x000B__x000C_" w:hAnsi="_x000B__x000C_"/>
      <w:sz w:val="21"/>
      <w:szCs w:val="21"/>
    </w:rPr>
  </w:style>
  <w:style w:type="character" w:customStyle="1" w:styleId="39">
    <w:name w:val="unnamed51"/>
    <w:uiPriority w:val="0"/>
    <w:rPr>
      <w:rFonts w:hint="eastAsia" w:ascii="宋体" w:hAnsi="宋体" w:eastAsia="宋体"/>
      <w:color w:val="666666"/>
      <w:sz w:val="18"/>
      <w:szCs w:val="18"/>
    </w:rPr>
  </w:style>
  <w:style w:type="character" w:customStyle="1" w:styleId="40">
    <w:name w:val="headst"/>
    <w:basedOn w:val="31"/>
    <w:uiPriority w:val="0"/>
  </w:style>
  <w:style w:type="character" w:customStyle="1" w:styleId="41">
    <w:name w:val="unnamed31"/>
    <w:uiPriority w:val="0"/>
    <w:rPr>
      <w:rFonts w:hint="eastAsia" w:ascii="宋体" w:hAnsi="宋体" w:eastAsia="宋体"/>
      <w:color w:val="6666CC"/>
      <w:sz w:val="18"/>
      <w:szCs w:val="18"/>
    </w:rPr>
  </w:style>
  <w:style w:type="character" w:customStyle="1" w:styleId="42">
    <w:name w:val="普通文字 Char Char1"/>
    <w:aliases w:val="纯文本 Char Char Char,纯文本 Char Char1,普通文字 Char Char Char1,普通文字 Char Char Char Char1,普通文字 Char Char Char Char Char,普通文字 Char1,纯文本 Char Char Char Char Char Char Char Char Char Char Char Char Char Char,普通文字1 Char,普通文字2 Char,普通文字3 Char"/>
    <w:uiPriority w:val="0"/>
    <w:rPr>
      <w:rFonts w:ascii="宋体" w:hAnsi="Courier New" w:eastAsia="宋体" w:cs="Courier New"/>
      <w:kern w:val="2"/>
      <w:sz w:val="21"/>
      <w:szCs w:val="21"/>
      <w:lang w:val="en-US" w:eastAsia="zh-CN" w:bidi="ar-SA"/>
    </w:rPr>
  </w:style>
  <w:style w:type="character" w:customStyle="1" w:styleId="43">
    <w:name w:val="unnamed11"/>
    <w:uiPriority w:val="0"/>
    <w:rPr>
      <w:color w:val="000000"/>
      <w:u w:val="none"/>
    </w:rPr>
  </w:style>
  <w:style w:type="character" w:customStyle="1" w:styleId="44">
    <w:name w:val="yellow12"/>
    <w:basedOn w:val="31"/>
    <w:uiPriority w:val="0"/>
  </w:style>
  <w:style w:type="paragraph" w:customStyle="1" w:styleId="45">
    <w:name w:val="xl116"/>
    <w:basedOn w:val="1"/>
    <w:uiPriority w:val="0"/>
    <w:pPr>
      <w:widowControl/>
      <w:spacing w:before="100" w:beforeAutospacing="1" w:after="100" w:afterAutospacing="1"/>
      <w:jc w:val="center"/>
    </w:pPr>
    <w:rPr>
      <w:rFonts w:eastAsia="Arial Unicode MS"/>
      <w:kern w:val="0"/>
      <w:sz w:val="24"/>
    </w:rPr>
  </w:style>
  <w:style w:type="paragraph" w:customStyle="1" w:styleId="46">
    <w:name w:val="_Style 11"/>
    <w:basedOn w:val="24"/>
    <w:next w:val="24"/>
    <w:uiPriority w:val="0"/>
    <w:pPr>
      <w:snapToGrid/>
      <w:jc w:val="right"/>
    </w:pPr>
    <w:rPr>
      <w:rFonts w:ascii="宋体" w:hAnsi="宋体"/>
      <w:b/>
      <w:sz w:val="21"/>
      <w:szCs w:val="21"/>
    </w:rPr>
  </w:style>
  <w:style w:type="paragraph" w:customStyle="1" w:styleId="47">
    <w:name w:val="xl66"/>
    <w:basedOn w:val="1"/>
    <w:uiPriority w:val="0"/>
    <w:pPr>
      <w:widowControl/>
      <w:spacing w:before="100" w:beforeAutospacing="1" w:after="100" w:afterAutospacing="1"/>
    </w:pPr>
    <w:rPr>
      <w:rFonts w:ascii="Arial Unicode MS" w:hAnsi="Arial Unicode MS" w:eastAsia="Arial Unicode MS"/>
      <w:kern w:val="0"/>
      <w:sz w:val="24"/>
    </w:rPr>
  </w:style>
  <w:style w:type="paragraph" w:customStyle="1" w:styleId="48">
    <w:name w:val="font5"/>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49">
    <w:name w:val="xl3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0">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1">
    <w:name w:val="正文段"/>
    <w:basedOn w:val="1"/>
    <w:uiPriority w:val="0"/>
    <w:pPr>
      <w:widowControl/>
      <w:numPr>
        <w:ilvl w:val="0"/>
        <w:numId w:val="2"/>
      </w:numPr>
      <w:adjustRightInd w:val="0"/>
      <w:spacing w:line="360" w:lineRule="auto"/>
      <w:ind w:left="840"/>
      <w:textAlignment w:val="bottom"/>
    </w:pPr>
    <w:rPr>
      <w:sz w:val="24"/>
    </w:rPr>
  </w:style>
  <w:style w:type="paragraph" w:customStyle="1" w:styleId="52">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3">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4"/>
    </w:rPr>
  </w:style>
  <w:style w:type="paragraph" w:customStyle="1" w:styleId="54">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56">
    <w:name w:val="xl105"/>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7">
    <w:name w:val="xl24"/>
    <w:basedOn w:val="1"/>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8">
    <w:name w:val="xl7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61">
    <w:name w:val="font6"/>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2">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63">
    <w:name w:val="xl76"/>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64">
    <w:name w:val="xl4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5">
    <w:name w:val="xl8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66">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67">
    <w:name w:val="wy"/>
    <w:basedOn w:val="6"/>
    <w:uiPriority w:val="0"/>
    <w:pPr>
      <w:numPr>
        <w:ilvl w:val="3"/>
        <w:numId w:val="3"/>
      </w:numPr>
    </w:pPr>
    <w:rPr>
      <w:rFonts w:ascii="仿宋_GB2312" w:eastAsia="仿宋_GB2312"/>
      <w:b/>
      <w:sz w:val="24"/>
    </w:rPr>
  </w:style>
  <w:style w:type="paragraph" w:customStyle="1" w:styleId="68">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9">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70">
    <w:name w:val="xl83"/>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72">
    <w:name w:val="xl31"/>
    <w:basedOn w:val="1"/>
    <w:uiPriority w:val="0"/>
    <w:pPr>
      <w:widowControl/>
      <w:spacing w:before="100" w:beforeAutospacing="1" w:after="100" w:afterAutospacing="1"/>
      <w:jc w:val="center"/>
    </w:pPr>
    <w:rPr>
      <w:rFonts w:ascii="宋体" w:hAnsi="宋体"/>
      <w:kern w:val="0"/>
      <w:sz w:val="20"/>
      <w:szCs w:val="20"/>
    </w:rPr>
  </w:style>
  <w:style w:type="paragraph" w:customStyle="1" w:styleId="73">
    <w:name w:val="text"/>
    <w:basedOn w:val="1"/>
    <w:uiPriority w:val="0"/>
    <w:pPr>
      <w:widowControl/>
      <w:spacing w:before="100" w:beforeAutospacing="1" w:after="100" w:afterAutospacing="1" w:line="240" w:lineRule="atLeast"/>
      <w:ind w:firstLine="480"/>
      <w:jc w:val="left"/>
    </w:pPr>
    <w:rPr>
      <w:rFonts w:ascii="_x000B__x000C_" w:hAnsi="_x000B__x000C_" w:eastAsia="Arial Unicode MS"/>
      <w:color w:val="666666"/>
      <w:kern w:val="0"/>
      <w:sz w:val="18"/>
      <w:szCs w:val="18"/>
    </w:rPr>
  </w:style>
  <w:style w:type="paragraph" w:customStyle="1" w:styleId="74">
    <w:name w:val="shadow1"/>
    <w:basedOn w:val="1"/>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75">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76">
    <w:name w:val="样式3"/>
    <w:basedOn w:val="5"/>
    <w:uiPriority w:val="0"/>
    <w:pPr>
      <w:adjustRightInd w:val="0"/>
      <w:snapToGrid w:val="0"/>
      <w:spacing w:before="100" w:beforeAutospacing="1" w:after="100" w:afterAutospacing="1" w:line="500" w:lineRule="atLeast"/>
      <w:ind w:left="454" w:hanging="284"/>
      <w:jc w:val="left"/>
      <w:textAlignment w:val="baseline"/>
    </w:pPr>
    <w:rPr>
      <w:rFonts w:ascii="宋体" w:hAnsi="Arial"/>
      <w:snapToGrid w:val="0"/>
      <w:kern w:val="0"/>
      <w:sz w:val="24"/>
      <w:szCs w:val="20"/>
    </w:rPr>
  </w:style>
  <w:style w:type="paragraph" w:customStyle="1" w:styleId="77">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78">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79">
    <w:name w:val="xl80"/>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FF0000"/>
      <w:kern w:val="0"/>
      <w:sz w:val="20"/>
      <w:szCs w:val="20"/>
    </w:rPr>
  </w:style>
  <w:style w:type="paragraph" w:customStyle="1" w:styleId="80">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82">
    <w:name w:val="xl3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83">
    <w:name w:val="font9"/>
    <w:basedOn w:val="1"/>
    <w:uiPriority w:val="0"/>
    <w:pPr>
      <w:widowControl/>
      <w:spacing w:before="100" w:beforeAutospacing="1" w:after="100" w:afterAutospacing="1"/>
      <w:jc w:val="left"/>
    </w:pPr>
    <w:rPr>
      <w:rFonts w:hint="eastAsia" w:ascii="宋体" w:hAnsi="宋体" w:cs="Arial Unicode MS"/>
      <w:kern w:val="0"/>
      <w:sz w:val="21"/>
      <w:szCs w:val="21"/>
    </w:rPr>
  </w:style>
  <w:style w:type="paragraph" w:customStyle="1" w:styleId="84">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85">
    <w:name w:val="xl79"/>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86">
    <w:name w:val="xl49"/>
    <w:basedOn w:val="1"/>
    <w:uiPriority w:val="0"/>
    <w:pPr>
      <w:widowControl/>
      <w:pBdr>
        <w:left w:val="single" w:color="auto" w:sz="8" w:space="0"/>
        <w:bottom w:val="single" w:color="auto" w:sz="4" w:space="0"/>
      </w:pBdr>
      <w:spacing w:before="100" w:beforeAutospacing="1" w:after="100" w:afterAutospacing="1"/>
    </w:pPr>
    <w:rPr>
      <w:rFonts w:ascii="Arial Unicode MS" w:hAnsi="Arial Unicode MS" w:eastAsia="Arial Unicode MS"/>
      <w:kern w:val="0"/>
      <w:sz w:val="24"/>
    </w:rPr>
  </w:style>
  <w:style w:type="paragraph" w:customStyle="1" w:styleId="87">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88">
    <w:name w:val="xl62"/>
    <w:basedOn w:val="1"/>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89">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0">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2">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3">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94">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5">
    <w:name w:val="xl71"/>
    <w:basedOn w:val="1"/>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96">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97">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xl3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9">
    <w:name w:val="xl6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0">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01">
    <w:name w:val="样式1"/>
    <w:basedOn w:val="25"/>
    <w:uiPriority w:val="0"/>
    <w:pPr>
      <w:adjustRightInd w:val="0"/>
      <w:snapToGrid w:val="0"/>
      <w:spacing w:line="500" w:lineRule="atLeast"/>
    </w:pPr>
    <w:rPr>
      <w:rFonts w:ascii="黑体" w:hAnsi="宋体" w:eastAsia="黑体" w:cs="Arial"/>
      <w:bCs/>
      <w:sz w:val="30"/>
      <w:szCs w:val="30"/>
    </w:rPr>
  </w:style>
  <w:style w:type="paragraph" w:customStyle="1" w:styleId="102">
    <w:name w:val="样式 首行缩进:  2 字符"/>
    <w:basedOn w:val="1"/>
    <w:uiPriority w:val="0"/>
    <w:pPr>
      <w:spacing w:line="360" w:lineRule="auto"/>
      <w:ind w:firstLine="480" w:firstLineChars="200"/>
    </w:pPr>
    <w:rPr>
      <w:rFonts w:ascii="Arial" w:hAnsi="Arial" w:cs="宋体"/>
      <w:sz w:val="24"/>
      <w:szCs w:val="20"/>
    </w:rPr>
  </w:style>
  <w:style w:type="paragraph" w:customStyle="1" w:styleId="103">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04">
    <w:name w:val="Normal"/>
    <w:uiPriority w:val="0"/>
    <w:pPr>
      <w:widowControl w:val="0"/>
      <w:adjustRightInd w:val="0"/>
      <w:spacing w:line="240" w:lineRule="atLeast"/>
      <w:jc w:val="both"/>
      <w:textAlignment w:val="baseline"/>
    </w:pPr>
    <w:rPr>
      <w:rFonts w:ascii="宋体"/>
      <w:sz w:val="34"/>
      <w:lang w:val="en-US" w:eastAsia="zh-CN" w:bidi="ar-SA"/>
    </w:rPr>
  </w:style>
  <w:style w:type="paragraph" w:customStyle="1" w:styleId="105">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06">
    <w:name w:val="l18"/>
    <w:basedOn w:val="1"/>
    <w:uiPriority w:val="0"/>
    <w:pPr>
      <w:widowControl/>
      <w:spacing w:before="40" w:after="100" w:afterAutospacing="1" w:line="360" w:lineRule="atLeast"/>
      <w:ind w:left="120"/>
      <w:jc w:val="left"/>
    </w:pPr>
    <w:rPr>
      <w:rFonts w:ascii="Arial" w:hAnsi="Arial" w:cs="Arial"/>
      <w:color w:val="000000"/>
      <w:kern w:val="0"/>
      <w:sz w:val="24"/>
    </w:rPr>
  </w:style>
  <w:style w:type="paragraph" w:customStyle="1" w:styleId="107">
    <w:name w:val="xl64"/>
    <w:basedOn w:val="1"/>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08">
    <w:name w:val="加点"/>
    <w:basedOn w:val="1"/>
    <w:uiPriority w:val="0"/>
    <w:pPr>
      <w:spacing w:line="360" w:lineRule="auto"/>
    </w:pPr>
    <w:rPr>
      <w:rFonts w:eastAsia="楷体_GB2312"/>
      <w:sz w:val="24"/>
      <w:szCs w:val="20"/>
    </w:rPr>
  </w:style>
  <w:style w:type="paragraph" w:customStyle="1" w:styleId="109">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110">
    <w:name w:val="contentlabel"/>
    <w:basedOn w:val="1"/>
    <w:uiPriority w:val="0"/>
    <w:pPr>
      <w:widowControl/>
      <w:spacing w:before="40" w:after="100" w:afterAutospacing="1"/>
      <w:ind w:left="120"/>
      <w:jc w:val="left"/>
    </w:pPr>
    <w:rPr>
      <w:rFonts w:ascii="Arial" w:hAnsi="Arial" w:cs="Arial"/>
      <w:color w:val="336666"/>
      <w:kern w:val="0"/>
      <w:sz w:val="24"/>
    </w:rPr>
  </w:style>
  <w:style w:type="paragraph" w:customStyle="1" w:styleId="11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12">
    <w:name w:val="xl138"/>
    <w:basedOn w:val="1"/>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13">
    <w:name w:val="xl65"/>
    <w:basedOn w:val="1"/>
    <w:uiPriority w:val="0"/>
    <w:pPr>
      <w:widowControl/>
      <w:spacing w:before="100" w:beforeAutospacing="1" w:after="100" w:afterAutospacing="1"/>
      <w:jc w:val="left"/>
      <w:textAlignment w:val="center"/>
    </w:pPr>
    <w:rPr>
      <w:rFonts w:eastAsia="Arial Unicode MS"/>
      <w:kern w:val="0"/>
      <w:sz w:val="20"/>
      <w:szCs w:val="20"/>
    </w:rPr>
  </w:style>
  <w:style w:type="paragraph" w:customStyle="1" w:styleId="114">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115">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16">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
    <w:name w:val="表内文字"/>
    <w:basedOn w:val="1"/>
    <w:uiPriority w:val="0"/>
    <w:pPr>
      <w:adjustRightInd w:val="0"/>
      <w:snapToGrid w:val="0"/>
      <w:spacing w:line="400" w:lineRule="atLeast"/>
      <w:jc w:val="center"/>
    </w:pPr>
    <w:rPr>
      <w:rFonts w:ascii="Arial" w:hAnsi="Arial" w:cs="Arial"/>
      <w:b/>
      <w:snapToGrid w:val="0"/>
      <w:color w:val="000000"/>
      <w:kern w:val="0"/>
      <w:sz w:val="28"/>
      <w:szCs w:val="28"/>
    </w:rPr>
  </w:style>
  <w:style w:type="paragraph" w:customStyle="1" w:styleId="118">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1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120">
    <w:name w:val="表文1"/>
    <w:basedOn w:val="1"/>
    <w:uiPriority w:val="0"/>
    <w:pPr>
      <w:widowControl/>
      <w:spacing w:line="360" w:lineRule="auto"/>
      <w:ind w:firstLine="780" w:firstLineChars="300"/>
    </w:pPr>
    <w:rPr>
      <w:rFonts w:ascii="宋体" w:hAnsi="宋体"/>
      <w:bCs/>
      <w:color w:val="000000"/>
      <w:spacing w:val="10"/>
      <w:kern w:val="0"/>
      <w:sz w:val="24"/>
      <w:lang/>
    </w:rPr>
  </w:style>
  <w:style w:type="paragraph" w:customStyle="1" w:styleId="121">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122">
    <w:name w:val="项目符号"/>
    <w:basedOn w:val="19"/>
    <w:uiPriority w:val="0"/>
    <w:pPr>
      <w:numPr>
        <w:ilvl w:val="0"/>
        <w:numId w:val="0"/>
      </w:numPr>
      <w:tabs>
        <w:tab w:val="left" w:pos="1260"/>
      </w:tabs>
      <w:spacing w:line="360" w:lineRule="auto"/>
      <w:ind w:left="630"/>
    </w:pPr>
    <w:rPr>
      <w:rFonts w:ascii="宋体" w:hAnsi="宋体"/>
      <w:sz w:val="24"/>
    </w:rPr>
  </w:style>
  <w:style w:type="paragraph" w:customStyle="1" w:styleId="12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2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5">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26">
    <w:name w:val="样式2"/>
    <w:basedOn w:val="4"/>
    <w:uiPriority w:val="0"/>
    <w:pPr>
      <w:numPr>
        <w:ilvl w:val="1"/>
        <w:numId w:val="4"/>
      </w:numPr>
      <w:snapToGrid/>
      <w:spacing w:before="100" w:beforeAutospacing="1" w:after="100" w:afterAutospacing="1" w:line="240" w:lineRule="auto"/>
      <w:jc w:val="left"/>
      <w:textAlignment w:val="baseline"/>
    </w:pPr>
    <w:rPr>
      <w:rFonts w:ascii="Arial" w:eastAsia="黑体"/>
      <w:b w:val="0"/>
      <w:bCs w:val="0"/>
      <w:iCs/>
      <w:snapToGrid w:val="0"/>
      <w:kern w:val="0"/>
      <w:szCs w:val="20"/>
    </w:rPr>
  </w:style>
  <w:style w:type="paragraph" w:customStyle="1" w:styleId="12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28">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9">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0">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131">
    <w:name w:val="xl104"/>
    <w:basedOn w:val="1"/>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32">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3">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34">
    <w:name w:val="xl3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35">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36">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7">
    <w:name w:val="样式5"/>
    <w:basedOn w:val="25"/>
    <w:uiPriority w:val="0"/>
    <w:pPr>
      <w:adjustRightInd w:val="0"/>
      <w:snapToGrid w:val="0"/>
      <w:spacing w:line="500" w:lineRule="atLeast"/>
    </w:pPr>
    <w:rPr>
      <w:rFonts w:ascii="黑体" w:hAnsi="宋体" w:eastAsia="黑体" w:cs="Arial"/>
      <w:bCs/>
      <w:sz w:val="30"/>
      <w:szCs w:val="30"/>
    </w:rPr>
  </w:style>
  <w:style w:type="paragraph" w:customStyle="1" w:styleId="138">
    <w:name w:val="font8"/>
    <w:basedOn w:val="1"/>
    <w:uiPriority w:val="0"/>
    <w:pPr>
      <w:widowControl/>
      <w:spacing w:before="100" w:beforeAutospacing="1" w:after="100" w:afterAutospacing="1"/>
      <w:jc w:val="left"/>
    </w:pPr>
    <w:rPr>
      <w:rFonts w:eastAsia="Arial Unicode MS"/>
      <w:kern w:val="0"/>
      <w:sz w:val="21"/>
      <w:szCs w:val="21"/>
    </w:rPr>
  </w:style>
  <w:style w:type="paragraph" w:customStyle="1" w:styleId="139">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1">
    <w:name w:val="font7"/>
    <w:basedOn w:val="1"/>
    <w:uiPriority w:val="0"/>
    <w:pPr>
      <w:widowControl/>
      <w:spacing w:before="100" w:beforeAutospacing="1" w:after="100" w:afterAutospacing="1"/>
      <w:jc w:val="left"/>
    </w:pPr>
    <w:rPr>
      <w:rFonts w:eastAsia="Arial Unicode MS"/>
      <w:kern w:val="0"/>
      <w:sz w:val="24"/>
    </w:rPr>
  </w:style>
  <w:style w:type="paragraph" w:customStyle="1" w:styleId="142">
    <w:name w:val="font0"/>
    <w:basedOn w:val="1"/>
    <w:uiPriority w:val="0"/>
    <w:pPr>
      <w:widowControl/>
      <w:spacing w:before="100" w:beforeAutospacing="1" w:after="100" w:afterAutospacing="1"/>
      <w:jc w:val="left"/>
    </w:pPr>
    <w:rPr>
      <w:rFonts w:hint="eastAsia" w:ascii="宋体" w:hAnsi="宋体" w:cs="Arial Unicode MS"/>
      <w:kern w:val="0"/>
      <w:sz w:val="24"/>
    </w:rPr>
  </w:style>
  <w:style w:type="paragraph" w:customStyle="1" w:styleId="143">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b/>
      <w:bCs/>
      <w:kern w:val="0"/>
      <w:sz w:val="40"/>
      <w:szCs w:val="40"/>
    </w:rPr>
  </w:style>
  <w:style w:type="paragraph" w:customStyle="1" w:styleId="144">
    <w:name w:val="xl40"/>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6">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7">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8">
    <w:name w:val=" Char"/>
    <w:basedOn w:val="1"/>
    <w:uiPriority w:val="0"/>
    <w:rPr>
      <w:rFonts w:ascii="仿宋_GB2312" w:eastAsia="仿宋_GB2312"/>
      <w:b/>
      <w:sz w:val="32"/>
      <w:szCs w:val="32"/>
    </w:rPr>
  </w:style>
  <w:style w:type="paragraph" w:customStyle="1" w:styleId="149">
    <w:name w:val="xl55"/>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40"/>
      <w:szCs w:val="40"/>
    </w:rPr>
  </w:style>
  <w:style w:type="paragraph" w:customStyle="1" w:styleId="150">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51">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52">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153">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154">
    <w:name w:val="样式4"/>
    <w:basedOn w:val="3"/>
    <w:uiPriority w:val="0"/>
    <w:pPr>
      <w:adjustRightInd w:val="0"/>
      <w:snapToGrid w:val="0"/>
      <w:spacing w:line="500" w:lineRule="atLeast"/>
    </w:pPr>
    <w:rPr>
      <w:rFonts w:ascii="黑体" w:hAnsi="宋体" w:eastAsia="黑体" w:cs="Arial"/>
      <w:bCs w:val="0"/>
      <w:sz w:val="30"/>
      <w:szCs w:val="30"/>
    </w:rPr>
  </w:style>
  <w:style w:type="paragraph" w:customStyle="1" w:styleId="155">
    <w:name w:val="xl3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15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shadow2"/>
    <w:basedOn w:val="1"/>
    <w:uiPriority w:val="0"/>
    <w:pPr>
      <w:widowControl/>
      <w:spacing w:before="100" w:beforeAutospacing="1" w:after="100" w:afterAutospacing="1"/>
      <w:jc w:val="left"/>
    </w:pPr>
    <w:rPr>
      <w:rFonts w:ascii="Arial Unicode MS" w:hAnsi="Arial Unicode MS" w:eastAsia="Arial Unicode MS"/>
      <w:color w:val="FFFFFF"/>
      <w:kern w:val="0"/>
      <w:sz w:val="24"/>
    </w:rPr>
  </w:style>
  <w:style w:type="paragraph" w:customStyle="1" w:styleId="158">
    <w:name w:val="xl97"/>
    <w:basedOn w:val="1"/>
    <w:uiPriority w:val="0"/>
    <w:pPr>
      <w:widowControl/>
      <w:spacing w:before="100" w:beforeAutospacing="1" w:after="100" w:afterAutospacing="1"/>
      <w:jc w:val="left"/>
    </w:pPr>
    <w:rPr>
      <w:rFonts w:ascii="Arial Unicode MS" w:hAnsi="Arial Unicode MS" w:eastAsia="Arial Unicode MS" w:cs="Arial Unicode MS"/>
      <w:kern w:val="0"/>
      <w:sz w:val="24"/>
      <w:u w:val="single"/>
    </w:rPr>
  </w:style>
  <w:style w:type="paragraph" w:customStyle="1" w:styleId="159">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0">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1">
    <w:name w:val="样式 标题 1 + 居中"/>
    <w:basedOn w:val="3"/>
    <w:uiPriority w:val="0"/>
    <w:pPr>
      <w:widowControl/>
      <w:spacing w:before="120" w:beforeLines="50" w:after="120" w:afterLines="50" w:line="400" w:lineRule="atLeast"/>
    </w:pPr>
    <w:rPr>
      <w:rFonts w:ascii="楷体_GB2312" w:eastAsia="黑体" w:cs="宋体"/>
      <w:b w:val="0"/>
      <w:bCs w:val="0"/>
      <w:kern w:val="0"/>
      <w:sz w:val="32"/>
    </w:rPr>
  </w:style>
  <w:style w:type="paragraph" w:customStyle="1" w:styleId="162">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63">
    <w:name w:val="styles1"/>
    <w:basedOn w:val="1"/>
    <w:uiPriority w:val="0"/>
    <w:pPr>
      <w:widowControl/>
      <w:spacing w:before="100" w:beforeAutospacing="1" w:after="100" w:afterAutospacing="1" w:line="312" w:lineRule="auto"/>
      <w:jc w:val="left"/>
    </w:pPr>
    <w:rPr>
      <w:rFonts w:ascii="_x000B__x000C_" w:hAnsi="_x000B__x000C_" w:cs="Arial"/>
      <w:color w:val="000000"/>
      <w:kern w:val="0"/>
      <w:sz w:val="21"/>
      <w:szCs w:val="21"/>
    </w:rPr>
  </w:style>
  <w:style w:type="paragraph" w:customStyle="1" w:styleId="164">
    <w:name w:val="xl82"/>
    <w:basedOn w:val="1"/>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65">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6">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7">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68">
    <w:name w:val="xl74"/>
    <w:basedOn w:val="1"/>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9">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70">
    <w:name w:val="font"/>
    <w:basedOn w:val="1"/>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171">
    <w:name w:val="xl41"/>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72">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kern w:val="0"/>
      <w:sz w:val="24"/>
    </w:rPr>
  </w:style>
  <w:style w:type="paragraph" w:customStyle="1" w:styleId="173">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7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75">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176">
    <w:name w:val="xl78"/>
    <w:basedOn w:val="1"/>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177">
    <w:name w:val="xl63"/>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8">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2册标题4"/>
    <w:basedOn w:val="1"/>
    <w:next w:val="1"/>
    <w:uiPriority w:val="0"/>
    <w:pPr>
      <w:spacing w:before="120" w:after="120" w:line="300" w:lineRule="auto"/>
      <w:ind w:left="120"/>
      <w:outlineLvl w:val="3"/>
    </w:pPr>
    <w:rPr>
      <w:rFonts w:ascii="Arial" w:hAnsi="Arial" w:cs="Arial"/>
      <w:sz w:val="21"/>
    </w:rPr>
  </w:style>
  <w:style w:type="paragraph" w:customStyle="1" w:styleId="180">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color w:val="000000"/>
      <w:kern w:val="0"/>
      <w:sz w:val="24"/>
    </w:rPr>
  </w:style>
  <w:style w:type="paragraph" w:customStyle="1" w:styleId="181">
    <w:name w:val="titletext"/>
    <w:basedOn w:val="1"/>
    <w:uiPriority w:val="0"/>
    <w:pPr>
      <w:widowControl/>
      <w:spacing w:before="100" w:beforeAutospacing="1" w:after="100" w:afterAutospacing="1" w:line="800" w:lineRule="atLeast"/>
      <w:jc w:val="left"/>
    </w:pPr>
    <w:rPr>
      <w:rFonts w:ascii="_x000E__x0005_ƨ" w:hAnsi="_x000E__x0005_ƨ" w:eastAsia="Arial Unicode MS"/>
      <w:color w:val="666666"/>
      <w:kern w:val="0"/>
      <w:szCs w:val="36"/>
    </w:rPr>
  </w:style>
  <w:style w:type="paragraph" w:customStyle="1" w:styleId="182">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3">
    <w:name w:val="time"/>
    <w:basedOn w:val="1"/>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184">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5">
    <w:name w:val="表头1"/>
    <w:basedOn w:val="120"/>
    <w:uiPriority w:val="0"/>
    <w:pPr>
      <w:jc w:val="center"/>
    </w:pPr>
    <w:rPr>
      <w:rFonts w:ascii="黑体" w:eastAsia="黑体"/>
      <w:b/>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2503</Words>
  <Characters>14269</Characters>
  <Lines>118</Lines>
  <Paragraphs>33</Paragraphs>
  <TotalTime>2</TotalTime>
  <ScaleCrop>false</ScaleCrop>
  <LinksUpToDate>false</LinksUpToDate>
  <CharactersWithSpaces>16739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2019-05-20T08:54:00Z</dcterms:created>
  <dc:creator>zct</dc:creator>
  <cp:lastModifiedBy>WPS_1701756769</cp:lastModifiedBy>
  <cp:lastPrinted>2007-10-17T11:52:00Z</cp:lastPrinted>
  <dcterms:modified xsi:type="dcterms:W3CDTF">2024-02-23T08:14:07Z</dcterms:modified>
  <cp:revision>13</cp:revision>
  <dc:title>舞台工程招标文件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8A26D6D784E94DA88A1FA621B11CE2A8_13</vt:lpwstr>
  </property>
</Properties>
</file>