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一、项目概况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Cs/>
          <w:color w:val="auto"/>
          <w:highlight w:val="none"/>
        </w:rPr>
        <w:t>中国美术学院图书馆拟对部分中外文图书、期刊合订本进行回溯建库工作，总量约15万册；对书架上约17万册图书进行倒架；对10万册艺术类图书进行拆包上架。对闭架书库和密集书库现有图书约12万册进行同层搬迁，并拆除书架30节，放入指定地点。具体数量根据实际加工量，按照单价进行结算。。</w:t>
      </w:r>
    </w:p>
    <w:p>
      <w:pPr>
        <w:pStyle w:val="3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二、基本要求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1、全部工作顺序为：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A.对闭架书库和密集书库现有图书约12万册进行同层搬迁，并拆除书架30节，放入指定地点。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B.对15万册图书进行回溯建库。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C.对书架上约17万册图书进行倒架；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D.对10万册艺术类图书进行拆包上架。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2、全部工作2个月内完成。其中，图书搬迁与书架拆除工作2天内完成。自甲方指定日期开始。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3、17万册图书的倒架工作和10万册艺术类图书的上架工作需按照图书索书号顺序进行排架。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4、同层搬迁的图书不需打包。拆除书架需放入指定地点。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5、乙方需具有稳定的编目员队伍，具备原编数据能力（需提供证明材料）。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、本项目试用期为15天，从回溯建库工作正式实施日算起。试用期结束后，招标方根据回溯建库的各项工作规范对中标单位的回溯建库质量、服务和工作进度等进行验收和评估，招标方将根据验收和评估结果决定是否终止合同。试用期内，回溯建库的各项费用按协议规定价格支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、部分图书有编目数据，需要修改典藏地点，并加贴书标。另有部分图书没有编目数据，需从国家图书馆下载、套录编目数据；西文图书从美国国会图书馆套录数据。若国家图书馆或美国国会图书馆没有相关数据可供下载、套录，则需要按照甲方图书编目规则对图书进行编目。无编目数据的图书除了需要分类、编目外，还需修改典藏地点、贴磁条、贴书标、贴书标保护膜、贴条码、盖馆藏章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8、所有图书回溯编目后，在甲方指定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密集书架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上架。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、耗材与设备：甲方提供文献加工所需的馆藏章，负责网络布线及承担相应费用，并提供微机工作台和图书加工工作台；乙方需自备电脑、条码阅读器、打印机(包括耗材)等硬件设施，以及符合甲方要求的磁条、书标打印、财产打印。没有数据的图书需要添加甲方指定的磁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10、软件系统：甲方提供并负责安装汇文图书馆集成管理系统的编目、典藏和连续出版物客户端，种次号管理系统，自动化系统接口工具。其他系统软件由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乙方自备。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11、工作地点：文献回溯地点在甲方象山校区图书馆内，现场加工图书，并负责图书的整理、下架、打包、搬运、细分上架等。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12、人员培训：甲方可应乙方需求，提供业务培训，内容包括：甲方的CNMARC与USMARC的必备字段、索书号使用方法、汇文图书馆集成管理系统操作及其他工作规范。（文献著录及MARC格式等不在培训之列）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13、无编目数据的图书、期刊中，艺术类图书、期刊的分类，按照甲方的分类法执行。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14、无编目数据的图书、期刊回溯编目时，需要先进行查重。不可同书异号或异书同号。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15、中外文图书著录时遵循分散原则：单行本，一种书一条记录；多卷书分散著录（上、下册也需分散著录）；同种书一条记录；丛书分散著录。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16、中西文文献著录标准：使用国家图书馆或CALIS联机合作编目中心编制的中西文著录规则。连续出版物著录参照使用《中文连续出版物机读目录著录细则》。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13E09"/>
    <w:rsid w:val="2881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2019-06-04T10:56:00Z</dcterms:created>
  <dc:creator>TZ</dc:creator>
  <cp:lastModifiedBy>TZ</cp:lastModifiedBy>
  <dcterms:modified xsi:type="dcterms:W3CDTF">2019-06-04T10:57:43Z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