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37" w:rsidRDefault="00991E37" w:rsidP="00991E37">
      <w:pPr>
        <w:pStyle w:val="1"/>
        <w:spacing w:line="360" w:lineRule="auto"/>
        <w:rPr>
          <w:rFonts w:hint="eastAsia"/>
          <w:bCs/>
          <w:color w:val="auto"/>
        </w:rPr>
      </w:pPr>
      <w:bookmarkStart w:id="0" w:name="_GoBack"/>
      <w:bookmarkEnd w:id="0"/>
      <w:r>
        <w:rPr>
          <w:rFonts w:hint="eastAsia"/>
          <w:bCs/>
          <w:color w:val="auto"/>
        </w:rPr>
        <w:t>采购需求</w:t>
      </w:r>
    </w:p>
    <w:p w:rsidR="00991E37" w:rsidRDefault="00991E37" w:rsidP="00991E37">
      <w:pPr>
        <w:pStyle w:val="2"/>
        <w:jc w:val="left"/>
        <w:rPr>
          <w:rFonts w:ascii="宋体" w:hAnsi="宋体"/>
          <w:color w:val="auto"/>
        </w:rPr>
      </w:pPr>
      <w:bookmarkStart w:id="1" w:name="_Toc31836"/>
      <w:bookmarkStart w:id="2" w:name="_Toc2416"/>
      <w:bookmarkStart w:id="3" w:name="_Toc32222"/>
      <w:bookmarkStart w:id="4" w:name="_Toc31559"/>
      <w:bookmarkStart w:id="5" w:name="_Toc23575"/>
      <w:bookmarkStart w:id="6" w:name="_Toc3358"/>
      <w:r>
        <w:rPr>
          <w:rFonts w:ascii="宋体" w:hAnsi="宋体" w:hint="eastAsia"/>
          <w:color w:val="auto"/>
        </w:rPr>
        <w:t>一、</w:t>
      </w:r>
      <w:bookmarkEnd w:id="1"/>
      <w:bookmarkEnd w:id="2"/>
      <w:bookmarkEnd w:id="3"/>
      <w:bookmarkEnd w:id="4"/>
      <w:r>
        <w:rPr>
          <w:rFonts w:ascii="宋体" w:hAnsi="宋体" w:hint="eastAsia"/>
          <w:color w:val="auto"/>
        </w:rPr>
        <w:t>维保要求</w:t>
      </w:r>
      <w:bookmarkEnd w:id="5"/>
      <w:bookmarkEnd w:id="6"/>
    </w:p>
    <w:p w:rsidR="00991E37" w:rsidRDefault="00991E37" w:rsidP="00991E37">
      <w:pPr>
        <w:pStyle w:val="2"/>
        <w:jc w:val="left"/>
        <w:rPr>
          <w:rFonts w:hint="eastAsia"/>
          <w:color w:val="auto"/>
          <w:sz w:val="24"/>
        </w:rPr>
      </w:pPr>
      <w:bookmarkStart w:id="7" w:name="_Toc296"/>
      <w:r>
        <w:rPr>
          <w:rFonts w:hint="eastAsia"/>
          <w:color w:val="auto"/>
          <w:sz w:val="24"/>
        </w:rPr>
        <w:t>（一）音响系统：舞台音箱和机房设备</w:t>
      </w:r>
      <w:bookmarkEnd w:id="7"/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1  </w:t>
      </w:r>
      <w:r>
        <w:rPr>
          <w:rFonts w:hint="eastAsia"/>
        </w:rPr>
        <w:t>音响系统设备除尘：设备表面可视外壳灰尘清除，通风网罩清洁，机器内部视实际情况，即开机对机器本身不带来损害的情况下，进行合适的清洁。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2  </w:t>
      </w:r>
      <w:r>
        <w:rPr>
          <w:rFonts w:hint="eastAsia"/>
        </w:rPr>
        <w:t>音响系统设备系统运行状况核查：对音响系统的放音设备进行相应的音源播放，检查其相关放音性能，并进行相关的保养。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3  </w:t>
      </w:r>
      <w:r>
        <w:rPr>
          <w:rFonts w:hint="eastAsia"/>
        </w:rPr>
        <w:t>对前级设备运行情况核查：如调音台输入增益、各频段参量均衡工作情况，周边设备工作状态确认等。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4  </w:t>
      </w:r>
      <w:r>
        <w:rPr>
          <w:rFonts w:hint="eastAsia"/>
        </w:rPr>
        <w:t>检查功率放大部分设备：对功率放大器输入输出工作情况进行检查，输出保护装置工作是否正常。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5  </w:t>
      </w:r>
      <w:r>
        <w:rPr>
          <w:rFonts w:hint="eastAsia"/>
        </w:rPr>
        <w:t>检查音响系统还音部分工作状态：各扬声器单元是否工作正常，扬声器内部分频器工作状态等。</w:t>
      </w:r>
    </w:p>
    <w:p w:rsidR="00991E37" w:rsidRDefault="00991E37" w:rsidP="00991E37">
      <w:pPr>
        <w:pStyle w:val="2"/>
        <w:jc w:val="left"/>
        <w:rPr>
          <w:rFonts w:hint="eastAsia"/>
          <w:color w:val="auto"/>
          <w:sz w:val="24"/>
        </w:rPr>
      </w:pPr>
      <w:bookmarkStart w:id="8" w:name="_Toc9323"/>
      <w:r>
        <w:rPr>
          <w:rFonts w:hint="eastAsia"/>
          <w:color w:val="auto"/>
          <w:sz w:val="24"/>
        </w:rPr>
        <w:t>（二）灯光系统：（面光、耳光、顶光、逆光、天地排、追光）和机房灯控设备</w:t>
      </w:r>
      <w:bookmarkEnd w:id="8"/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1  </w:t>
      </w:r>
      <w:r>
        <w:rPr>
          <w:rFonts w:hint="eastAsia"/>
        </w:rPr>
        <w:t>检查灯具高温线缆及触点有无氧化，灯泡安装位置是否正确，灯具反光镜面是否正常。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2  </w:t>
      </w:r>
      <w:r>
        <w:rPr>
          <w:rFonts w:hint="eastAsia"/>
        </w:rPr>
        <w:t>调光台等主要控制器进行除尘，判断推杆等常用部件工作状态，与调光硅箱的配接状态。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3  </w:t>
      </w:r>
      <w:r>
        <w:rPr>
          <w:rFonts w:hint="eastAsia"/>
        </w:rPr>
        <w:t>对硅柜的散热机构工作状态及硅路输出状态进行检查。</w:t>
      </w:r>
    </w:p>
    <w:p w:rsidR="00991E37" w:rsidRDefault="00991E37" w:rsidP="00991E37">
      <w:pPr>
        <w:pStyle w:val="2"/>
        <w:jc w:val="left"/>
        <w:rPr>
          <w:rFonts w:hint="eastAsia"/>
          <w:color w:val="auto"/>
          <w:sz w:val="24"/>
        </w:rPr>
      </w:pPr>
      <w:bookmarkStart w:id="9" w:name="_Toc7471"/>
      <w:r>
        <w:rPr>
          <w:rFonts w:hint="eastAsia"/>
          <w:color w:val="auto"/>
          <w:sz w:val="24"/>
        </w:rPr>
        <w:t>（三）舞台机械部分：吊杆和控制设备</w:t>
      </w:r>
      <w:bookmarkEnd w:id="9"/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1  </w:t>
      </w:r>
      <w:r>
        <w:rPr>
          <w:rFonts w:hint="eastAsia"/>
        </w:rPr>
        <w:t>对各吊杆进行上升、下降、停止动作，检查上、下限位开关工作状态，吊杆工作中进行停止动作，判断吊杆刹车状态，有无滑杆现象。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2  </w:t>
      </w:r>
      <w:r>
        <w:rPr>
          <w:rFonts w:hint="eastAsia"/>
        </w:rPr>
        <w:t>对舞台机械控制台进行除尘，判断各按键工作状态。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3  </w:t>
      </w:r>
      <w:r>
        <w:rPr>
          <w:rFonts w:hint="eastAsia"/>
        </w:rPr>
        <w:t>对各吊杆驱动电机进行检查：行程开关工作状态，变速箱润滑情况，刹车电磁铁工作状态。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4  </w:t>
      </w:r>
      <w:r>
        <w:rPr>
          <w:rFonts w:hint="eastAsia"/>
        </w:rPr>
        <w:t>检查二幕机启、闭、停止相关行程开关工作情况。</w:t>
      </w:r>
    </w:p>
    <w:p w:rsidR="00991E37" w:rsidRDefault="00991E37" w:rsidP="00991E37">
      <w:pPr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5  </w:t>
      </w:r>
      <w:r>
        <w:rPr>
          <w:rFonts w:hint="eastAsia"/>
        </w:rPr>
        <w:t>检查大幕机启、闭、停止相关行程开关工作情况，调速、变频工作状态。</w:t>
      </w:r>
    </w:p>
    <w:p w:rsidR="00991E37" w:rsidRDefault="00991E37" w:rsidP="00991E37">
      <w:pPr>
        <w:spacing w:line="360" w:lineRule="auto"/>
        <w:rPr>
          <w:rFonts w:hint="eastAsia"/>
        </w:rPr>
      </w:pPr>
    </w:p>
    <w:p w:rsidR="00991E37" w:rsidRDefault="00991E37" w:rsidP="00991E37">
      <w:pPr>
        <w:spacing w:line="360" w:lineRule="auto"/>
        <w:rPr>
          <w:rFonts w:hint="eastAsia"/>
        </w:rPr>
      </w:pPr>
    </w:p>
    <w:p w:rsidR="00991E37" w:rsidRDefault="00991E37" w:rsidP="00991E37">
      <w:pPr>
        <w:pStyle w:val="2"/>
        <w:jc w:val="left"/>
        <w:rPr>
          <w:rFonts w:hint="eastAsia"/>
          <w:color w:val="auto"/>
          <w:sz w:val="24"/>
        </w:rPr>
      </w:pPr>
      <w:bookmarkStart w:id="10" w:name="_Toc10534"/>
      <w:r>
        <w:rPr>
          <w:rFonts w:hint="eastAsia"/>
          <w:color w:val="auto"/>
          <w:sz w:val="24"/>
        </w:rPr>
        <w:t>（四）需求清单</w:t>
      </w:r>
      <w:bookmarkEnd w:id="10"/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13"/>
        <w:gridCol w:w="3283"/>
        <w:gridCol w:w="2273"/>
        <w:gridCol w:w="816"/>
        <w:gridCol w:w="613"/>
        <w:gridCol w:w="1480"/>
      </w:tblGrid>
      <w:tr w:rsidR="00991E37" w:rsidTr="00865593">
        <w:trPr>
          <w:trHeight w:val="285"/>
        </w:trPr>
        <w:tc>
          <w:tcPr>
            <w:tcW w:w="90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1、浙江中医药大学行政楼报告厅舞台设置清单</w:t>
            </w:r>
          </w:p>
        </w:tc>
      </w:tr>
      <w:tr w:rsidR="00991E37" w:rsidTr="00865593">
        <w:trPr>
          <w:trHeight w:val="285"/>
        </w:trPr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一、舞台灯光系统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液晶显示器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COLORTFT-LCD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珍珠调光台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数字硅箱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FDL-IDP96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场灯柜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FDL-IDP6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供电柜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国产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面光灯（成像灯）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LITE-PUTEF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夜太阳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LED灯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GL063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夜太阳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三基色会议灯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夜太阳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天幕散光灯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WSG-1250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追光灯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WZG2-1000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1200W电脑灯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S980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德利亚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电脑灯调光台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CX-5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LITE-PUTER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换色器控制台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NDS512-16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云灯数字换色器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HJ-SB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回光数字换色器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HJ-SB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信号放大器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PDU60AC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电脑灯泡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1200W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GE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灯管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1.25KW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安全链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灯钩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WPJ-1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流动灯架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追光灯架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辉煌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换色器专用电缆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换色器保险链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画佳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二、音响系统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全频音箱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PS15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全频音箱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PS10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超低音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LS1200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超低音码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LS500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音箱管理器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PS15TD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音箱管理器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PS10TD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NEXO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DCA 1622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QSC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DCA 2422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QSC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DCA 3422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QSC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A-1061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监听音箱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BS-1030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数字处理器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DP-0206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影碟机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DV-2310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先锋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卡座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CT-W208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先锋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均衡器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DBX231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DBX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MD机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MD-350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索尼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效果器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MPX-550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LEXCON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调音台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RW5226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声艺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输入模块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DQ-A01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输出模块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DQ-A02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耳机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CD-280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索尼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会议话筒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EZG-18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舒尔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无线话筒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WM-4200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无线话筒接收机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WT-4800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演唱话筒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DM-1300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话筒架子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SKDD-006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国产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机柜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1.6米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国产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CANARE话筒线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日本</w:t>
            </w:r>
          </w:p>
        </w:tc>
      </w:tr>
      <w:tr w:rsidR="00991E37" w:rsidTr="00865593">
        <w:trPr>
          <w:trHeight w:val="285"/>
        </w:trPr>
        <w:tc>
          <w:tcPr>
            <w:tcW w:w="9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三、视频投影系统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投影仪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CP-HX6000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日立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电动增益软幕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200寸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红叶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升降系统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国产</w:t>
            </w:r>
          </w:p>
        </w:tc>
      </w:tr>
      <w:tr w:rsidR="00991E37" w:rsidTr="00865593">
        <w:trPr>
          <w:trHeight w:val="285"/>
        </w:trPr>
        <w:tc>
          <w:tcPr>
            <w:tcW w:w="9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四、舞台机械系统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银幕机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V=0.1M/S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大幕机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DM/A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二幕机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EWJ/A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定点定位电动吊杆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DJ-400P/A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定点定位灯光复试吊杆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DJ-800P/A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定点定位控制系统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固定柱光架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9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五、舞台阻燃幕布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乔绒大幕（带里子3：1）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7.3*9*2块枣红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乔绒前沿幕（3：1）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2*16*1块枣红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富春纺二幕（3：1）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7.8*9*2块湖兰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140.4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棉绸沿幕（3：1）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2.5*16*4块墨绿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棉绸条幕（3：1）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8.3*2.5*8块墨绿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  <w:tr w:rsidR="00991E37" w:rsidTr="0086559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白帆布天幕（1：1）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9*17.5*1块白色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157.5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平米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定做</w:t>
            </w:r>
          </w:p>
        </w:tc>
      </w:tr>
    </w:tbl>
    <w:p w:rsidR="00991E37" w:rsidRDefault="00991E37" w:rsidP="00991E37">
      <w:pPr>
        <w:spacing w:line="440" w:lineRule="exact"/>
        <w:rPr>
          <w:rFonts w:ascii="仿宋_GB2312" w:eastAsia="仿宋_GB2312" w:hAnsi="宋体" w:hint="eastAsia"/>
          <w:spacing w:val="2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10"/>
        <w:gridCol w:w="2685"/>
        <w:gridCol w:w="1799"/>
        <w:gridCol w:w="1235"/>
        <w:gridCol w:w="1052"/>
        <w:gridCol w:w="1080"/>
      </w:tblGrid>
      <w:tr w:rsidR="00991E37" w:rsidTr="00865593">
        <w:trPr>
          <w:trHeight w:val="449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2、</w:t>
            </w:r>
            <w:r>
              <w:rPr>
                <w:rFonts w:hint="eastAsia"/>
              </w:rPr>
              <w:t>图书馆报告厅灯控设备、音控设备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扩音系统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调音台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CS-1622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DV-310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音频处理器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话筒管理器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SCM-810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均衡器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CQ-2031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USA900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音视频选择器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BOSE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环绕音响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会议话筒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灯光系统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调光台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TGL4018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横幅LED屏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LED灯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松下投影仪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150寸投影幕布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投影升降机构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3、校园打铃系统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17号楼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管理服务器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M-2048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前置放大器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M-2001Q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节目分配器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M-2002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分区管理器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M-2003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自动切换管理器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SB1601C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时序电源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M2008B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MPHI1900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</w:p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、第一会议室音控设备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扩声系统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调音台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MC1202QSB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MP200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无线话筒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V-666B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有线话筒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BOSE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DV-525K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投影仪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EB-C2100XN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投影幕布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120寸电动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、第六会议室音控设备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扩声系统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调音台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MG16XU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TLA300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数字音频处理器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ASHLYDSP360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手持无线话筒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XSW1-825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全数字会议系统主机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HCS-4100MC/50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全金属方柱形主席单元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HCS-4860C/52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全金属方柱形代表单元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HCS-4860D/52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电源时序器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FU4594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专业会议线缆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CBL6PS-20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MP400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DVD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kern w:val="0"/>
              </w:rPr>
              <w:t>DV-3600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kern w:val="0"/>
              </w:rPr>
              <w:t>TOA 1030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投影系统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投影仪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EB-C2100XN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投影仪升降机构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B300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投影幕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100寸电动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991E37" w:rsidRDefault="00991E37" w:rsidP="00991E37">
      <w:pPr>
        <w:spacing w:line="440" w:lineRule="exact"/>
        <w:rPr>
          <w:rFonts w:ascii="仿宋_GB2312" w:eastAsia="仿宋_GB2312" w:hAnsi="宋体" w:hint="eastAsia"/>
          <w:spacing w:val="2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10"/>
        <w:gridCol w:w="2608"/>
        <w:gridCol w:w="1876"/>
        <w:gridCol w:w="1235"/>
        <w:gridCol w:w="1052"/>
        <w:gridCol w:w="1080"/>
      </w:tblGrid>
      <w:tr w:rsidR="00991E37" w:rsidTr="00865593">
        <w:trPr>
          <w:trHeight w:val="285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6、</w:t>
            </w:r>
            <w:r>
              <w:rPr>
                <w:rFonts w:hint="eastAsia"/>
              </w:rPr>
              <w:t>体育场看台音控设备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调音台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kase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CD机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VCP-N30B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V-800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28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E37" w:rsidRDefault="00991E37" w:rsidP="0086559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991E37" w:rsidRDefault="00991E37" w:rsidP="00991E37">
      <w:pPr>
        <w:widowControl/>
        <w:jc w:val="center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7、体育馆音控设备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13"/>
        <w:gridCol w:w="3283"/>
        <w:gridCol w:w="2273"/>
        <w:gridCol w:w="816"/>
        <w:gridCol w:w="613"/>
        <w:gridCol w:w="1480"/>
      </w:tblGrid>
      <w:tr w:rsidR="00991E37" w:rsidTr="00865593">
        <w:trPr>
          <w:trHeight w:val="2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设备名称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型号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调音台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MG16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雅马哈</w:t>
            </w: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音频数字处理器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DP-0206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TOA</w:t>
            </w: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ind w:firstLineChars="300" w:firstLine="7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无线话筒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ind w:firstLineChars="300" w:firstLine="7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功率放大器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MF1201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TECH</w:t>
            </w: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全频音响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BOSE</w:t>
            </w:r>
          </w:p>
        </w:tc>
      </w:tr>
      <w:tr w:rsidR="00991E37" w:rsidTr="00865593">
        <w:trPr>
          <w:trHeight w:val="4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超低音响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86559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BOSE</w:t>
            </w:r>
          </w:p>
        </w:tc>
      </w:tr>
    </w:tbl>
    <w:p w:rsidR="00991E37" w:rsidRDefault="00991E37" w:rsidP="00991E37">
      <w:pPr>
        <w:spacing w:line="440" w:lineRule="exact"/>
        <w:rPr>
          <w:rFonts w:ascii="仿宋_GB2312" w:eastAsia="仿宋_GB2312" w:hAnsi="宋体" w:hint="eastAsia"/>
          <w:spacing w:val="20"/>
        </w:rPr>
      </w:pPr>
    </w:p>
    <w:p w:rsidR="00991E37" w:rsidRDefault="00991E37" w:rsidP="00991E37">
      <w:pPr>
        <w:spacing w:line="288" w:lineRule="auto"/>
        <w:rPr>
          <w:rFonts w:ascii="宋体" w:hAnsi="宋体" w:hint="eastAsia"/>
          <w:b/>
          <w:bCs/>
          <w:szCs w:val="21"/>
        </w:rPr>
      </w:pPr>
    </w:p>
    <w:p w:rsidR="00991E37" w:rsidRDefault="00991E37" w:rsidP="00991E37">
      <w:pPr>
        <w:pStyle w:val="2"/>
        <w:jc w:val="left"/>
        <w:rPr>
          <w:rFonts w:ascii="宋体" w:hAnsi="宋体" w:hint="eastAsia"/>
          <w:color w:val="auto"/>
        </w:rPr>
      </w:pPr>
      <w:bookmarkStart w:id="11" w:name="_Toc1134"/>
      <w:bookmarkStart w:id="12" w:name="_Toc12369"/>
      <w:bookmarkStart w:id="13" w:name="_Toc2214"/>
      <w:r>
        <w:rPr>
          <w:rFonts w:ascii="宋体" w:hAnsi="宋体" w:hint="eastAsia"/>
          <w:color w:val="auto"/>
        </w:rPr>
        <w:t>二、</w:t>
      </w:r>
      <w:bookmarkEnd w:id="11"/>
      <w:r>
        <w:rPr>
          <w:rFonts w:ascii="宋体" w:hAnsi="宋体" w:hint="eastAsia"/>
          <w:color w:val="auto"/>
        </w:rPr>
        <w:t>商务条款</w:t>
      </w:r>
      <w:bookmarkEnd w:id="12"/>
      <w:bookmarkEnd w:id="13"/>
    </w:p>
    <w:p w:rsidR="00991E37" w:rsidRDefault="00991E37" w:rsidP="00991E37">
      <w:pPr>
        <w:pStyle w:val="3"/>
        <w:spacing w:line="360" w:lineRule="auto"/>
      </w:pPr>
      <w:bookmarkStart w:id="14" w:name="_Toc501022786"/>
      <w:bookmarkStart w:id="15" w:name="_Toc15155"/>
      <w:r>
        <w:rPr>
          <w:rFonts w:hint="eastAsia"/>
        </w:rPr>
        <w:t>1.</w:t>
      </w:r>
      <w:bookmarkEnd w:id="14"/>
      <w:bookmarkEnd w:id="15"/>
      <w:r>
        <w:rPr>
          <w:rFonts w:hint="eastAsia"/>
        </w:rPr>
        <w:t>服务期</w:t>
      </w:r>
      <w:r>
        <w:rPr>
          <w:rFonts w:hint="eastAsia"/>
        </w:rPr>
        <w:t xml:space="preserve"> </w:t>
      </w:r>
    </w:p>
    <w:p w:rsidR="00991E37" w:rsidRDefault="00991E37" w:rsidP="00991E37">
      <w:pPr>
        <w:pStyle w:val="aa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服务期自合同签订之日起两年。</w:t>
      </w:r>
    </w:p>
    <w:p w:rsidR="00991E37" w:rsidRDefault="00991E37" w:rsidP="00991E37">
      <w:pPr>
        <w:pStyle w:val="3"/>
        <w:numPr>
          <w:ilvl w:val="0"/>
          <w:numId w:val="3"/>
        </w:numPr>
        <w:tabs>
          <w:tab w:val="left" w:pos="312"/>
        </w:tabs>
        <w:spacing w:line="360" w:lineRule="auto"/>
        <w:rPr>
          <w:rFonts w:hAnsi="宋体" w:cs="宋体" w:hint="eastAsia"/>
        </w:rPr>
      </w:pPr>
      <w:r>
        <w:rPr>
          <w:rFonts w:hint="eastAsia"/>
          <w:szCs w:val="22"/>
        </w:rPr>
        <w:t>服务地点：</w:t>
      </w:r>
    </w:p>
    <w:p w:rsidR="00991E37" w:rsidRDefault="00991E37" w:rsidP="00991E37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浙江中医药大学甲方指定地点。</w:t>
      </w:r>
    </w:p>
    <w:p w:rsidR="00991E37" w:rsidRDefault="00991E37" w:rsidP="00991E37">
      <w:pPr>
        <w:pStyle w:val="3"/>
        <w:spacing w:line="360" w:lineRule="auto"/>
        <w:rPr>
          <w:rFonts w:hint="eastAsia"/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付款方式：</w:t>
      </w:r>
    </w:p>
    <w:p w:rsidR="00991E37" w:rsidRDefault="00991E37" w:rsidP="00991E37">
      <w:pPr>
        <w:pStyle w:val="aa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每半年采购人向成交供应商支付合同金额的25%，每次支付前成交供应商应开具并向采购人交付对应金额的正规发票。</w:t>
      </w:r>
    </w:p>
    <w:p w:rsidR="00991E37" w:rsidRDefault="00991E37" w:rsidP="00991E37">
      <w:pPr>
        <w:pStyle w:val="3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履约保证金：</w:t>
      </w:r>
    </w:p>
    <w:p w:rsidR="00991E37" w:rsidRDefault="00991E37" w:rsidP="00991E37">
      <w:pPr>
        <w:pStyle w:val="aa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履约保证金2000元，合同签订前由乙方交入甲方账户。合同签订后履约保证金自动转为质量保证金，本合同履行完毕确认乙方无违约行为后无息返还给乙方（遇寒暑假及国家法定假日顺延）。</w:t>
      </w:r>
    </w:p>
    <w:p w:rsidR="00991E37" w:rsidRDefault="00991E37" w:rsidP="00991E37">
      <w:pPr>
        <w:pStyle w:val="3"/>
      </w:pPr>
      <w:r>
        <w:rPr>
          <w:rFonts w:hint="eastAsia"/>
        </w:rPr>
        <w:t>5.</w:t>
      </w:r>
      <w:r>
        <w:rPr>
          <w:rFonts w:hint="eastAsia"/>
        </w:rPr>
        <w:t>合同履行</w:t>
      </w:r>
    </w:p>
    <w:p w:rsidR="00991E37" w:rsidRDefault="00991E37" w:rsidP="00991E3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必须由磋商响应主体履行合同。</w:t>
      </w:r>
    </w:p>
    <w:p w:rsidR="00991E37" w:rsidRDefault="00991E37" w:rsidP="00991E37">
      <w:pPr>
        <w:pStyle w:val="3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其他</w:t>
      </w:r>
    </w:p>
    <w:p w:rsidR="00991E37" w:rsidRDefault="00991E37" w:rsidP="00991E37">
      <w:pPr>
        <w:spacing w:line="288" w:lineRule="auto"/>
        <w:ind w:leftChars="200" w:left="1080" w:hangingChars="250" w:hanging="600"/>
        <w:rPr>
          <w:rFonts w:ascii="宋体" w:hAnsi="宋体" w:hint="eastAsia"/>
        </w:rPr>
      </w:pPr>
      <w:r>
        <w:rPr>
          <w:rFonts w:ascii="宋体" w:hAnsi="宋体" w:hint="eastAsia"/>
        </w:rPr>
        <w:t>（1）每月不少于一次的巡查，并需交由校方相关人员签署意见；</w:t>
      </w:r>
    </w:p>
    <w:p w:rsidR="00991E37" w:rsidRDefault="00991E37" w:rsidP="00991E37">
      <w:pPr>
        <w:spacing w:line="288" w:lineRule="auto"/>
        <w:ind w:leftChars="200" w:left="1080" w:hangingChars="250" w:hanging="600"/>
        <w:rPr>
          <w:rFonts w:ascii="宋体" w:hAnsi="宋体" w:hint="eastAsia"/>
        </w:rPr>
      </w:pPr>
      <w:r>
        <w:rPr>
          <w:rFonts w:ascii="宋体" w:hAnsi="宋体" w:hint="eastAsia"/>
        </w:rPr>
        <w:t>（2）每年对舞台设备有书面的综合性检测报告。</w:t>
      </w:r>
    </w:p>
    <w:p w:rsidR="00F616D0" w:rsidRPr="00991E37" w:rsidRDefault="000F7DE2"/>
    <w:sectPr w:rsidR="00F616D0" w:rsidRPr="0099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E2" w:rsidRDefault="000F7DE2" w:rsidP="00991E37">
      <w:r>
        <w:separator/>
      </w:r>
    </w:p>
  </w:endnote>
  <w:endnote w:type="continuationSeparator" w:id="0">
    <w:p w:rsidR="000F7DE2" w:rsidRDefault="000F7DE2" w:rsidP="0099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金山简黑体">
    <w:altName w:val="宋体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E2" w:rsidRDefault="000F7DE2" w:rsidP="00991E37">
      <w:r>
        <w:separator/>
      </w:r>
    </w:p>
  </w:footnote>
  <w:footnote w:type="continuationSeparator" w:id="0">
    <w:p w:rsidR="000F7DE2" w:rsidRDefault="000F7DE2" w:rsidP="0099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1CD1BF"/>
    <w:multiLevelType w:val="singleLevel"/>
    <w:tmpl w:val="9B1CD1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88FCB3"/>
    <w:multiLevelType w:val="singleLevel"/>
    <w:tmpl w:val="A888FCB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6B73B88"/>
    <w:multiLevelType w:val="singleLevel"/>
    <w:tmpl w:val="E6B73B88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077B27"/>
    <w:multiLevelType w:val="singleLevel"/>
    <w:tmpl w:val="11077B27"/>
    <w:lvl w:ilvl="0">
      <w:start w:val="2"/>
      <w:numFmt w:val="upperLetter"/>
      <w:lvlText w:val="%1."/>
      <w:lvlJc w:val="left"/>
      <w:pPr>
        <w:tabs>
          <w:tab w:val="num" w:pos="312"/>
        </w:tabs>
      </w:pPr>
    </w:lvl>
  </w:abstractNum>
  <w:abstractNum w:abstractNumId="5">
    <w:nsid w:val="33062DD3"/>
    <w:multiLevelType w:val="singleLevel"/>
    <w:tmpl w:val="33062DD3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41CD6D5B"/>
    <w:multiLevelType w:val="singleLevel"/>
    <w:tmpl w:val="41CD6D5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76CF9F0"/>
    <w:multiLevelType w:val="singleLevel"/>
    <w:tmpl w:val="476CF9F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F"/>
    <w:rsid w:val="000F7DE2"/>
    <w:rsid w:val="005525FF"/>
    <w:rsid w:val="00725F19"/>
    <w:rsid w:val="00991E37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B989E-4AFB-46B1-A967-509B2B9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1E37"/>
    <w:pPr>
      <w:widowControl w:val="0"/>
      <w:jc w:val="both"/>
    </w:pPr>
    <w:rPr>
      <w:rFonts w:ascii="Times New Roman" w:eastAsia="宋体" w:hAnsi="Times New Roman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991E37"/>
    <w:pPr>
      <w:keepNext/>
      <w:keepLines/>
      <w:spacing w:before="340" w:after="330" w:line="480" w:lineRule="auto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991E37"/>
    <w:pPr>
      <w:keepNext/>
      <w:keepLines/>
      <w:spacing w:line="360" w:lineRule="auto"/>
      <w:jc w:val="center"/>
      <w:outlineLvl w:val="1"/>
    </w:pPr>
    <w:rPr>
      <w:rFonts w:ascii="Calibri" w:hAnsi="Calibri"/>
      <w:b/>
      <w:bCs/>
      <w:color w:val="000000"/>
      <w:spacing w:val="-6"/>
      <w:sz w:val="30"/>
      <w:szCs w:val="30"/>
    </w:rPr>
  </w:style>
  <w:style w:type="paragraph" w:styleId="3">
    <w:name w:val="heading 3"/>
    <w:basedOn w:val="a"/>
    <w:next w:val="a"/>
    <w:link w:val="3Char"/>
    <w:qFormat/>
    <w:rsid w:val="00991E37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Char"/>
    <w:qFormat/>
    <w:rsid w:val="00991E3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99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1E3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99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1E37"/>
    <w:rPr>
      <w:sz w:val="18"/>
      <w:szCs w:val="18"/>
    </w:rPr>
  </w:style>
  <w:style w:type="character" w:customStyle="1" w:styleId="1Char">
    <w:name w:val="标题 1 Char"/>
    <w:basedOn w:val="a1"/>
    <w:link w:val="1"/>
    <w:rsid w:val="00991E37"/>
    <w:rPr>
      <w:rFonts w:ascii="宋体" w:eastAsia="宋体" w:hAnsi="宋体" w:cs="宋体"/>
      <w:b/>
      <w:color w:val="000000"/>
      <w:kern w:val="44"/>
      <w:sz w:val="32"/>
      <w:szCs w:val="32"/>
    </w:rPr>
  </w:style>
  <w:style w:type="character" w:customStyle="1" w:styleId="2Char">
    <w:name w:val="标题 2 Char"/>
    <w:basedOn w:val="a1"/>
    <w:link w:val="2"/>
    <w:rsid w:val="00991E37"/>
    <w:rPr>
      <w:rFonts w:ascii="Calibri" w:eastAsia="宋体" w:hAnsi="Calibri" w:cs="宋体"/>
      <w:b/>
      <w:bCs/>
      <w:color w:val="000000"/>
      <w:spacing w:val="-6"/>
      <w:sz w:val="30"/>
      <w:szCs w:val="30"/>
    </w:rPr>
  </w:style>
  <w:style w:type="character" w:customStyle="1" w:styleId="3Char">
    <w:name w:val="标题 3 Char"/>
    <w:basedOn w:val="a1"/>
    <w:link w:val="3"/>
    <w:qFormat/>
    <w:rsid w:val="00991E37"/>
    <w:rPr>
      <w:rFonts w:ascii="Times New Roman" w:eastAsia="宋体" w:hAnsi="Times New Roman" w:cs="Times New Roman"/>
      <w:b/>
      <w:sz w:val="24"/>
      <w:szCs w:val="24"/>
    </w:rPr>
  </w:style>
  <w:style w:type="character" w:customStyle="1" w:styleId="4Char">
    <w:name w:val="标题 4 Char"/>
    <w:basedOn w:val="a1"/>
    <w:link w:val="4"/>
    <w:rsid w:val="00991E37"/>
    <w:rPr>
      <w:rFonts w:ascii="Arial" w:eastAsia="黑体" w:hAnsi="Arial" w:cs="宋体"/>
      <w:b/>
      <w:sz w:val="24"/>
      <w:szCs w:val="24"/>
    </w:rPr>
  </w:style>
  <w:style w:type="character" w:customStyle="1" w:styleId="Char1">
    <w:name w:val="正文文本缩进 Char"/>
    <w:link w:val="a6"/>
    <w:qFormat/>
    <w:rsid w:val="00991E37"/>
    <w:rPr>
      <w:rFonts w:ascii="宋体" w:hAnsi="Courier New" w:cs="宋体"/>
      <w:spacing w:val="-4"/>
      <w:sz w:val="18"/>
    </w:rPr>
  </w:style>
  <w:style w:type="character" w:styleId="a7">
    <w:name w:val="page number"/>
    <w:basedOn w:val="a1"/>
    <w:qFormat/>
    <w:rsid w:val="00991E37"/>
  </w:style>
  <w:style w:type="character" w:customStyle="1" w:styleId="1Char0">
    <w:name w:val="样式1 Char"/>
    <w:link w:val="10"/>
    <w:qFormat/>
    <w:rsid w:val="00991E37"/>
    <w:rPr>
      <w:rFonts w:ascii="Arial" w:hAnsi="Arial"/>
      <w:szCs w:val="24"/>
    </w:rPr>
  </w:style>
  <w:style w:type="character" w:customStyle="1" w:styleId="Char2">
    <w:name w:val="批注主题 Char"/>
    <w:link w:val="a8"/>
    <w:uiPriority w:val="99"/>
    <w:qFormat/>
    <w:rsid w:val="00991E37"/>
    <w:rPr>
      <w:rFonts w:ascii="Calibri" w:hAnsi="Calibri" w:cs="宋体"/>
      <w:b/>
      <w:bCs/>
      <w:sz w:val="28"/>
      <w:szCs w:val="24"/>
    </w:rPr>
  </w:style>
  <w:style w:type="character" w:styleId="a9">
    <w:name w:val="Hyperlink"/>
    <w:uiPriority w:val="99"/>
    <w:qFormat/>
    <w:rsid w:val="00991E37"/>
    <w:rPr>
      <w:color w:val="0000FF"/>
      <w:u w:val="single"/>
    </w:rPr>
  </w:style>
  <w:style w:type="character" w:customStyle="1" w:styleId="Char3">
    <w:name w:val="纯文本 Char"/>
    <w:link w:val="aa"/>
    <w:locked/>
    <w:rsid w:val="00991E37"/>
    <w:rPr>
      <w:rFonts w:ascii="宋体" w:hAnsi="Courier New" w:cs="宋体"/>
      <w:sz w:val="24"/>
      <w:szCs w:val="24"/>
    </w:rPr>
  </w:style>
  <w:style w:type="character" w:customStyle="1" w:styleId="Char4">
    <w:name w:val="列出段落 Char"/>
    <w:link w:val="ab"/>
    <w:uiPriority w:val="34"/>
    <w:qFormat/>
    <w:rsid w:val="00991E37"/>
    <w:rPr>
      <w:rFonts w:ascii="Calibri" w:hAnsi="Calibri" w:cs="宋体"/>
    </w:rPr>
  </w:style>
  <w:style w:type="character" w:customStyle="1" w:styleId="Char5">
    <w:name w:val="批注框文本 Char"/>
    <w:link w:val="ac"/>
    <w:uiPriority w:val="99"/>
    <w:qFormat/>
    <w:rsid w:val="00991E37"/>
    <w:rPr>
      <w:rFonts w:ascii="Calibri" w:hAnsi="Calibri" w:cs="宋体"/>
      <w:sz w:val="18"/>
      <w:szCs w:val="18"/>
    </w:rPr>
  </w:style>
  <w:style w:type="character" w:customStyle="1" w:styleId="2Char0">
    <w:name w:val="正文2 Char"/>
    <w:link w:val="20"/>
    <w:qFormat/>
    <w:rsid w:val="00991E37"/>
    <w:rPr>
      <w:sz w:val="24"/>
    </w:rPr>
  </w:style>
  <w:style w:type="character" w:styleId="ad">
    <w:name w:val="Strong"/>
    <w:qFormat/>
    <w:rsid w:val="00991E37"/>
    <w:rPr>
      <w:b/>
    </w:rPr>
  </w:style>
  <w:style w:type="character" w:customStyle="1" w:styleId="Char6">
    <w:name w:val="批注文字 Char"/>
    <w:link w:val="ae"/>
    <w:uiPriority w:val="99"/>
    <w:qFormat/>
    <w:rsid w:val="00991E37"/>
    <w:rPr>
      <w:szCs w:val="24"/>
    </w:rPr>
  </w:style>
  <w:style w:type="character" w:styleId="af">
    <w:name w:val="annotation reference"/>
    <w:uiPriority w:val="99"/>
    <w:unhideWhenUsed/>
    <w:qFormat/>
    <w:rsid w:val="00991E37"/>
    <w:rPr>
      <w:sz w:val="21"/>
      <w:szCs w:val="21"/>
    </w:rPr>
  </w:style>
  <w:style w:type="paragraph" w:styleId="11">
    <w:name w:val="toc 1"/>
    <w:basedOn w:val="a"/>
    <w:next w:val="a"/>
    <w:uiPriority w:val="39"/>
    <w:qFormat/>
    <w:rsid w:val="00991E37"/>
  </w:style>
  <w:style w:type="paragraph" w:styleId="af0">
    <w:name w:val="List Number"/>
    <w:basedOn w:val="a"/>
    <w:qFormat/>
    <w:rsid w:val="00991E37"/>
    <w:pPr>
      <w:numPr>
        <w:numId w:val="1"/>
      </w:numPr>
      <w:tabs>
        <w:tab w:val="left" w:pos="360"/>
      </w:tabs>
    </w:pPr>
  </w:style>
  <w:style w:type="paragraph" w:styleId="a6">
    <w:name w:val="Body Text Indent"/>
    <w:basedOn w:val="a"/>
    <w:link w:val="Char1"/>
    <w:qFormat/>
    <w:rsid w:val="00991E37"/>
    <w:pPr>
      <w:spacing w:line="200" w:lineRule="atLeast"/>
      <w:ind w:firstLine="301"/>
    </w:pPr>
    <w:rPr>
      <w:rFonts w:ascii="宋体" w:eastAsiaTheme="minorEastAsia" w:hAnsi="Courier New"/>
      <w:spacing w:val="-4"/>
      <w:sz w:val="18"/>
      <w:szCs w:val="22"/>
    </w:rPr>
  </w:style>
  <w:style w:type="character" w:customStyle="1" w:styleId="Char10">
    <w:name w:val="正文文本缩进 Char1"/>
    <w:basedOn w:val="a1"/>
    <w:uiPriority w:val="99"/>
    <w:semiHidden/>
    <w:rsid w:val="00991E37"/>
    <w:rPr>
      <w:rFonts w:ascii="Times New Roman" w:eastAsia="宋体" w:hAnsi="Times New Roman" w:cs="宋体"/>
      <w:sz w:val="24"/>
      <w:szCs w:val="24"/>
    </w:rPr>
  </w:style>
  <w:style w:type="paragraph" w:styleId="ab">
    <w:name w:val="List Paragraph"/>
    <w:basedOn w:val="a"/>
    <w:link w:val="Char4"/>
    <w:uiPriority w:val="34"/>
    <w:qFormat/>
    <w:rsid w:val="00991E37"/>
    <w:pPr>
      <w:ind w:firstLineChars="200" w:firstLine="420"/>
    </w:pPr>
    <w:rPr>
      <w:rFonts w:ascii="Calibri" w:eastAsiaTheme="minorEastAsia" w:hAnsi="Calibri"/>
      <w:sz w:val="21"/>
      <w:szCs w:val="22"/>
    </w:rPr>
  </w:style>
  <w:style w:type="paragraph" w:styleId="af1">
    <w:name w:val="List"/>
    <w:basedOn w:val="a"/>
    <w:qFormat/>
    <w:rsid w:val="00991E37"/>
    <w:pPr>
      <w:ind w:left="200" w:hangingChars="200" w:hanging="200"/>
    </w:pPr>
  </w:style>
  <w:style w:type="paragraph" w:styleId="ae">
    <w:name w:val="annotation text"/>
    <w:basedOn w:val="a"/>
    <w:link w:val="Char6"/>
    <w:uiPriority w:val="99"/>
    <w:unhideWhenUsed/>
    <w:qFormat/>
    <w:rsid w:val="00991E37"/>
    <w:pPr>
      <w:adjustRightInd w:val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Char11">
    <w:name w:val="批注文字 Char1"/>
    <w:basedOn w:val="a1"/>
    <w:uiPriority w:val="99"/>
    <w:semiHidden/>
    <w:rsid w:val="00991E37"/>
    <w:rPr>
      <w:rFonts w:ascii="Times New Roman" w:eastAsia="宋体" w:hAnsi="Times New Roman" w:cs="宋体"/>
      <w:sz w:val="24"/>
      <w:szCs w:val="24"/>
    </w:rPr>
  </w:style>
  <w:style w:type="paragraph" w:customStyle="1" w:styleId="xl25">
    <w:name w:val="xl25"/>
    <w:basedOn w:val="a"/>
    <w:qFormat/>
    <w:rsid w:val="00991E37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</w:rPr>
  </w:style>
  <w:style w:type="paragraph" w:customStyle="1" w:styleId="Default">
    <w:name w:val="Default"/>
    <w:qFormat/>
    <w:rsid w:val="00991E3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0">
    <w:name w:val="Body Text"/>
    <w:basedOn w:val="a"/>
    <w:link w:val="Char7"/>
    <w:uiPriority w:val="99"/>
    <w:unhideWhenUsed/>
    <w:rsid w:val="00991E37"/>
    <w:rPr>
      <w:rFonts w:ascii="金山简黑体" w:eastAsia="金山简黑体" w:hAnsi="金山简黑体"/>
      <w:b/>
      <w:spacing w:val="-8"/>
      <w:sz w:val="44"/>
      <w:szCs w:val="20"/>
    </w:rPr>
  </w:style>
  <w:style w:type="character" w:customStyle="1" w:styleId="Char7">
    <w:name w:val="正文文本 Char"/>
    <w:basedOn w:val="a1"/>
    <w:link w:val="a0"/>
    <w:uiPriority w:val="99"/>
    <w:rsid w:val="00991E37"/>
    <w:rPr>
      <w:rFonts w:ascii="金山简黑体" w:eastAsia="金山简黑体" w:hAnsi="金山简黑体" w:cs="宋体"/>
      <w:b/>
      <w:spacing w:val="-8"/>
      <w:sz w:val="4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991E37"/>
    <w:rPr>
      <w:rFonts w:ascii="Tahoma" w:hAnsi="Tahoma"/>
      <w:szCs w:val="20"/>
    </w:rPr>
  </w:style>
  <w:style w:type="paragraph" w:customStyle="1" w:styleId="20">
    <w:name w:val="正文2"/>
    <w:basedOn w:val="a"/>
    <w:link w:val="2Char0"/>
    <w:qFormat/>
    <w:rsid w:val="00991E37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Cs w:val="22"/>
    </w:rPr>
  </w:style>
  <w:style w:type="paragraph" w:styleId="a8">
    <w:name w:val="annotation subject"/>
    <w:basedOn w:val="ae"/>
    <w:next w:val="ae"/>
    <w:link w:val="Char2"/>
    <w:uiPriority w:val="99"/>
    <w:unhideWhenUsed/>
    <w:qFormat/>
    <w:rsid w:val="00991E37"/>
    <w:pPr>
      <w:adjustRightInd/>
    </w:pPr>
    <w:rPr>
      <w:rFonts w:ascii="Calibri" w:hAnsi="Calibri" w:cs="宋体"/>
      <w:b/>
      <w:bCs/>
      <w:sz w:val="28"/>
    </w:rPr>
  </w:style>
  <w:style w:type="character" w:customStyle="1" w:styleId="Char12">
    <w:name w:val="批注主题 Char1"/>
    <w:basedOn w:val="Char11"/>
    <w:uiPriority w:val="99"/>
    <w:semiHidden/>
    <w:rsid w:val="00991E37"/>
    <w:rPr>
      <w:rFonts w:ascii="Times New Roman" w:eastAsia="宋体" w:hAnsi="Times New Roman" w:cs="宋体"/>
      <w:b/>
      <w:bCs/>
      <w:sz w:val="24"/>
      <w:szCs w:val="24"/>
    </w:rPr>
  </w:style>
  <w:style w:type="paragraph" w:styleId="21">
    <w:name w:val="toc 2"/>
    <w:basedOn w:val="a"/>
    <w:next w:val="a"/>
    <w:uiPriority w:val="39"/>
    <w:qFormat/>
    <w:rsid w:val="00991E37"/>
    <w:pPr>
      <w:ind w:leftChars="200" w:left="420"/>
    </w:pPr>
  </w:style>
  <w:style w:type="paragraph" w:styleId="22">
    <w:name w:val="Body Text Indent 2"/>
    <w:basedOn w:val="a"/>
    <w:link w:val="2Char1"/>
    <w:qFormat/>
    <w:rsid w:val="00991E37"/>
    <w:pPr>
      <w:spacing w:line="500" w:lineRule="atLeast"/>
      <w:ind w:firstLine="480"/>
    </w:pPr>
    <w:rPr>
      <w:rFonts w:ascii="楷体_GB2312" w:eastAsia="楷体_GB2312" w:hAnsi="等线"/>
      <w:color w:val="FF0000"/>
    </w:rPr>
  </w:style>
  <w:style w:type="character" w:customStyle="1" w:styleId="2Char1">
    <w:name w:val="正文文本缩进 2 Char"/>
    <w:basedOn w:val="a1"/>
    <w:link w:val="22"/>
    <w:rsid w:val="00991E37"/>
    <w:rPr>
      <w:rFonts w:ascii="楷体_GB2312" w:eastAsia="楷体_GB2312" w:hAnsi="等线" w:cs="宋体"/>
      <w:color w:val="FF0000"/>
      <w:sz w:val="24"/>
      <w:szCs w:val="24"/>
    </w:rPr>
  </w:style>
  <w:style w:type="paragraph" w:styleId="aa">
    <w:name w:val="Plain Text"/>
    <w:basedOn w:val="a"/>
    <w:link w:val="Char3"/>
    <w:qFormat/>
    <w:rsid w:val="00991E37"/>
    <w:pPr>
      <w:spacing w:beforeLines="50" w:afterLines="50" w:line="400" w:lineRule="atLeast"/>
    </w:pPr>
    <w:rPr>
      <w:rFonts w:ascii="宋体" w:eastAsiaTheme="minorEastAsia" w:hAnsi="Courier New"/>
    </w:rPr>
  </w:style>
  <w:style w:type="character" w:customStyle="1" w:styleId="Char13">
    <w:name w:val="纯文本 Char1"/>
    <w:basedOn w:val="a1"/>
    <w:uiPriority w:val="99"/>
    <w:semiHidden/>
    <w:rsid w:val="00991E37"/>
    <w:rPr>
      <w:rFonts w:ascii="宋体" w:eastAsia="宋体" w:hAnsi="Courier New" w:cs="Courier New"/>
      <w:szCs w:val="21"/>
    </w:rPr>
  </w:style>
  <w:style w:type="paragraph" w:customStyle="1" w:styleId="10">
    <w:name w:val="样式1"/>
    <w:basedOn w:val="a"/>
    <w:link w:val="1Char0"/>
    <w:qFormat/>
    <w:rsid w:val="00991E37"/>
    <w:pPr>
      <w:spacing w:line="360" w:lineRule="exact"/>
      <w:ind w:firstLineChars="200" w:firstLine="200"/>
    </w:pPr>
    <w:rPr>
      <w:rFonts w:ascii="Arial" w:eastAsiaTheme="minorEastAsia" w:hAnsi="Arial" w:cstheme="minorBidi"/>
      <w:sz w:val="21"/>
    </w:rPr>
  </w:style>
  <w:style w:type="paragraph" w:styleId="ac">
    <w:name w:val="Balloon Text"/>
    <w:basedOn w:val="a"/>
    <w:link w:val="Char5"/>
    <w:uiPriority w:val="99"/>
    <w:unhideWhenUsed/>
    <w:qFormat/>
    <w:rsid w:val="00991E37"/>
    <w:rPr>
      <w:rFonts w:ascii="Calibri" w:eastAsiaTheme="minorEastAsia" w:hAnsi="Calibri"/>
      <w:sz w:val="18"/>
      <w:szCs w:val="18"/>
    </w:rPr>
  </w:style>
  <w:style w:type="character" w:customStyle="1" w:styleId="Char14">
    <w:name w:val="批注框文本 Char1"/>
    <w:basedOn w:val="a1"/>
    <w:uiPriority w:val="99"/>
    <w:semiHidden/>
    <w:rsid w:val="00991E37"/>
    <w:rPr>
      <w:rFonts w:ascii="Times New Roman" w:eastAsia="宋体" w:hAnsi="Times New Roman" w:cs="宋体"/>
      <w:sz w:val="18"/>
      <w:szCs w:val="18"/>
    </w:rPr>
  </w:style>
  <w:style w:type="paragraph" w:styleId="30">
    <w:name w:val="toc 3"/>
    <w:basedOn w:val="a"/>
    <w:next w:val="a"/>
    <w:qFormat/>
    <w:rsid w:val="00991E37"/>
    <w:pPr>
      <w:ind w:leftChars="400" w:left="840"/>
    </w:pPr>
  </w:style>
  <w:style w:type="paragraph" w:customStyle="1" w:styleId="af2">
    <w:name w:val="表内文字"/>
    <w:basedOn w:val="a"/>
    <w:qFormat/>
    <w:rsid w:val="00991E37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</w:rPr>
  </w:style>
  <w:style w:type="paragraph" w:styleId="af3">
    <w:name w:val="Normal (Web)"/>
    <w:basedOn w:val="a"/>
    <w:qFormat/>
    <w:rsid w:val="00991E37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af4">
    <w:name w:val="Table Grid"/>
    <w:basedOn w:val="a2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3">
    <w:name w:val="Medium Grid 3 Accent 3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1">
    <w:name w:val="Medium Grid 3 Accent 1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customStyle="1" w:styleId="31">
    <w:name w:val="中等深浅网格 31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12">
    <w:name w:val="网格型1"/>
    <w:basedOn w:val="a2"/>
    <w:rsid w:val="00991E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5">
    <w:name w:val="Medium Grid 3 Accent 5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qFormat/>
    <w:rsid w:val="00991E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474650115@qq.com</dc:creator>
  <cp:keywords/>
  <dc:description/>
  <cp:lastModifiedBy>474650115@qq.com</cp:lastModifiedBy>
  <cp:revision>2</cp:revision>
  <dcterms:created xsi:type="dcterms:W3CDTF">2019-04-28T10:32:00Z</dcterms:created>
  <dcterms:modified xsi:type="dcterms:W3CDTF">2019-04-28T10:32:00Z</dcterms:modified>
</cp:coreProperties>
</file>