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  <w:lang w:val="en-US" w:eastAsia="zh-CN"/>
        </w:rPr>
        <w:t>一</w:t>
      </w:r>
      <w:r>
        <w:t>、</w:t>
      </w:r>
      <w:r>
        <w:rPr>
          <w:rFonts w:hint="eastAsia"/>
        </w:rPr>
        <w:t>概述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1.本次磋商是政府采购云平台电子卖场服务供应商入围，要求供应商提供的货物必须是合格的产品，须符合相应的国家标准和行业标准的要求。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2.服务期：合同签订之日起二年。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3.供货地点：中国美术学院。</w:t>
      </w:r>
    </w:p>
    <w:p>
      <w:pPr>
        <w:pStyle w:val="2"/>
      </w:pPr>
      <w:bookmarkStart w:id="0" w:name="_Toc14679"/>
      <w:r>
        <w:rPr>
          <w:rFonts w:hint="eastAsia"/>
        </w:rPr>
        <w:t>二</w:t>
      </w:r>
      <w:r>
        <w:t>、</w:t>
      </w:r>
      <w:r>
        <w:rPr>
          <w:rFonts w:hint="eastAsia"/>
        </w:rPr>
        <w:t>供货方式和服务期</w:t>
      </w:r>
      <w:bookmarkEnd w:id="0"/>
    </w:p>
    <w:p>
      <w:pPr>
        <w:spacing w:line="360" w:lineRule="auto"/>
        <w:ind w:firstLine="240" w:firstLineChars="1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供应商按采购人要求供货。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每次根据采购人的电话或其它方式通知订购品种、数量后，按时运送物品到指定地点，成交供应商随货提供注明货物名称、单位、数量、售价及总金额的商品送货清单，作为采购人入库验收凭证。每次交易均通过政采云电子卖场下单。</w:t>
      </w:r>
    </w:p>
    <w:p>
      <w:pPr>
        <w:pStyle w:val="2"/>
      </w:pPr>
      <w:bookmarkStart w:id="1" w:name="_Toc5428"/>
      <w:r>
        <w:rPr>
          <w:rFonts w:hint="eastAsia"/>
        </w:rPr>
        <w:t>三</w:t>
      </w:r>
      <w:r>
        <w:t>、</w:t>
      </w:r>
      <w:r>
        <w:rPr>
          <w:rFonts w:hint="eastAsia"/>
        </w:rPr>
        <w:t>总体要求</w:t>
      </w:r>
      <w:bookmarkEnd w:id="1"/>
    </w:p>
    <w:p>
      <w:pPr>
        <w:spacing w:line="360" w:lineRule="auto"/>
        <w:ind w:firstLine="240" w:firstLineChars="1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成交供应商所提供的商品符合国家相关质量标准要求，售后服务符合国家三包规定。</w:t>
      </w:r>
    </w:p>
    <w:p>
      <w:pPr>
        <w:pStyle w:val="2"/>
        <w:numPr>
          <w:ilvl w:val="0"/>
          <w:numId w:val="1"/>
        </w:numPr>
        <w:rPr>
          <w:szCs w:val="28"/>
        </w:rPr>
      </w:pPr>
      <w:bookmarkStart w:id="2" w:name="_Toc11552"/>
      <w:r>
        <w:rPr>
          <w:rFonts w:hint="eastAsia"/>
          <w:szCs w:val="28"/>
        </w:rPr>
        <w:t>货物需求清单</w:t>
      </w:r>
      <w:bookmarkEnd w:id="2"/>
    </w:p>
    <w:tbl>
      <w:tblPr>
        <w:tblStyle w:val="3"/>
        <w:tblW w:w="96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3"/>
        <w:gridCol w:w="2335"/>
        <w:gridCol w:w="3076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1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品名</w:t>
            </w:r>
          </w:p>
        </w:tc>
        <w:tc>
          <w:tcPr>
            <w:tcW w:w="2335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</w:t>
            </w:r>
          </w:p>
        </w:tc>
        <w:tc>
          <w:tcPr>
            <w:tcW w:w="30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额定制冷制热量</w:t>
            </w:r>
          </w:p>
        </w:tc>
        <w:tc>
          <w:tcPr>
            <w:tcW w:w="19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能效等级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壁挂式空调</w:t>
            </w:r>
          </w:p>
        </w:tc>
        <w:tc>
          <w:tcPr>
            <w:tcW w:w="23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1.5匹定频挂机</w:t>
            </w:r>
          </w:p>
        </w:tc>
        <w:tc>
          <w:tcPr>
            <w:tcW w:w="3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制冷量≥3600W    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制热量≥3800W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二级及以上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11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2匹定频挂机</w:t>
            </w:r>
          </w:p>
        </w:tc>
        <w:tc>
          <w:tcPr>
            <w:tcW w:w="3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制冷量≥5000W     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制热量≥5800W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二级及以上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柜式空调</w:t>
            </w:r>
          </w:p>
        </w:tc>
        <w:tc>
          <w:tcPr>
            <w:tcW w:w="23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3匹定频柜机（电源为220V）</w:t>
            </w:r>
          </w:p>
        </w:tc>
        <w:tc>
          <w:tcPr>
            <w:tcW w:w="3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制冷量≥7200W     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制热量≥8200W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二级及以上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</w:t>
            </w:r>
          </w:p>
        </w:tc>
        <w:tc>
          <w:tcPr>
            <w:tcW w:w="11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5匹定频柜机</w:t>
            </w:r>
          </w:p>
        </w:tc>
        <w:tc>
          <w:tcPr>
            <w:tcW w:w="3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制冷量≥12000W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制热量≥13500W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二级及以上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吸顶式空调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3匹定频吸顶机（电源为220V）</w:t>
            </w:r>
          </w:p>
        </w:tc>
        <w:tc>
          <w:tcPr>
            <w:tcW w:w="3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制冷量≥7200W     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制热量≥7800W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二级及以上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</w:t>
            </w:r>
          </w:p>
        </w:tc>
        <w:tc>
          <w:tcPr>
            <w:tcW w:w="11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5匹定频吸顶机</w:t>
            </w:r>
          </w:p>
        </w:tc>
        <w:tc>
          <w:tcPr>
            <w:tcW w:w="3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制冷量≥12000W  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制热量≥13000W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二级及以上</w:t>
            </w:r>
          </w:p>
        </w:tc>
      </w:tr>
    </w:tbl>
    <w:p>
      <w:pPr>
        <w:spacing w:line="360" w:lineRule="auto"/>
        <w:ind w:firstLine="240" w:firstLineChars="1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注：本次实际采购的空调包含但不限于以上清单中的物品。实际数量以自愿订购数量为准。所购商品入围供应商无法提供的，甲方可在其他网超供应商处采购。</w:t>
      </w:r>
    </w:p>
    <w:p>
      <w:pPr>
        <w:spacing w:line="360" w:lineRule="auto"/>
        <w:ind w:firstLine="240" w:firstLineChars="1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1.入围供应商协助采购人对供货清单及结算凭证的统计和汇总。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C4D14D"/>
    <w:multiLevelType w:val="singleLevel"/>
    <w:tmpl w:val="CFC4D14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41F06"/>
    <w:rsid w:val="01177A4D"/>
    <w:rsid w:val="6DC4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360" w:lineRule="auto"/>
      <w:outlineLvl w:val="1"/>
    </w:pPr>
    <w:rPr>
      <w:rFonts w:ascii="Cambria" w:hAnsi="Cambria" w:eastAsia="宋体"/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2019-03-15T10:38:00Z</dcterms:created>
  <dc:creator>TZ</dc:creator>
  <cp:lastModifiedBy>TZ</cp:lastModifiedBy>
  <dcterms:modified xsi:type="dcterms:W3CDTF">2019-03-15T10:39:58Z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