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cs="宋体"/>
          <w:bCs/>
          <w:color w:val="auto"/>
          <w:highlight w:val="none"/>
        </w:rPr>
      </w:pPr>
      <w:r>
        <w:rPr>
          <w:rFonts w:hint="eastAsia" w:cs="宋体"/>
          <w:bCs/>
          <w:color w:val="auto"/>
          <w:highlight w:val="none"/>
        </w:rPr>
        <w:t>采购需求</w:t>
      </w:r>
    </w:p>
    <w:p>
      <w:pPr>
        <w:pStyle w:val="5"/>
        <w:spacing w:line="360" w:lineRule="auto"/>
        <w:rPr>
          <w:color w:val="auto"/>
          <w:highlight w:val="none"/>
        </w:rPr>
      </w:pPr>
      <w:r>
        <w:rPr>
          <w:rFonts w:hint="eastAsia"/>
          <w:color w:val="auto"/>
          <w:highlight w:val="none"/>
        </w:rPr>
        <w:t>一、工作内容及服务期限：</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1、负责提供浙江中医药大学富春校区医药楼污水处理站正常维护运行的全部化学药剂及对污水处理设施的日常维护及修缮，保证污水处理站的稳定运行并确保达标排放；</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中标人须建立污水运行的相关安全管理制度；并制定维保方案进行维保；中标人应配备和使用相应的劳动防护用品、应急救援物资（包括检测分析仪器、空气呼吸器、通风泵等各类应急物资），保持完好，并要求全部运行管理人员能正确使用或穿戴；</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3、配合政府环保单位对采购方的环保检查，成交方须派工作人员对接检测单位，涉及费用包含在此次报价中，不另行支付，如检测不合格，成交方须承担因此所发生的一切责任及损失；</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4、须常驻富春校区1名工作人员，以确保运行，并做好日常巡检记录；</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5、视运行情况每年负责不少于一次的污水处理池内污泥的清理及外运；</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6、每月月底前向招标人提供污水处理设备的运行及投药记录，并提供自测数据（中标人每月一次污水排放自测记录，主要有COD、SS、氨氮、PH值、色度、污染浓度、TP等浓度数据）。每年6月底及12月底前提供具有国家合格认证的检测机构出具的污水排放检测报告，以上自检、送检费用包含在此次报价中。</w:t>
      </w:r>
    </w:p>
    <w:p>
      <w:pPr>
        <w:pStyle w:val="2"/>
        <w:spacing w:line="360" w:lineRule="auto"/>
        <w:rPr>
          <w:b/>
          <w:bCs/>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u w:val="single"/>
        </w:rPr>
        <w:t>每年3月初与9月初新学期开学前对富春校区内10个直饮水点水质进行检测，检测项目主要有余氯、PH、色度、浑浊度、臭和味、肉眼可见物、菌落总数、总大肠菌群等，并提供国家认证的检测报告，检测费用包含在此次报价内。</w:t>
      </w:r>
    </w:p>
    <w:p>
      <w:pPr>
        <w:pStyle w:val="5"/>
        <w:spacing w:line="360" w:lineRule="auto"/>
        <w:rPr>
          <w:rFonts w:hint="eastAsia"/>
          <w:color w:val="auto"/>
          <w:highlight w:val="none"/>
        </w:rPr>
      </w:pPr>
      <w:r>
        <w:rPr>
          <w:rFonts w:hint="eastAsia"/>
          <w:color w:val="auto"/>
          <w:highlight w:val="none"/>
        </w:rPr>
        <w:t>二、污水主要来源与处理要求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主要来源为实验室废水，主要包括玻璃器皿清洗废水、药剂残留物等，属较高浓度有机污水，而且悬浮物和氨氮含量大。这种未经处理的污水进入自然水体后，使水中固体悬浮物、有机物和微生物含量升高，改变水体的物理、化学和生物群落组成，使水质变坏。其水质主要情况间表1：</w:t>
      </w:r>
    </w:p>
    <w:p>
      <w:pPr>
        <w:spacing w:line="360" w:lineRule="auto"/>
        <w:ind w:firstLine="480" w:firstLineChars="200"/>
        <w:rPr>
          <w:rFonts w:hint="eastAsia" w:ascii="宋体" w:hAnsi="宋体"/>
          <w:color w:val="auto"/>
          <w:highlight w:val="none"/>
        </w:rPr>
      </w:pPr>
      <w:r>
        <w:rPr>
          <w:rFonts w:hint="eastAsia" w:ascii="宋体" w:hAnsi="宋体"/>
          <w:color w:val="auto"/>
          <w:highlight w:val="none"/>
          <w:lang w:val="zh-CN"/>
        </w:rPr>
        <w:t>污水水质（表1）</w:t>
      </w:r>
    </w:p>
    <w:tbl>
      <w:tblPr>
        <w:tblStyle w:val="6"/>
        <w:tblW w:w="0" w:type="auto"/>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63"/>
        <w:gridCol w:w="1364"/>
        <w:gridCol w:w="1364"/>
        <w:gridCol w:w="1364"/>
        <w:gridCol w:w="1364"/>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PrEx>
        <w:trPr>
          <w:jc w:val="center"/>
        </w:trPr>
        <w:tc>
          <w:tcPr>
            <w:tcW w:w="1703"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项目</w:t>
            </w:r>
          </w:p>
        </w:tc>
        <w:tc>
          <w:tcPr>
            <w:tcW w:w="1363"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CODCr</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BOD5</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SS</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NH3-N</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pH</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03"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废水水质</w:t>
            </w:r>
          </w:p>
        </w:tc>
        <w:tc>
          <w:tcPr>
            <w:tcW w:w="1363"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800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500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600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40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6</w:t>
            </w:r>
          </w:p>
        </w:tc>
      </w:tr>
    </w:tbl>
    <w:p>
      <w:pPr>
        <w:spacing w:line="360" w:lineRule="auto"/>
        <w:ind w:firstLine="482" w:firstLineChars="200"/>
        <w:rPr>
          <w:rFonts w:hint="eastAsia" w:ascii="宋体" w:hAnsi="宋体"/>
          <w:b/>
          <w:bCs/>
          <w:color w:val="auto"/>
          <w:highlight w:val="none"/>
          <w:u w:val="single"/>
          <w:lang w:val="zh-CN"/>
        </w:rPr>
      </w:pPr>
      <w:r>
        <w:rPr>
          <w:rFonts w:hint="eastAsia" w:ascii="宋体" w:hAnsi="宋体"/>
          <w:b/>
          <w:bCs/>
          <w:color w:val="auto"/>
          <w:highlight w:val="none"/>
          <w:u w:val="single"/>
          <w:lang w:val="zh-CN"/>
        </w:rPr>
        <w:t>注：废水水质取自同类型实验室废水均值，污水排放量30吨/天，每月</w:t>
      </w:r>
      <w:r>
        <w:rPr>
          <w:rFonts w:hint="eastAsia" w:ascii="宋体" w:hAnsi="宋体"/>
          <w:b/>
          <w:bCs/>
          <w:color w:val="auto"/>
          <w:highlight w:val="none"/>
          <w:u w:val="single"/>
        </w:rPr>
        <w:t>30</w:t>
      </w:r>
      <w:r>
        <w:rPr>
          <w:rFonts w:hint="eastAsia" w:ascii="宋体" w:hAnsi="宋体"/>
          <w:b/>
          <w:bCs/>
          <w:color w:val="auto"/>
          <w:highlight w:val="none"/>
          <w:u w:val="single"/>
          <w:lang w:val="zh-CN"/>
        </w:rPr>
        <w:t>天</w:t>
      </w:r>
      <w:r>
        <w:rPr>
          <w:rFonts w:hint="eastAsia" w:ascii="宋体" w:hAnsi="宋体"/>
          <w:b/>
          <w:bCs/>
          <w:color w:val="auto"/>
          <w:highlight w:val="none"/>
          <w:u w:val="single"/>
        </w:rPr>
        <w:t>计</w:t>
      </w:r>
      <w:r>
        <w:rPr>
          <w:rFonts w:hint="eastAsia" w:ascii="宋体" w:hAnsi="宋体"/>
          <w:b/>
          <w:bCs/>
          <w:color w:val="auto"/>
          <w:highlight w:val="none"/>
          <w:u w:val="single"/>
          <w:lang w:val="zh-CN"/>
        </w:rPr>
        <w:t>，</w:t>
      </w:r>
      <w:r>
        <w:rPr>
          <w:rFonts w:hint="eastAsia" w:ascii="宋体" w:hAnsi="宋体"/>
          <w:b/>
          <w:bCs/>
          <w:color w:val="auto"/>
          <w:highlight w:val="none"/>
          <w:u w:val="single"/>
        </w:rPr>
        <w:t>上述数据只做参考，以实际排水情况为准</w:t>
      </w:r>
      <w:r>
        <w:rPr>
          <w:rFonts w:hint="eastAsia" w:ascii="宋体" w:hAnsi="宋体"/>
          <w:b/>
          <w:bCs/>
          <w:color w:val="auto"/>
          <w:highlight w:val="none"/>
          <w:u w:val="single"/>
          <w:lang w:val="zh-CN"/>
        </w:rPr>
        <w:t>。</w:t>
      </w:r>
    </w:p>
    <w:p>
      <w:pPr>
        <w:spacing w:line="360" w:lineRule="auto"/>
        <w:ind w:firstLine="480" w:firstLineChars="200"/>
        <w:rPr>
          <w:rFonts w:hint="eastAsia" w:ascii="宋体" w:hAnsi="宋体"/>
          <w:color w:val="auto"/>
          <w:highlight w:val="none"/>
          <w:lang w:val="zh-CN"/>
        </w:rPr>
      </w:pPr>
      <w:r>
        <w:rPr>
          <w:rFonts w:hint="eastAsia" w:ascii="宋体" w:hAnsi="宋体"/>
          <w:color w:val="auto"/>
          <w:highlight w:val="none"/>
        </w:rPr>
        <w:t>2、</w:t>
      </w:r>
      <w:r>
        <w:rPr>
          <w:rFonts w:hint="eastAsia" w:ascii="宋体" w:hAnsi="宋体"/>
          <w:color w:val="auto"/>
          <w:highlight w:val="none"/>
          <w:lang w:val="zh-CN"/>
        </w:rPr>
        <w:t>污水处理后</w:t>
      </w:r>
      <w:r>
        <w:rPr>
          <w:rFonts w:hint="eastAsia" w:ascii="宋体" w:hAnsi="宋体"/>
          <w:color w:val="auto"/>
          <w:highlight w:val="none"/>
        </w:rPr>
        <w:t>须</w:t>
      </w:r>
      <w:r>
        <w:rPr>
          <w:rFonts w:hint="eastAsia" w:ascii="宋体" w:hAnsi="宋体"/>
          <w:color w:val="auto"/>
          <w:highlight w:val="none"/>
          <w:lang w:val="zh-CN"/>
        </w:rPr>
        <w:t>达到《污水综合排放标准》（GB8987-1996）中的三级标准。有关参数的标准值见表</w:t>
      </w:r>
      <w:r>
        <w:rPr>
          <w:rFonts w:hint="eastAsia" w:ascii="宋体" w:hAnsi="宋体"/>
          <w:color w:val="auto"/>
          <w:highlight w:val="none"/>
        </w:rPr>
        <w:t>2</w:t>
      </w:r>
      <w:r>
        <w:rPr>
          <w:rFonts w:hint="eastAsia" w:ascii="宋体" w:hAnsi="宋体"/>
          <w:color w:val="auto"/>
          <w:highlight w:val="none"/>
          <w:lang w:val="zh-CN"/>
        </w:rPr>
        <w:t>。</w:t>
      </w:r>
    </w:p>
    <w:p>
      <w:pPr>
        <w:spacing w:line="360" w:lineRule="auto"/>
        <w:ind w:firstLine="480" w:firstLineChars="200"/>
        <w:rPr>
          <w:rFonts w:hint="eastAsia" w:ascii="宋体" w:hAnsi="宋体"/>
          <w:color w:val="auto"/>
          <w:highlight w:val="none"/>
          <w:lang w:val="zh-CN"/>
        </w:rPr>
      </w:pPr>
      <w:r>
        <w:rPr>
          <w:rFonts w:hint="eastAsia" w:ascii="宋体" w:hAnsi="宋体"/>
          <w:color w:val="auto"/>
          <w:highlight w:val="none"/>
          <w:lang w:val="zh-CN"/>
        </w:rPr>
        <w:t>污水排放标准（表2）</w:t>
      </w:r>
    </w:p>
    <w:tbl>
      <w:tblPr>
        <w:tblStyle w:val="6"/>
        <w:tblW w:w="0" w:type="auto"/>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64"/>
        <w:gridCol w:w="1364"/>
        <w:gridCol w:w="1364"/>
        <w:gridCol w:w="1364"/>
        <w:gridCol w:w="1364"/>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项目</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CODCr</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BOD5</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SS</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NH3-N</w:t>
            </w:r>
          </w:p>
          <w:p>
            <w:pPr>
              <w:spacing w:line="500" w:lineRule="exact"/>
              <w:rPr>
                <w:rFonts w:hint="eastAsia" w:ascii="宋体" w:hAnsi="宋体"/>
                <w:color w:val="auto"/>
                <w:highlight w:val="none"/>
              </w:rPr>
            </w:pPr>
            <w:r>
              <w:rPr>
                <w:rFonts w:hint="eastAsia" w:ascii="宋体" w:hAnsi="宋体"/>
                <w:color w:val="auto"/>
                <w:highlight w:val="none"/>
              </w:rPr>
              <w:t>(mg/L)</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pH</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02"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排放标准</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500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300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400</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35</w:t>
            </w:r>
          </w:p>
        </w:tc>
        <w:tc>
          <w:tcPr>
            <w:tcW w:w="1364" w:type="dxa"/>
            <w:noWrap w:val="0"/>
            <w:vAlign w:val="center"/>
          </w:tcPr>
          <w:p>
            <w:pPr>
              <w:spacing w:line="500" w:lineRule="exact"/>
              <w:rPr>
                <w:rFonts w:hint="eastAsia" w:ascii="宋体" w:hAnsi="宋体"/>
                <w:color w:val="auto"/>
                <w:highlight w:val="none"/>
              </w:rPr>
            </w:pPr>
            <w:r>
              <w:rPr>
                <w:rFonts w:hint="eastAsia" w:ascii="宋体" w:hAnsi="宋体"/>
                <w:color w:val="auto"/>
                <w:highlight w:val="none"/>
              </w:rPr>
              <w:t>6-9</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2091C"/>
    <w:rsid w:val="5EE2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240" w:lineRule="auto"/>
      <w:jc w:val="left"/>
      <w:outlineLvl w:val="1"/>
    </w:pPr>
    <w:rPr>
      <w:rFonts w:ascii="Times New Roman" w:hAnsi="Times New Roman" w:eastAsia="宋体" w:cs="Times New Roman"/>
      <w:b/>
      <w:bCs/>
      <w:color w:val="000000"/>
      <w:spacing w:val="-6"/>
      <w:kern w:val="0"/>
      <w:sz w:val="24"/>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2019-12-06T07:14:00Z</dcterms:created>
  <dc:creator>dell</dc:creator>
  <cp:lastModifiedBy>dell</cp:lastModifiedBy>
  <dcterms:modified xsi:type="dcterms:W3CDTF">2019-12-06T07:15:51Z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