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
          <w:color w:val="auto"/>
          <w:spacing w:val="-6"/>
          <w:sz w:val="48"/>
          <w:szCs w:val="48"/>
          <w:highlight w:val="none"/>
        </w:rPr>
      </w:pPr>
    </w:p>
    <w:p>
      <w:pPr>
        <w:spacing w:line="600" w:lineRule="auto"/>
        <w:jc w:val="center"/>
        <w:rPr>
          <w:rFonts w:asciiTheme="minorEastAsia" w:hAnsiTheme="minorEastAsia" w:cstheme="minorEastAsia"/>
          <w:b/>
          <w:color w:val="auto"/>
          <w:spacing w:val="-6"/>
          <w:sz w:val="48"/>
          <w:szCs w:val="48"/>
          <w:highlight w:val="none"/>
        </w:rPr>
      </w:pPr>
      <w:r>
        <w:rPr>
          <w:rFonts w:hint="eastAsia" w:asciiTheme="minorEastAsia" w:hAnsiTheme="minorEastAsia" w:cstheme="minorEastAsia"/>
          <w:b/>
          <w:color w:val="auto"/>
          <w:spacing w:val="-6"/>
          <w:sz w:val="48"/>
          <w:szCs w:val="48"/>
          <w:highlight w:val="none"/>
        </w:rPr>
        <w:t>中国美术学院</w:t>
      </w:r>
    </w:p>
    <w:p>
      <w:pPr>
        <w:spacing w:line="600" w:lineRule="auto"/>
        <w:jc w:val="center"/>
        <w:rPr>
          <w:rFonts w:asciiTheme="minorEastAsia" w:hAnsiTheme="minorEastAsia" w:cstheme="minorEastAsia"/>
          <w:b/>
          <w:color w:val="auto"/>
          <w:spacing w:val="-6"/>
          <w:sz w:val="48"/>
          <w:szCs w:val="48"/>
          <w:highlight w:val="none"/>
        </w:rPr>
      </w:pPr>
      <w:r>
        <w:rPr>
          <w:rFonts w:hint="eastAsia" w:asciiTheme="minorEastAsia" w:hAnsiTheme="minorEastAsia" w:cstheme="minorEastAsia"/>
          <w:b/>
          <w:color w:val="auto"/>
          <w:spacing w:val="-6"/>
          <w:sz w:val="48"/>
          <w:szCs w:val="48"/>
          <w:highlight w:val="none"/>
        </w:rPr>
        <w:t>消防系统改造升级</w:t>
      </w:r>
    </w:p>
    <w:p>
      <w:pPr>
        <w:spacing w:line="360" w:lineRule="auto"/>
        <w:jc w:val="center"/>
        <w:rPr>
          <w:rFonts w:asciiTheme="minorEastAsia" w:hAnsiTheme="minorEastAsia" w:cstheme="minorEastAsia"/>
          <w:b/>
          <w:color w:val="auto"/>
          <w:sz w:val="72"/>
          <w:szCs w:val="72"/>
          <w:highlight w:val="none"/>
        </w:rPr>
      </w:pPr>
    </w:p>
    <w:p>
      <w:pPr>
        <w:spacing w:line="360" w:lineRule="auto"/>
        <w:jc w:val="center"/>
        <w:rPr>
          <w:rFonts w:asciiTheme="minorEastAsia" w:hAnsiTheme="minorEastAsia" w:cstheme="minorEastAsia"/>
          <w:b/>
          <w:color w:val="auto"/>
          <w:sz w:val="72"/>
          <w:szCs w:val="72"/>
          <w:highlight w:val="none"/>
        </w:rPr>
      </w:pPr>
    </w:p>
    <w:p>
      <w:pPr>
        <w:spacing w:line="360" w:lineRule="auto"/>
        <w:jc w:val="center"/>
        <w:rPr>
          <w:rFonts w:asciiTheme="minorEastAsia" w:hAnsiTheme="minorEastAsia" w:cstheme="minorEastAsia"/>
          <w:b/>
          <w:color w:val="auto"/>
          <w:spacing w:val="-6"/>
          <w:sz w:val="72"/>
          <w:szCs w:val="72"/>
          <w:highlight w:val="none"/>
        </w:rPr>
      </w:pPr>
      <w:r>
        <w:rPr>
          <w:rFonts w:hint="eastAsia" w:asciiTheme="minorEastAsia" w:hAnsiTheme="minorEastAsia" w:cstheme="minorEastAsia"/>
          <w:b/>
          <w:color w:val="auto"/>
          <w:spacing w:val="-6"/>
          <w:sz w:val="72"/>
          <w:szCs w:val="72"/>
          <w:highlight w:val="none"/>
        </w:rPr>
        <w:t>竞争性磋商文件</w:t>
      </w:r>
    </w:p>
    <w:p>
      <w:pPr>
        <w:spacing w:line="360" w:lineRule="auto"/>
        <w:jc w:val="center"/>
        <w:rPr>
          <w:rFonts w:ascii="楷体" w:hAnsi="楷体" w:eastAsia="楷体"/>
          <w:color w:val="auto"/>
          <w:sz w:val="44"/>
          <w:szCs w:val="44"/>
          <w:highlight w:val="none"/>
        </w:rPr>
      </w:pPr>
    </w:p>
    <w:p>
      <w:pPr>
        <w:spacing w:line="360" w:lineRule="auto"/>
        <w:jc w:val="center"/>
        <w:rPr>
          <w:rFonts w:ascii="楷体" w:hAnsi="楷体" w:eastAsia="楷体"/>
          <w:color w:val="auto"/>
          <w:sz w:val="44"/>
          <w:szCs w:val="44"/>
          <w:highlight w:val="none"/>
        </w:rPr>
      </w:pPr>
    </w:p>
    <w:p>
      <w:pPr>
        <w:spacing w:line="360" w:lineRule="auto"/>
        <w:jc w:val="center"/>
        <w:rPr>
          <w:rFonts w:ascii="楷体" w:hAnsi="楷体" w:eastAsia="楷体"/>
          <w:color w:val="auto"/>
          <w:sz w:val="44"/>
          <w:szCs w:val="44"/>
          <w:highlight w:val="none"/>
        </w:rPr>
      </w:pPr>
    </w:p>
    <w:p>
      <w:pPr>
        <w:spacing w:line="360" w:lineRule="auto"/>
        <w:jc w:val="center"/>
        <w:rPr>
          <w:rFonts w:ascii="楷体" w:hAnsi="楷体" w:eastAsia="楷体"/>
          <w:color w:val="auto"/>
          <w:sz w:val="44"/>
          <w:szCs w:val="44"/>
          <w:highlight w:val="none"/>
        </w:rPr>
      </w:pPr>
    </w:p>
    <w:p>
      <w:pPr>
        <w:spacing w:line="360" w:lineRule="auto"/>
        <w:jc w:val="center"/>
        <w:rPr>
          <w:rFonts w:ascii="楷体" w:hAnsi="楷体" w:eastAsia="楷体"/>
          <w:color w:val="auto"/>
          <w:sz w:val="44"/>
          <w:szCs w:val="44"/>
          <w:highlight w:val="none"/>
        </w:rPr>
      </w:pPr>
    </w:p>
    <w:p>
      <w:pPr>
        <w:snapToGrid w:val="0"/>
        <w:spacing w:line="360" w:lineRule="auto"/>
        <w:ind w:left="2244" w:leftChars="228" w:hanging="1606" w:hangingChars="500"/>
        <w:rPr>
          <w:rFonts w:ascii="宋体" w:hAnsi="宋体" w:cs="宋体"/>
          <w:b/>
          <w:bCs/>
          <w:color w:val="auto"/>
          <w:sz w:val="32"/>
          <w:szCs w:val="32"/>
          <w:highlight w:val="none"/>
        </w:rPr>
      </w:pPr>
      <w:r>
        <w:rPr>
          <w:rFonts w:hint="eastAsia" w:ascii="宋体" w:hAnsi="宋体" w:cs="宋体"/>
          <w:b/>
          <w:bCs/>
          <w:color w:val="auto"/>
          <w:sz w:val="32"/>
          <w:szCs w:val="32"/>
          <w:highlight w:val="none"/>
        </w:rPr>
        <w:t>招标项目：消防系统改造升级</w:t>
      </w:r>
    </w:p>
    <w:p>
      <w:pPr>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确认书号：[2018]32836号</w:t>
      </w:r>
    </w:p>
    <w:p>
      <w:pPr>
        <w:snapToGrid w:val="0"/>
        <w:spacing w:line="360" w:lineRule="auto"/>
        <w:ind w:firstLine="643" w:firstLineChars="200"/>
        <w:rPr>
          <w:rFonts w:hint="eastAsia" w:ascii="宋体" w:hAnsi="宋体" w:cs="宋体" w:eastAsiaTheme="minorEastAsia"/>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ZJWSBJ-MY-201808C-1</w:t>
      </w:r>
    </w:p>
    <w:p>
      <w:pPr>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采 购</w:t>
      </w:r>
      <w:r>
        <w:rPr>
          <w:rFonts w:hint="eastAsia" w:ascii="宋体" w:hAnsi="宋体" w:cs="宋体"/>
          <w:b/>
          <w:bCs/>
          <w:color w:val="auto"/>
          <w:sz w:val="32"/>
          <w:szCs w:val="32"/>
          <w:highlight w:val="none"/>
        </w:rPr>
        <w:t xml:space="preserve"> 人：中国美术学院</w:t>
      </w:r>
    </w:p>
    <w:p>
      <w:pPr>
        <w:snapToGrid w:val="0"/>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spacing w:line="360" w:lineRule="auto"/>
        <w:ind w:firstLine="643" w:firstLineChars="200"/>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间：二〇一八年</w:t>
      </w:r>
      <w:r>
        <w:rPr>
          <w:rFonts w:hint="eastAsia" w:ascii="宋体" w:hAnsi="宋体" w:cs="宋体"/>
          <w:b/>
          <w:bCs/>
          <w:color w:val="auto"/>
          <w:sz w:val="32"/>
          <w:szCs w:val="32"/>
          <w:highlight w:val="none"/>
          <w:lang w:val="en-US" w:eastAsia="zh-CN"/>
        </w:rPr>
        <w:t>八</w:t>
      </w:r>
      <w:r>
        <w:rPr>
          <w:rFonts w:hint="eastAsia" w:ascii="宋体" w:hAnsi="宋体" w:cs="宋体"/>
          <w:b/>
          <w:bCs/>
          <w:color w:val="auto"/>
          <w:sz w:val="32"/>
          <w:szCs w:val="32"/>
          <w:highlight w:val="none"/>
        </w:rPr>
        <w:t>月</w:t>
      </w:r>
    </w:p>
    <w:p>
      <w:pPr>
        <w:pStyle w:val="2"/>
        <w:rPr>
          <w:color w:val="auto"/>
          <w:highlight w:val="none"/>
        </w:rPr>
      </w:pPr>
      <w:bookmarkStart w:id="0" w:name="_Toc23468"/>
      <w:bookmarkStart w:id="1" w:name="_Toc23867"/>
      <w:r>
        <w:rPr>
          <w:color w:val="auto"/>
          <w:highlight w:val="none"/>
        </w:rPr>
        <w:t>目</w:t>
      </w:r>
      <w:r>
        <w:rPr>
          <w:rFonts w:hint="eastAsia"/>
          <w:color w:val="auto"/>
          <w:highlight w:val="none"/>
        </w:rPr>
        <w:t xml:space="preserve">    </w:t>
      </w:r>
      <w:r>
        <w:rPr>
          <w:color w:val="auto"/>
          <w:highlight w:val="none"/>
        </w:rPr>
        <w:t>录</w:t>
      </w:r>
      <w:bookmarkEnd w:id="0"/>
      <w:bookmarkEnd w:id="1"/>
    </w:p>
    <w:p>
      <w:pPr>
        <w:pStyle w:val="12"/>
        <w:tabs>
          <w:tab w:val="right" w:leader="dot" w:pos="9412"/>
        </w:tabs>
      </w:pPr>
      <w:r>
        <w:rPr>
          <w:rFonts w:hint="eastAsia" w:asciiTheme="minorEastAsia" w:hAnsiTheme="minorEastAsia" w:cstheme="minorEastAsia"/>
          <w:color w:val="auto"/>
          <w:sz w:val="24"/>
          <w:szCs w:val="22"/>
          <w:highlight w:val="none"/>
        </w:rPr>
        <w:fldChar w:fldCharType="begin"/>
      </w:r>
      <w:r>
        <w:rPr>
          <w:rFonts w:hint="eastAsia" w:asciiTheme="minorEastAsia" w:hAnsiTheme="minorEastAsia" w:cstheme="minorEastAsia"/>
          <w:color w:val="auto"/>
          <w:sz w:val="24"/>
          <w:szCs w:val="22"/>
          <w:highlight w:val="none"/>
        </w:rPr>
        <w:instrText xml:space="preserve">TOC \o "1-2" \h \u </w:instrText>
      </w:r>
      <w:r>
        <w:rPr>
          <w:rFonts w:hint="eastAsia" w:asciiTheme="minorEastAsia" w:hAnsiTheme="minorEastAsia" w:cstheme="minorEastAsia"/>
          <w:color w:val="auto"/>
          <w:sz w:val="24"/>
          <w:szCs w:val="22"/>
          <w:highlight w:val="none"/>
        </w:rPr>
        <w:fldChar w:fldCharType="separate"/>
      </w: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_Toc23468 </w:instrText>
      </w:r>
      <w:r>
        <w:rPr>
          <w:rFonts w:hint="eastAsia" w:asciiTheme="minorEastAsia" w:hAnsiTheme="minorEastAsia" w:cstheme="minorEastAsia"/>
          <w:szCs w:val="22"/>
          <w:highlight w:val="none"/>
        </w:rPr>
        <w:fldChar w:fldCharType="separate"/>
      </w:r>
      <w:r>
        <w:rPr>
          <w:highlight w:val="none"/>
        </w:rPr>
        <w:t>目</w:t>
      </w:r>
      <w:r>
        <w:rPr>
          <w:rFonts w:hint="eastAsia"/>
          <w:highlight w:val="none"/>
        </w:rPr>
        <w:t xml:space="preserve">    </w:t>
      </w:r>
      <w:r>
        <w:rPr>
          <w:highlight w:val="none"/>
        </w:rPr>
        <w:t>录</w:t>
      </w:r>
      <w:r>
        <w:tab/>
      </w:r>
      <w:r>
        <w:fldChar w:fldCharType="begin"/>
      </w:r>
      <w:r>
        <w:instrText xml:space="preserve"> PAGEREF _Toc23468 </w:instrText>
      </w:r>
      <w:r>
        <w:fldChar w:fldCharType="separate"/>
      </w:r>
      <w:r>
        <w:t>2</w:t>
      </w:r>
      <w:r>
        <w:fldChar w:fldCharType="end"/>
      </w:r>
      <w:r>
        <w:rPr>
          <w:rFonts w:hint="eastAsia" w:asciiTheme="minorEastAsia" w:hAnsiTheme="minorEastAsia" w:cstheme="minorEastAsia"/>
          <w:color w:val="auto"/>
          <w:szCs w:val="22"/>
          <w:highlight w:val="none"/>
        </w:rPr>
        <w:fldChar w:fldCharType="end"/>
      </w:r>
    </w:p>
    <w:p>
      <w:pPr>
        <w:pStyle w:val="12"/>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_Toc23321 </w:instrText>
      </w:r>
      <w:r>
        <w:rPr>
          <w:rFonts w:hint="eastAsia" w:asciiTheme="minorEastAsia" w:hAnsiTheme="minorEastAsia" w:cstheme="minorEastAsia"/>
          <w:szCs w:val="22"/>
          <w:highlight w:val="none"/>
        </w:rPr>
        <w:fldChar w:fldCharType="separate"/>
      </w:r>
      <w:r>
        <w:rPr>
          <w:rFonts w:hAnsi="宋体"/>
          <w:spacing w:val="-6"/>
          <w:szCs w:val="32"/>
          <w:highlight w:val="none"/>
        </w:rPr>
        <w:t>第一章  竞争性磋商采购公告</w:t>
      </w:r>
      <w:r>
        <w:tab/>
      </w:r>
      <w:r>
        <w:fldChar w:fldCharType="begin"/>
      </w:r>
      <w:r>
        <w:instrText xml:space="preserve"> PAGEREF _Toc23321 </w:instrText>
      </w:r>
      <w:r>
        <w:fldChar w:fldCharType="separate"/>
      </w:r>
      <w:r>
        <w:t>3</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_Toc15764 </w:instrText>
      </w:r>
      <w:r>
        <w:rPr>
          <w:rFonts w:hint="eastAsia" w:asciiTheme="minorEastAsia" w:hAnsiTheme="minorEastAsia" w:cstheme="minorEastAsia"/>
          <w:szCs w:val="22"/>
          <w:highlight w:val="none"/>
        </w:rPr>
        <w:fldChar w:fldCharType="separate"/>
      </w:r>
      <w:r>
        <w:rPr>
          <w:szCs w:val="24"/>
          <w:highlight w:val="none"/>
        </w:rPr>
        <w:t>一</w:t>
      </w:r>
      <w:r>
        <w:rPr>
          <w:rFonts w:hint="eastAsia" w:ascii="宋体" w:hAnsi="宋体" w:cs="宋体"/>
          <w:kern w:val="0"/>
          <w:szCs w:val="24"/>
          <w:highlight w:val="none"/>
          <w:shd w:val="clear" w:color="auto" w:fill="FDFAF5"/>
        </w:rPr>
        <w:t>.</w:t>
      </w:r>
      <w:r>
        <w:rPr>
          <w:szCs w:val="24"/>
          <w:highlight w:val="none"/>
        </w:rPr>
        <w:t>采购项目编号</w:t>
      </w:r>
      <w:r>
        <w:rPr>
          <w:rFonts w:hint="eastAsia"/>
          <w:szCs w:val="24"/>
          <w:highlight w:val="none"/>
        </w:rPr>
        <w:t>：</w:t>
      </w:r>
      <w:r>
        <w:tab/>
      </w:r>
      <w:r>
        <w:fldChar w:fldCharType="begin"/>
      </w:r>
      <w:r>
        <w:instrText xml:space="preserve"> PAGEREF _Toc15764 </w:instrText>
      </w:r>
      <w:r>
        <w:fldChar w:fldCharType="separate"/>
      </w:r>
      <w:r>
        <w:t>3</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_Toc13645 </w:instrText>
      </w:r>
      <w:r>
        <w:rPr>
          <w:rFonts w:hint="eastAsia" w:asciiTheme="minorEastAsia" w:hAnsiTheme="minorEastAsia" w:cstheme="minorEastAsia"/>
          <w:szCs w:val="22"/>
          <w:highlight w:val="none"/>
        </w:rPr>
        <w:fldChar w:fldCharType="separate"/>
      </w:r>
      <w:r>
        <w:rPr>
          <w:rFonts w:hint="eastAsia"/>
          <w:szCs w:val="24"/>
          <w:highlight w:val="none"/>
        </w:rPr>
        <w:t>二</w:t>
      </w:r>
      <w:r>
        <w:rPr>
          <w:rFonts w:hint="eastAsia" w:ascii="宋体" w:hAnsi="宋体" w:cs="宋体"/>
          <w:kern w:val="0"/>
          <w:szCs w:val="24"/>
          <w:highlight w:val="none"/>
          <w:shd w:val="clear" w:color="auto" w:fill="FDFAF5"/>
        </w:rPr>
        <w:t>.</w:t>
      </w:r>
      <w:r>
        <w:rPr>
          <w:rFonts w:hint="eastAsia"/>
          <w:szCs w:val="24"/>
          <w:highlight w:val="none"/>
        </w:rPr>
        <w:t>采购组织类型：</w:t>
      </w:r>
      <w:r>
        <w:tab/>
      </w:r>
      <w:r>
        <w:fldChar w:fldCharType="begin"/>
      </w:r>
      <w:r>
        <w:instrText xml:space="preserve"> PAGEREF _Toc13645 </w:instrText>
      </w:r>
      <w:r>
        <w:fldChar w:fldCharType="separate"/>
      </w:r>
      <w:r>
        <w:t>3</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_Toc27730 </w:instrText>
      </w:r>
      <w:r>
        <w:rPr>
          <w:rFonts w:hint="eastAsia" w:asciiTheme="minorEastAsia" w:hAnsiTheme="minorEastAsia" w:cstheme="minorEastAsia"/>
          <w:szCs w:val="22"/>
          <w:highlight w:val="none"/>
        </w:rPr>
        <w:fldChar w:fldCharType="separate"/>
      </w:r>
      <w:r>
        <w:rPr>
          <w:rFonts w:hint="eastAsia"/>
          <w:szCs w:val="24"/>
          <w:highlight w:val="none"/>
        </w:rPr>
        <w:t>三</w:t>
      </w:r>
      <w:r>
        <w:rPr>
          <w:rFonts w:hint="eastAsia" w:ascii="宋体" w:hAnsi="宋体" w:cs="宋体"/>
          <w:kern w:val="0"/>
          <w:szCs w:val="24"/>
          <w:highlight w:val="none"/>
          <w:shd w:val="clear" w:color="auto" w:fill="FDFAF5"/>
        </w:rPr>
        <w:t>.</w:t>
      </w:r>
      <w:r>
        <w:rPr>
          <w:szCs w:val="24"/>
          <w:highlight w:val="none"/>
        </w:rPr>
        <w:t>采购项目</w:t>
      </w:r>
      <w:r>
        <w:rPr>
          <w:rFonts w:hint="eastAsia"/>
          <w:szCs w:val="24"/>
          <w:highlight w:val="none"/>
        </w:rPr>
        <w:t>概况:</w:t>
      </w:r>
      <w:r>
        <w:tab/>
      </w:r>
      <w:r>
        <w:fldChar w:fldCharType="begin"/>
      </w:r>
      <w:r>
        <w:instrText xml:space="preserve"> PAGEREF _Toc27730 </w:instrText>
      </w:r>
      <w:r>
        <w:fldChar w:fldCharType="separate"/>
      </w:r>
      <w:r>
        <w:t>3</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_Toc14759 </w:instrText>
      </w:r>
      <w:r>
        <w:rPr>
          <w:rFonts w:hint="eastAsia" w:asciiTheme="minorEastAsia" w:hAnsiTheme="minorEastAsia" w:cstheme="minorEastAsia"/>
          <w:szCs w:val="22"/>
          <w:highlight w:val="none"/>
        </w:rPr>
        <w:fldChar w:fldCharType="separate"/>
      </w:r>
      <w:r>
        <w:rPr>
          <w:rFonts w:hint="eastAsia"/>
          <w:szCs w:val="24"/>
          <w:highlight w:val="none"/>
        </w:rPr>
        <w:t>四</w:t>
      </w:r>
      <w:r>
        <w:rPr>
          <w:szCs w:val="24"/>
          <w:highlight w:val="none"/>
        </w:rPr>
        <w:t>.</w:t>
      </w:r>
      <w:r>
        <w:rPr>
          <w:rFonts w:hint="eastAsia"/>
          <w:szCs w:val="24"/>
          <w:highlight w:val="none"/>
        </w:rPr>
        <w:t>磋商供应商</w:t>
      </w:r>
      <w:r>
        <w:rPr>
          <w:szCs w:val="24"/>
          <w:highlight w:val="none"/>
        </w:rPr>
        <w:t>资格要求</w:t>
      </w:r>
      <w:r>
        <w:rPr>
          <w:rFonts w:hint="eastAsia"/>
          <w:szCs w:val="24"/>
          <w:highlight w:val="none"/>
        </w:rPr>
        <w:t>：</w:t>
      </w:r>
      <w:r>
        <w:tab/>
      </w:r>
      <w:r>
        <w:fldChar w:fldCharType="begin"/>
      </w:r>
      <w:r>
        <w:instrText xml:space="preserve"> PAGEREF _Toc14759 </w:instrText>
      </w:r>
      <w:r>
        <w:fldChar w:fldCharType="separate"/>
      </w:r>
      <w:r>
        <w:t>3</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_Toc21419 </w:instrText>
      </w:r>
      <w:r>
        <w:rPr>
          <w:rFonts w:hint="eastAsia" w:asciiTheme="minorEastAsia" w:hAnsiTheme="minorEastAsia" w:cstheme="minorEastAsia"/>
          <w:szCs w:val="22"/>
          <w:highlight w:val="none"/>
        </w:rPr>
        <w:fldChar w:fldCharType="separate"/>
      </w:r>
      <w:r>
        <w:rPr>
          <w:rFonts w:hint="eastAsia"/>
          <w:szCs w:val="24"/>
          <w:highlight w:val="none"/>
        </w:rPr>
        <w:t>五</w:t>
      </w:r>
      <w:r>
        <w:rPr>
          <w:rFonts w:hint="eastAsia" w:ascii="宋体" w:hAnsi="宋体" w:cs="宋体"/>
          <w:kern w:val="0"/>
          <w:szCs w:val="24"/>
          <w:highlight w:val="none"/>
          <w:shd w:val="clear" w:color="auto" w:fill="FDFAF5"/>
        </w:rPr>
        <w:t>.</w:t>
      </w:r>
      <w:r>
        <w:rPr>
          <w:rFonts w:hint="eastAsia" w:ascii="宋体" w:hAnsi="宋体" w:cs="宋体"/>
          <w:szCs w:val="24"/>
          <w:highlight w:val="none"/>
        </w:rPr>
        <w:t>获取磋商文件的时间期限、地点、售价及购买磋商文件时提供的资料信息：</w:t>
      </w:r>
      <w:r>
        <w:tab/>
      </w:r>
      <w:r>
        <w:fldChar w:fldCharType="begin"/>
      </w:r>
      <w:r>
        <w:instrText xml:space="preserve"> PAGEREF _Toc21419 </w:instrText>
      </w:r>
      <w:r>
        <w:fldChar w:fldCharType="separate"/>
      </w:r>
      <w:r>
        <w:t>3</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_Toc13318 </w:instrText>
      </w:r>
      <w:r>
        <w:rPr>
          <w:rFonts w:hint="eastAsia" w:asciiTheme="minorEastAsia" w:hAnsiTheme="minorEastAsia" w:cstheme="minorEastAsia"/>
          <w:szCs w:val="22"/>
          <w:highlight w:val="none"/>
        </w:rPr>
        <w:fldChar w:fldCharType="separate"/>
      </w:r>
      <w:r>
        <w:rPr>
          <w:rFonts w:hint="eastAsia" w:ascii="宋体" w:hAnsi="宋体" w:cs="宋体"/>
          <w:szCs w:val="24"/>
          <w:highlight w:val="none"/>
        </w:rPr>
        <w:t>六．公告期限：</w:t>
      </w:r>
      <w:r>
        <w:tab/>
      </w:r>
      <w:r>
        <w:fldChar w:fldCharType="begin"/>
      </w:r>
      <w:r>
        <w:instrText xml:space="preserve"> PAGEREF _Toc13318 </w:instrText>
      </w:r>
      <w:r>
        <w:fldChar w:fldCharType="separate"/>
      </w:r>
      <w:r>
        <w:t>4</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_Toc10860 </w:instrText>
      </w:r>
      <w:r>
        <w:rPr>
          <w:rFonts w:hint="eastAsia" w:asciiTheme="minorEastAsia" w:hAnsiTheme="minorEastAsia" w:cstheme="minorEastAsia"/>
          <w:szCs w:val="22"/>
          <w:highlight w:val="none"/>
        </w:rPr>
        <w:fldChar w:fldCharType="separate"/>
      </w:r>
      <w:r>
        <w:rPr>
          <w:rFonts w:hint="eastAsia" w:ascii="宋体" w:hAnsi="宋体" w:cs="宋体"/>
          <w:szCs w:val="24"/>
          <w:highlight w:val="none"/>
        </w:rPr>
        <w:t>七．开标有关信息：</w:t>
      </w:r>
      <w:r>
        <w:tab/>
      </w:r>
      <w:r>
        <w:fldChar w:fldCharType="begin"/>
      </w:r>
      <w:r>
        <w:instrText xml:space="preserve"> PAGEREF _Toc10860 </w:instrText>
      </w:r>
      <w:r>
        <w:fldChar w:fldCharType="separate"/>
      </w:r>
      <w:r>
        <w:t>4</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_Toc22731 </w:instrText>
      </w:r>
      <w:r>
        <w:rPr>
          <w:rFonts w:hint="eastAsia" w:asciiTheme="minorEastAsia" w:hAnsiTheme="minorEastAsia" w:cstheme="minorEastAsia"/>
          <w:szCs w:val="22"/>
          <w:highlight w:val="none"/>
        </w:rPr>
        <w:fldChar w:fldCharType="separate"/>
      </w:r>
      <w:r>
        <w:rPr>
          <w:rFonts w:hint="eastAsia" w:ascii="宋体" w:hAnsi="宋体" w:cs="宋体"/>
          <w:szCs w:val="24"/>
          <w:highlight w:val="none"/>
        </w:rPr>
        <w:t>八．投标保证金：</w:t>
      </w:r>
      <w:r>
        <w:tab/>
      </w:r>
      <w:r>
        <w:fldChar w:fldCharType="begin"/>
      </w:r>
      <w:r>
        <w:instrText xml:space="preserve"> PAGEREF _Toc22731 </w:instrText>
      </w:r>
      <w:r>
        <w:fldChar w:fldCharType="separate"/>
      </w:r>
      <w:r>
        <w:t>4</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_Toc20780 </w:instrText>
      </w:r>
      <w:r>
        <w:rPr>
          <w:rFonts w:hint="eastAsia" w:asciiTheme="minorEastAsia" w:hAnsiTheme="minorEastAsia" w:cstheme="minorEastAsia"/>
          <w:szCs w:val="22"/>
          <w:highlight w:val="none"/>
        </w:rPr>
        <w:fldChar w:fldCharType="separate"/>
      </w:r>
      <w:r>
        <w:rPr>
          <w:rFonts w:hint="eastAsia" w:ascii="宋体" w:hAnsi="宋体" w:cs="宋体"/>
          <w:szCs w:val="24"/>
          <w:highlight w:val="none"/>
        </w:rPr>
        <w:t>九.联系方式：</w:t>
      </w:r>
      <w:r>
        <w:tab/>
      </w:r>
      <w:r>
        <w:fldChar w:fldCharType="begin"/>
      </w:r>
      <w:r>
        <w:instrText xml:space="preserve"> PAGEREF _Toc20780 </w:instrText>
      </w:r>
      <w:r>
        <w:fldChar w:fldCharType="separate"/>
      </w:r>
      <w:r>
        <w:t>4</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_Toc29947 </w:instrText>
      </w:r>
      <w:r>
        <w:rPr>
          <w:rFonts w:hint="eastAsia" w:asciiTheme="minorEastAsia" w:hAnsiTheme="minorEastAsia" w:cstheme="minorEastAsia"/>
          <w:szCs w:val="22"/>
          <w:highlight w:val="none"/>
        </w:rPr>
        <w:fldChar w:fldCharType="separate"/>
      </w:r>
      <w:r>
        <w:rPr>
          <w:rFonts w:hint="eastAsia" w:ascii="宋体" w:hAnsi="宋体" w:cs="宋体"/>
          <w:szCs w:val="24"/>
          <w:highlight w:val="none"/>
        </w:rPr>
        <w:t>十．采购项目需要落实的政府采购政策：</w:t>
      </w:r>
      <w:r>
        <w:tab/>
      </w:r>
      <w:r>
        <w:fldChar w:fldCharType="begin"/>
      </w:r>
      <w:r>
        <w:instrText xml:space="preserve"> PAGEREF _Toc29947 </w:instrText>
      </w:r>
      <w:r>
        <w:fldChar w:fldCharType="separate"/>
      </w:r>
      <w:r>
        <w:t>5</w:t>
      </w:r>
      <w:r>
        <w:fldChar w:fldCharType="end"/>
      </w:r>
      <w:r>
        <w:rPr>
          <w:rFonts w:hint="eastAsia" w:asciiTheme="minorEastAsia" w:hAnsiTheme="minorEastAsia" w:cstheme="minorEastAsia"/>
          <w:color w:val="auto"/>
          <w:szCs w:val="22"/>
          <w:highlight w:val="none"/>
        </w:rPr>
        <w:fldChar w:fldCharType="end"/>
      </w:r>
    </w:p>
    <w:p>
      <w:pPr>
        <w:pStyle w:val="12"/>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_Toc23655 </w:instrText>
      </w:r>
      <w:r>
        <w:rPr>
          <w:rFonts w:hint="eastAsia" w:asciiTheme="minorEastAsia" w:hAnsiTheme="minorEastAsia" w:cstheme="minorEastAsia"/>
          <w:szCs w:val="22"/>
          <w:highlight w:val="none"/>
        </w:rPr>
        <w:fldChar w:fldCharType="separate"/>
      </w:r>
      <w:r>
        <w:rPr>
          <w:rFonts w:hint="eastAsia" w:ascii="宋体" w:hAnsi="宋体"/>
          <w:szCs w:val="32"/>
          <w:highlight w:val="none"/>
        </w:rPr>
        <w:t>第二章  磋商响应供应商须知</w:t>
      </w:r>
      <w:r>
        <w:tab/>
      </w:r>
      <w:r>
        <w:fldChar w:fldCharType="begin"/>
      </w:r>
      <w:r>
        <w:instrText xml:space="preserve"> PAGEREF _Toc23655 </w:instrText>
      </w:r>
      <w:r>
        <w:fldChar w:fldCharType="separate"/>
      </w:r>
      <w:r>
        <w:t>6</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_Toc138 </w:instrText>
      </w:r>
      <w:r>
        <w:rPr>
          <w:rFonts w:hint="eastAsia" w:asciiTheme="minorEastAsia" w:hAnsiTheme="minorEastAsia" w:cstheme="minorEastAsia"/>
          <w:szCs w:val="22"/>
          <w:highlight w:val="none"/>
        </w:rPr>
        <w:fldChar w:fldCharType="separate"/>
      </w:r>
      <w:r>
        <w:rPr>
          <w:rFonts w:hint="eastAsia" w:hAnsi="宋体"/>
          <w:spacing w:val="-6"/>
          <w:szCs w:val="21"/>
          <w:highlight w:val="none"/>
        </w:rPr>
        <w:t>一</w:t>
      </w:r>
      <w:r>
        <w:rPr>
          <w:rFonts w:hint="eastAsia" w:hAnsi="宋体"/>
          <w:spacing w:val="-6"/>
          <w:highlight w:val="none"/>
        </w:rPr>
        <w:t>、</w:t>
      </w:r>
      <w:r>
        <w:rPr>
          <w:rFonts w:hAnsi="宋体"/>
          <w:spacing w:val="-6"/>
          <w:highlight w:val="none"/>
        </w:rPr>
        <w:t>总</w:t>
      </w:r>
      <w:r>
        <w:rPr>
          <w:rFonts w:hint="eastAsia" w:hAnsi="宋体"/>
          <w:spacing w:val="-6"/>
          <w:highlight w:val="none"/>
        </w:rPr>
        <w:t xml:space="preserve">  </w:t>
      </w:r>
      <w:r>
        <w:rPr>
          <w:rFonts w:hAnsi="宋体"/>
          <w:spacing w:val="-6"/>
          <w:highlight w:val="none"/>
        </w:rPr>
        <w:t>则</w:t>
      </w:r>
      <w:r>
        <w:tab/>
      </w:r>
      <w:r>
        <w:fldChar w:fldCharType="begin"/>
      </w:r>
      <w:r>
        <w:instrText xml:space="preserve"> PAGEREF _Toc138 </w:instrText>
      </w:r>
      <w:r>
        <w:fldChar w:fldCharType="separate"/>
      </w:r>
      <w:r>
        <w:t>8</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_Toc19482 </w:instrText>
      </w:r>
      <w:r>
        <w:rPr>
          <w:rFonts w:hint="eastAsia" w:asciiTheme="minorEastAsia" w:hAnsiTheme="minorEastAsia" w:cstheme="minorEastAsia"/>
          <w:szCs w:val="22"/>
          <w:highlight w:val="none"/>
        </w:rPr>
        <w:fldChar w:fldCharType="separate"/>
      </w:r>
      <w:r>
        <w:rPr>
          <w:rFonts w:hint="eastAsia" w:hAnsi="宋体"/>
          <w:spacing w:val="-6"/>
          <w:highlight w:val="none"/>
        </w:rPr>
        <w:t>二、磋商文件</w:t>
      </w:r>
      <w:r>
        <w:tab/>
      </w:r>
      <w:r>
        <w:fldChar w:fldCharType="begin"/>
      </w:r>
      <w:r>
        <w:instrText xml:space="preserve"> PAGEREF _Toc19482 </w:instrText>
      </w:r>
      <w:r>
        <w:fldChar w:fldCharType="separate"/>
      </w:r>
      <w:r>
        <w:t>10</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_Toc11250 </w:instrText>
      </w:r>
      <w:r>
        <w:rPr>
          <w:rFonts w:hint="eastAsia" w:asciiTheme="minorEastAsia" w:hAnsiTheme="minorEastAsia" w:cstheme="minorEastAsia"/>
          <w:szCs w:val="22"/>
          <w:highlight w:val="none"/>
        </w:rPr>
        <w:fldChar w:fldCharType="separate"/>
      </w:r>
      <w:r>
        <w:rPr>
          <w:rFonts w:hint="eastAsia" w:hAnsi="宋体"/>
          <w:spacing w:val="-6"/>
          <w:highlight w:val="none"/>
        </w:rPr>
        <w:t>三、</w:t>
      </w:r>
      <w:r>
        <w:rPr>
          <w:rFonts w:hAnsi="宋体"/>
          <w:spacing w:val="-6"/>
          <w:highlight w:val="none"/>
        </w:rPr>
        <w:t>响应文件的编制</w:t>
      </w:r>
      <w:r>
        <w:tab/>
      </w:r>
      <w:r>
        <w:fldChar w:fldCharType="begin"/>
      </w:r>
      <w:r>
        <w:instrText xml:space="preserve"> PAGEREF _Toc11250 </w:instrText>
      </w:r>
      <w:r>
        <w:fldChar w:fldCharType="separate"/>
      </w:r>
      <w:r>
        <w:t>11</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_Toc17794 </w:instrText>
      </w:r>
      <w:r>
        <w:rPr>
          <w:rFonts w:hint="eastAsia" w:asciiTheme="minorEastAsia" w:hAnsiTheme="minorEastAsia" w:cstheme="minorEastAsia"/>
          <w:szCs w:val="22"/>
          <w:highlight w:val="none"/>
        </w:rPr>
        <w:fldChar w:fldCharType="separate"/>
      </w:r>
      <w:r>
        <w:rPr>
          <w:rFonts w:hint="eastAsia" w:ascii="宋体" w:hAnsi="宋体"/>
          <w:highlight w:val="none"/>
        </w:rPr>
        <w:t>四、响应文件开启</w:t>
      </w:r>
      <w:r>
        <w:tab/>
      </w:r>
      <w:r>
        <w:fldChar w:fldCharType="begin"/>
      </w:r>
      <w:r>
        <w:instrText xml:space="preserve"> PAGEREF _Toc17794 </w:instrText>
      </w:r>
      <w:r>
        <w:fldChar w:fldCharType="separate"/>
      </w:r>
      <w:r>
        <w:t>16</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_Toc2941 </w:instrText>
      </w:r>
      <w:r>
        <w:rPr>
          <w:rFonts w:hint="eastAsia" w:asciiTheme="minorEastAsia" w:hAnsiTheme="minorEastAsia" w:cstheme="minorEastAsia"/>
          <w:szCs w:val="22"/>
          <w:highlight w:val="none"/>
        </w:rPr>
        <w:fldChar w:fldCharType="separate"/>
      </w:r>
      <w:r>
        <w:rPr>
          <w:rFonts w:hint="eastAsia" w:hAnsi="宋体"/>
          <w:spacing w:val="-6"/>
          <w:highlight w:val="none"/>
        </w:rPr>
        <w:t>五、</w:t>
      </w:r>
      <w:r>
        <w:rPr>
          <w:rFonts w:hint="eastAsia" w:ascii="宋体" w:hAnsi="宋体"/>
          <w:highlight w:val="none"/>
        </w:rPr>
        <w:t>磋商程序</w:t>
      </w:r>
      <w:r>
        <w:tab/>
      </w:r>
      <w:r>
        <w:fldChar w:fldCharType="begin"/>
      </w:r>
      <w:r>
        <w:instrText xml:space="preserve"> PAGEREF _Toc2941 </w:instrText>
      </w:r>
      <w:r>
        <w:fldChar w:fldCharType="separate"/>
      </w:r>
      <w:r>
        <w:t>18</w:t>
      </w:r>
      <w:r>
        <w:fldChar w:fldCharType="end"/>
      </w:r>
      <w:r>
        <w:rPr>
          <w:rFonts w:hint="eastAsia" w:asciiTheme="minorEastAsia" w:hAnsiTheme="minorEastAsia" w:cstheme="minorEastAsia"/>
          <w:color w:val="auto"/>
          <w:szCs w:val="22"/>
          <w:highlight w:val="none"/>
        </w:rPr>
        <w:fldChar w:fldCharType="end"/>
      </w:r>
    </w:p>
    <w:p>
      <w:pPr>
        <w:pStyle w:val="12"/>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_Toc1976 </w:instrText>
      </w:r>
      <w:r>
        <w:rPr>
          <w:rFonts w:hint="eastAsia" w:asciiTheme="minorEastAsia" w:hAnsiTheme="minorEastAsia" w:cstheme="minorEastAsia"/>
          <w:szCs w:val="22"/>
          <w:highlight w:val="none"/>
        </w:rPr>
        <w:fldChar w:fldCharType="separate"/>
      </w:r>
      <w:r>
        <w:rPr>
          <w:rFonts w:hint="eastAsia" w:ascii="宋体" w:hAnsi="宋体"/>
          <w:szCs w:val="32"/>
          <w:highlight w:val="none"/>
        </w:rPr>
        <w:t xml:space="preserve">第三章  </w:t>
      </w:r>
      <w:r>
        <w:rPr>
          <w:rFonts w:hint="eastAsia" w:ascii="宋体" w:hAnsi="宋体"/>
          <w:bCs/>
          <w:szCs w:val="32"/>
          <w:highlight w:val="none"/>
        </w:rPr>
        <w:t>竞争性磋商采购需求</w:t>
      </w:r>
      <w:r>
        <w:tab/>
      </w:r>
      <w:r>
        <w:fldChar w:fldCharType="begin"/>
      </w:r>
      <w:r>
        <w:instrText xml:space="preserve"> PAGEREF _Toc1976 </w:instrText>
      </w:r>
      <w:r>
        <w:fldChar w:fldCharType="separate"/>
      </w:r>
      <w:r>
        <w:t>21</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_Toc22000 </w:instrText>
      </w:r>
      <w:r>
        <w:rPr>
          <w:rFonts w:hint="eastAsia" w:asciiTheme="minorEastAsia" w:hAnsiTheme="minorEastAsia" w:cstheme="minorEastAsia"/>
          <w:szCs w:val="22"/>
          <w:highlight w:val="none"/>
        </w:rPr>
        <w:fldChar w:fldCharType="separate"/>
      </w:r>
      <w:r>
        <w:rPr>
          <w:rFonts w:hint="eastAsia"/>
          <w:highlight w:val="none"/>
        </w:rPr>
        <w:t>一</w:t>
      </w:r>
      <w:r>
        <w:rPr>
          <w:highlight w:val="none"/>
        </w:rPr>
        <w:t>、</w:t>
      </w:r>
      <w:r>
        <w:rPr>
          <w:rFonts w:hint="eastAsia"/>
          <w:highlight w:val="none"/>
        </w:rPr>
        <w:t>说明</w:t>
      </w:r>
      <w:r>
        <w:tab/>
      </w:r>
      <w:r>
        <w:fldChar w:fldCharType="begin"/>
      </w:r>
      <w:r>
        <w:instrText xml:space="preserve"> PAGEREF _Toc22000 </w:instrText>
      </w:r>
      <w:r>
        <w:fldChar w:fldCharType="separate"/>
      </w:r>
      <w:r>
        <w:t>21</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_Toc23098 </w:instrText>
      </w:r>
      <w:r>
        <w:rPr>
          <w:rFonts w:hint="eastAsia" w:asciiTheme="minorEastAsia" w:hAnsiTheme="minorEastAsia" w:cstheme="minorEastAsia"/>
          <w:szCs w:val="22"/>
          <w:highlight w:val="none"/>
        </w:rPr>
        <w:fldChar w:fldCharType="separate"/>
      </w:r>
      <w:r>
        <w:rPr>
          <w:rFonts w:hint="eastAsia"/>
        </w:rPr>
        <w:t xml:space="preserve">二、 </w:t>
      </w:r>
      <w:r>
        <w:rPr>
          <w:rFonts w:hint="eastAsia"/>
          <w:highlight w:val="none"/>
        </w:rPr>
        <w:t>具体要求</w:t>
      </w:r>
      <w:r>
        <w:tab/>
      </w:r>
      <w:r>
        <w:fldChar w:fldCharType="begin"/>
      </w:r>
      <w:r>
        <w:instrText xml:space="preserve"> PAGEREF _Toc23098 </w:instrText>
      </w:r>
      <w:r>
        <w:fldChar w:fldCharType="separate"/>
      </w:r>
      <w:r>
        <w:t>21</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_Toc6519 </w:instrText>
      </w:r>
      <w:r>
        <w:rPr>
          <w:rFonts w:hint="eastAsia" w:asciiTheme="minorEastAsia" w:hAnsiTheme="minorEastAsia" w:cstheme="minorEastAsia"/>
          <w:szCs w:val="22"/>
          <w:highlight w:val="none"/>
        </w:rPr>
        <w:fldChar w:fldCharType="separate"/>
      </w:r>
      <w:r>
        <w:rPr>
          <w:rFonts w:hint="eastAsia"/>
          <w:highlight w:val="none"/>
        </w:rPr>
        <w:t>三、商务条款</w:t>
      </w:r>
      <w:r>
        <w:tab/>
      </w:r>
      <w:r>
        <w:fldChar w:fldCharType="begin"/>
      </w:r>
      <w:r>
        <w:instrText xml:space="preserve"> PAGEREF _Toc6519 </w:instrText>
      </w:r>
      <w:r>
        <w:fldChar w:fldCharType="separate"/>
      </w:r>
      <w:r>
        <w:t>22</w:t>
      </w:r>
      <w:r>
        <w:fldChar w:fldCharType="end"/>
      </w:r>
      <w:r>
        <w:rPr>
          <w:rFonts w:hint="eastAsia" w:asciiTheme="minorEastAsia" w:hAnsiTheme="minorEastAsia" w:cstheme="minorEastAsia"/>
          <w:color w:val="auto"/>
          <w:szCs w:val="22"/>
          <w:highlight w:val="none"/>
        </w:rPr>
        <w:fldChar w:fldCharType="end"/>
      </w:r>
    </w:p>
    <w:p>
      <w:pPr>
        <w:pStyle w:val="12"/>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_Toc27807 </w:instrText>
      </w:r>
      <w:r>
        <w:rPr>
          <w:rFonts w:hint="eastAsia" w:asciiTheme="minorEastAsia" w:hAnsiTheme="minorEastAsia" w:cstheme="minorEastAsia"/>
          <w:szCs w:val="22"/>
          <w:highlight w:val="none"/>
        </w:rPr>
        <w:fldChar w:fldCharType="separate"/>
      </w:r>
      <w:r>
        <w:rPr>
          <w:rFonts w:hint="eastAsia" w:ascii="宋体" w:hAnsi="宋体"/>
          <w:spacing w:val="-6"/>
          <w:szCs w:val="32"/>
          <w:highlight w:val="none"/>
        </w:rPr>
        <w:t>第四章  评审办法及评分标准</w:t>
      </w:r>
      <w:r>
        <w:tab/>
      </w:r>
      <w:r>
        <w:fldChar w:fldCharType="begin"/>
      </w:r>
      <w:r>
        <w:instrText xml:space="preserve"> PAGEREF _Toc27807 </w:instrText>
      </w:r>
      <w:r>
        <w:fldChar w:fldCharType="separate"/>
      </w:r>
      <w:r>
        <w:t>24</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_Toc8447 </w:instrText>
      </w:r>
      <w:r>
        <w:rPr>
          <w:rFonts w:hint="eastAsia" w:asciiTheme="minorEastAsia" w:hAnsiTheme="minorEastAsia" w:cstheme="minorEastAsia"/>
          <w:szCs w:val="22"/>
          <w:highlight w:val="none"/>
        </w:rPr>
        <w:fldChar w:fldCharType="separate"/>
      </w:r>
      <w:r>
        <w:rPr>
          <w:rFonts w:hint="eastAsia"/>
          <w:highlight w:val="none"/>
        </w:rPr>
        <w:t>一、总则</w:t>
      </w:r>
      <w:r>
        <w:tab/>
      </w:r>
      <w:r>
        <w:fldChar w:fldCharType="begin"/>
      </w:r>
      <w:r>
        <w:instrText xml:space="preserve"> PAGEREF _Toc8447 </w:instrText>
      </w:r>
      <w:r>
        <w:fldChar w:fldCharType="separate"/>
      </w:r>
      <w:r>
        <w:t>24</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_Toc6406 </w:instrText>
      </w:r>
      <w:r>
        <w:rPr>
          <w:rFonts w:hint="eastAsia" w:asciiTheme="minorEastAsia" w:hAnsiTheme="minorEastAsia" w:cstheme="minorEastAsia"/>
          <w:szCs w:val="22"/>
          <w:highlight w:val="none"/>
        </w:rPr>
        <w:fldChar w:fldCharType="separate"/>
      </w:r>
      <w:r>
        <w:rPr>
          <w:rFonts w:hint="eastAsia"/>
          <w:highlight w:val="none"/>
        </w:rPr>
        <w:t>二、评审内容及标准</w:t>
      </w:r>
      <w:r>
        <w:tab/>
      </w:r>
      <w:r>
        <w:fldChar w:fldCharType="begin"/>
      </w:r>
      <w:r>
        <w:instrText xml:space="preserve"> PAGEREF _Toc6406 </w:instrText>
      </w:r>
      <w:r>
        <w:fldChar w:fldCharType="separate"/>
      </w:r>
      <w:r>
        <w:t>24</w:t>
      </w:r>
      <w:r>
        <w:fldChar w:fldCharType="end"/>
      </w:r>
      <w:r>
        <w:rPr>
          <w:rFonts w:hint="eastAsia" w:asciiTheme="minorEastAsia" w:hAnsiTheme="minorEastAsia" w:cstheme="minorEastAsia"/>
          <w:color w:val="auto"/>
          <w:szCs w:val="22"/>
          <w:highlight w:val="none"/>
        </w:rPr>
        <w:fldChar w:fldCharType="end"/>
      </w:r>
    </w:p>
    <w:p>
      <w:pPr>
        <w:pStyle w:val="12"/>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_Toc21864 </w:instrText>
      </w:r>
      <w:r>
        <w:rPr>
          <w:rFonts w:hint="eastAsia" w:asciiTheme="minorEastAsia" w:hAnsiTheme="minorEastAsia" w:cstheme="minorEastAsia"/>
          <w:szCs w:val="22"/>
          <w:highlight w:val="none"/>
        </w:rPr>
        <w:fldChar w:fldCharType="separate"/>
      </w:r>
      <w:r>
        <w:rPr>
          <w:rFonts w:hint="eastAsia" w:ascii="宋体" w:hAnsi="宋体"/>
          <w:bCs/>
          <w:spacing w:val="-6"/>
          <w:szCs w:val="32"/>
          <w:highlight w:val="none"/>
        </w:rPr>
        <w:t>第五章  合同主要条款</w:t>
      </w:r>
      <w:r>
        <w:tab/>
      </w:r>
      <w:r>
        <w:fldChar w:fldCharType="begin"/>
      </w:r>
      <w:r>
        <w:instrText xml:space="preserve"> PAGEREF _Toc21864 </w:instrText>
      </w:r>
      <w:r>
        <w:fldChar w:fldCharType="separate"/>
      </w:r>
      <w:r>
        <w:t>27</w:t>
      </w:r>
      <w:r>
        <w:fldChar w:fldCharType="end"/>
      </w:r>
      <w:r>
        <w:rPr>
          <w:rFonts w:hint="eastAsia" w:asciiTheme="minorEastAsia" w:hAnsiTheme="minorEastAsia" w:cstheme="minorEastAsia"/>
          <w:color w:val="auto"/>
          <w:szCs w:val="22"/>
          <w:highlight w:val="none"/>
        </w:rPr>
        <w:fldChar w:fldCharType="end"/>
      </w:r>
    </w:p>
    <w:p>
      <w:pPr>
        <w:pStyle w:val="14"/>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_Toc18189 </w:instrText>
      </w:r>
      <w:r>
        <w:rPr>
          <w:rFonts w:hint="eastAsia" w:asciiTheme="minorEastAsia" w:hAnsiTheme="minorEastAsia" w:cstheme="minorEastAsia"/>
          <w:szCs w:val="22"/>
          <w:highlight w:val="none"/>
        </w:rPr>
        <w:fldChar w:fldCharType="separate"/>
      </w:r>
      <w:r>
        <w:rPr>
          <w:rFonts w:hint="eastAsia"/>
          <w:highlight w:val="none"/>
        </w:rPr>
        <w:t>浙江省政府采购合同指引</w:t>
      </w:r>
      <w:r>
        <w:tab/>
      </w:r>
      <w:r>
        <w:fldChar w:fldCharType="begin"/>
      </w:r>
      <w:r>
        <w:instrText xml:space="preserve"> PAGEREF _Toc18189 </w:instrText>
      </w:r>
      <w:r>
        <w:fldChar w:fldCharType="separate"/>
      </w:r>
      <w:r>
        <w:t>27</w:t>
      </w:r>
      <w:r>
        <w:fldChar w:fldCharType="end"/>
      </w:r>
      <w:r>
        <w:rPr>
          <w:rFonts w:hint="eastAsia" w:asciiTheme="minorEastAsia" w:hAnsiTheme="minorEastAsia" w:cstheme="minorEastAsia"/>
          <w:color w:val="auto"/>
          <w:szCs w:val="22"/>
          <w:highlight w:val="none"/>
        </w:rPr>
        <w:fldChar w:fldCharType="end"/>
      </w:r>
    </w:p>
    <w:p>
      <w:pPr>
        <w:pStyle w:val="12"/>
        <w:tabs>
          <w:tab w:val="right" w:leader="dot" w:pos="9412"/>
        </w:tabs>
      </w:pPr>
      <w:r>
        <w:rPr>
          <w:rFonts w:hint="eastAsia" w:asciiTheme="minorEastAsia" w:hAnsiTheme="minorEastAsia" w:cstheme="minorEastAsia"/>
          <w:color w:val="auto"/>
          <w:szCs w:val="22"/>
          <w:highlight w:val="none"/>
        </w:rPr>
        <w:fldChar w:fldCharType="begin"/>
      </w:r>
      <w:r>
        <w:rPr>
          <w:rFonts w:hint="eastAsia" w:asciiTheme="minorEastAsia" w:hAnsiTheme="minorEastAsia" w:cstheme="minorEastAsia"/>
          <w:szCs w:val="22"/>
          <w:highlight w:val="none"/>
        </w:rPr>
        <w:instrText xml:space="preserve"> HYPERLINK \l _Toc303 </w:instrText>
      </w:r>
      <w:r>
        <w:rPr>
          <w:rFonts w:hint="eastAsia" w:asciiTheme="minorEastAsia" w:hAnsiTheme="minorEastAsia" w:cstheme="minorEastAsia"/>
          <w:szCs w:val="22"/>
          <w:highlight w:val="none"/>
        </w:rPr>
        <w:fldChar w:fldCharType="separate"/>
      </w:r>
      <w:r>
        <w:rPr>
          <w:rFonts w:hAnsi="宋体"/>
          <w:spacing w:val="-6"/>
          <w:szCs w:val="32"/>
          <w:highlight w:val="none"/>
        </w:rPr>
        <w:t>第六章</w:t>
      </w:r>
      <w:r>
        <w:rPr>
          <w:rFonts w:hint="eastAsia" w:hAnsi="宋体"/>
          <w:spacing w:val="-6"/>
          <w:szCs w:val="32"/>
          <w:highlight w:val="none"/>
        </w:rPr>
        <w:t xml:space="preserve">  </w:t>
      </w:r>
      <w:r>
        <w:rPr>
          <w:rFonts w:hAnsi="宋体"/>
          <w:spacing w:val="-6"/>
          <w:szCs w:val="32"/>
          <w:highlight w:val="none"/>
        </w:rPr>
        <w:t>响应文件格式</w:t>
      </w:r>
      <w:r>
        <w:tab/>
      </w:r>
      <w:r>
        <w:fldChar w:fldCharType="begin"/>
      </w:r>
      <w:r>
        <w:instrText xml:space="preserve"> PAGEREF _Toc303 </w:instrText>
      </w:r>
      <w:r>
        <w:fldChar w:fldCharType="separate"/>
      </w:r>
      <w:r>
        <w:t>31</w:t>
      </w:r>
      <w:r>
        <w:fldChar w:fldCharType="end"/>
      </w:r>
      <w:r>
        <w:rPr>
          <w:rFonts w:hint="eastAsia" w:asciiTheme="minorEastAsia" w:hAnsiTheme="minorEastAsia" w:cstheme="minorEastAsia"/>
          <w:color w:val="auto"/>
          <w:szCs w:val="22"/>
          <w:highlight w:val="none"/>
        </w:rPr>
        <w:fldChar w:fldCharType="end"/>
      </w:r>
    </w:p>
    <w:p>
      <w:pPr>
        <w:rPr>
          <w:rFonts w:asciiTheme="minorEastAsia" w:hAnsiTheme="minorEastAsia" w:cstheme="minorEastAsia"/>
          <w:color w:val="auto"/>
          <w:sz w:val="24"/>
          <w:szCs w:val="22"/>
          <w:highlight w:val="none"/>
        </w:rPr>
      </w:pPr>
      <w:r>
        <w:rPr>
          <w:rFonts w:hint="eastAsia" w:asciiTheme="minorEastAsia" w:hAnsiTheme="minorEastAsia" w:cstheme="minorEastAsia"/>
          <w:color w:val="auto"/>
          <w:szCs w:val="22"/>
          <w:highlight w:val="none"/>
        </w:rPr>
        <w:fldChar w:fldCharType="end"/>
      </w:r>
    </w:p>
    <w:p>
      <w:pPr>
        <w:pStyle w:val="2"/>
        <w:rPr>
          <w:rFonts w:hAnsi="宋体"/>
          <w:color w:val="auto"/>
          <w:spacing w:val="-6"/>
          <w:sz w:val="32"/>
          <w:szCs w:val="32"/>
          <w:highlight w:val="none"/>
        </w:rPr>
      </w:pPr>
      <w:r>
        <w:rPr>
          <w:rFonts w:hAnsi="宋体"/>
          <w:color w:val="auto"/>
          <w:sz w:val="21"/>
          <w:szCs w:val="21"/>
          <w:highlight w:val="none"/>
        </w:rPr>
        <w:br w:type="page"/>
      </w:r>
      <w:bookmarkStart w:id="2" w:name="_Toc23321"/>
      <w:bookmarkStart w:id="3" w:name="_Toc16819"/>
      <w:r>
        <w:rPr>
          <w:rFonts w:hAnsi="宋体"/>
          <w:color w:val="auto"/>
          <w:spacing w:val="-6"/>
          <w:sz w:val="32"/>
          <w:szCs w:val="32"/>
          <w:highlight w:val="none"/>
        </w:rPr>
        <w:t>第一章  竞争性磋商采购公告</w:t>
      </w:r>
      <w:bookmarkEnd w:id="2"/>
      <w:bookmarkEnd w:id="3"/>
    </w:p>
    <w:p>
      <w:pPr>
        <w:spacing w:line="360" w:lineRule="auto"/>
        <w:ind w:firstLine="420"/>
        <w:rPr>
          <w:rFonts w:ascii="黑体" w:eastAsia="黑体"/>
          <w:b/>
          <w:color w:val="auto"/>
          <w:sz w:val="24"/>
          <w:highlight w:val="none"/>
        </w:rPr>
      </w:pPr>
      <w:r>
        <w:rPr>
          <w:rFonts w:hint="eastAsia"/>
          <w:color w:val="auto"/>
          <w:sz w:val="24"/>
          <w:highlight w:val="none"/>
        </w:rPr>
        <w:t>根据《中华人民共和国政府采购法》等有关规定，</w:t>
      </w:r>
      <w:bookmarkStart w:id="4" w:name="B05_采购代理机构名称"/>
      <w:r>
        <w:rPr>
          <w:rFonts w:hint="eastAsia"/>
          <w:color w:val="auto"/>
          <w:sz w:val="24"/>
          <w:highlight w:val="none"/>
        </w:rPr>
        <w:t>经</w:t>
      </w:r>
      <w:r>
        <w:rPr>
          <w:color w:val="auto"/>
          <w:sz w:val="24"/>
          <w:highlight w:val="none"/>
        </w:rPr>
        <w:t>政府采购管理部门批准，</w:t>
      </w:r>
      <w:bookmarkEnd w:id="4"/>
      <w:r>
        <w:rPr>
          <w:rFonts w:hint="eastAsia"/>
          <w:color w:val="auto"/>
          <w:sz w:val="24"/>
          <w:highlight w:val="none"/>
        </w:rPr>
        <w:t>浙江五石工程咨询有限公司受中国美术学院委托，就消防系统改造升级进行竞争性磋商，欢迎国内合格</w:t>
      </w:r>
      <w:r>
        <w:rPr>
          <w:color w:val="auto"/>
          <w:sz w:val="24"/>
          <w:highlight w:val="none"/>
        </w:rPr>
        <w:t>的</w:t>
      </w:r>
      <w:r>
        <w:rPr>
          <w:rFonts w:hint="eastAsia"/>
          <w:color w:val="auto"/>
          <w:sz w:val="24"/>
          <w:highlight w:val="none"/>
        </w:rPr>
        <w:t>供应商前来</w:t>
      </w:r>
      <w:r>
        <w:rPr>
          <w:color w:val="auto"/>
          <w:sz w:val="24"/>
          <w:highlight w:val="none"/>
        </w:rPr>
        <w:t>磋商</w:t>
      </w:r>
      <w:r>
        <w:rPr>
          <w:rFonts w:hint="eastAsia"/>
          <w:color w:val="auto"/>
          <w:sz w:val="24"/>
          <w:highlight w:val="none"/>
        </w:rPr>
        <w:t>。</w:t>
      </w:r>
    </w:p>
    <w:p>
      <w:pPr>
        <w:pStyle w:val="3"/>
        <w:rPr>
          <w:vanish/>
          <w:color w:val="auto"/>
          <w:sz w:val="24"/>
          <w:szCs w:val="24"/>
          <w:highlight w:val="none"/>
        </w:rPr>
      </w:pPr>
      <w:bookmarkStart w:id="5" w:name="B10_招标内容"/>
      <w:bookmarkEnd w:id="5"/>
      <w:bookmarkStart w:id="6" w:name="_Toc15764"/>
      <w:bookmarkStart w:id="7" w:name="_Toc501022747"/>
      <w:bookmarkStart w:id="8" w:name="_Toc24579"/>
      <w:r>
        <w:rPr>
          <w:color w:val="auto"/>
          <w:sz w:val="24"/>
          <w:szCs w:val="24"/>
          <w:highlight w:val="none"/>
        </w:rPr>
        <w:t>一</w:t>
      </w:r>
      <w:r>
        <w:rPr>
          <w:rStyle w:val="16"/>
          <w:rFonts w:hint="eastAsia" w:ascii="宋体" w:hAnsi="宋体" w:cs="宋体"/>
          <w:b/>
          <w:color w:val="auto"/>
          <w:kern w:val="0"/>
          <w:sz w:val="24"/>
          <w:szCs w:val="24"/>
          <w:highlight w:val="none"/>
          <w:shd w:val="clear" w:color="auto" w:fill="FDFAF5"/>
        </w:rPr>
        <w:t>.</w:t>
      </w:r>
      <w:r>
        <w:rPr>
          <w:color w:val="auto"/>
          <w:sz w:val="24"/>
          <w:szCs w:val="24"/>
          <w:highlight w:val="none"/>
        </w:rPr>
        <w:t>采购项目编号</w:t>
      </w:r>
      <w:bookmarkStart w:id="9" w:name="B08_项目编号"/>
      <w:r>
        <w:rPr>
          <w:rFonts w:hint="eastAsia"/>
          <w:color w:val="auto"/>
          <w:sz w:val="24"/>
          <w:szCs w:val="24"/>
          <w:highlight w:val="none"/>
        </w:rPr>
        <w:t>：</w:t>
      </w:r>
      <w:bookmarkEnd w:id="6"/>
      <w:bookmarkEnd w:id="7"/>
      <w:bookmarkEnd w:id="8"/>
    </w:p>
    <w:p>
      <w:pPr>
        <w:spacing w:line="360" w:lineRule="auto"/>
        <w:ind w:firstLine="420"/>
        <w:rPr>
          <w:rFonts w:hint="eastAsia" w:eastAsiaTheme="minorEastAsia"/>
          <w:color w:val="auto"/>
          <w:sz w:val="24"/>
          <w:highlight w:val="none"/>
          <w:lang w:eastAsia="zh-CN"/>
        </w:rPr>
      </w:pPr>
      <w:r>
        <w:rPr>
          <w:color w:val="auto"/>
          <w:sz w:val="24"/>
          <w:highlight w:val="none"/>
        </w:rPr>
        <w:t xml:space="preserve"> </w:t>
      </w:r>
      <w:bookmarkEnd w:id="9"/>
      <w:r>
        <w:rPr>
          <w:rFonts w:hint="eastAsia"/>
          <w:color w:val="auto"/>
          <w:sz w:val="24"/>
          <w:highlight w:val="none"/>
          <w:lang w:eastAsia="zh-CN"/>
        </w:rPr>
        <w:t>ZJWSBJ-MY-201808C-1</w:t>
      </w:r>
    </w:p>
    <w:p>
      <w:pPr>
        <w:pStyle w:val="3"/>
        <w:rPr>
          <w:vanish/>
          <w:color w:val="auto"/>
          <w:sz w:val="24"/>
          <w:szCs w:val="24"/>
          <w:highlight w:val="none"/>
        </w:rPr>
      </w:pPr>
      <w:bookmarkStart w:id="10" w:name="_Toc17183"/>
      <w:bookmarkStart w:id="11" w:name="_Toc13645"/>
      <w:bookmarkStart w:id="12" w:name="_Toc501022748"/>
      <w:r>
        <w:rPr>
          <w:rFonts w:hint="eastAsia"/>
          <w:color w:val="auto"/>
          <w:sz w:val="24"/>
          <w:szCs w:val="24"/>
          <w:highlight w:val="none"/>
        </w:rPr>
        <w:t>二</w:t>
      </w:r>
      <w:r>
        <w:rPr>
          <w:rStyle w:val="16"/>
          <w:rFonts w:hint="eastAsia" w:ascii="宋体" w:hAnsi="宋体" w:cs="宋体"/>
          <w:b/>
          <w:color w:val="auto"/>
          <w:kern w:val="0"/>
          <w:sz w:val="24"/>
          <w:szCs w:val="24"/>
          <w:highlight w:val="none"/>
          <w:shd w:val="clear" w:color="auto" w:fill="FDFAF5"/>
        </w:rPr>
        <w:t>.</w:t>
      </w:r>
      <w:r>
        <w:rPr>
          <w:rFonts w:hint="eastAsia"/>
          <w:color w:val="auto"/>
          <w:sz w:val="24"/>
          <w:szCs w:val="24"/>
          <w:highlight w:val="none"/>
        </w:rPr>
        <w:t>采购组织类型：</w:t>
      </w:r>
      <w:bookmarkEnd w:id="10"/>
      <w:bookmarkEnd w:id="11"/>
      <w:bookmarkEnd w:id="12"/>
    </w:p>
    <w:p>
      <w:pPr>
        <w:spacing w:line="360" w:lineRule="auto"/>
        <w:ind w:firstLine="420"/>
        <w:rPr>
          <w:color w:val="auto"/>
          <w:sz w:val="24"/>
          <w:highlight w:val="none"/>
        </w:rPr>
      </w:pPr>
      <w:bookmarkStart w:id="13" w:name="B09_采购组织类型"/>
      <w:r>
        <w:rPr>
          <w:rFonts w:hint="eastAsia"/>
          <w:color w:val="auto"/>
          <w:sz w:val="24"/>
          <w:highlight w:val="none"/>
        </w:rPr>
        <w:t>分散采购委托代理</w:t>
      </w:r>
      <w:bookmarkEnd w:id="13"/>
    </w:p>
    <w:p>
      <w:pPr>
        <w:pStyle w:val="3"/>
        <w:rPr>
          <w:color w:val="auto"/>
          <w:sz w:val="24"/>
          <w:szCs w:val="24"/>
          <w:highlight w:val="none"/>
        </w:rPr>
      </w:pPr>
      <w:bookmarkStart w:id="14" w:name="_Toc15381"/>
      <w:bookmarkStart w:id="15" w:name="_Toc27730"/>
      <w:bookmarkStart w:id="16" w:name="_Toc501022749"/>
      <w:r>
        <w:rPr>
          <w:rFonts w:hint="eastAsia"/>
          <w:color w:val="auto"/>
          <w:sz w:val="24"/>
          <w:szCs w:val="24"/>
          <w:highlight w:val="none"/>
        </w:rPr>
        <w:t>三</w:t>
      </w:r>
      <w:r>
        <w:rPr>
          <w:rStyle w:val="16"/>
          <w:rFonts w:hint="eastAsia" w:ascii="宋体" w:hAnsi="宋体" w:cs="宋体"/>
          <w:b/>
          <w:color w:val="auto"/>
          <w:kern w:val="0"/>
          <w:sz w:val="24"/>
          <w:szCs w:val="24"/>
          <w:highlight w:val="none"/>
          <w:shd w:val="clear" w:color="auto" w:fill="FDFAF5"/>
        </w:rPr>
        <w:t>.</w:t>
      </w:r>
      <w:r>
        <w:rPr>
          <w:color w:val="auto"/>
          <w:sz w:val="24"/>
          <w:szCs w:val="24"/>
          <w:highlight w:val="none"/>
        </w:rPr>
        <w:t>采购项目</w:t>
      </w:r>
      <w:r>
        <w:rPr>
          <w:rFonts w:hint="eastAsia"/>
          <w:color w:val="auto"/>
          <w:sz w:val="24"/>
          <w:szCs w:val="24"/>
          <w:highlight w:val="none"/>
        </w:rPr>
        <w:t>概况:</w:t>
      </w:r>
      <w:bookmarkEnd w:id="14"/>
      <w:bookmarkEnd w:id="15"/>
      <w:bookmarkEnd w:id="16"/>
    </w:p>
    <w:tbl>
      <w:tblPr>
        <w:tblStyle w:val="1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560"/>
        <w:gridCol w:w="975"/>
        <w:gridCol w:w="855"/>
        <w:gridCol w:w="1365"/>
        <w:gridCol w:w="3315"/>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预算金额</w:t>
            </w: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简要规格描述</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消防系统改造升级</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批</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17.7697(万元)</w:t>
            </w:r>
          </w:p>
        </w:tc>
        <w:tc>
          <w:tcPr>
            <w:tcW w:w="3315"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宋体"/>
                <w:color w:val="auto"/>
                <w:kern w:val="0"/>
                <w:sz w:val="24"/>
                <w:highlight w:val="none"/>
                <w:lang w:eastAsia="zh-CN"/>
              </w:rPr>
            </w:pPr>
            <w:r>
              <w:rPr>
                <w:rFonts w:hint="eastAsia" w:ascii="宋体" w:hAnsi="宋体" w:cs="宋体" w:eastAsiaTheme="minorEastAsia"/>
                <w:color w:val="auto"/>
                <w:kern w:val="0"/>
                <w:sz w:val="24"/>
                <w:highlight w:val="none"/>
                <w:lang w:eastAsia="zh-CN"/>
              </w:rPr>
              <w:t>消防应急电源模块</w:t>
            </w:r>
            <w:r>
              <w:rPr>
                <w:rFonts w:hint="eastAsia" w:ascii="宋体" w:hAnsi="宋体" w:cs="宋体"/>
                <w:color w:val="auto"/>
                <w:kern w:val="0"/>
                <w:sz w:val="24"/>
                <w:highlight w:val="none"/>
                <w:lang w:eastAsia="zh-CN"/>
              </w:rPr>
              <w:t>、</w:t>
            </w:r>
          </w:p>
          <w:p>
            <w:pPr>
              <w:widowControl/>
              <w:rPr>
                <w:rFonts w:hint="eastAsia" w:ascii="宋体" w:hAnsi="宋体" w:cs="宋体"/>
                <w:color w:val="auto"/>
                <w:kern w:val="0"/>
                <w:sz w:val="24"/>
                <w:highlight w:val="none"/>
                <w:lang w:eastAsia="zh-CN"/>
              </w:rPr>
            </w:pPr>
            <w:r>
              <w:rPr>
                <w:rFonts w:hint="eastAsia" w:ascii="宋体" w:hAnsi="宋体" w:cs="宋体" w:eastAsiaTheme="minorEastAsia"/>
                <w:color w:val="auto"/>
                <w:kern w:val="0"/>
                <w:sz w:val="24"/>
                <w:highlight w:val="none"/>
                <w:lang w:eastAsia="zh-CN"/>
              </w:rPr>
              <w:t>消防应急灯</w:t>
            </w:r>
            <w:r>
              <w:rPr>
                <w:rFonts w:hint="eastAsia" w:ascii="宋体" w:hAnsi="宋体" w:cs="宋体"/>
                <w:color w:val="auto"/>
                <w:kern w:val="0"/>
                <w:sz w:val="24"/>
                <w:highlight w:val="none"/>
                <w:lang w:eastAsia="zh-CN"/>
              </w:rPr>
              <w:t>、</w:t>
            </w:r>
          </w:p>
          <w:p>
            <w:pPr>
              <w:widowControl/>
              <w:rPr>
                <w:rFonts w:hint="eastAsia" w:ascii="宋体" w:hAnsi="宋体" w:cs="宋体"/>
                <w:color w:val="auto"/>
                <w:kern w:val="0"/>
                <w:sz w:val="24"/>
                <w:highlight w:val="none"/>
                <w:lang w:eastAsia="zh-CN"/>
              </w:rPr>
            </w:pPr>
            <w:r>
              <w:rPr>
                <w:rFonts w:hint="eastAsia" w:ascii="宋体" w:hAnsi="宋体" w:cs="宋体" w:eastAsiaTheme="minorEastAsia"/>
                <w:color w:val="auto"/>
                <w:kern w:val="0"/>
                <w:sz w:val="24"/>
                <w:highlight w:val="none"/>
                <w:lang w:eastAsia="zh-CN"/>
              </w:rPr>
              <w:t>疏散通道安全出口指示灯牌</w:t>
            </w:r>
            <w:r>
              <w:rPr>
                <w:rFonts w:hint="eastAsia" w:ascii="宋体" w:hAnsi="宋体" w:cs="宋体"/>
                <w:color w:val="auto"/>
                <w:kern w:val="0"/>
                <w:sz w:val="24"/>
                <w:highlight w:val="none"/>
                <w:lang w:eastAsia="zh-CN"/>
              </w:rPr>
              <w:t>、</w:t>
            </w:r>
          </w:p>
          <w:p>
            <w:pPr>
              <w:widowControl/>
              <w:rPr>
                <w:rFonts w:hint="eastAsia" w:ascii="宋体" w:hAnsi="宋体" w:cs="宋体" w:eastAsiaTheme="minorEastAsia"/>
                <w:color w:val="auto"/>
                <w:kern w:val="0"/>
                <w:sz w:val="24"/>
                <w:highlight w:val="none"/>
                <w:lang w:eastAsia="zh-CN"/>
              </w:rPr>
            </w:pPr>
            <w:r>
              <w:rPr>
                <w:rFonts w:hint="eastAsia" w:ascii="宋体" w:hAnsi="宋体" w:cs="宋体" w:eastAsiaTheme="minorEastAsia"/>
                <w:color w:val="auto"/>
                <w:kern w:val="0"/>
                <w:sz w:val="24"/>
                <w:highlight w:val="none"/>
                <w:lang w:eastAsia="zh-CN"/>
              </w:rPr>
              <w:t>消防水带</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p>
        </w:tc>
      </w:tr>
    </w:tbl>
    <w:p>
      <w:pPr>
        <w:pStyle w:val="3"/>
        <w:rPr>
          <w:color w:val="auto"/>
          <w:sz w:val="24"/>
          <w:szCs w:val="24"/>
          <w:highlight w:val="none"/>
        </w:rPr>
      </w:pPr>
      <w:bookmarkStart w:id="17" w:name="_Toc501022750"/>
      <w:bookmarkStart w:id="18" w:name="_Toc5379"/>
      <w:bookmarkStart w:id="19" w:name="_Toc14759"/>
      <w:r>
        <w:rPr>
          <w:rFonts w:hint="eastAsia"/>
          <w:color w:val="auto"/>
          <w:sz w:val="24"/>
          <w:szCs w:val="24"/>
          <w:highlight w:val="none"/>
        </w:rPr>
        <w:t>四</w:t>
      </w:r>
      <w:r>
        <w:rPr>
          <w:color w:val="auto"/>
          <w:sz w:val="24"/>
          <w:szCs w:val="24"/>
          <w:highlight w:val="none"/>
        </w:rPr>
        <w:t>.</w:t>
      </w:r>
      <w:r>
        <w:rPr>
          <w:rFonts w:hint="eastAsia"/>
          <w:color w:val="auto"/>
          <w:sz w:val="24"/>
          <w:szCs w:val="24"/>
          <w:highlight w:val="none"/>
        </w:rPr>
        <w:t>磋商供应商</w:t>
      </w:r>
      <w:r>
        <w:rPr>
          <w:color w:val="auto"/>
          <w:sz w:val="24"/>
          <w:szCs w:val="24"/>
          <w:highlight w:val="none"/>
        </w:rPr>
        <w:t>资格要求</w:t>
      </w:r>
      <w:r>
        <w:rPr>
          <w:rFonts w:hint="eastAsia"/>
          <w:color w:val="auto"/>
          <w:sz w:val="24"/>
          <w:szCs w:val="24"/>
          <w:highlight w:val="none"/>
        </w:rPr>
        <w:t>：</w:t>
      </w:r>
      <w:bookmarkEnd w:id="17"/>
      <w:bookmarkEnd w:id="18"/>
      <w:bookmarkEnd w:id="19"/>
    </w:p>
    <w:p>
      <w:pPr>
        <w:keepNext/>
        <w:keepLines/>
        <w:spacing w:line="360" w:lineRule="auto"/>
        <w:ind w:firstLine="422"/>
        <w:outlineLvl w:val="3"/>
        <w:rPr>
          <w:rFonts w:ascii="Cambria" w:hAnsi="Cambria"/>
          <w:b/>
          <w:bCs/>
          <w:color w:val="auto"/>
          <w:sz w:val="24"/>
          <w:highlight w:val="none"/>
        </w:rPr>
      </w:pPr>
      <w:r>
        <w:rPr>
          <w:rFonts w:hint="eastAsia" w:ascii="Cambria" w:hAnsi="Cambria"/>
          <w:b/>
          <w:bCs/>
          <w:color w:val="auto"/>
          <w:sz w:val="24"/>
          <w:highlight w:val="none"/>
        </w:rPr>
        <w:t>1基本</w:t>
      </w:r>
      <w:r>
        <w:rPr>
          <w:rFonts w:ascii="Cambria" w:hAnsi="Cambria"/>
          <w:b/>
          <w:bCs/>
          <w:color w:val="auto"/>
          <w:sz w:val="24"/>
          <w:highlight w:val="none"/>
        </w:rPr>
        <w:t>资格要求</w:t>
      </w:r>
    </w:p>
    <w:p>
      <w:pPr>
        <w:spacing w:line="360" w:lineRule="auto"/>
        <w:ind w:firstLine="420"/>
        <w:rPr>
          <w:color w:val="auto"/>
          <w:sz w:val="24"/>
          <w:highlight w:val="none"/>
        </w:rPr>
      </w:pPr>
      <w:r>
        <w:rPr>
          <w:rFonts w:hint="eastAsia"/>
          <w:color w:val="auto"/>
          <w:sz w:val="24"/>
          <w:highlight w:val="none"/>
        </w:rPr>
        <w:t>符合《中华人民共和国政府采购法》第二十二条对投标主体的相关要求。</w:t>
      </w:r>
    </w:p>
    <w:p>
      <w:pPr>
        <w:spacing w:line="360" w:lineRule="auto"/>
        <w:ind w:firstLine="420"/>
        <w:rPr>
          <w:color w:val="auto"/>
          <w:sz w:val="24"/>
          <w:highlight w:val="none"/>
        </w:rPr>
      </w:pPr>
      <w:r>
        <w:rPr>
          <w:rFonts w:hint="eastAsia" w:ascii="宋体" w:hAnsi="宋体" w:cs="宋体"/>
          <w:color w:val="auto"/>
          <w:sz w:val="24"/>
          <w:highlight w:val="none"/>
        </w:rPr>
        <w:t>未被信用中国网站（www.creditchina.gov.cn）列入失信被执行人、重大税收违法案件当事人名单，未被中国政府采购网（www.ccgp.gov.cn）列入政府采购严重违法失信行为记录名单。</w:t>
      </w:r>
    </w:p>
    <w:p>
      <w:pPr>
        <w:keepNext/>
        <w:keepLines/>
        <w:spacing w:line="360" w:lineRule="auto"/>
        <w:ind w:firstLine="422"/>
        <w:outlineLvl w:val="3"/>
        <w:rPr>
          <w:rFonts w:ascii="Cambria" w:hAnsi="Cambria"/>
          <w:b/>
          <w:bCs/>
          <w:color w:val="auto"/>
          <w:sz w:val="24"/>
          <w:highlight w:val="none"/>
        </w:rPr>
      </w:pPr>
      <w:r>
        <w:rPr>
          <w:rFonts w:hint="eastAsia" w:ascii="Cambria" w:hAnsi="Cambria"/>
          <w:b/>
          <w:bCs/>
          <w:color w:val="auto"/>
          <w:sz w:val="24"/>
          <w:highlight w:val="none"/>
        </w:rPr>
        <w:t>2特定资格要求</w:t>
      </w:r>
    </w:p>
    <w:p>
      <w:pPr>
        <w:spacing w:line="360" w:lineRule="auto"/>
        <w:ind w:firstLine="420"/>
        <w:rPr>
          <w:color w:val="auto"/>
          <w:sz w:val="24"/>
          <w:highlight w:val="none"/>
        </w:rPr>
      </w:pPr>
      <w:r>
        <w:rPr>
          <w:rFonts w:hint="eastAsia"/>
          <w:color w:val="auto"/>
          <w:sz w:val="24"/>
          <w:highlight w:val="none"/>
        </w:rPr>
        <w:t>不</w:t>
      </w:r>
      <w:r>
        <w:rPr>
          <w:color w:val="auto"/>
          <w:sz w:val="24"/>
          <w:highlight w:val="none"/>
        </w:rPr>
        <w:t>接受联合体投标</w:t>
      </w:r>
    </w:p>
    <w:p>
      <w:pPr>
        <w:pStyle w:val="3"/>
        <w:rPr>
          <w:rFonts w:ascii="宋体" w:hAnsi="宋体" w:cs="宋体"/>
          <w:color w:val="auto"/>
          <w:sz w:val="24"/>
          <w:szCs w:val="24"/>
          <w:highlight w:val="none"/>
        </w:rPr>
      </w:pPr>
      <w:bookmarkStart w:id="20" w:name="_Toc501022751"/>
      <w:bookmarkStart w:id="21" w:name="_Toc21419"/>
      <w:bookmarkStart w:id="22" w:name="_Toc32444"/>
      <w:r>
        <w:rPr>
          <w:rFonts w:hint="eastAsia"/>
          <w:color w:val="auto"/>
          <w:sz w:val="24"/>
          <w:szCs w:val="24"/>
          <w:highlight w:val="none"/>
        </w:rPr>
        <w:t>五</w:t>
      </w:r>
      <w:r>
        <w:rPr>
          <w:rStyle w:val="16"/>
          <w:rFonts w:hint="eastAsia" w:ascii="宋体" w:hAnsi="宋体" w:cs="宋体"/>
          <w:b/>
          <w:color w:val="auto"/>
          <w:kern w:val="0"/>
          <w:sz w:val="24"/>
          <w:szCs w:val="24"/>
          <w:highlight w:val="none"/>
          <w:shd w:val="clear" w:color="auto" w:fill="FDFAF5"/>
        </w:rPr>
        <w:t>.</w:t>
      </w:r>
      <w:bookmarkEnd w:id="20"/>
      <w:bookmarkStart w:id="23" w:name="_Toc25521"/>
      <w:r>
        <w:rPr>
          <w:rFonts w:hint="eastAsia" w:ascii="宋体" w:hAnsi="宋体" w:cs="宋体"/>
          <w:color w:val="auto"/>
          <w:sz w:val="24"/>
          <w:szCs w:val="24"/>
          <w:highlight w:val="none"/>
        </w:rPr>
        <w:t>获取磋商文件的时间期限、地点、售价及购买磋商文件时提供的资料信息：</w:t>
      </w:r>
      <w:bookmarkEnd w:id="21"/>
      <w:bookmarkEnd w:id="22"/>
      <w:bookmarkEnd w:id="23"/>
    </w:p>
    <w:p>
      <w:pPr>
        <w:spacing w:line="360" w:lineRule="auto"/>
        <w:ind w:firstLine="422"/>
        <w:rPr>
          <w:rFonts w:ascii="宋体" w:hAnsi="宋体" w:cs="宋体"/>
          <w:color w:val="auto"/>
          <w:sz w:val="24"/>
          <w:highlight w:val="none"/>
        </w:rPr>
      </w:pPr>
      <w:r>
        <w:rPr>
          <w:rFonts w:hint="eastAsia" w:ascii="宋体" w:hAnsi="宋体" w:cs="宋体"/>
          <w:b/>
          <w:color w:val="auto"/>
          <w:sz w:val="24"/>
          <w:highlight w:val="none"/>
        </w:rPr>
        <w:t>1.报名/发售时间：</w:t>
      </w:r>
      <w:r>
        <w:rPr>
          <w:rFonts w:hint="eastAsia" w:ascii="宋体" w:hAnsi="宋体" w:cs="宋体"/>
          <w:color w:val="auto"/>
          <w:sz w:val="24"/>
          <w:highlight w:val="none"/>
        </w:rPr>
        <w:t>2018年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日至2018年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日（双休日及法定节假日除外）（每日上午9：00—11：30，下午13：00—16：30）。</w:t>
      </w:r>
    </w:p>
    <w:p>
      <w:pPr>
        <w:spacing w:line="360" w:lineRule="auto"/>
        <w:ind w:firstLine="422"/>
        <w:rPr>
          <w:rFonts w:ascii="宋体" w:hAnsi="宋体" w:cs="宋体"/>
          <w:b/>
          <w:color w:val="auto"/>
          <w:sz w:val="24"/>
          <w:highlight w:val="none"/>
        </w:rPr>
      </w:pPr>
      <w:r>
        <w:rPr>
          <w:rFonts w:hint="eastAsia" w:ascii="宋体" w:hAnsi="宋体" w:cs="宋体"/>
          <w:b/>
          <w:color w:val="auto"/>
          <w:sz w:val="24"/>
          <w:highlight w:val="none"/>
        </w:rPr>
        <w:t>2.报名/发售地址：</w:t>
      </w:r>
      <w:bookmarkStart w:id="24" w:name="B23_招标文件的发布地点"/>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（1）浙江五石工程咨询有限公司（杭州市滨江区东信大道66号启迪楼1207室</w:t>
      </w:r>
      <w:bookmarkEnd w:id="24"/>
      <w:r>
        <w:rPr>
          <w:rFonts w:hint="eastAsia" w:ascii="宋体" w:hAnsi="宋体" w:cs="宋体"/>
          <w:color w:val="auto"/>
          <w:sz w:val="24"/>
          <w:highlight w:val="none"/>
        </w:rPr>
        <w:t>）</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（2）报名方式：1）现场报名：现场报名需携带报名资料，并现场交纳报名费。2）网上报名：将所有报名所需的资料扫描件发送至浙江五石工程咨询有限公司邮箱（</w:t>
      </w:r>
      <w:r>
        <w:rPr>
          <w:rFonts w:ascii="宋体" w:hAnsi="宋体" w:cs="宋体"/>
          <w:color w:val="auto"/>
          <w:sz w:val="24"/>
          <w:highlight w:val="none"/>
        </w:rPr>
        <w:t>2810140286</w:t>
      </w:r>
      <w:r>
        <w:rPr>
          <w:rFonts w:hint="eastAsia" w:ascii="宋体" w:hAnsi="宋体" w:cs="宋体"/>
          <w:color w:val="auto"/>
          <w:sz w:val="24"/>
          <w:highlight w:val="none"/>
        </w:rPr>
        <w:t>@qq.com），业务员审核通过回复邮件后交纳报名费，并将缴费凭证截图发送至我公司邮箱。</w:t>
      </w:r>
    </w:p>
    <w:p>
      <w:pPr>
        <w:spacing w:line="360" w:lineRule="auto"/>
        <w:ind w:firstLine="422"/>
        <w:rPr>
          <w:rFonts w:ascii="宋体" w:hAnsi="宋体" w:cs="宋体"/>
          <w:color w:val="auto"/>
          <w:sz w:val="24"/>
          <w:highlight w:val="none"/>
        </w:rPr>
      </w:pPr>
      <w:r>
        <w:rPr>
          <w:rFonts w:hint="eastAsia" w:ascii="宋体" w:hAnsi="宋体" w:cs="宋体"/>
          <w:b/>
          <w:color w:val="auto"/>
          <w:sz w:val="24"/>
          <w:highlight w:val="none"/>
        </w:rPr>
        <w:t>3.招标文件售价(</w:t>
      </w:r>
      <w:r>
        <w:rPr>
          <w:rFonts w:hint="eastAsia" w:ascii="宋体" w:hAnsi="宋体" w:cs="宋体"/>
          <w:color w:val="auto"/>
          <w:sz w:val="24"/>
          <w:highlight w:val="none"/>
        </w:rPr>
        <w:t>元)：500元人民币/本。招标文件售后不退。如需邮购，请另付50元人民币特快专递费，本公司不对邮寄过程中的遗失负责。购买时应出示的资料：</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（1）营业执照副本复印件（加盖单位公章）；</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（2）受委托代理人身份证原件及复印件（加盖单位公章）；</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（3）法定代表人授权委托书原件；</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（4）供应商报名登记表。</w:t>
      </w:r>
    </w:p>
    <w:p>
      <w:pPr>
        <w:spacing w:line="360" w:lineRule="auto"/>
        <w:ind w:firstLine="422"/>
        <w:rPr>
          <w:rFonts w:ascii="宋体" w:hAnsi="宋体" w:cs="宋体"/>
          <w:b/>
          <w:color w:val="auto"/>
          <w:kern w:val="0"/>
          <w:sz w:val="24"/>
          <w:highlight w:val="none"/>
        </w:rPr>
      </w:pPr>
      <w:r>
        <w:rPr>
          <w:rFonts w:hint="eastAsia" w:ascii="宋体" w:hAnsi="宋体" w:cs="宋体"/>
          <w:b/>
          <w:color w:val="auto"/>
          <w:kern w:val="0"/>
          <w:sz w:val="24"/>
          <w:highlight w:val="none"/>
        </w:rPr>
        <w:t>备注：</w:t>
      </w:r>
    </w:p>
    <w:p>
      <w:pPr>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a）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(b)投标人未在采购代理机构办理报名手续的投标文件予以拒收。</w:t>
      </w:r>
    </w:p>
    <w:p>
      <w:pPr>
        <w:pStyle w:val="3"/>
        <w:rPr>
          <w:rFonts w:ascii="宋体" w:hAnsi="宋体" w:cs="宋体"/>
          <w:vanish/>
          <w:color w:val="auto"/>
          <w:sz w:val="24"/>
          <w:szCs w:val="24"/>
          <w:highlight w:val="none"/>
        </w:rPr>
      </w:pPr>
      <w:bookmarkStart w:id="25" w:name="_Toc13318"/>
      <w:bookmarkStart w:id="26" w:name="_Toc25658"/>
      <w:bookmarkStart w:id="27" w:name="_Toc23450"/>
      <w:bookmarkStart w:id="28" w:name="_Toc14120"/>
      <w:r>
        <w:rPr>
          <w:rFonts w:hint="eastAsia" w:ascii="宋体" w:hAnsi="宋体" w:cs="宋体"/>
          <w:color w:val="auto"/>
          <w:sz w:val="24"/>
          <w:szCs w:val="24"/>
          <w:highlight w:val="none"/>
        </w:rPr>
        <w:t>六．公告期限：</w:t>
      </w:r>
      <w:bookmarkEnd w:id="25"/>
      <w:bookmarkEnd w:id="26"/>
      <w:bookmarkEnd w:id="27"/>
      <w:bookmarkEnd w:id="28"/>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 xml:space="preserve"> 自发布公告之日起5个工作日。</w:t>
      </w:r>
    </w:p>
    <w:p>
      <w:pPr>
        <w:pStyle w:val="3"/>
        <w:rPr>
          <w:rFonts w:ascii="宋体" w:hAnsi="宋体" w:cs="宋体"/>
          <w:color w:val="auto"/>
          <w:sz w:val="24"/>
          <w:szCs w:val="24"/>
          <w:highlight w:val="none"/>
        </w:rPr>
      </w:pPr>
      <w:bookmarkStart w:id="29" w:name="_Toc2868"/>
      <w:bookmarkStart w:id="30" w:name="_Toc10860"/>
      <w:bookmarkStart w:id="31" w:name="_Toc31323"/>
      <w:bookmarkStart w:id="32" w:name="_Toc153"/>
      <w:r>
        <w:rPr>
          <w:rFonts w:hint="eastAsia" w:ascii="宋体" w:hAnsi="宋体" w:cs="宋体"/>
          <w:color w:val="auto"/>
          <w:sz w:val="24"/>
          <w:szCs w:val="24"/>
          <w:highlight w:val="none"/>
        </w:rPr>
        <w:t>七．开标有关信息：</w:t>
      </w:r>
      <w:bookmarkEnd w:id="29"/>
      <w:bookmarkEnd w:id="30"/>
      <w:bookmarkEnd w:id="31"/>
      <w:bookmarkEnd w:id="32"/>
    </w:p>
    <w:p>
      <w:pPr>
        <w:spacing w:line="360" w:lineRule="auto"/>
        <w:ind w:firstLine="420"/>
        <w:rPr>
          <w:color w:val="auto"/>
          <w:sz w:val="24"/>
          <w:highlight w:val="none"/>
        </w:rPr>
      </w:pPr>
      <w:r>
        <w:rPr>
          <w:rFonts w:hint="eastAsia"/>
          <w:color w:val="auto"/>
          <w:sz w:val="24"/>
          <w:highlight w:val="none"/>
        </w:rPr>
        <w:t>1</w:t>
      </w:r>
      <w:r>
        <w:rPr>
          <w:rFonts w:hint="eastAsia" w:ascii="宋体" w:hAnsi="宋体" w:cs="宋体"/>
          <w:b/>
          <w:color w:val="auto"/>
          <w:sz w:val="24"/>
          <w:highlight w:val="none"/>
        </w:rPr>
        <w:t>.</w:t>
      </w:r>
      <w:r>
        <w:rPr>
          <w:rFonts w:hint="eastAsia"/>
          <w:color w:val="auto"/>
          <w:sz w:val="24"/>
          <w:highlight w:val="none"/>
        </w:rPr>
        <w:t>投标文件递交截止时间：2018 年8月</w:t>
      </w:r>
      <w:r>
        <w:rPr>
          <w:rFonts w:hint="eastAsia"/>
          <w:color w:val="auto"/>
          <w:sz w:val="24"/>
          <w:highlight w:val="none"/>
          <w:lang w:val="en-US" w:eastAsia="zh-CN"/>
        </w:rPr>
        <w:t>17</w:t>
      </w:r>
      <w:r>
        <w:rPr>
          <w:rFonts w:hint="eastAsia"/>
          <w:color w:val="auto"/>
          <w:sz w:val="24"/>
          <w:highlight w:val="none"/>
        </w:rPr>
        <w:t>日</w:t>
      </w:r>
      <w:r>
        <w:rPr>
          <w:rFonts w:hint="eastAsia"/>
          <w:color w:val="auto"/>
          <w:sz w:val="24"/>
          <w:highlight w:val="none"/>
          <w:lang w:val="en-US" w:eastAsia="zh-CN"/>
        </w:rPr>
        <w:t>14</w:t>
      </w:r>
      <w:r>
        <w:rPr>
          <w:rFonts w:hint="eastAsia"/>
          <w:color w:val="auto"/>
          <w:sz w:val="24"/>
          <w:highlight w:val="none"/>
        </w:rPr>
        <w:t>时00分（北京时间）</w:t>
      </w:r>
    </w:p>
    <w:p>
      <w:pPr>
        <w:spacing w:line="360" w:lineRule="auto"/>
        <w:ind w:firstLine="420"/>
        <w:rPr>
          <w:color w:val="auto"/>
          <w:sz w:val="24"/>
          <w:highlight w:val="none"/>
        </w:rPr>
      </w:pPr>
      <w:r>
        <w:rPr>
          <w:rFonts w:hint="eastAsia"/>
          <w:color w:val="auto"/>
          <w:sz w:val="24"/>
          <w:highlight w:val="none"/>
        </w:rPr>
        <w:t>2</w:t>
      </w:r>
      <w:r>
        <w:rPr>
          <w:rFonts w:hint="eastAsia" w:ascii="宋体" w:hAnsi="宋体" w:cs="宋体"/>
          <w:b/>
          <w:color w:val="auto"/>
          <w:sz w:val="24"/>
          <w:highlight w:val="none"/>
        </w:rPr>
        <w:t>.</w:t>
      </w:r>
      <w:r>
        <w:rPr>
          <w:rFonts w:hint="eastAsia"/>
          <w:color w:val="auto"/>
          <w:sz w:val="24"/>
          <w:highlight w:val="none"/>
        </w:rPr>
        <w:t>开标时间：2018年8月</w:t>
      </w:r>
      <w:r>
        <w:rPr>
          <w:rFonts w:hint="eastAsia"/>
          <w:color w:val="auto"/>
          <w:sz w:val="24"/>
          <w:highlight w:val="none"/>
          <w:lang w:val="en-US" w:eastAsia="zh-CN"/>
        </w:rPr>
        <w:t>17</w:t>
      </w:r>
      <w:r>
        <w:rPr>
          <w:rFonts w:hint="eastAsia"/>
          <w:color w:val="auto"/>
          <w:sz w:val="24"/>
          <w:highlight w:val="none"/>
        </w:rPr>
        <w:t>日</w:t>
      </w:r>
      <w:r>
        <w:rPr>
          <w:rFonts w:hint="eastAsia"/>
          <w:color w:val="auto"/>
          <w:sz w:val="24"/>
          <w:highlight w:val="none"/>
          <w:lang w:val="en-US" w:eastAsia="zh-CN"/>
        </w:rPr>
        <w:t>14</w:t>
      </w:r>
      <w:r>
        <w:rPr>
          <w:rFonts w:hint="eastAsia"/>
          <w:color w:val="auto"/>
          <w:sz w:val="24"/>
          <w:highlight w:val="none"/>
        </w:rPr>
        <w:t>时00分（北京时间）</w:t>
      </w:r>
    </w:p>
    <w:p>
      <w:pPr>
        <w:spacing w:line="360" w:lineRule="auto"/>
        <w:ind w:firstLine="420"/>
        <w:rPr>
          <w:color w:val="auto"/>
          <w:sz w:val="24"/>
          <w:highlight w:val="none"/>
        </w:rPr>
      </w:pPr>
      <w:r>
        <w:rPr>
          <w:rFonts w:hint="eastAsia"/>
          <w:color w:val="auto"/>
          <w:sz w:val="24"/>
          <w:highlight w:val="none"/>
        </w:rPr>
        <w:t>3</w:t>
      </w:r>
      <w:r>
        <w:rPr>
          <w:rFonts w:hint="eastAsia" w:ascii="宋体" w:hAnsi="宋体" w:cs="宋体"/>
          <w:b/>
          <w:color w:val="auto"/>
          <w:sz w:val="24"/>
          <w:highlight w:val="none"/>
        </w:rPr>
        <w:t>.</w:t>
      </w:r>
      <w:r>
        <w:rPr>
          <w:rFonts w:hint="eastAsia"/>
          <w:color w:val="auto"/>
          <w:sz w:val="24"/>
          <w:highlight w:val="none"/>
        </w:rPr>
        <w:t>开标地点：杭州市滨江区东信大道66号启迪楼</w:t>
      </w:r>
      <w:r>
        <w:rPr>
          <w:rFonts w:hint="eastAsia"/>
          <w:color w:val="auto"/>
          <w:sz w:val="24"/>
          <w:highlight w:val="none"/>
          <w:lang w:val="en-US" w:eastAsia="zh-CN"/>
        </w:rPr>
        <w:t>二楼会议室（2）</w:t>
      </w:r>
      <w:r>
        <w:rPr>
          <w:rFonts w:hint="eastAsia"/>
          <w:color w:val="auto"/>
          <w:sz w:val="24"/>
          <w:highlight w:val="none"/>
        </w:rPr>
        <w:t>。</w:t>
      </w:r>
    </w:p>
    <w:p>
      <w:pPr>
        <w:pStyle w:val="3"/>
        <w:rPr>
          <w:rFonts w:ascii="宋体" w:hAnsi="宋体" w:cs="宋体"/>
          <w:color w:val="auto"/>
          <w:sz w:val="24"/>
          <w:szCs w:val="24"/>
          <w:highlight w:val="none"/>
        </w:rPr>
      </w:pPr>
      <w:bookmarkStart w:id="33" w:name="_Toc23567"/>
      <w:bookmarkStart w:id="34" w:name="_Toc13341"/>
      <w:bookmarkStart w:id="35" w:name="_Toc22731"/>
      <w:bookmarkStart w:id="36" w:name="_Toc4503"/>
      <w:r>
        <w:rPr>
          <w:rFonts w:hint="eastAsia" w:ascii="宋体" w:hAnsi="宋体" w:cs="宋体"/>
          <w:color w:val="auto"/>
          <w:sz w:val="24"/>
          <w:szCs w:val="24"/>
          <w:highlight w:val="none"/>
        </w:rPr>
        <w:t>八</w:t>
      </w:r>
      <w:bookmarkEnd w:id="33"/>
      <w:r>
        <w:rPr>
          <w:rFonts w:hint="eastAsia" w:ascii="宋体" w:hAnsi="宋体" w:cs="宋体"/>
          <w:color w:val="auto"/>
          <w:sz w:val="24"/>
          <w:szCs w:val="24"/>
          <w:highlight w:val="none"/>
        </w:rPr>
        <w:t>．投标保证金：</w:t>
      </w:r>
      <w:bookmarkEnd w:id="34"/>
      <w:bookmarkEnd w:id="35"/>
      <w:bookmarkEnd w:id="36"/>
    </w:p>
    <w:p>
      <w:pPr>
        <w:spacing w:line="360" w:lineRule="auto"/>
        <w:ind w:firstLine="420"/>
        <w:rPr>
          <w:color w:val="auto"/>
          <w:sz w:val="24"/>
          <w:highlight w:val="none"/>
        </w:rPr>
      </w:pPr>
      <w:r>
        <w:rPr>
          <w:rFonts w:hint="eastAsia"/>
          <w:color w:val="auto"/>
          <w:sz w:val="24"/>
          <w:highlight w:val="none"/>
        </w:rPr>
        <w:t>投标保证金：人民币3000元整。</w:t>
      </w:r>
    </w:p>
    <w:p>
      <w:pPr>
        <w:spacing w:line="360" w:lineRule="auto"/>
        <w:ind w:firstLine="420"/>
        <w:rPr>
          <w:color w:val="auto"/>
          <w:sz w:val="24"/>
          <w:highlight w:val="none"/>
        </w:rPr>
      </w:pPr>
      <w:r>
        <w:rPr>
          <w:rFonts w:hint="eastAsia"/>
          <w:color w:val="auto"/>
          <w:sz w:val="24"/>
          <w:highlight w:val="none"/>
        </w:rPr>
        <w:t>于2018年</w:t>
      </w:r>
      <w:r>
        <w:rPr>
          <w:rFonts w:hint="eastAsia"/>
          <w:color w:val="auto"/>
          <w:sz w:val="24"/>
          <w:highlight w:val="none"/>
          <w:lang w:val="en-US" w:eastAsia="zh-CN"/>
        </w:rPr>
        <w:t>8</w:t>
      </w:r>
      <w:r>
        <w:rPr>
          <w:rFonts w:hint="eastAsia"/>
          <w:color w:val="auto"/>
          <w:sz w:val="24"/>
          <w:highlight w:val="none"/>
        </w:rPr>
        <w:t>月</w:t>
      </w:r>
      <w:r>
        <w:rPr>
          <w:rFonts w:hint="eastAsia"/>
          <w:color w:val="auto"/>
          <w:sz w:val="24"/>
          <w:highlight w:val="none"/>
          <w:lang w:val="en-US" w:eastAsia="zh-CN"/>
        </w:rPr>
        <w:t>16</w:t>
      </w:r>
      <w:r>
        <w:rPr>
          <w:rFonts w:hint="eastAsia"/>
          <w:color w:val="auto"/>
          <w:sz w:val="24"/>
          <w:highlight w:val="none"/>
        </w:rPr>
        <w:t>日16时30分前须电汇到达指定账号（电汇时请注明招标编号）提交投标保证金时间：每天上午9:00—11:30，下午1:30—4:30，节假日除外。</w:t>
      </w:r>
    </w:p>
    <w:p>
      <w:pPr>
        <w:spacing w:line="360" w:lineRule="auto"/>
        <w:ind w:firstLine="420"/>
        <w:rPr>
          <w:color w:val="auto"/>
          <w:sz w:val="24"/>
          <w:highlight w:val="none"/>
        </w:rPr>
      </w:pPr>
      <w:r>
        <w:rPr>
          <w:rFonts w:hint="eastAsia"/>
          <w:color w:val="auto"/>
          <w:sz w:val="24"/>
          <w:highlight w:val="none"/>
        </w:rPr>
        <w:t>单位名称：浙江五石工程咨询有限公司</w:t>
      </w:r>
    </w:p>
    <w:p>
      <w:pPr>
        <w:spacing w:line="360" w:lineRule="auto"/>
        <w:ind w:firstLine="420"/>
        <w:rPr>
          <w:color w:val="auto"/>
          <w:sz w:val="24"/>
          <w:highlight w:val="none"/>
        </w:rPr>
      </w:pPr>
      <w:r>
        <w:rPr>
          <w:rFonts w:hint="eastAsia"/>
          <w:color w:val="auto"/>
          <w:sz w:val="24"/>
          <w:highlight w:val="none"/>
        </w:rPr>
        <w:t>账    号：583595811900015</w:t>
      </w:r>
    </w:p>
    <w:p>
      <w:pPr>
        <w:spacing w:line="360" w:lineRule="auto"/>
        <w:ind w:firstLine="420"/>
        <w:rPr>
          <w:color w:val="auto"/>
          <w:sz w:val="24"/>
          <w:highlight w:val="none"/>
        </w:rPr>
      </w:pPr>
      <w:r>
        <w:rPr>
          <w:rFonts w:hint="eastAsia"/>
          <w:color w:val="auto"/>
          <w:sz w:val="24"/>
          <w:highlight w:val="none"/>
        </w:rPr>
        <w:t>开户行：浙江民泰商业银行杭州钱江新城支行</w:t>
      </w:r>
    </w:p>
    <w:p>
      <w:pPr>
        <w:pStyle w:val="3"/>
        <w:rPr>
          <w:rFonts w:ascii="宋体" w:hAnsi="宋体" w:cs="宋体"/>
          <w:color w:val="auto"/>
          <w:sz w:val="24"/>
          <w:szCs w:val="24"/>
          <w:highlight w:val="none"/>
        </w:rPr>
      </w:pPr>
      <w:bookmarkStart w:id="37" w:name="_Toc501022758"/>
      <w:bookmarkStart w:id="38" w:name="_Toc20780"/>
      <w:bookmarkStart w:id="39" w:name="_Toc18280"/>
      <w:r>
        <w:rPr>
          <w:rFonts w:hint="eastAsia" w:ascii="宋体" w:hAnsi="宋体" w:cs="宋体"/>
          <w:color w:val="auto"/>
          <w:sz w:val="24"/>
          <w:szCs w:val="24"/>
          <w:highlight w:val="none"/>
        </w:rPr>
        <w:t>九.联系方式：</w:t>
      </w:r>
      <w:bookmarkEnd w:id="37"/>
      <w:bookmarkEnd w:id="38"/>
      <w:bookmarkEnd w:id="39"/>
    </w:p>
    <w:p>
      <w:pPr>
        <w:spacing w:line="360" w:lineRule="auto"/>
        <w:ind w:firstLine="560" w:firstLineChars="200"/>
        <w:rPr>
          <w:rFonts w:ascii="宋体" w:hAnsi="宋体" w:cs="宋体"/>
          <w:color w:val="auto"/>
          <w:sz w:val="24"/>
          <w:highlight w:val="none"/>
        </w:rPr>
      </w:pPr>
      <w:r>
        <w:rPr>
          <w:rFonts w:hint="eastAsia" w:ascii="宋体" w:hAnsi="宋体"/>
          <w:color w:val="auto"/>
          <w:kern w:val="0"/>
          <w:highlight w:val="none"/>
        </w:rPr>
        <w:t>1</w:t>
      </w:r>
      <w:r>
        <w:rPr>
          <w:rFonts w:hint="eastAsia" w:ascii="宋体" w:hAnsi="宋体"/>
          <w:color w:val="auto"/>
          <w:kern w:val="0"/>
          <w:sz w:val="24"/>
          <w:highlight w:val="none"/>
        </w:rPr>
        <w:t>、</w:t>
      </w:r>
      <w:r>
        <w:rPr>
          <w:rFonts w:hint="eastAsia" w:ascii="宋体" w:hAnsi="宋体" w:cs="宋体"/>
          <w:color w:val="auto"/>
          <w:kern w:val="0"/>
          <w:sz w:val="24"/>
          <w:highlight w:val="none"/>
        </w:rPr>
        <w:t>采购人名称：</w:t>
      </w:r>
      <w:r>
        <w:rPr>
          <w:rFonts w:hint="eastAsia" w:ascii="宋体" w:hAnsi="宋体" w:cs="宋体"/>
          <w:color w:val="auto"/>
          <w:sz w:val="24"/>
          <w:highlight w:val="none"/>
        </w:rPr>
        <w:t>中国美术学院</w:t>
      </w:r>
    </w:p>
    <w:p>
      <w:pPr>
        <w:spacing w:line="360" w:lineRule="auto"/>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地址：杭州上城区南山路218号</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联系人：吴老师</w:t>
      </w:r>
    </w:p>
    <w:p>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联系电话：0571-87164696</w:t>
      </w:r>
    </w:p>
    <w:p>
      <w:pPr>
        <w:spacing w:line="360" w:lineRule="auto"/>
        <w:ind w:firstLine="720" w:firstLineChars="300"/>
        <w:rPr>
          <w:rFonts w:ascii="宋体" w:hAnsi="宋体" w:cs="宋体"/>
          <w:color w:val="auto"/>
          <w:sz w:val="21"/>
          <w:szCs w:val="21"/>
          <w:highlight w:val="none"/>
        </w:rPr>
      </w:pPr>
      <w:r>
        <w:rPr>
          <w:rFonts w:hint="eastAsia" w:ascii="宋体" w:hAnsi="宋体" w:cs="宋体"/>
          <w:color w:val="auto"/>
          <w:sz w:val="24"/>
          <w:highlight w:val="none"/>
        </w:rPr>
        <w:t>采购项目联系人：胡老师</w:t>
      </w:r>
    </w:p>
    <w:p>
      <w:pPr>
        <w:widowControl/>
        <w:spacing w:line="360" w:lineRule="auto"/>
        <w:ind w:firstLine="720" w:firstLineChars="300"/>
        <w:jc w:val="left"/>
        <w:rPr>
          <w:rFonts w:ascii="宋体" w:hAnsi="宋体"/>
          <w:color w:val="auto"/>
          <w:kern w:val="0"/>
          <w:sz w:val="24"/>
          <w:highlight w:val="none"/>
        </w:rPr>
      </w:pPr>
      <w:r>
        <w:rPr>
          <w:rFonts w:hint="eastAsia" w:ascii="宋体" w:hAnsi="宋体" w:cs="宋体"/>
          <w:color w:val="auto"/>
          <w:sz w:val="24"/>
          <w:highlight w:val="none"/>
        </w:rPr>
        <w:t>联系电话：13588813299</w:t>
      </w:r>
    </w:p>
    <w:p>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2、代理机构名称：浙江五石工程咨询有限公司</w:t>
      </w:r>
    </w:p>
    <w:p>
      <w:pPr>
        <w:spacing w:line="360" w:lineRule="auto"/>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地址：滨江区东信大道66号启迪楼1207室</w:t>
      </w:r>
    </w:p>
    <w:p>
      <w:pPr>
        <w:spacing w:line="360" w:lineRule="auto"/>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业务联系人：陈小姐</w:t>
      </w:r>
    </w:p>
    <w:p>
      <w:pPr>
        <w:spacing w:line="360" w:lineRule="auto"/>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联系电话：0571-86098397</w:t>
      </w:r>
    </w:p>
    <w:p>
      <w:pPr>
        <w:spacing w:line="360" w:lineRule="auto"/>
        <w:ind w:firstLine="720" w:firstLineChars="300"/>
        <w:rPr>
          <w:rFonts w:hint="eastAsia" w:ascii="宋体" w:hAnsi="宋体" w:cs="宋体" w:eastAsiaTheme="minorEastAsia"/>
          <w:color w:val="auto"/>
          <w:kern w:val="0"/>
          <w:sz w:val="24"/>
          <w:highlight w:val="none"/>
          <w:lang w:val="en-US" w:eastAsia="zh-CN"/>
        </w:rPr>
      </w:pPr>
      <w:r>
        <w:rPr>
          <w:rFonts w:hint="eastAsia" w:ascii="宋体" w:hAnsi="宋体" w:cs="宋体"/>
          <w:color w:val="auto"/>
          <w:kern w:val="0"/>
          <w:sz w:val="24"/>
          <w:highlight w:val="none"/>
        </w:rPr>
        <w:t>报名联系人：梁</w:t>
      </w:r>
      <w:r>
        <w:rPr>
          <w:rFonts w:hint="eastAsia" w:ascii="宋体" w:hAnsi="宋体" w:cs="宋体"/>
          <w:color w:val="auto"/>
          <w:kern w:val="0"/>
          <w:sz w:val="24"/>
          <w:highlight w:val="none"/>
          <w:lang w:val="en-US" w:eastAsia="zh-CN"/>
        </w:rPr>
        <w:t>梁</w:t>
      </w:r>
    </w:p>
    <w:p>
      <w:pPr>
        <w:spacing w:line="360" w:lineRule="auto"/>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联系电话：17746806483</w:t>
      </w:r>
    </w:p>
    <w:p>
      <w:pPr>
        <w:spacing w:line="360" w:lineRule="auto"/>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邮    箱：2810140286@qq.com</w:t>
      </w:r>
    </w:p>
    <w:p>
      <w:pPr>
        <w:spacing w:line="360" w:lineRule="auto"/>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传    真：0571-87805727</w:t>
      </w:r>
    </w:p>
    <w:p>
      <w:pPr>
        <w:spacing w:line="360" w:lineRule="auto"/>
        <w:ind w:firstLine="480" w:firstLineChars="200"/>
        <w:rPr>
          <w:color w:val="auto"/>
          <w:sz w:val="24"/>
          <w:highlight w:val="none"/>
        </w:rPr>
      </w:pPr>
      <w:r>
        <w:rPr>
          <w:rFonts w:hint="eastAsia" w:ascii="宋体" w:hAnsi="宋体"/>
          <w:color w:val="auto"/>
          <w:kern w:val="0"/>
          <w:sz w:val="24"/>
          <w:highlight w:val="none"/>
        </w:rPr>
        <w:t>3、</w:t>
      </w:r>
      <w:r>
        <w:rPr>
          <w:rFonts w:hint="eastAsia"/>
          <w:color w:val="auto"/>
          <w:sz w:val="24"/>
          <w:highlight w:val="none"/>
        </w:rPr>
        <w:t>同级政府采购监督管理部门名称：浙江省财政厅政府采购监管处</w:t>
      </w:r>
    </w:p>
    <w:p>
      <w:pPr>
        <w:spacing w:line="360" w:lineRule="auto"/>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联系人：倪老师</w:t>
      </w:r>
    </w:p>
    <w:p>
      <w:pPr>
        <w:spacing w:line="360" w:lineRule="auto"/>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监督投诉电话：0571-87057615</w:t>
      </w:r>
    </w:p>
    <w:p>
      <w:pPr>
        <w:spacing w:line="360" w:lineRule="auto"/>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传真：0571-87056984</w:t>
      </w:r>
    </w:p>
    <w:p>
      <w:pPr>
        <w:spacing w:line="360" w:lineRule="auto"/>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地址：杭州市西湖区环城西路37号</w:t>
      </w:r>
    </w:p>
    <w:p>
      <w:pPr>
        <w:pStyle w:val="3"/>
        <w:rPr>
          <w:rFonts w:ascii="宋体" w:hAnsi="宋体" w:cs="宋体"/>
          <w:color w:val="auto"/>
          <w:sz w:val="24"/>
          <w:szCs w:val="24"/>
          <w:highlight w:val="none"/>
        </w:rPr>
      </w:pPr>
      <w:bookmarkStart w:id="40" w:name="_Toc29947"/>
      <w:bookmarkStart w:id="41" w:name="_Toc23095"/>
      <w:r>
        <w:rPr>
          <w:rFonts w:hint="eastAsia" w:ascii="宋体" w:hAnsi="宋体" w:cs="宋体"/>
          <w:color w:val="auto"/>
          <w:sz w:val="24"/>
          <w:szCs w:val="24"/>
          <w:highlight w:val="none"/>
        </w:rPr>
        <w:t>十．采购项目需要落实的政府采购政策：</w:t>
      </w:r>
      <w:bookmarkEnd w:id="40"/>
      <w:bookmarkEnd w:id="41"/>
    </w:p>
    <w:p>
      <w:pPr>
        <w:spacing w:line="360" w:lineRule="auto"/>
        <w:ind w:firstLine="480" w:firstLineChars="200"/>
        <w:rPr>
          <w:color w:val="auto"/>
          <w:sz w:val="24"/>
          <w:highlight w:val="none"/>
        </w:rPr>
      </w:pPr>
      <w:r>
        <w:rPr>
          <w:rFonts w:hint="eastAsia"/>
          <w:color w:val="auto"/>
          <w:sz w:val="24"/>
          <w:highlight w:val="none"/>
        </w:rPr>
        <w:t>1.政府采购促进中小企业发展</w:t>
      </w:r>
    </w:p>
    <w:p>
      <w:pPr>
        <w:spacing w:line="360" w:lineRule="auto"/>
        <w:ind w:firstLine="480" w:firstLineChars="200"/>
        <w:rPr>
          <w:color w:val="auto"/>
          <w:sz w:val="24"/>
          <w:highlight w:val="none"/>
        </w:rPr>
      </w:pPr>
      <w:r>
        <w:rPr>
          <w:rFonts w:hint="eastAsia"/>
          <w:color w:val="auto"/>
          <w:sz w:val="24"/>
          <w:highlight w:val="none"/>
        </w:rPr>
        <w:t>2.政府采购支持监狱企业发展</w:t>
      </w:r>
    </w:p>
    <w:p>
      <w:pPr>
        <w:spacing w:line="360" w:lineRule="auto"/>
        <w:ind w:firstLine="480" w:firstLineChars="200"/>
        <w:rPr>
          <w:color w:val="auto"/>
          <w:sz w:val="24"/>
          <w:highlight w:val="none"/>
        </w:rPr>
      </w:pPr>
      <w:r>
        <w:rPr>
          <w:rFonts w:hint="eastAsia"/>
          <w:color w:val="auto"/>
          <w:sz w:val="24"/>
          <w:highlight w:val="none"/>
        </w:rPr>
        <w:t>3.政府采购促进残疾人就业</w:t>
      </w:r>
    </w:p>
    <w:p>
      <w:pPr>
        <w:spacing w:line="360" w:lineRule="auto"/>
        <w:ind w:firstLine="480" w:firstLineChars="200"/>
        <w:rPr>
          <w:color w:val="auto"/>
          <w:sz w:val="24"/>
          <w:highlight w:val="none"/>
        </w:rPr>
      </w:pPr>
      <w:r>
        <w:rPr>
          <w:rFonts w:hint="eastAsia"/>
          <w:color w:val="auto"/>
          <w:sz w:val="24"/>
          <w:highlight w:val="none"/>
        </w:rPr>
        <w:t>4.政府采购鼓励节能、环保产品</w:t>
      </w:r>
    </w:p>
    <w:p>
      <w:pPr>
        <w:pStyle w:val="2"/>
        <w:rPr>
          <w:rFonts w:ascii="宋体" w:hAnsi="宋体"/>
          <w:color w:val="auto"/>
          <w:sz w:val="32"/>
          <w:szCs w:val="32"/>
          <w:highlight w:val="none"/>
        </w:rPr>
      </w:pPr>
      <w:r>
        <w:rPr>
          <w:rFonts w:ascii="宋体" w:hAnsi="宋体" w:cs="宋体"/>
          <w:color w:val="auto"/>
          <w:spacing w:val="-6"/>
          <w:kern w:val="0"/>
          <w:sz w:val="21"/>
          <w:szCs w:val="21"/>
          <w:highlight w:val="none"/>
        </w:rPr>
        <w:br w:type="page"/>
      </w:r>
      <w:bookmarkStart w:id="42" w:name="_Toc21278"/>
      <w:bookmarkStart w:id="43" w:name="_Toc23655"/>
      <w:bookmarkStart w:id="44" w:name="_Toc6005"/>
      <w:r>
        <w:rPr>
          <w:rFonts w:hint="eastAsia" w:ascii="宋体" w:hAnsi="宋体"/>
          <w:color w:val="auto"/>
          <w:sz w:val="32"/>
          <w:szCs w:val="32"/>
          <w:highlight w:val="none"/>
        </w:rPr>
        <w:t>第二章  磋商响应供应商须知</w:t>
      </w:r>
      <w:bookmarkEnd w:id="42"/>
      <w:bookmarkEnd w:id="43"/>
    </w:p>
    <w:p>
      <w:pPr>
        <w:spacing w:line="288" w:lineRule="auto"/>
        <w:ind w:left="238"/>
        <w:jc w:val="center"/>
        <w:rPr>
          <w:rFonts w:ascii="宋体" w:hAnsi="宋体"/>
          <w:b/>
          <w:color w:val="auto"/>
          <w:sz w:val="24"/>
          <w:highlight w:val="none"/>
        </w:rPr>
      </w:pPr>
      <w:r>
        <w:rPr>
          <w:rFonts w:hint="eastAsia" w:ascii="宋体" w:hAnsi="宋体"/>
          <w:b/>
          <w:color w:val="auto"/>
          <w:sz w:val="24"/>
          <w:highlight w:val="none"/>
        </w:rPr>
        <w:t>前附表</w:t>
      </w:r>
    </w:p>
    <w:tbl>
      <w:tblPr>
        <w:tblStyle w:val="19"/>
        <w:tblW w:w="970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
        <w:gridCol w:w="88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center"/>
              <w:outlineLvl w:val="9"/>
              <w:rPr>
                <w:rFonts w:ascii="宋体" w:hAnsi="宋体"/>
                <w:color w:val="auto"/>
                <w:sz w:val="24"/>
                <w:highlight w:val="none"/>
              </w:rPr>
            </w:pPr>
            <w:r>
              <w:rPr>
                <w:rFonts w:hint="eastAsia" w:ascii="宋体" w:hAnsi="宋体"/>
                <w:color w:val="auto"/>
                <w:sz w:val="24"/>
                <w:highlight w:val="none"/>
              </w:rPr>
              <w:t>序号</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center"/>
              <w:outlineLvl w:val="9"/>
              <w:rPr>
                <w:rFonts w:ascii="宋体" w:hAnsi="宋体"/>
                <w:color w:val="auto"/>
                <w:sz w:val="24"/>
                <w:highlight w:val="none"/>
              </w:rPr>
            </w:pPr>
            <w:r>
              <w:rPr>
                <w:rFonts w:hint="eastAsia" w:ascii="宋体" w:hAnsi="宋体"/>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center"/>
              <w:outlineLvl w:val="9"/>
              <w:rPr>
                <w:rFonts w:ascii="宋体" w:hAnsi="宋体"/>
                <w:color w:val="auto"/>
                <w:sz w:val="24"/>
                <w:highlight w:val="none"/>
              </w:rPr>
            </w:pPr>
            <w:r>
              <w:rPr>
                <w:rFonts w:hint="eastAsia" w:ascii="宋体" w:hAnsi="宋体"/>
                <w:color w:val="auto"/>
                <w:sz w:val="24"/>
                <w:highlight w:val="none"/>
              </w:rPr>
              <w:t>1</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outlineLvl w:val="9"/>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采购人：中国美术学院</w:t>
            </w:r>
          </w:p>
          <w:p>
            <w:pPr>
              <w:keepNext w:val="0"/>
              <w:keepLines w:val="0"/>
              <w:pageBreakBefore w:val="0"/>
              <w:widowControl w:val="0"/>
              <w:kinsoku/>
              <w:wordWrap/>
              <w:overflowPunct/>
              <w:topLinePunct w:val="0"/>
              <w:bidi w:val="0"/>
              <w:adjustRightInd/>
              <w:snapToGrid/>
              <w:spacing w:line="312" w:lineRule="auto"/>
              <w:ind w:firstLine="0" w:firstLineChars="0"/>
              <w:outlineLvl w:val="9"/>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项目名称：消防系统改造升级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center"/>
              <w:outlineLvl w:val="9"/>
              <w:rPr>
                <w:rFonts w:ascii="宋体" w:hAnsi="宋体"/>
                <w:color w:val="auto"/>
                <w:sz w:val="24"/>
                <w:highlight w:val="none"/>
              </w:rPr>
            </w:pPr>
            <w:r>
              <w:rPr>
                <w:rFonts w:hint="eastAsia" w:ascii="宋体" w:hAnsi="宋体"/>
                <w:color w:val="auto"/>
                <w:sz w:val="24"/>
                <w:highlight w:val="none"/>
              </w:rPr>
              <w:t>2</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outlineLvl w:val="9"/>
              <w:rPr>
                <w:rFonts w:hint="eastAsia" w:asciiTheme="minorEastAsia" w:hAnsiTheme="minorEastAsia" w:cstheme="minorEastAsia"/>
                <w:b/>
                <w:color w:val="auto"/>
                <w:sz w:val="24"/>
                <w:highlight w:val="none"/>
                <w:lang w:eastAsia="zh-CN"/>
              </w:rPr>
            </w:pPr>
            <w:r>
              <w:rPr>
                <w:rFonts w:hint="eastAsia" w:asciiTheme="minorEastAsia" w:hAnsiTheme="minorEastAsia" w:cstheme="minorEastAsia"/>
                <w:color w:val="auto"/>
                <w:sz w:val="24"/>
                <w:highlight w:val="none"/>
              </w:rPr>
              <w:t>磋商响应报价：</w:t>
            </w:r>
            <w:r>
              <w:rPr>
                <w:rFonts w:hint="eastAsia" w:asciiTheme="minorEastAsia" w:hAnsiTheme="minorEastAsia" w:cstheme="minorEastAsia"/>
                <w:b/>
                <w:color w:val="auto"/>
                <w:sz w:val="24"/>
                <w:highlight w:val="none"/>
              </w:rPr>
              <w:t>本次磋商采用人民币报价</w:t>
            </w:r>
            <w:r>
              <w:rPr>
                <w:rFonts w:hint="eastAsia" w:asciiTheme="minorEastAsia" w:hAnsiTheme="minorEastAsia" w:cstheme="minorEastAsia"/>
                <w:b/>
                <w:color w:val="auto"/>
                <w:sz w:val="24"/>
                <w:highlight w:val="none"/>
                <w:lang w:eastAsia="zh-CN"/>
              </w:rPr>
              <w:t>。</w:t>
            </w:r>
          </w:p>
          <w:p>
            <w:pPr>
              <w:keepNext w:val="0"/>
              <w:keepLines w:val="0"/>
              <w:pageBreakBefore w:val="0"/>
              <w:widowControl w:val="0"/>
              <w:kinsoku/>
              <w:wordWrap/>
              <w:overflowPunct/>
              <w:topLinePunct w:val="0"/>
              <w:bidi w:val="0"/>
              <w:adjustRightInd/>
              <w:snapToGrid/>
              <w:spacing w:line="312" w:lineRule="auto"/>
              <w:ind w:firstLine="0" w:firstLineChars="0"/>
              <w:outlineLvl w:val="9"/>
              <w:rPr>
                <w:rFonts w:hint="eastAsia" w:ascii="宋体" w:hAnsi="宋体" w:cs="宋体"/>
                <w:color w:val="auto"/>
                <w:sz w:val="24"/>
                <w:highlight w:val="none"/>
              </w:rPr>
            </w:pPr>
            <w:r>
              <w:rPr>
                <w:rFonts w:hint="eastAsia" w:ascii="宋体" w:hAnsi="宋体" w:cs="宋体"/>
                <w:color w:val="auto"/>
                <w:sz w:val="24"/>
                <w:highlight w:val="none"/>
              </w:rPr>
              <w:t>1.投标报价是指一次性报出不得更改的价格；</w:t>
            </w:r>
            <w:bookmarkStart w:id="118" w:name="_GoBack"/>
            <w:bookmarkEnd w:id="118"/>
          </w:p>
          <w:p>
            <w:pPr>
              <w:keepNext w:val="0"/>
              <w:keepLines w:val="0"/>
              <w:pageBreakBefore w:val="0"/>
              <w:widowControl w:val="0"/>
              <w:kinsoku/>
              <w:wordWrap/>
              <w:overflowPunct/>
              <w:topLinePunct w:val="0"/>
              <w:bidi w:val="0"/>
              <w:adjustRightInd/>
              <w:snapToGrid/>
              <w:spacing w:line="312" w:lineRule="auto"/>
              <w:ind w:firstLine="0" w:firstLineChars="0"/>
              <w:outlineLvl w:val="9"/>
              <w:rPr>
                <w:rFonts w:hint="eastAsia" w:ascii="宋体" w:hAnsi="宋体" w:cs="宋体"/>
                <w:color w:val="auto"/>
                <w:sz w:val="24"/>
                <w:highlight w:val="none"/>
              </w:rPr>
            </w:pPr>
            <w:r>
              <w:rPr>
                <w:rFonts w:hint="eastAsia" w:ascii="宋体" w:hAnsi="宋体" w:cs="宋体"/>
                <w:color w:val="auto"/>
                <w:sz w:val="24"/>
                <w:highlight w:val="none"/>
              </w:rPr>
              <w:t>2.投标报价是履行合同的最终价格，投标报价包括包括货款、标准附件、备品备件、专用工具、包装、运输、装卸、保险、税金、货到就位以及</w:t>
            </w:r>
            <w:r>
              <w:rPr>
                <w:rFonts w:hint="eastAsia" w:ascii="宋体" w:hAnsi="宋体" w:cs="宋体"/>
                <w:color w:val="auto"/>
                <w:sz w:val="24"/>
                <w:highlight w:val="none"/>
                <w:lang w:val="en-US" w:eastAsia="zh-CN"/>
              </w:rPr>
              <w:t>拆</w:t>
            </w:r>
            <w:r>
              <w:rPr>
                <w:rFonts w:hint="eastAsia" w:ascii="宋体" w:hAnsi="宋体" w:cs="宋体"/>
                <w:color w:val="auto"/>
                <w:sz w:val="24"/>
                <w:highlight w:val="none"/>
              </w:rPr>
              <w:t>装、调试、培训、保修、招标代理服务费等一切税金和费用。</w:t>
            </w:r>
          </w:p>
          <w:p>
            <w:pPr>
              <w:keepNext w:val="0"/>
              <w:keepLines w:val="0"/>
              <w:pageBreakBefore w:val="0"/>
              <w:widowControl w:val="0"/>
              <w:kinsoku/>
              <w:wordWrap/>
              <w:overflowPunct/>
              <w:topLinePunct w:val="0"/>
              <w:bidi w:val="0"/>
              <w:adjustRightInd/>
              <w:snapToGrid/>
              <w:spacing w:line="312" w:lineRule="auto"/>
              <w:ind w:firstLine="0" w:firstLineChars="0"/>
              <w:outlineLvl w:val="9"/>
              <w:rPr>
                <w:rFonts w:hint="eastAsia" w:asciiTheme="minorEastAsia" w:hAnsiTheme="minorEastAsia" w:eastAsiaTheme="minorEastAsia" w:cstheme="minorEastAsia"/>
                <w:b/>
                <w:color w:val="auto"/>
                <w:spacing w:val="-6"/>
                <w:sz w:val="24"/>
                <w:highlight w:val="none"/>
                <w:lang w:eastAsia="zh-CN"/>
              </w:rPr>
            </w:pPr>
            <w:r>
              <w:rPr>
                <w:rFonts w:ascii="宋体" w:hAnsi="宋体" w:cs="宋体"/>
                <w:color w:val="auto"/>
                <w:sz w:val="24"/>
                <w:highlight w:val="none"/>
              </w:rPr>
              <w:t>3</w:t>
            </w:r>
            <w:r>
              <w:rPr>
                <w:rFonts w:hint="eastAsia" w:ascii="宋体" w:hAnsi="宋体" w:cs="宋体"/>
                <w:color w:val="auto"/>
                <w:sz w:val="24"/>
                <w:highlight w:val="none"/>
              </w:rPr>
              <w:t>.投标人所报的价格在合同执行过程中是固定不变的，不得以任何理由予以变更，任何包含价格调整要求，将被认为是非响应性报价而予以拒绝。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0"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center"/>
              <w:outlineLvl w:val="9"/>
              <w:rPr>
                <w:rFonts w:ascii="宋体" w:hAnsi="宋体"/>
                <w:color w:val="auto"/>
                <w:sz w:val="24"/>
                <w:highlight w:val="none"/>
              </w:rPr>
            </w:pPr>
            <w:r>
              <w:rPr>
                <w:rFonts w:hint="eastAsia" w:ascii="宋体" w:hAnsi="宋体"/>
                <w:color w:val="auto"/>
                <w:sz w:val="24"/>
                <w:highlight w:val="none"/>
              </w:rPr>
              <w:t>3</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ascii="宋体" w:hAnsi="宋体" w:eastAsia="宋体"/>
                <w:color w:val="auto"/>
                <w:sz w:val="24"/>
                <w:highlight w:val="none"/>
              </w:rPr>
            </w:pPr>
            <w:r>
              <w:rPr>
                <w:rFonts w:hint="eastAsia" w:ascii="宋体" w:hAnsi="宋体"/>
                <w:color w:val="auto"/>
                <w:sz w:val="24"/>
                <w:highlight w:val="none"/>
              </w:rPr>
              <w:t>代理服务费：</w:t>
            </w:r>
          </w:p>
          <w:p>
            <w:pPr>
              <w:keepNext w:val="0"/>
              <w:keepLines w:val="0"/>
              <w:pageBreakBefore w:val="0"/>
              <w:widowControl w:val="0"/>
              <w:numPr>
                <w:ilvl w:val="0"/>
                <w:numId w:val="2"/>
              </w:numPr>
              <w:kinsoku/>
              <w:wordWrap/>
              <w:overflowPunct/>
              <w:topLinePunct w:val="0"/>
              <w:autoSpaceDE w:val="0"/>
              <w:autoSpaceDN w:val="0"/>
              <w:bidi w:val="0"/>
              <w:adjustRightInd/>
              <w:snapToGrid/>
              <w:spacing w:line="312" w:lineRule="auto"/>
              <w:ind w:firstLine="0" w:firstLineChars="0"/>
              <w:textAlignment w:val="bottom"/>
              <w:outlineLvl w:val="9"/>
              <w:rPr>
                <w:rFonts w:ascii="宋体" w:hAnsi="宋体"/>
                <w:color w:val="auto"/>
                <w:sz w:val="24"/>
                <w:highlight w:val="none"/>
              </w:rPr>
            </w:pPr>
            <w:r>
              <w:rPr>
                <w:rFonts w:hint="eastAsia" w:ascii="宋体" w:hAnsi="宋体"/>
                <w:color w:val="auto"/>
                <w:sz w:val="24"/>
                <w:highlight w:val="none"/>
              </w:rPr>
              <w:t>参照国家发改委发改办价格[2003]857号通知和原国家计[2002]1980号文件规定的招标费率标准8折收取服务费，不足3000元按3000元收取。</w:t>
            </w:r>
          </w:p>
          <w:p>
            <w:pPr>
              <w:keepNext w:val="0"/>
              <w:keepLines w:val="0"/>
              <w:pageBreakBefore w:val="0"/>
              <w:widowControl w:val="0"/>
              <w:numPr>
                <w:ilvl w:val="0"/>
                <w:numId w:val="2"/>
              </w:numPr>
              <w:kinsoku/>
              <w:wordWrap/>
              <w:overflowPunct/>
              <w:topLinePunct w:val="0"/>
              <w:autoSpaceDE w:val="0"/>
              <w:autoSpaceDN w:val="0"/>
              <w:bidi w:val="0"/>
              <w:adjustRightInd/>
              <w:snapToGrid/>
              <w:spacing w:line="312" w:lineRule="auto"/>
              <w:ind w:firstLine="0" w:firstLineChars="0"/>
              <w:textAlignment w:val="bottom"/>
              <w:outlineLvl w:val="9"/>
              <w:rPr>
                <w:rFonts w:asciiTheme="minorEastAsia" w:hAnsiTheme="minorEastAsia" w:cstheme="minorEastAsia"/>
                <w:color w:val="auto"/>
                <w:sz w:val="24"/>
                <w:highlight w:val="none"/>
              </w:rPr>
            </w:pPr>
            <w:r>
              <w:rPr>
                <w:rFonts w:hint="eastAsia" w:ascii="宋体" w:hAnsi="宋体"/>
                <w:color w:val="auto"/>
                <w:sz w:val="24"/>
                <w:highlight w:val="none"/>
              </w:rPr>
              <w:t>成交供应商在成交公告发布之日起五个工作日内向本招标代理公司支付招标服务费，确认到帐后发出成交通知书。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center"/>
              <w:outlineLvl w:val="9"/>
              <w:rPr>
                <w:rFonts w:ascii="宋体" w:hAnsi="宋体"/>
                <w:color w:val="auto"/>
                <w:sz w:val="24"/>
                <w:highlight w:val="none"/>
              </w:rPr>
            </w:pPr>
            <w:r>
              <w:rPr>
                <w:rFonts w:hint="eastAsia" w:ascii="宋体" w:hAnsi="宋体"/>
                <w:color w:val="auto"/>
                <w:sz w:val="24"/>
                <w:highlight w:val="none"/>
              </w:rPr>
              <w:t>4</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outlineLvl w:val="9"/>
              <w:rPr>
                <w:rFonts w:asciiTheme="minorEastAsia" w:hAnsiTheme="minorEastAsia" w:cstheme="minorEastAsia"/>
                <w:b/>
                <w:color w:val="auto"/>
                <w:spacing w:val="-6"/>
                <w:sz w:val="24"/>
                <w:highlight w:val="none"/>
              </w:rPr>
            </w:pPr>
            <w:r>
              <w:rPr>
                <w:rFonts w:hint="eastAsia" w:asciiTheme="minorEastAsia" w:hAnsiTheme="minorEastAsia" w:cstheme="minorEastAsia"/>
                <w:color w:val="auto"/>
                <w:sz w:val="24"/>
                <w:highlight w:val="none"/>
              </w:rPr>
              <w:t>响应文件份数：</w:t>
            </w:r>
            <w:r>
              <w:rPr>
                <w:rFonts w:hint="eastAsia" w:asciiTheme="minorEastAsia" w:hAnsiTheme="minorEastAsia" w:cstheme="minorEastAsia"/>
                <w:b/>
                <w:color w:val="auto"/>
                <w:spacing w:val="-6"/>
                <w:sz w:val="24"/>
                <w:highlight w:val="none"/>
              </w:rPr>
              <w:t>正本一份，副本三份。</w:t>
            </w:r>
          </w:p>
          <w:p>
            <w:pPr>
              <w:keepNext w:val="0"/>
              <w:keepLines w:val="0"/>
              <w:pageBreakBefore w:val="0"/>
              <w:widowControl w:val="0"/>
              <w:kinsoku/>
              <w:wordWrap/>
              <w:overflowPunct/>
              <w:topLinePunct w:val="0"/>
              <w:bidi w:val="0"/>
              <w:adjustRightInd/>
              <w:snapToGrid/>
              <w:spacing w:line="312" w:lineRule="auto"/>
              <w:ind w:firstLine="0" w:firstLineChars="0"/>
              <w:outlineLvl w:val="9"/>
              <w:rPr>
                <w:rFonts w:asciiTheme="minorEastAsia" w:hAnsiTheme="minorEastAsia" w:cstheme="minorEastAsia"/>
                <w:b/>
                <w:color w:val="auto"/>
                <w:spacing w:val="-6"/>
                <w:sz w:val="24"/>
                <w:highlight w:val="none"/>
              </w:rPr>
            </w:pPr>
            <w:r>
              <w:rPr>
                <w:rFonts w:hint="eastAsia" w:asciiTheme="minorEastAsia" w:hAnsiTheme="minorEastAsia" w:cstheme="minorEastAsia"/>
                <w:b/>
                <w:color w:val="auto"/>
                <w:spacing w:val="-6"/>
                <w:sz w:val="24"/>
                <w:highlight w:val="none"/>
              </w:rPr>
              <w:t>电子文档一份</w:t>
            </w:r>
            <w:r>
              <w:rPr>
                <w:rFonts w:hint="eastAsia" w:ascii="宋体" w:hAnsi="宋体" w:cs="宋体"/>
                <w:color w:val="auto"/>
                <w:sz w:val="24"/>
                <w:highlight w:val="none"/>
              </w:rPr>
              <w:t>（内容为已签字盖章的纸质响应文件正本的扫描件，PDF格式，光盘或U盘存储）。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center"/>
              <w:outlineLvl w:val="9"/>
              <w:rPr>
                <w:rFonts w:ascii="宋体" w:hAnsi="宋体"/>
                <w:color w:val="auto"/>
                <w:sz w:val="24"/>
                <w:highlight w:val="none"/>
              </w:rPr>
            </w:pPr>
            <w:r>
              <w:rPr>
                <w:rFonts w:hint="eastAsia" w:ascii="宋体" w:hAnsi="宋体"/>
                <w:color w:val="auto"/>
                <w:sz w:val="24"/>
                <w:highlight w:val="none"/>
              </w:rPr>
              <w:t>5</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响应文件装订要求：</w:t>
            </w:r>
          </w:p>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asciiTheme="minorEastAsia" w:hAnsiTheme="minorEastAsia" w:cstheme="minorEastAsia"/>
                <w:color w:val="auto"/>
                <w:sz w:val="24"/>
                <w:highlight w:val="none"/>
              </w:rPr>
            </w:pPr>
            <w:r>
              <w:rPr>
                <w:rFonts w:hint="eastAsia" w:asciiTheme="minorEastAsia" w:hAnsiTheme="minorEastAsia" w:cstheme="minorEastAsia"/>
                <w:b/>
                <w:color w:val="auto"/>
                <w:sz w:val="24"/>
                <w:highlight w:val="none"/>
              </w:rPr>
              <w:t>资格证明文件单独装订成册，报价文件和商务技术文件编制并装订成一册（胶装），活页装订的响应文件无效。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center"/>
              <w:outlineLvl w:val="9"/>
              <w:rPr>
                <w:rFonts w:ascii="宋体" w:hAnsi="宋体"/>
                <w:color w:val="auto"/>
                <w:sz w:val="24"/>
                <w:highlight w:val="none"/>
              </w:rPr>
            </w:pPr>
            <w:r>
              <w:rPr>
                <w:rFonts w:hint="eastAsia" w:ascii="宋体" w:hAnsi="宋体"/>
                <w:color w:val="auto"/>
                <w:sz w:val="24"/>
                <w:highlight w:val="none"/>
              </w:rPr>
              <w:t>6</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center"/>
              <w:outlineLvl w:val="9"/>
              <w:rPr>
                <w:rFonts w:ascii="宋体" w:hAnsi="宋体"/>
                <w:color w:val="auto"/>
                <w:sz w:val="24"/>
                <w:highlight w:val="none"/>
              </w:rPr>
            </w:pPr>
            <w:r>
              <w:rPr>
                <w:rFonts w:hint="eastAsia" w:ascii="宋体" w:hAnsi="宋体"/>
                <w:color w:val="auto"/>
                <w:sz w:val="24"/>
                <w:highlight w:val="none"/>
              </w:rPr>
              <w:t>7</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公告及成交结果公示：公示于浙江政府采购网（http://www.zjzfcg.gov.cn)等相关网站或媒体。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center"/>
              <w:outlineLvl w:val="9"/>
              <w:rPr>
                <w:rFonts w:ascii="宋体" w:hAnsi="宋体"/>
                <w:color w:val="auto"/>
                <w:sz w:val="24"/>
                <w:highlight w:val="none"/>
              </w:rPr>
            </w:pPr>
            <w:r>
              <w:rPr>
                <w:rFonts w:hint="eastAsia" w:ascii="宋体" w:hAnsi="宋体"/>
                <w:color w:val="auto"/>
                <w:sz w:val="24"/>
                <w:highlight w:val="none"/>
              </w:rPr>
              <w:t>8</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0"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center"/>
              <w:outlineLvl w:val="9"/>
              <w:rPr>
                <w:rFonts w:ascii="宋体" w:hAnsi="宋体"/>
                <w:color w:val="auto"/>
                <w:sz w:val="24"/>
                <w:highlight w:val="none"/>
              </w:rPr>
            </w:pPr>
            <w:r>
              <w:rPr>
                <w:rFonts w:hint="eastAsia" w:ascii="宋体" w:hAnsi="宋体"/>
                <w:color w:val="auto"/>
                <w:sz w:val="24"/>
                <w:highlight w:val="none"/>
              </w:rPr>
              <w:t>9</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磋商保证金退还：</w:t>
            </w:r>
          </w:p>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未成交供应商的磋商保证金，在成交通知书发出后五个工作日内（因供应商自身原因导致无法及时退还的除外）凭保证金收据自行退还。</w:t>
            </w:r>
          </w:p>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成交供应商的磋商保证金，在采购合同签订后五个工作日内（因供应商自身原因导致无法及时退还的除外）凭保证金收据自行退还。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312" w:lineRule="auto"/>
              <w:ind w:firstLine="0" w:firstLineChars="0"/>
              <w:jc w:val="center"/>
              <w:outlineLvl w:val="9"/>
              <w:rPr>
                <w:rFonts w:ascii="宋体" w:hAnsi="宋体"/>
                <w:color w:val="auto"/>
                <w:sz w:val="24"/>
                <w:highlight w:val="none"/>
              </w:rPr>
            </w:pPr>
            <w:r>
              <w:rPr>
                <w:rFonts w:hint="eastAsia" w:ascii="宋体" w:hAnsi="宋体"/>
                <w:color w:val="auto"/>
                <w:sz w:val="24"/>
                <w:highlight w:val="none"/>
              </w:rPr>
              <w:t>10</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签订合同：成交通知书发出之日起30日内。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jc w:val="center"/>
              <w:textAlignment w:val="bottom"/>
              <w:outlineLvl w:val="9"/>
              <w:rPr>
                <w:rFonts w:ascii="宋体" w:hAnsi="宋体"/>
                <w:color w:val="auto"/>
                <w:sz w:val="24"/>
                <w:highlight w:val="none"/>
              </w:rPr>
            </w:pPr>
            <w:r>
              <w:rPr>
                <w:rFonts w:hint="eastAsia" w:ascii="宋体" w:hAnsi="宋体"/>
                <w:color w:val="auto"/>
                <w:sz w:val="24"/>
                <w:highlight w:val="none"/>
              </w:rPr>
              <w:t>11</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jc w:val="center"/>
              <w:textAlignment w:val="bottom"/>
              <w:outlineLvl w:val="9"/>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jc w:val="center"/>
              <w:textAlignment w:val="bottom"/>
              <w:outlineLvl w:val="9"/>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解释：本磋商文件的解释权属于</w:t>
            </w:r>
            <w:r>
              <w:rPr>
                <w:rFonts w:hint="eastAsia" w:asciiTheme="minorEastAsia" w:hAnsiTheme="minorEastAsia" w:cstheme="minorEastAsia"/>
                <w:color w:val="auto"/>
                <w:spacing w:val="-6"/>
                <w:sz w:val="24"/>
                <w:highlight w:val="none"/>
              </w:rPr>
              <w:t>采购代理机构</w:t>
            </w:r>
            <w:r>
              <w:rPr>
                <w:rFonts w:hint="eastAsia" w:asciiTheme="minorEastAsia" w:hAnsi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jc w:val="center"/>
              <w:textAlignment w:val="bottom"/>
              <w:outlineLvl w:val="9"/>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15</w:t>
            </w:r>
          </w:p>
        </w:tc>
        <w:tc>
          <w:tcPr>
            <w:tcW w:w="8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textAlignment w:val="bottom"/>
              <w:outlineLvl w:val="9"/>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采购文件中推荐的品牌仅供参考，欢迎其他能满足本项目技术需求且性能与所明确品牌相当或高于的产品参加。</w:t>
            </w:r>
          </w:p>
        </w:tc>
      </w:tr>
    </w:tbl>
    <w:p>
      <w:pPr>
        <w:pStyle w:val="3"/>
        <w:jc w:val="center"/>
        <w:rPr>
          <w:rFonts w:hAnsi="宋体"/>
          <w:color w:val="auto"/>
          <w:spacing w:val="-6"/>
          <w:sz w:val="32"/>
          <w:highlight w:val="none"/>
        </w:rPr>
      </w:pPr>
      <w:r>
        <w:rPr>
          <w:rFonts w:hAnsi="宋体"/>
          <w:color w:val="auto"/>
          <w:spacing w:val="-6"/>
          <w:sz w:val="21"/>
          <w:szCs w:val="21"/>
          <w:highlight w:val="none"/>
        </w:rPr>
        <w:br w:type="page"/>
      </w:r>
      <w:bookmarkStart w:id="45" w:name="_Toc138"/>
      <w:bookmarkStart w:id="46" w:name="_Toc32638"/>
      <w:r>
        <w:rPr>
          <w:rFonts w:hint="eastAsia" w:hAnsi="宋体"/>
          <w:color w:val="auto"/>
          <w:spacing w:val="-6"/>
          <w:sz w:val="21"/>
          <w:szCs w:val="21"/>
          <w:highlight w:val="none"/>
        </w:rPr>
        <w:t>一</w:t>
      </w:r>
      <w:r>
        <w:rPr>
          <w:rFonts w:hint="eastAsia" w:hAnsi="宋体"/>
          <w:color w:val="auto"/>
          <w:spacing w:val="-6"/>
          <w:sz w:val="32"/>
          <w:highlight w:val="none"/>
        </w:rPr>
        <w:t>、</w:t>
      </w:r>
      <w:r>
        <w:rPr>
          <w:rFonts w:hAnsi="宋体"/>
          <w:color w:val="auto"/>
          <w:spacing w:val="-6"/>
          <w:sz w:val="32"/>
          <w:highlight w:val="none"/>
        </w:rPr>
        <w:t>总</w:t>
      </w:r>
      <w:r>
        <w:rPr>
          <w:rFonts w:hint="eastAsia" w:hAnsi="宋体"/>
          <w:color w:val="auto"/>
          <w:spacing w:val="-6"/>
          <w:sz w:val="32"/>
          <w:highlight w:val="none"/>
        </w:rPr>
        <w:t xml:space="preserve">  </w:t>
      </w:r>
      <w:r>
        <w:rPr>
          <w:rFonts w:hAnsi="宋体"/>
          <w:color w:val="auto"/>
          <w:spacing w:val="-6"/>
          <w:sz w:val="32"/>
          <w:highlight w:val="none"/>
        </w:rPr>
        <w:t>则</w:t>
      </w:r>
      <w:bookmarkEnd w:id="45"/>
      <w:bookmarkEnd w:id="46"/>
    </w:p>
    <w:p>
      <w:pPr>
        <w:pStyle w:val="4"/>
        <w:spacing w:line="360" w:lineRule="auto"/>
        <w:rPr>
          <w:color w:val="auto"/>
          <w:highlight w:val="none"/>
        </w:rPr>
      </w:pPr>
      <w:bookmarkStart w:id="47" w:name="_Toc1539"/>
      <w:r>
        <w:rPr>
          <w:rFonts w:hint="eastAsia"/>
          <w:color w:val="auto"/>
          <w:highlight w:val="none"/>
        </w:rPr>
        <w:t>一、适用范围</w:t>
      </w:r>
      <w:bookmarkEnd w:id="47"/>
    </w:p>
    <w:p>
      <w:pPr>
        <w:spacing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本磋商文件适用于中国美术学院消防系统改造升级的磋商、评审、成交、验收、合同履约、付款等（法律、法规另有规定的，从其规定）。</w:t>
      </w:r>
    </w:p>
    <w:p>
      <w:pPr>
        <w:pStyle w:val="4"/>
        <w:spacing w:line="360" w:lineRule="auto"/>
        <w:rPr>
          <w:color w:val="auto"/>
          <w:highlight w:val="none"/>
        </w:rPr>
      </w:pPr>
      <w:bookmarkStart w:id="48" w:name="_Toc31159"/>
      <w:r>
        <w:rPr>
          <w:rFonts w:hint="eastAsia"/>
          <w:color w:val="auto"/>
          <w:highlight w:val="none"/>
        </w:rPr>
        <w:t>二、定义</w:t>
      </w:r>
      <w:bookmarkEnd w:id="48"/>
    </w:p>
    <w:p>
      <w:pPr>
        <w:spacing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1.“采购人”系指中国美术学院。</w:t>
      </w:r>
    </w:p>
    <w:p>
      <w:pPr>
        <w:spacing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2.“采购代理机构”系指组织本次竞争性磋商的浙江五石工程咨询有限公司。</w:t>
      </w:r>
    </w:p>
    <w:p>
      <w:pPr>
        <w:spacing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3．“磋商响应供应商”系指向采购代理机构提交响应文件的单位。</w:t>
      </w:r>
    </w:p>
    <w:p>
      <w:pPr>
        <w:spacing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4．“产品”系指磋商响应供应商按磋商文件规定，须向采购人提供的一切设备、保险、税金、备品备件、工具、手册及其它有关技术资料和材料。</w:t>
      </w:r>
    </w:p>
    <w:p>
      <w:pPr>
        <w:spacing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5．“服务”系指磋商文件规定磋商响应供应商须承担的安装、调试、技术协助、校准、培训、技术指导以及其他类似的义务。</w:t>
      </w:r>
    </w:p>
    <w:p>
      <w:pPr>
        <w:spacing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6．“项目”系指磋商响应供应商按磋商文件规定向采购人提供的产品和服务。</w:t>
      </w:r>
    </w:p>
    <w:p>
      <w:pPr>
        <w:spacing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7．“书面形式”包括信函、传真、电子文档等。</w:t>
      </w:r>
    </w:p>
    <w:p>
      <w:pPr>
        <w:spacing w:line="360" w:lineRule="auto"/>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8．“★”系指实质性要求条款，磋商响应供应商必须做出实质性响应。“▲”系指重要条款。</w:t>
      </w:r>
    </w:p>
    <w:p>
      <w:pPr>
        <w:pStyle w:val="4"/>
        <w:spacing w:line="360" w:lineRule="auto"/>
        <w:rPr>
          <w:color w:val="auto"/>
          <w:highlight w:val="none"/>
        </w:rPr>
      </w:pPr>
      <w:bookmarkStart w:id="49" w:name="_Toc19012"/>
      <w:r>
        <w:rPr>
          <w:rFonts w:hint="eastAsia"/>
          <w:color w:val="auto"/>
          <w:highlight w:val="none"/>
        </w:rPr>
        <w:t>三、采购方式</w:t>
      </w:r>
      <w:bookmarkEnd w:id="49"/>
    </w:p>
    <w:p>
      <w:pPr>
        <w:spacing w:line="360" w:lineRule="auto"/>
        <w:ind w:firstLine="456" w:firstLineChars="200"/>
        <w:jc w:val="left"/>
        <w:rPr>
          <w:rFonts w:hint="eastAsia" w:ascii="宋体" w:hAnsi="宋体"/>
          <w:color w:val="auto"/>
          <w:spacing w:val="-6"/>
          <w:sz w:val="24"/>
          <w:highlight w:val="none"/>
        </w:rPr>
      </w:pPr>
      <w:r>
        <w:rPr>
          <w:rFonts w:hint="eastAsia" w:ascii="宋体" w:hAnsi="宋体"/>
          <w:color w:val="auto"/>
          <w:spacing w:val="-6"/>
          <w:sz w:val="24"/>
          <w:highlight w:val="none"/>
        </w:rPr>
        <w:t>本次采购采用竞争性磋商方式进行。</w:t>
      </w:r>
    </w:p>
    <w:p>
      <w:pPr>
        <w:pStyle w:val="4"/>
        <w:spacing w:line="360" w:lineRule="auto"/>
        <w:rPr>
          <w:rFonts w:hint="eastAsia"/>
          <w:color w:val="auto"/>
          <w:highlight w:val="none"/>
        </w:rPr>
      </w:pPr>
      <w:bookmarkStart w:id="50" w:name="_Toc20812"/>
      <w:r>
        <w:rPr>
          <w:rFonts w:hint="eastAsia"/>
          <w:color w:val="auto"/>
          <w:highlight w:val="none"/>
        </w:rPr>
        <w:t>四、竞争性磋商委托</w:t>
      </w:r>
      <w:bookmarkEnd w:id="50"/>
    </w:p>
    <w:p>
      <w:pPr>
        <w:spacing w:line="360" w:lineRule="auto"/>
        <w:ind w:firstLine="456" w:firstLineChars="200"/>
        <w:jc w:val="left"/>
        <w:rPr>
          <w:rFonts w:hint="eastAsia" w:ascii="宋体" w:hAnsi="宋体"/>
          <w:color w:val="auto"/>
          <w:spacing w:val="-6"/>
          <w:sz w:val="24"/>
          <w:highlight w:val="none"/>
        </w:rPr>
      </w:pPr>
      <w:r>
        <w:rPr>
          <w:rFonts w:hint="eastAsia" w:ascii="宋体" w:hAnsi="宋体"/>
          <w:color w:val="auto"/>
          <w:spacing w:val="-6"/>
          <w:sz w:val="24"/>
          <w:highlight w:val="none"/>
        </w:rPr>
        <w:t>磋商响应供应商授权代表须携带有效身份证件。如磋商响应供应商授权代表不是法定代表人，须有附有法定代表人资格证明书的法定代表人授权委托书（正本用原件，副本用复印件，详见响应文件格式）。</w:t>
      </w:r>
    </w:p>
    <w:p>
      <w:pPr>
        <w:pStyle w:val="4"/>
        <w:spacing w:line="360" w:lineRule="auto"/>
        <w:rPr>
          <w:rFonts w:hint="eastAsia"/>
          <w:color w:val="auto"/>
          <w:highlight w:val="none"/>
        </w:rPr>
      </w:pPr>
      <w:bookmarkStart w:id="51" w:name="_Toc7962"/>
      <w:r>
        <w:rPr>
          <w:rFonts w:hint="eastAsia"/>
          <w:color w:val="auto"/>
          <w:highlight w:val="none"/>
        </w:rPr>
        <w:t>五、特别说明</w:t>
      </w:r>
      <w:bookmarkEnd w:id="51"/>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★1</w:t>
      </w:r>
      <w:r>
        <w:rPr>
          <w:rFonts w:hAnsi="宋体"/>
          <w:color w:val="auto"/>
          <w:spacing w:val="-6"/>
          <w:sz w:val="24"/>
          <w:szCs w:val="24"/>
          <w:highlight w:val="none"/>
        </w:rPr>
        <w:t>.磋商响应供应商磋商响应所使用的资格、信誉、荣誉、业绩与企业认证必须为本法人所拥有。磋商响应供应商磋商响应所使用的采购项目实施人员必须为本法人员工（或必须为本法人或控股公司正式员工）。</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★2</w:t>
      </w:r>
      <w:r>
        <w:rPr>
          <w:rFonts w:hAnsi="宋体"/>
          <w:color w:val="auto"/>
          <w:spacing w:val="-6"/>
          <w:sz w:val="24"/>
          <w:szCs w:val="24"/>
          <w:highlight w:val="none"/>
        </w:rPr>
        <w:t>.磋商响应供应商应仔细阅读磋商文件的所有内容，按照磋商文件的要求</w:t>
      </w:r>
      <w:r>
        <w:rPr>
          <w:rFonts w:hint="eastAsia" w:hAnsi="宋体"/>
          <w:color w:val="auto"/>
          <w:spacing w:val="-6"/>
          <w:sz w:val="24"/>
          <w:szCs w:val="24"/>
          <w:highlight w:val="none"/>
        </w:rPr>
        <w:t>编制</w:t>
      </w:r>
      <w:r>
        <w:rPr>
          <w:rFonts w:hAnsi="宋体"/>
          <w:color w:val="auto"/>
          <w:spacing w:val="-6"/>
          <w:sz w:val="24"/>
          <w:szCs w:val="24"/>
          <w:highlight w:val="none"/>
        </w:rPr>
        <w:t>响应文件，</w:t>
      </w:r>
      <w:r>
        <w:rPr>
          <w:rFonts w:hint="eastAsia" w:hAnsi="宋体"/>
          <w:color w:val="auto"/>
          <w:spacing w:val="-6"/>
          <w:sz w:val="24"/>
          <w:szCs w:val="24"/>
          <w:highlight w:val="none"/>
        </w:rPr>
        <w:t>并对其提交的响应文件的真实性、合法性承担法律责任</w:t>
      </w:r>
      <w:r>
        <w:rPr>
          <w:rFonts w:hAnsi="宋体"/>
          <w:color w:val="auto"/>
          <w:spacing w:val="-6"/>
          <w:sz w:val="24"/>
          <w:szCs w:val="24"/>
          <w:highlight w:val="none"/>
        </w:rPr>
        <w:t>。</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★3</w:t>
      </w:r>
      <w:r>
        <w:rPr>
          <w:rFonts w:hAnsi="宋体"/>
          <w:color w:val="auto"/>
          <w:spacing w:val="-6"/>
          <w:sz w:val="24"/>
          <w:szCs w:val="24"/>
          <w:highlight w:val="none"/>
        </w:rPr>
        <w:t>.磋商响应供应商在磋商响应活动中提供任何虚假材料，其磋商响应无效，并报监管部门查处；</w:t>
      </w:r>
      <w:r>
        <w:rPr>
          <w:rFonts w:hint="eastAsia" w:hAnsi="宋体"/>
          <w:color w:val="auto"/>
          <w:spacing w:val="-6"/>
          <w:sz w:val="24"/>
          <w:szCs w:val="24"/>
          <w:highlight w:val="none"/>
        </w:rPr>
        <w:t>成交</w:t>
      </w:r>
      <w:r>
        <w:rPr>
          <w:rFonts w:hAnsi="宋体"/>
          <w:color w:val="auto"/>
          <w:spacing w:val="-6"/>
          <w:sz w:val="24"/>
          <w:szCs w:val="24"/>
          <w:highlight w:val="none"/>
        </w:rPr>
        <w:t>后发现的</w:t>
      </w:r>
      <w:r>
        <w:rPr>
          <w:rFonts w:hint="eastAsia" w:hAnsi="宋体"/>
          <w:color w:val="auto"/>
          <w:spacing w:val="-6"/>
          <w:sz w:val="24"/>
          <w:szCs w:val="24"/>
          <w:highlight w:val="none"/>
        </w:rPr>
        <w:t>，成交供应商</w:t>
      </w:r>
      <w:r>
        <w:rPr>
          <w:rFonts w:hAnsi="宋体"/>
          <w:color w:val="auto"/>
          <w:spacing w:val="-6"/>
          <w:sz w:val="24"/>
          <w:szCs w:val="24"/>
          <w:highlight w:val="none"/>
        </w:rPr>
        <w:t>须依照《中华人民共和国消费者权益保护法》第49条之规定双倍赔偿采购人，且民事赔偿并不免除违法磋商响应供应商的行政与刑事责任。</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★4</w:t>
      </w:r>
      <w:r>
        <w:rPr>
          <w:rFonts w:hAnsi="宋体"/>
          <w:color w:val="auto"/>
          <w:spacing w:val="-6"/>
          <w:sz w:val="24"/>
          <w:szCs w:val="24"/>
          <w:highlight w:val="none"/>
        </w:rPr>
        <w:t>.</w:t>
      </w:r>
      <w:r>
        <w:rPr>
          <w:rFonts w:hint="eastAsia" w:hAnsi="宋体"/>
          <w:color w:val="auto"/>
          <w:spacing w:val="-6"/>
          <w:sz w:val="24"/>
          <w:szCs w:val="24"/>
          <w:highlight w:val="none"/>
        </w:rPr>
        <w:t>单位负责人为同一人或者存在直接控股、管理关系的不同供应商，不得参加同一合同项下的政府采购活动。</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★5.为采购项目提供整体设计、规范编制或者项目管理、监理、检测等服务的供应商，不得再参加该采购项目的其他采购活动。</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6关于要求原厂商授权的说明</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①招标文件中要求是提供原厂商授权的，建议在提交响应文件时一并提供。若提供不了原厂商授权的，可在预中标公告公示后再向招标人提供原厂商授权。</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②原厂商无故不授权的，针对验收、支付和违约再做响应的承诺。</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7.采购人、采购代理机构可以视采购项目的具体情况，组织供应商进行现场考察或召开磋商前答疑会，但不得单独或分别组织只有一个供应商参加的现场考察和答疑会。</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8.浙财采监[2013]24号《关于规范政府采购供应商资格设定及资格审查的通知》第九条规定：</w:t>
      </w:r>
      <w:r>
        <w:rPr>
          <w:rFonts w:hAnsi="宋体"/>
          <w:color w:val="auto"/>
          <w:spacing w:val="-6"/>
          <w:sz w:val="24"/>
          <w:szCs w:val="24"/>
          <w:highlight w:val="none"/>
        </w:rPr>
        <w:t>如多家供应商提供相同品牌相同型号的产品参加同一政府采购项目</w:t>
      </w:r>
      <w:r>
        <w:rPr>
          <w:rFonts w:hint="eastAsia" w:hAnsi="宋体"/>
          <w:color w:val="auto"/>
          <w:spacing w:val="-6"/>
          <w:sz w:val="24"/>
          <w:szCs w:val="24"/>
          <w:highlight w:val="none"/>
        </w:rPr>
        <w:t>响应</w:t>
      </w:r>
      <w:r>
        <w:rPr>
          <w:rFonts w:hAnsi="宋体"/>
          <w:color w:val="auto"/>
          <w:spacing w:val="-6"/>
          <w:sz w:val="24"/>
          <w:szCs w:val="24"/>
          <w:highlight w:val="none"/>
        </w:rPr>
        <w:t>的，应当按一家供应商认定。评审时，应取其中通过资格审查后的</w:t>
      </w:r>
      <w:r>
        <w:rPr>
          <w:rFonts w:hint="eastAsia" w:hAnsi="宋体"/>
          <w:color w:val="auto"/>
          <w:spacing w:val="-6"/>
          <w:sz w:val="24"/>
          <w:szCs w:val="24"/>
          <w:highlight w:val="none"/>
        </w:rPr>
        <w:t>最后磋商</w:t>
      </w:r>
      <w:r>
        <w:rPr>
          <w:rFonts w:hAnsi="宋体"/>
          <w:color w:val="auto"/>
          <w:spacing w:val="-6"/>
          <w:sz w:val="24"/>
          <w:szCs w:val="24"/>
          <w:highlight w:val="none"/>
        </w:rPr>
        <w:t>报价最低一家为有效供应商；</w:t>
      </w:r>
      <w:r>
        <w:rPr>
          <w:rFonts w:hint="eastAsia" w:hAnsi="宋体"/>
          <w:color w:val="auto"/>
          <w:spacing w:val="-6"/>
          <w:sz w:val="24"/>
          <w:szCs w:val="24"/>
          <w:highlight w:val="none"/>
        </w:rPr>
        <w:t>最后</w:t>
      </w:r>
      <w:r>
        <w:rPr>
          <w:rFonts w:hAnsi="宋体"/>
          <w:color w:val="auto"/>
          <w:spacing w:val="-6"/>
          <w:sz w:val="24"/>
          <w:szCs w:val="24"/>
          <w:highlight w:val="none"/>
        </w:rPr>
        <w:t>磋商报价相同时，取技术分最高者；均相同时，由</w:t>
      </w:r>
      <w:r>
        <w:rPr>
          <w:rFonts w:hint="eastAsia" w:hAnsi="宋体"/>
          <w:color w:val="auto"/>
          <w:spacing w:val="-6"/>
          <w:sz w:val="24"/>
          <w:szCs w:val="24"/>
          <w:highlight w:val="none"/>
        </w:rPr>
        <w:t>磋商</w:t>
      </w:r>
      <w:r>
        <w:rPr>
          <w:rFonts w:hAnsi="宋体"/>
          <w:color w:val="auto"/>
          <w:spacing w:val="-6"/>
          <w:sz w:val="24"/>
          <w:szCs w:val="24"/>
          <w:highlight w:val="none"/>
        </w:rPr>
        <w:t>小组集体决定。</w:t>
      </w:r>
    </w:p>
    <w:p>
      <w:pPr>
        <w:pStyle w:val="7"/>
        <w:spacing w:line="360" w:lineRule="auto"/>
        <w:ind w:firstLine="456" w:firstLineChars="200"/>
        <w:jc w:val="left"/>
        <w:rPr>
          <w:rFonts w:hAnsi="宋体"/>
          <w:color w:val="auto"/>
          <w:spacing w:val="-6"/>
          <w:sz w:val="24"/>
          <w:szCs w:val="24"/>
          <w:highlight w:val="none"/>
        </w:rPr>
      </w:pPr>
      <w:r>
        <w:rPr>
          <w:rFonts w:hAnsi="宋体"/>
          <w:color w:val="auto"/>
          <w:spacing w:val="-6"/>
          <w:sz w:val="24"/>
          <w:szCs w:val="24"/>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9.按照《浙江省政府采购供应商注册及诚信管理暂行办法》（浙财采监字［2009］28号）的相关规定，</w:t>
      </w:r>
      <w:r>
        <w:rPr>
          <w:rFonts w:hAnsi="宋体"/>
          <w:color w:val="auto"/>
          <w:spacing w:val="-6"/>
          <w:sz w:val="24"/>
          <w:szCs w:val="24"/>
          <w:highlight w:val="none"/>
        </w:rPr>
        <w:t>未注册入库供应商参加政府采购活动时，应按</w:t>
      </w:r>
      <w:r>
        <w:rPr>
          <w:rFonts w:hint="eastAsia" w:hAnsi="宋体"/>
          <w:color w:val="auto"/>
          <w:spacing w:val="-6"/>
          <w:sz w:val="24"/>
          <w:szCs w:val="24"/>
          <w:highlight w:val="none"/>
        </w:rPr>
        <w:t>磋商</w:t>
      </w:r>
      <w:r>
        <w:rPr>
          <w:rFonts w:hAnsi="宋体"/>
          <w:color w:val="auto"/>
          <w:spacing w:val="-6"/>
          <w:sz w:val="24"/>
          <w:szCs w:val="24"/>
          <w:highlight w:val="none"/>
        </w:rPr>
        <w:t>文件要求提交相应的资格证明材料，按规定接受</w:t>
      </w:r>
      <w:r>
        <w:rPr>
          <w:rFonts w:hint="eastAsia" w:hAnsi="宋体"/>
          <w:color w:val="auto"/>
          <w:spacing w:val="-6"/>
          <w:sz w:val="24"/>
          <w:szCs w:val="24"/>
          <w:highlight w:val="none"/>
        </w:rPr>
        <w:t>采购代理机构</w:t>
      </w:r>
      <w:r>
        <w:rPr>
          <w:rFonts w:hAnsi="宋体"/>
          <w:color w:val="auto"/>
          <w:spacing w:val="-6"/>
          <w:sz w:val="24"/>
          <w:szCs w:val="24"/>
          <w:highlight w:val="none"/>
        </w:rPr>
        <w:t>或其委托的评审专家的资格审查和其他评审。一旦被确定为</w:t>
      </w:r>
      <w:r>
        <w:rPr>
          <w:rFonts w:hint="eastAsia" w:hAnsi="宋体"/>
          <w:color w:val="auto"/>
          <w:spacing w:val="-6"/>
          <w:sz w:val="24"/>
          <w:szCs w:val="24"/>
          <w:highlight w:val="none"/>
        </w:rPr>
        <w:t>成交</w:t>
      </w:r>
      <w:r>
        <w:rPr>
          <w:rFonts w:hAnsi="宋体"/>
          <w:color w:val="auto"/>
          <w:spacing w:val="-6"/>
          <w:sz w:val="24"/>
          <w:szCs w:val="24"/>
          <w:highlight w:val="none"/>
        </w:rPr>
        <w:t>候选供应商的，应在</w:t>
      </w:r>
      <w:r>
        <w:rPr>
          <w:rFonts w:hint="eastAsia" w:hAnsi="宋体"/>
          <w:color w:val="auto"/>
          <w:spacing w:val="-6"/>
          <w:sz w:val="24"/>
          <w:szCs w:val="24"/>
          <w:highlight w:val="none"/>
        </w:rPr>
        <w:t>成交</w:t>
      </w:r>
      <w:r>
        <w:rPr>
          <w:rFonts w:hAnsi="宋体"/>
          <w:color w:val="auto"/>
          <w:spacing w:val="-6"/>
          <w:sz w:val="24"/>
          <w:szCs w:val="24"/>
          <w:highlight w:val="none"/>
        </w:rPr>
        <w:t>通知书发出前的3个工作日内按本办法的规定进行注册申请，否则，</w:t>
      </w:r>
      <w:r>
        <w:rPr>
          <w:rFonts w:hint="eastAsia" w:hAnsi="宋体"/>
          <w:color w:val="auto"/>
          <w:spacing w:val="-6"/>
          <w:sz w:val="24"/>
          <w:szCs w:val="24"/>
          <w:highlight w:val="none"/>
        </w:rPr>
        <w:t>采购代理机构</w:t>
      </w:r>
      <w:r>
        <w:rPr>
          <w:rFonts w:hAnsi="宋体"/>
          <w:color w:val="auto"/>
          <w:spacing w:val="-6"/>
          <w:sz w:val="24"/>
          <w:szCs w:val="24"/>
          <w:highlight w:val="none"/>
        </w:rPr>
        <w:t>可以拒绝向其发出</w:t>
      </w:r>
      <w:r>
        <w:rPr>
          <w:rFonts w:hint="eastAsia" w:hAnsi="宋体"/>
          <w:color w:val="auto"/>
          <w:spacing w:val="-6"/>
          <w:sz w:val="24"/>
          <w:szCs w:val="24"/>
          <w:highlight w:val="none"/>
        </w:rPr>
        <w:t>成交</w:t>
      </w:r>
      <w:r>
        <w:rPr>
          <w:rFonts w:hAnsi="宋体"/>
          <w:color w:val="auto"/>
          <w:spacing w:val="-6"/>
          <w:sz w:val="24"/>
          <w:szCs w:val="24"/>
          <w:highlight w:val="none"/>
        </w:rPr>
        <w:t>通知书，并直接推荐排名次之的供应商为</w:t>
      </w:r>
      <w:r>
        <w:rPr>
          <w:rFonts w:hint="eastAsia" w:hAnsi="宋体"/>
          <w:color w:val="auto"/>
          <w:spacing w:val="-6"/>
          <w:sz w:val="24"/>
          <w:szCs w:val="24"/>
          <w:highlight w:val="none"/>
        </w:rPr>
        <w:t>成交</w:t>
      </w:r>
      <w:r>
        <w:rPr>
          <w:rFonts w:hAnsi="宋体"/>
          <w:color w:val="auto"/>
          <w:spacing w:val="-6"/>
          <w:sz w:val="24"/>
          <w:szCs w:val="24"/>
          <w:highlight w:val="none"/>
        </w:rPr>
        <w:t>候选供应商，依次类推。</w:t>
      </w:r>
    </w:p>
    <w:p>
      <w:pPr>
        <w:pStyle w:val="4"/>
        <w:rPr>
          <w:color w:val="auto"/>
          <w:highlight w:val="none"/>
        </w:rPr>
      </w:pPr>
      <w:bookmarkStart w:id="52" w:name="_Toc26162"/>
      <w:r>
        <w:rPr>
          <w:rFonts w:hint="eastAsia"/>
          <w:color w:val="auto"/>
          <w:highlight w:val="none"/>
        </w:rPr>
        <w:t>六、</w:t>
      </w:r>
      <w:r>
        <w:rPr>
          <w:color w:val="auto"/>
          <w:highlight w:val="none"/>
        </w:rPr>
        <w:t>质疑和投诉</w:t>
      </w:r>
      <w:bookmarkEnd w:id="52"/>
    </w:p>
    <w:p>
      <w:pPr>
        <w:pStyle w:val="7"/>
        <w:spacing w:line="360" w:lineRule="auto"/>
        <w:ind w:firstLine="456" w:firstLineChars="200"/>
        <w:jc w:val="left"/>
        <w:rPr>
          <w:rFonts w:hAnsi="宋体"/>
          <w:color w:val="auto"/>
          <w:spacing w:val="-6"/>
          <w:sz w:val="24"/>
          <w:szCs w:val="24"/>
          <w:highlight w:val="none"/>
        </w:rPr>
      </w:pPr>
      <w:r>
        <w:rPr>
          <w:rFonts w:hAnsi="宋体"/>
          <w:color w:val="auto"/>
          <w:spacing w:val="-6"/>
          <w:sz w:val="24"/>
          <w:szCs w:val="24"/>
          <w:highlight w:val="none"/>
        </w:rPr>
        <w:t>1</w:t>
      </w:r>
      <w:r>
        <w:rPr>
          <w:rFonts w:hint="eastAsia" w:hAnsi="宋体"/>
          <w:color w:val="auto"/>
          <w:spacing w:val="-6"/>
          <w:sz w:val="24"/>
          <w:szCs w:val="24"/>
          <w:highlight w:val="none"/>
        </w:rPr>
        <w:t>.</w:t>
      </w:r>
      <w:r>
        <w:rPr>
          <w:rFonts w:hAnsi="宋体"/>
          <w:color w:val="auto"/>
          <w:spacing w:val="-6"/>
          <w:sz w:val="24"/>
          <w:szCs w:val="24"/>
          <w:highlight w:val="none"/>
        </w:rPr>
        <w:t>磋商响应供应商认为磋商文件、</w:t>
      </w:r>
      <w:r>
        <w:rPr>
          <w:rFonts w:hint="eastAsia" w:hAnsi="宋体"/>
          <w:color w:val="auto"/>
          <w:spacing w:val="-6"/>
          <w:sz w:val="24"/>
          <w:szCs w:val="24"/>
          <w:highlight w:val="none"/>
        </w:rPr>
        <w:t>磋商</w:t>
      </w:r>
      <w:r>
        <w:rPr>
          <w:rFonts w:hAnsi="宋体"/>
          <w:color w:val="auto"/>
          <w:spacing w:val="-6"/>
          <w:sz w:val="24"/>
          <w:szCs w:val="24"/>
          <w:highlight w:val="none"/>
        </w:rPr>
        <w:t>过程</w:t>
      </w:r>
      <w:r>
        <w:rPr>
          <w:rFonts w:hint="eastAsia" w:hAnsi="宋体"/>
          <w:color w:val="auto"/>
          <w:spacing w:val="-6"/>
          <w:sz w:val="24"/>
          <w:szCs w:val="24"/>
          <w:highlight w:val="none"/>
        </w:rPr>
        <w:t>或成交</w:t>
      </w:r>
      <w:r>
        <w:rPr>
          <w:rFonts w:hAnsi="宋体"/>
          <w:color w:val="auto"/>
          <w:spacing w:val="-6"/>
          <w:sz w:val="24"/>
          <w:szCs w:val="24"/>
          <w:highlight w:val="none"/>
        </w:rPr>
        <w:t>结果使自己的合法权益受到损害的，应当在知道或者应知其权益受到损害之日起七个工作日内，以书面形式向</w:t>
      </w:r>
      <w:r>
        <w:rPr>
          <w:rFonts w:hint="eastAsia" w:hAnsi="宋体"/>
          <w:color w:val="auto"/>
          <w:spacing w:val="-6"/>
          <w:sz w:val="24"/>
          <w:szCs w:val="24"/>
          <w:highlight w:val="none"/>
        </w:rPr>
        <w:t>采购代理机构</w:t>
      </w:r>
      <w:r>
        <w:rPr>
          <w:rFonts w:hAnsi="宋体"/>
          <w:color w:val="auto"/>
          <w:spacing w:val="-6"/>
          <w:sz w:val="24"/>
          <w:szCs w:val="24"/>
          <w:highlight w:val="none"/>
        </w:rPr>
        <w:t>提出质疑。磋商响应供应商对采购人、采购代理机构的质疑答复不满意或者采购人、采购代理机构未在规定时间内作出答复的，可以在答复期满后十五个工作日内向同级</w:t>
      </w:r>
      <w:r>
        <w:rPr>
          <w:rFonts w:hint="eastAsia" w:hAnsi="宋体"/>
          <w:color w:val="auto"/>
          <w:spacing w:val="-6"/>
          <w:sz w:val="24"/>
          <w:szCs w:val="24"/>
          <w:highlight w:val="none"/>
        </w:rPr>
        <w:t>政府</w:t>
      </w:r>
      <w:r>
        <w:rPr>
          <w:rFonts w:hAnsi="宋体"/>
          <w:color w:val="auto"/>
          <w:spacing w:val="-6"/>
          <w:sz w:val="24"/>
          <w:szCs w:val="24"/>
          <w:highlight w:val="none"/>
        </w:rPr>
        <w:t>采购监管部门投诉</w:t>
      </w:r>
      <w:r>
        <w:rPr>
          <w:rFonts w:hint="eastAsia" w:hAnsi="宋体"/>
          <w:color w:val="auto"/>
          <w:spacing w:val="-6"/>
          <w:sz w:val="24"/>
          <w:szCs w:val="24"/>
          <w:highlight w:val="none"/>
        </w:rPr>
        <w:t>。</w:t>
      </w:r>
    </w:p>
    <w:p>
      <w:pPr>
        <w:pStyle w:val="7"/>
        <w:spacing w:line="360" w:lineRule="auto"/>
        <w:ind w:firstLine="456" w:firstLineChars="200"/>
        <w:jc w:val="left"/>
        <w:rPr>
          <w:rFonts w:hint="eastAsia" w:hAnsi="宋体"/>
          <w:color w:val="auto"/>
          <w:spacing w:val="-6"/>
          <w:sz w:val="24"/>
          <w:szCs w:val="24"/>
          <w:highlight w:val="none"/>
        </w:rPr>
      </w:pPr>
      <w:r>
        <w:rPr>
          <w:rFonts w:hint="eastAsia" w:hAnsi="宋体"/>
          <w:color w:val="auto"/>
          <w:spacing w:val="-6"/>
          <w:sz w:val="24"/>
          <w:szCs w:val="24"/>
          <w:highlight w:val="none"/>
        </w:rPr>
        <w:t>2.</w:t>
      </w:r>
      <w:r>
        <w:rPr>
          <w:rFonts w:hAnsi="宋体"/>
          <w:color w:val="auto"/>
          <w:spacing w:val="-6"/>
          <w:sz w:val="24"/>
          <w:szCs w:val="24"/>
          <w:highlight w:val="none"/>
        </w:rPr>
        <w:t>质疑、投诉应当采用书面形式，质疑书、投诉书均应明确阐述磋商文件、</w:t>
      </w:r>
      <w:r>
        <w:rPr>
          <w:rFonts w:hint="eastAsia" w:hAnsi="宋体"/>
          <w:color w:val="auto"/>
          <w:spacing w:val="-6"/>
          <w:sz w:val="24"/>
          <w:szCs w:val="24"/>
          <w:highlight w:val="none"/>
        </w:rPr>
        <w:t>磋商</w:t>
      </w:r>
      <w:r>
        <w:rPr>
          <w:rFonts w:hAnsi="宋体"/>
          <w:color w:val="auto"/>
          <w:spacing w:val="-6"/>
          <w:sz w:val="24"/>
          <w:szCs w:val="24"/>
          <w:highlight w:val="none"/>
        </w:rPr>
        <w:t>过程</w:t>
      </w:r>
      <w:r>
        <w:rPr>
          <w:rFonts w:hint="eastAsia" w:hAnsi="宋体"/>
          <w:color w:val="auto"/>
          <w:spacing w:val="-6"/>
          <w:sz w:val="24"/>
          <w:szCs w:val="24"/>
          <w:highlight w:val="none"/>
        </w:rPr>
        <w:t>或成交</w:t>
      </w:r>
      <w:r>
        <w:rPr>
          <w:rFonts w:hAnsi="宋体"/>
          <w:color w:val="auto"/>
          <w:spacing w:val="-6"/>
          <w:sz w:val="24"/>
          <w:szCs w:val="24"/>
          <w:highlight w:val="none"/>
        </w:rPr>
        <w:t>结果中使自己合法权益受到损害的实质性内容，提供相关事实、依据和证据及其来源或线索，便于有关单位调查、答复和处理</w:t>
      </w:r>
      <w:r>
        <w:rPr>
          <w:rFonts w:hint="eastAsia" w:hAnsi="宋体"/>
          <w:color w:val="auto"/>
          <w:spacing w:val="-6"/>
          <w:sz w:val="24"/>
          <w:szCs w:val="24"/>
          <w:highlight w:val="none"/>
        </w:rPr>
        <w:t>。</w:t>
      </w:r>
    </w:p>
    <w:p>
      <w:pPr>
        <w:pStyle w:val="7"/>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lang w:val="en-US" w:eastAsia="zh-CN"/>
        </w:rPr>
        <w:t>3</w:t>
      </w:r>
      <w:r>
        <w:rPr>
          <w:rFonts w:hint="eastAsia" w:hAnsi="宋体"/>
          <w:spacing w:val="-6"/>
          <w:sz w:val="24"/>
          <w:szCs w:val="24"/>
          <w:highlight w:val="none"/>
        </w:rPr>
        <w:t>.根据《政府采购质疑和投诉办法》第三十七条的规定，投诉人在全国范围</w:t>
      </w:r>
      <w:r>
        <w:rPr>
          <w:rFonts w:hAnsi="宋体"/>
          <w:spacing w:val="-6"/>
          <w:sz w:val="24"/>
          <w:szCs w:val="24"/>
          <w:highlight w:val="none"/>
        </w:rPr>
        <w:t>12</w:t>
      </w:r>
      <w:r>
        <w:rPr>
          <w:rFonts w:hint="eastAsia" w:hAnsi="宋体"/>
          <w:spacing w:val="-6"/>
          <w:sz w:val="24"/>
          <w:szCs w:val="24"/>
          <w:highlight w:val="none"/>
        </w:rPr>
        <w:t>个月内三次以上投诉查无实据的，由财政部门列入不良行为记录名单。</w:t>
      </w:r>
    </w:p>
    <w:p>
      <w:pPr>
        <w:pStyle w:val="7"/>
        <w:spacing w:line="360" w:lineRule="auto"/>
        <w:ind w:firstLine="456" w:firstLineChars="200"/>
        <w:jc w:val="left"/>
        <w:rPr>
          <w:rFonts w:hAnsi="宋体"/>
          <w:spacing w:val="-6"/>
          <w:sz w:val="24"/>
          <w:szCs w:val="24"/>
          <w:highlight w:val="none"/>
        </w:rPr>
      </w:pPr>
      <w:r>
        <w:rPr>
          <w:rFonts w:hint="eastAsia" w:hAnsi="宋体"/>
          <w:spacing w:val="-6"/>
          <w:sz w:val="24"/>
          <w:szCs w:val="24"/>
          <w:highlight w:val="none"/>
        </w:rPr>
        <w:t>投诉人有下列行为之一的，属于虚假、恶意投诉，由财政部门列入不良行为记录名单，禁止其</w:t>
      </w:r>
      <w:r>
        <w:rPr>
          <w:rFonts w:hAnsi="宋体"/>
          <w:spacing w:val="-6"/>
          <w:sz w:val="24"/>
          <w:szCs w:val="24"/>
          <w:highlight w:val="none"/>
        </w:rPr>
        <w:t>1</w:t>
      </w:r>
      <w:r>
        <w:rPr>
          <w:rFonts w:hint="eastAsia" w:hAnsi="宋体"/>
          <w:spacing w:val="-6"/>
          <w:sz w:val="24"/>
          <w:szCs w:val="24"/>
          <w:highlight w:val="none"/>
        </w:rPr>
        <w:t>至</w:t>
      </w:r>
      <w:r>
        <w:rPr>
          <w:rFonts w:hAnsi="宋体"/>
          <w:spacing w:val="-6"/>
          <w:sz w:val="24"/>
          <w:szCs w:val="24"/>
          <w:highlight w:val="none"/>
        </w:rPr>
        <w:t>3</w:t>
      </w:r>
      <w:r>
        <w:rPr>
          <w:rFonts w:hint="eastAsia" w:hAnsi="宋体"/>
          <w:spacing w:val="-6"/>
          <w:sz w:val="24"/>
          <w:szCs w:val="24"/>
          <w:highlight w:val="none"/>
        </w:rPr>
        <w:t>年内参加政府采购活动：</w:t>
      </w:r>
    </w:p>
    <w:p>
      <w:pPr>
        <w:pStyle w:val="7"/>
        <w:spacing w:line="360" w:lineRule="auto"/>
        <w:ind w:firstLine="456" w:firstLineChars="200"/>
        <w:jc w:val="left"/>
        <w:rPr>
          <w:rFonts w:hAnsi="宋体"/>
          <w:spacing w:val="-6"/>
          <w:sz w:val="24"/>
          <w:szCs w:val="24"/>
          <w:highlight w:val="none"/>
        </w:rPr>
      </w:pPr>
      <w:r>
        <w:rPr>
          <w:rFonts w:hAnsi="宋体"/>
          <w:spacing w:val="-6"/>
          <w:sz w:val="24"/>
          <w:szCs w:val="24"/>
          <w:highlight w:val="none"/>
        </w:rPr>
        <w:t> </w:t>
      </w:r>
      <w:r>
        <w:rPr>
          <w:rFonts w:hint="eastAsia" w:hAnsi="宋体"/>
          <w:spacing w:val="-6"/>
          <w:sz w:val="24"/>
          <w:szCs w:val="24"/>
          <w:highlight w:val="none"/>
        </w:rPr>
        <w:t>（一）捏造事实</w:t>
      </w:r>
      <w:r>
        <w:rPr>
          <w:rFonts w:hAnsi="宋体"/>
          <w:spacing w:val="-6"/>
          <w:sz w:val="24"/>
          <w:szCs w:val="24"/>
          <w:highlight w:val="none"/>
        </w:rPr>
        <w:t>;</w:t>
      </w:r>
    </w:p>
    <w:p>
      <w:pPr>
        <w:pStyle w:val="7"/>
        <w:spacing w:line="360" w:lineRule="auto"/>
        <w:ind w:firstLine="456" w:firstLineChars="200"/>
        <w:jc w:val="left"/>
        <w:rPr>
          <w:rFonts w:hAnsi="宋体"/>
          <w:spacing w:val="-6"/>
          <w:sz w:val="24"/>
          <w:szCs w:val="24"/>
          <w:highlight w:val="none"/>
        </w:rPr>
      </w:pPr>
      <w:r>
        <w:rPr>
          <w:rFonts w:hAnsi="宋体"/>
          <w:spacing w:val="-6"/>
          <w:sz w:val="24"/>
          <w:szCs w:val="24"/>
          <w:highlight w:val="none"/>
        </w:rPr>
        <w:t> </w:t>
      </w:r>
      <w:r>
        <w:rPr>
          <w:rFonts w:hint="eastAsia" w:hAnsi="宋体"/>
          <w:spacing w:val="-6"/>
          <w:sz w:val="24"/>
          <w:szCs w:val="24"/>
          <w:highlight w:val="none"/>
        </w:rPr>
        <w:t>（二）提供虚假材料</w:t>
      </w:r>
      <w:r>
        <w:rPr>
          <w:rFonts w:hAnsi="宋体"/>
          <w:spacing w:val="-6"/>
          <w:sz w:val="24"/>
          <w:szCs w:val="24"/>
          <w:highlight w:val="none"/>
        </w:rPr>
        <w:t>;</w:t>
      </w:r>
    </w:p>
    <w:p>
      <w:pPr>
        <w:pStyle w:val="7"/>
        <w:spacing w:line="360" w:lineRule="auto"/>
        <w:ind w:firstLine="456" w:firstLineChars="200"/>
        <w:jc w:val="left"/>
        <w:rPr>
          <w:rFonts w:hAnsi="宋体"/>
          <w:spacing w:val="-6"/>
          <w:sz w:val="24"/>
          <w:szCs w:val="24"/>
          <w:highlight w:val="none"/>
        </w:rPr>
      </w:pPr>
      <w:r>
        <w:rPr>
          <w:rFonts w:hAnsi="宋体"/>
          <w:spacing w:val="-6"/>
          <w:sz w:val="24"/>
          <w:szCs w:val="24"/>
          <w:highlight w:val="none"/>
        </w:rPr>
        <w:t> </w:t>
      </w:r>
      <w:r>
        <w:rPr>
          <w:rFonts w:hint="eastAsia" w:hAnsi="宋体"/>
          <w:spacing w:val="-6"/>
          <w:sz w:val="24"/>
          <w:szCs w:val="24"/>
          <w:highlight w:val="none"/>
        </w:rPr>
        <w:t>（三）以非法手段取得证明材料。证据来源的合法性存在明显疑问，投诉人无法证明其取得方式合法的，视为以非法手段取得证明材料。</w:t>
      </w:r>
    </w:p>
    <w:p>
      <w:pPr>
        <w:pStyle w:val="7"/>
        <w:spacing w:line="360" w:lineRule="auto"/>
        <w:ind w:firstLine="456" w:firstLineChars="200"/>
        <w:jc w:val="left"/>
        <w:rPr>
          <w:rFonts w:hint="eastAsia" w:hAnsi="宋体" w:eastAsiaTheme="minorEastAsia"/>
          <w:color w:val="auto"/>
          <w:spacing w:val="-6"/>
          <w:sz w:val="24"/>
          <w:szCs w:val="24"/>
          <w:highlight w:val="none"/>
          <w:lang w:val="en-US" w:eastAsia="zh-CN"/>
        </w:rPr>
      </w:pPr>
    </w:p>
    <w:p>
      <w:pPr>
        <w:rPr>
          <w:color w:val="auto"/>
          <w:highlight w:val="none"/>
        </w:rPr>
      </w:pPr>
      <w:bookmarkStart w:id="53" w:name="_Toc13267"/>
      <w:r>
        <w:rPr>
          <w:rFonts w:hint="eastAsia"/>
          <w:color w:val="auto"/>
          <w:highlight w:val="none"/>
        </w:rPr>
        <w:br w:type="page"/>
      </w:r>
    </w:p>
    <w:p>
      <w:pPr>
        <w:pStyle w:val="3"/>
        <w:jc w:val="center"/>
        <w:rPr>
          <w:rFonts w:hAnsi="宋体"/>
          <w:color w:val="auto"/>
          <w:spacing w:val="-6"/>
          <w:sz w:val="32"/>
          <w:highlight w:val="none"/>
        </w:rPr>
      </w:pPr>
      <w:bookmarkStart w:id="54" w:name="_Toc19482"/>
      <w:r>
        <w:rPr>
          <w:rFonts w:hint="eastAsia" w:hAnsi="宋体"/>
          <w:color w:val="auto"/>
          <w:spacing w:val="-6"/>
          <w:sz w:val="32"/>
          <w:highlight w:val="none"/>
        </w:rPr>
        <w:t>二、磋商文件</w:t>
      </w:r>
      <w:bookmarkEnd w:id="53"/>
      <w:bookmarkEnd w:id="54"/>
    </w:p>
    <w:p>
      <w:pPr>
        <w:pStyle w:val="4"/>
        <w:rPr>
          <w:color w:val="auto"/>
          <w:highlight w:val="none"/>
        </w:rPr>
      </w:pPr>
      <w:bookmarkStart w:id="55" w:name="_Toc1253"/>
      <w:r>
        <w:rPr>
          <w:rFonts w:hint="eastAsia"/>
          <w:color w:val="auto"/>
          <w:highlight w:val="none"/>
        </w:rPr>
        <w:t>一、磋商文件的构成</w:t>
      </w:r>
      <w:bookmarkEnd w:id="55"/>
    </w:p>
    <w:p>
      <w:pPr>
        <w:spacing w:line="288" w:lineRule="auto"/>
        <w:ind w:firstLine="456" w:firstLineChars="200"/>
        <w:jc w:val="left"/>
        <w:rPr>
          <w:rFonts w:ascii="宋体" w:hAnsi="宋体"/>
          <w:bCs/>
          <w:color w:val="auto"/>
          <w:spacing w:val="-6"/>
          <w:sz w:val="24"/>
          <w:highlight w:val="none"/>
        </w:rPr>
      </w:pPr>
      <w:r>
        <w:rPr>
          <w:rFonts w:hint="eastAsia" w:ascii="宋体" w:hAnsi="宋体"/>
          <w:bCs/>
          <w:color w:val="auto"/>
          <w:spacing w:val="-6"/>
          <w:sz w:val="24"/>
          <w:highlight w:val="none"/>
        </w:rPr>
        <w:t>本磋商文件由以下部份组成：</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1.竞争性磋商采购公告</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2.磋商响应供应商须知</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3.竞争性磋商采购需求</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4.评审办法及评分标准</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5.合同主要条款</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6.响应文件格式</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7.本项目磋商文件的澄清、答复、修改、补充的内容</w:t>
      </w:r>
    </w:p>
    <w:p>
      <w:pPr>
        <w:pStyle w:val="4"/>
        <w:rPr>
          <w:color w:val="auto"/>
          <w:highlight w:val="none"/>
        </w:rPr>
      </w:pPr>
      <w:bookmarkStart w:id="56" w:name="_Toc15296"/>
      <w:r>
        <w:rPr>
          <w:rFonts w:hint="eastAsia"/>
          <w:color w:val="auto"/>
          <w:highlight w:val="none"/>
        </w:rPr>
        <w:t>二、磋商响应供应商的风险</w:t>
      </w:r>
      <w:bookmarkEnd w:id="56"/>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磋商响应供应商没有按照磋商文件要求提供全部资料，或者磋商响应供应商没有对磋商文件在各方面作出实质性响应是磋商响应供应商的风险，并可能导致其磋商响应被拒绝。</w:t>
      </w:r>
    </w:p>
    <w:p>
      <w:pPr>
        <w:pStyle w:val="4"/>
        <w:rPr>
          <w:color w:val="auto"/>
          <w:highlight w:val="none"/>
        </w:rPr>
      </w:pPr>
      <w:bookmarkStart w:id="57" w:name="_Toc20782"/>
      <w:r>
        <w:rPr>
          <w:rFonts w:hint="eastAsia"/>
          <w:color w:val="auto"/>
          <w:highlight w:val="none"/>
        </w:rPr>
        <w:t>三、磋商文件的澄清与修改</w:t>
      </w:r>
      <w:bookmarkEnd w:id="57"/>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2.磋商文件的修改将以书面形式通知所有购买磋商文件的磋商响应供应商，并对其具有约束力。磋商响应供应商在收到上述通知后，应立即向采购人、采购代理机构回函确认。若无书面回函确认，视同磋商响应供应商已收到磋商文件修改的通知，并受其约束。</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3.磋商文件澄清、答复、修改、补充的内容为磋商文件的组成部分。当磋商文件与磋商文件的答复、澄清、修改、补充通知就同一内容的表述不一致时，以最后发出的书面形式文件为准。</w:t>
      </w:r>
    </w:p>
    <w:p>
      <w:pPr>
        <w:pStyle w:val="7"/>
        <w:spacing w:line="360" w:lineRule="auto"/>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4.磋商文件的澄清、答复、修改或补充都应该通过本采购代理机构以法定形式发布，采购人非通过本机构，不得擅自澄清、答复、修改或补充磋商文件。</w:t>
      </w:r>
    </w:p>
    <w:p>
      <w:pPr>
        <w:pStyle w:val="3"/>
        <w:jc w:val="center"/>
        <w:rPr>
          <w:rFonts w:hAnsi="宋体"/>
          <w:color w:val="auto"/>
          <w:spacing w:val="-6"/>
          <w:sz w:val="32"/>
          <w:highlight w:val="none"/>
        </w:rPr>
      </w:pPr>
      <w:r>
        <w:rPr>
          <w:rFonts w:hAnsi="宋体"/>
          <w:color w:val="auto"/>
          <w:spacing w:val="-6"/>
          <w:sz w:val="21"/>
          <w:szCs w:val="21"/>
          <w:highlight w:val="none"/>
        </w:rPr>
        <w:br w:type="page"/>
      </w:r>
      <w:bookmarkStart w:id="58" w:name="_Toc31317"/>
      <w:bookmarkStart w:id="59" w:name="_Toc11250"/>
      <w:r>
        <w:rPr>
          <w:rFonts w:hint="eastAsia" w:hAnsi="宋体"/>
          <w:color w:val="auto"/>
          <w:spacing w:val="-6"/>
          <w:sz w:val="32"/>
          <w:highlight w:val="none"/>
        </w:rPr>
        <w:t>三、</w:t>
      </w:r>
      <w:r>
        <w:rPr>
          <w:rFonts w:hAnsi="宋体"/>
          <w:color w:val="auto"/>
          <w:spacing w:val="-6"/>
          <w:sz w:val="32"/>
          <w:highlight w:val="none"/>
        </w:rPr>
        <w:t>响应文件的编制</w:t>
      </w:r>
      <w:bookmarkEnd w:id="58"/>
      <w:bookmarkEnd w:id="59"/>
    </w:p>
    <w:p>
      <w:pPr>
        <w:pStyle w:val="4"/>
        <w:spacing w:line="440" w:lineRule="exact"/>
        <w:rPr>
          <w:color w:val="auto"/>
          <w:highlight w:val="none"/>
        </w:rPr>
      </w:pPr>
      <w:bookmarkStart w:id="60" w:name="_Toc15416"/>
      <w:r>
        <w:rPr>
          <w:rFonts w:hint="eastAsia"/>
          <w:color w:val="auto"/>
          <w:highlight w:val="none"/>
        </w:rPr>
        <w:t>一、响应文件的组成</w:t>
      </w:r>
      <w:bookmarkEnd w:id="60"/>
    </w:p>
    <w:p>
      <w:pPr>
        <w:pStyle w:val="7"/>
        <w:spacing w:line="440" w:lineRule="exact"/>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响应文件由</w:t>
      </w:r>
      <w:r>
        <w:rPr>
          <w:rFonts w:hint="eastAsia" w:hAnsi="宋体"/>
          <w:b/>
          <w:bCs/>
          <w:color w:val="auto"/>
          <w:spacing w:val="-6"/>
          <w:sz w:val="24"/>
          <w:szCs w:val="24"/>
          <w:highlight w:val="none"/>
        </w:rPr>
        <w:t>资格证明文件和</w:t>
      </w:r>
      <w:r>
        <w:rPr>
          <w:rFonts w:hint="eastAsia" w:hAnsi="宋体"/>
          <w:b/>
          <w:color w:val="auto"/>
          <w:spacing w:val="-6"/>
          <w:sz w:val="24"/>
          <w:szCs w:val="24"/>
          <w:highlight w:val="none"/>
        </w:rPr>
        <w:t>报价、商务技术文件</w:t>
      </w:r>
      <w:r>
        <w:rPr>
          <w:rFonts w:hint="eastAsia" w:hAnsi="宋体"/>
          <w:color w:val="auto"/>
          <w:spacing w:val="-6"/>
          <w:sz w:val="24"/>
          <w:szCs w:val="24"/>
          <w:highlight w:val="none"/>
        </w:rPr>
        <w:t>两部分组成（格式详见磋商文件第六章）。</w:t>
      </w:r>
    </w:p>
    <w:p>
      <w:pPr>
        <w:numPr>
          <w:ilvl w:val="0"/>
          <w:numId w:val="3"/>
        </w:numPr>
        <w:spacing w:line="440" w:lineRule="exact"/>
        <w:ind w:firstLine="458" w:firstLineChars="200"/>
        <w:jc w:val="left"/>
        <w:rPr>
          <w:rFonts w:ascii="宋体" w:hAnsi="宋体"/>
          <w:b/>
          <w:color w:val="auto"/>
          <w:spacing w:val="-6"/>
          <w:sz w:val="24"/>
          <w:highlight w:val="none"/>
        </w:rPr>
      </w:pPr>
      <w:r>
        <w:rPr>
          <w:rFonts w:hint="eastAsia" w:ascii="宋体" w:hAnsi="宋体"/>
          <w:b/>
          <w:color w:val="auto"/>
          <w:spacing w:val="-6"/>
          <w:sz w:val="24"/>
          <w:highlight w:val="none"/>
        </w:rPr>
        <w:t>资格证明文件（</w:t>
      </w:r>
      <w:r>
        <w:rPr>
          <w:rFonts w:hint="eastAsia" w:ascii="宋体" w:hAnsi="宋体" w:cs="宋体"/>
          <w:color w:val="auto"/>
          <w:sz w:val="24"/>
          <w:szCs w:val="32"/>
          <w:highlight w:val="none"/>
        </w:rPr>
        <w:t>资格审查要求的资格证明材料，且均需要加盖公章</w:t>
      </w:r>
      <w:r>
        <w:rPr>
          <w:rFonts w:hint="eastAsia" w:ascii="宋体" w:hAnsi="宋体"/>
          <w:b/>
          <w:color w:val="auto"/>
          <w:spacing w:val="-6"/>
          <w:sz w:val="24"/>
          <w:highlight w:val="none"/>
        </w:rPr>
        <w:t>）</w:t>
      </w:r>
    </w:p>
    <w:p>
      <w:pPr>
        <w:spacing w:line="440" w:lineRule="exact"/>
        <w:ind w:firstLine="420"/>
        <w:rPr>
          <w:rFonts w:ascii="宋体" w:hAnsi="宋体" w:cs="宋体"/>
          <w:color w:val="auto"/>
          <w:sz w:val="24"/>
          <w:szCs w:val="32"/>
          <w:highlight w:val="none"/>
        </w:rPr>
      </w:pPr>
      <w:r>
        <w:rPr>
          <w:rFonts w:hint="eastAsia" w:ascii="宋体" w:hAnsi="宋体" w:cs="宋体"/>
          <w:color w:val="auto"/>
          <w:sz w:val="24"/>
          <w:szCs w:val="32"/>
          <w:highlight w:val="none"/>
        </w:rPr>
        <w:t>（1）提供有效的经营执照复印件并加盖公司公章；事业单位的，则提供有效的《事业单位法人证书》副本复印件并加盖单位公章；自然人的，则提供有效的身份证复印件并签字；</w:t>
      </w:r>
    </w:p>
    <w:p>
      <w:pPr>
        <w:spacing w:line="440" w:lineRule="exact"/>
        <w:ind w:firstLine="420"/>
        <w:rPr>
          <w:rFonts w:ascii="宋体" w:hAnsi="宋体" w:cs="宋体"/>
          <w:color w:val="auto"/>
          <w:sz w:val="24"/>
          <w:szCs w:val="32"/>
          <w:highlight w:val="none"/>
        </w:rPr>
      </w:pPr>
      <w:r>
        <w:rPr>
          <w:rFonts w:hint="eastAsia" w:ascii="宋体" w:hAnsi="宋体" w:cs="宋体"/>
          <w:color w:val="auto"/>
          <w:sz w:val="24"/>
          <w:szCs w:val="32"/>
          <w:highlight w:val="none"/>
        </w:rPr>
        <w:t>（2）提供有效的依法缴纳税收证明（完税凭证或税务部门出具的证明，新成立单位出具银行资信证明）；</w:t>
      </w:r>
    </w:p>
    <w:p>
      <w:pPr>
        <w:spacing w:line="440" w:lineRule="exact"/>
        <w:ind w:firstLine="420"/>
        <w:rPr>
          <w:rFonts w:ascii="宋体" w:hAnsi="宋体" w:cs="宋体"/>
          <w:color w:val="auto"/>
          <w:sz w:val="24"/>
          <w:szCs w:val="32"/>
          <w:highlight w:val="none"/>
        </w:rPr>
      </w:pPr>
      <w:r>
        <w:rPr>
          <w:rFonts w:hint="eastAsia" w:ascii="宋体" w:hAnsi="宋体" w:cs="宋体"/>
          <w:color w:val="auto"/>
          <w:sz w:val="24"/>
          <w:szCs w:val="32"/>
          <w:highlight w:val="none"/>
        </w:rPr>
        <w:t>（3）提供有效的依法缴纳社会保障资金证明（缴纳凭证或人社部门出具的证明）；</w:t>
      </w:r>
    </w:p>
    <w:p>
      <w:pPr>
        <w:spacing w:line="440" w:lineRule="exact"/>
        <w:ind w:firstLine="420"/>
        <w:rPr>
          <w:rFonts w:ascii="宋体" w:hAnsi="宋体" w:cs="宋体"/>
          <w:color w:val="auto"/>
          <w:sz w:val="24"/>
          <w:szCs w:val="32"/>
          <w:highlight w:val="none"/>
        </w:rPr>
      </w:pPr>
      <w:r>
        <w:rPr>
          <w:rFonts w:hint="eastAsia" w:ascii="宋体" w:hAnsi="宋体" w:cs="宋体"/>
          <w:color w:val="auto"/>
          <w:sz w:val="24"/>
          <w:szCs w:val="32"/>
          <w:highlight w:val="none"/>
        </w:rPr>
        <w:t>（4）投标前三年无重大违法记录（格式见附件）；</w:t>
      </w:r>
    </w:p>
    <w:p>
      <w:pPr>
        <w:spacing w:line="440" w:lineRule="exact"/>
        <w:ind w:firstLine="420"/>
        <w:rPr>
          <w:rFonts w:ascii="宋体" w:hAnsi="宋体" w:cs="宋体"/>
          <w:color w:val="auto"/>
          <w:sz w:val="24"/>
          <w:szCs w:val="32"/>
          <w:highlight w:val="none"/>
        </w:rPr>
      </w:pPr>
      <w:r>
        <w:rPr>
          <w:rFonts w:hint="eastAsia" w:ascii="宋体" w:hAnsi="宋体" w:cs="宋体"/>
          <w:color w:val="auto"/>
          <w:sz w:val="24"/>
          <w:szCs w:val="32"/>
          <w:highlight w:val="none"/>
        </w:rPr>
        <w:t>（5）投标保证金(提供投标保证金缴纳凭证，附件）；</w:t>
      </w:r>
    </w:p>
    <w:p>
      <w:pPr>
        <w:spacing w:line="440" w:lineRule="exact"/>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6）信用记录：投标人在投标文件中提供投标截止前三个工作日的查询信息：查询渠道：“信用中国”（www.creditchina.gov.cn）、“中国政府采购网”（www.ccgp.gov.cn），最终审查以代理机构在投标截止前一个工作日查询的最新信息为准；</w:t>
      </w:r>
    </w:p>
    <w:p>
      <w:pPr>
        <w:spacing w:line="440" w:lineRule="exact"/>
        <w:jc w:val="left"/>
        <w:rPr>
          <w:rFonts w:ascii="宋体" w:hAnsi="宋体" w:cs="宋体"/>
          <w:color w:val="auto"/>
          <w:sz w:val="24"/>
          <w:szCs w:val="32"/>
          <w:highlight w:val="none"/>
        </w:rPr>
      </w:pPr>
      <w:r>
        <w:rPr>
          <w:rFonts w:hint="eastAsia" w:ascii="宋体" w:hAnsi="宋体" w:cs="宋体"/>
          <w:color w:val="auto"/>
          <w:sz w:val="24"/>
          <w:szCs w:val="32"/>
          <w:highlight w:val="none"/>
        </w:rPr>
        <w:t xml:space="preserve">    （7）法定代表人证明书，法定代表人授权书（见附件）（法定代表人参加磋商的无须提供）、授权委托人身份证复印件、授权委托人社保证明（被委托人必须为本单位在职员工，并提供至少开标前一个月的社保证明）。</w:t>
      </w:r>
    </w:p>
    <w:p>
      <w:pPr>
        <w:spacing w:line="440" w:lineRule="exact"/>
        <w:ind w:firstLine="482" w:firstLineChars="200"/>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2.报价文件和商务技术文件：</w:t>
      </w:r>
    </w:p>
    <w:p>
      <w:pPr>
        <w:spacing w:line="440" w:lineRule="exact"/>
        <w:ind w:firstLine="458" w:firstLineChars="200"/>
        <w:jc w:val="left"/>
        <w:rPr>
          <w:rFonts w:ascii="宋体" w:hAnsi="宋体"/>
          <w:b/>
          <w:color w:val="auto"/>
          <w:spacing w:val="-6"/>
          <w:sz w:val="24"/>
          <w:highlight w:val="none"/>
        </w:rPr>
      </w:pPr>
      <w:r>
        <w:rPr>
          <w:rFonts w:hint="eastAsia" w:ascii="宋体" w:hAnsi="宋体"/>
          <w:b/>
          <w:color w:val="auto"/>
          <w:spacing w:val="-6"/>
          <w:sz w:val="24"/>
          <w:highlight w:val="none"/>
        </w:rPr>
        <w:t>2.1.报价部分：</w:t>
      </w:r>
    </w:p>
    <w:p>
      <w:pPr>
        <w:pStyle w:val="7"/>
        <w:spacing w:line="440" w:lineRule="exact"/>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供应商的报价部分包括以下内容（均需加盖公章）。</w:t>
      </w:r>
    </w:p>
    <w:p>
      <w:pPr>
        <w:pStyle w:val="7"/>
        <w:spacing w:line="440" w:lineRule="exact"/>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1）响应函；</w:t>
      </w:r>
    </w:p>
    <w:p>
      <w:pPr>
        <w:pStyle w:val="7"/>
        <w:spacing w:line="440" w:lineRule="exact"/>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2）初次报价一览表；</w:t>
      </w:r>
    </w:p>
    <w:p>
      <w:pPr>
        <w:pStyle w:val="7"/>
        <w:spacing w:line="440" w:lineRule="exact"/>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3）初次报价明细表；</w:t>
      </w:r>
    </w:p>
    <w:p>
      <w:pPr>
        <w:pStyle w:val="7"/>
        <w:spacing w:line="440" w:lineRule="exact"/>
        <w:ind w:firstLine="456" w:firstLineChars="200"/>
        <w:jc w:val="left"/>
        <w:rPr>
          <w:rFonts w:hAnsi="宋体"/>
          <w:color w:val="auto"/>
          <w:spacing w:val="-6"/>
          <w:sz w:val="24"/>
          <w:szCs w:val="24"/>
          <w:highlight w:val="none"/>
        </w:rPr>
      </w:pPr>
      <w:r>
        <w:rPr>
          <w:rFonts w:hint="eastAsia" w:hAnsi="宋体"/>
          <w:color w:val="auto"/>
          <w:spacing w:val="-6"/>
          <w:sz w:val="24"/>
          <w:szCs w:val="24"/>
          <w:highlight w:val="none"/>
        </w:rPr>
        <w:t>4）包括但不限于以上文件资料。</w:t>
      </w:r>
    </w:p>
    <w:p>
      <w:pPr>
        <w:spacing w:line="440" w:lineRule="exact"/>
        <w:ind w:firstLine="458" w:firstLineChars="200"/>
        <w:jc w:val="left"/>
        <w:rPr>
          <w:rFonts w:ascii="宋体" w:hAnsi="宋体"/>
          <w:b/>
          <w:color w:val="auto"/>
          <w:spacing w:val="-6"/>
          <w:sz w:val="24"/>
          <w:highlight w:val="none"/>
        </w:rPr>
      </w:pPr>
      <w:r>
        <w:rPr>
          <w:rFonts w:hint="eastAsia" w:ascii="宋体" w:hAnsi="宋体"/>
          <w:b/>
          <w:color w:val="auto"/>
          <w:spacing w:val="-6"/>
          <w:sz w:val="24"/>
          <w:highlight w:val="none"/>
        </w:rPr>
        <w:t>2.2商务技术部分：</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2.2.1.商务文件：</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供应商的商务部分包括以下内容（均需加盖公章）。</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1）廉政承诺书</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2）商务条款偏离表；</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3）磋商响应供应商一般情况</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4）法定代表人资格证明书</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5）法定代表人授权委托书</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6</w:t>
      </w:r>
      <w:r>
        <w:rPr>
          <w:rFonts w:hint="eastAsia" w:ascii="宋体" w:hAnsi="宋体"/>
          <w:color w:val="auto"/>
          <w:spacing w:val="-6"/>
          <w:sz w:val="24"/>
          <w:highlight w:val="none"/>
        </w:rPr>
        <w:t>）磋商响应供应商企业类型声明函</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7</w:t>
      </w:r>
      <w:r>
        <w:rPr>
          <w:rFonts w:hint="eastAsia" w:ascii="宋体" w:hAnsi="宋体"/>
          <w:color w:val="auto"/>
          <w:spacing w:val="-6"/>
          <w:sz w:val="24"/>
          <w:highlight w:val="none"/>
        </w:rPr>
        <w:t>）</w:t>
      </w:r>
      <w:r>
        <w:rPr>
          <w:rFonts w:hint="eastAsia" w:ascii="宋体" w:hAnsi="宋体" w:cs="宋体"/>
          <w:color w:val="auto"/>
          <w:sz w:val="24"/>
          <w:szCs w:val="32"/>
          <w:highlight w:val="none"/>
        </w:rPr>
        <w:t>监狱企业资格证明材料；</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8</w:t>
      </w:r>
      <w:r>
        <w:rPr>
          <w:rFonts w:hint="eastAsia" w:ascii="宋体" w:hAnsi="宋体"/>
          <w:color w:val="auto"/>
          <w:spacing w:val="-6"/>
          <w:sz w:val="24"/>
          <w:highlight w:val="none"/>
        </w:rPr>
        <w:t>）残疾人福利性单位声明函；</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9</w:t>
      </w:r>
      <w:r>
        <w:rPr>
          <w:rFonts w:hint="eastAsia" w:ascii="宋体" w:hAnsi="宋体"/>
          <w:color w:val="auto"/>
          <w:spacing w:val="-6"/>
          <w:sz w:val="24"/>
          <w:highlight w:val="none"/>
        </w:rPr>
        <w:t>）包括但不限于以上商务部分资料。</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2.2.2.技术文件</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供应商的技术部分为针对本项目的技术和服务响应方案，采购文件要求提供的其他资料等，具体包括以下内容（均需加盖公章）。</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1）响应声明书</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2）参加政府采购活动前3年内在经营活动中没有重大违法记录的书面声明函</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3）企业法人营业执照（事业单位法人证书/社会团体法人登记证书）、质量管理体系（如有）、环境管理体系（如有）、职业健康及安全管理体系（如有）等三体系认证证书；</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4）自2015年6月到现在完成同类项目实施情况一览表；</w:t>
      </w:r>
    </w:p>
    <w:p>
      <w:pPr>
        <w:spacing w:line="440" w:lineRule="exact"/>
        <w:ind w:firstLine="456" w:firstLineChars="200"/>
        <w:jc w:val="left"/>
        <w:rPr>
          <w:rFonts w:hint="eastAsia" w:ascii="宋体" w:hAnsi="宋体"/>
          <w:color w:val="auto"/>
          <w:spacing w:val="-6"/>
          <w:sz w:val="24"/>
          <w:highlight w:val="none"/>
        </w:rPr>
      </w:pPr>
      <w:r>
        <w:rPr>
          <w:rFonts w:hint="eastAsia" w:ascii="宋体" w:hAnsi="宋体"/>
          <w:color w:val="auto"/>
          <w:spacing w:val="-6"/>
          <w:sz w:val="24"/>
          <w:highlight w:val="none"/>
        </w:rPr>
        <w:t>5）投标产品介绍（其中宣传册、彩页等应与标书装订在一起），投标产品有关证书及投标产品业绩</w:t>
      </w:r>
    </w:p>
    <w:p>
      <w:pPr>
        <w:spacing w:line="440" w:lineRule="exact"/>
        <w:ind w:firstLine="456" w:firstLineChars="200"/>
        <w:jc w:val="left"/>
        <w:rPr>
          <w:rFonts w:hint="eastAsia" w:ascii="宋体" w:hAnsi="宋体" w:eastAsiaTheme="minorEastAsia"/>
          <w:color w:val="auto"/>
          <w:spacing w:val="-6"/>
          <w:sz w:val="24"/>
          <w:highlight w:val="none"/>
          <w:lang w:val="en-US" w:eastAsia="zh-CN"/>
        </w:rPr>
      </w:pPr>
      <w:r>
        <w:rPr>
          <w:rFonts w:hint="eastAsia" w:ascii="宋体" w:hAnsi="宋体"/>
          <w:color w:val="auto"/>
          <w:spacing w:val="-6"/>
          <w:sz w:val="24"/>
          <w:highlight w:val="none"/>
          <w:lang w:val="en-US" w:eastAsia="zh-CN"/>
        </w:rPr>
        <w:t>6）投标产品的</w:t>
      </w:r>
      <w:r>
        <w:rPr>
          <w:rFonts w:hint="eastAsia" w:asciiTheme="minorEastAsia" w:hAnsiTheme="minorEastAsia" w:eastAsiaTheme="minorEastAsia" w:cstheme="minorEastAsia"/>
          <w:color w:val="auto"/>
          <w:spacing w:val="-6"/>
          <w:sz w:val="24"/>
          <w:szCs w:val="24"/>
          <w:highlight w:val="none"/>
        </w:rPr>
        <w:t>生产许可证、检验报告等资料</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7</w:t>
      </w:r>
      <w:r>
        <w:rPr>
          <w:rFonts w:hint="eastAsia" w:ascii="宋体" w:hAnsi="宋体"/>
          <w:color w:val="auto"/>
          <w:spacing w:val="-6"/>
          <w:sz w:val="24"/>
          <w:highlight w:val="none"/>
        </w:rPr>
        <w:t>）设备名称、配置、数量；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8</w:t>
      </w:r>
      <w:r>
        <w:rPr>
          <w:rFonts w:hint="eastAsia" w:ascii="宋体" w:hAnsi="宋体"/>
          <w:color w:val="auto"/>
          <w:spacing w:val="-6"/>
          <w:sz w:val="24"/>
          <w:highlight w:val="none"/>
        </w:rPr>
        <w:t>）技术偏离表；</w:t>
      </w:r>
    </w:p>
    <w:p>
      <w:pPr>
        <w:spacing w:line="440" w:lineRule="exact"/>
        <w:ind w:firstLine="456" w:firstLineChars="200"/>
        <w:jc w:val="left"/>
        <w:rPr>
          <w:rFonts w:hint="eastAsia" w:ascii="宋体" w:hAnsi="宋体" w:eastAsiaTheme="minorEastAsia"/>
          <w:color w:val="auto"/>
          <w:spacing w:val="-6"/>
          <w:sz w:val="24"/>
          <w:highlight w:val="none"/>
          <w:lang w:eastAsia="zh-CN"/>
        </w:rPr>
      </w:pPr>
      <w:r>
        <w:rPr>
          <w:rFonts w:hint="eastAsia" w:ascii="宋体" w:hAnsi="宋体"/>
          <w:color w:val="auto"/>
          <w:spacing w:val="-6"/>
          <w:sz w:val="24"/>
          <w:highlight w:val="none"/>
          <w:lang w:val="en-US" w:eastAsia="zh-CN"/>
        </w:rPr>
        <w:t>9</w:t>
      </w:r>
      <w:r>
        <w:rPr>
          <w:rFonts w:hint="eastAsia" w:ascii="宋体" w:hAnsi="宋体"/>
          <w:color w:val="auto"/>
          <w:spacing w:val="-6"/>
          <w:sz w:val="24"/>
          <w:highlight w:val="none"/>
        </w:rPr>
        <w:t>）实施技术人员一览表</w:t>
      </w:r>
      <w:r>
        <w:rPr>
          <w:rFonts w:hint="eastAsia" w:ascii="宋体" w:hAnsi="宋体"/>
          <w:color w:val="auto"/>
          <w:spacing w:val="-6"/>
          <w:sz w:val="24"/>
          <w:highlight w:val="none"/>
          <w:lang w:eastAsia="zh-CN"/>
        </w:rPr>
        <w:t>（</w:t>
      </w:r>
      <w:r>
        <w:rPr>
          <w:rFonts w:hint="eastAsia" w:ascii="宋体" w:hAnsi="宋体"/>
          <w:color w:val="auto"/>
          <w:spacing w:val="-6"/>
          <w:sz w:val="24"/>
          <w:highlight w:val="none"/>
          <w:lang w:val="en-US" w:eastAsia="zh-CN"/>
        </w:rPr>
        <w:t>按第四章评分要求提供资料</w:t>
      </w:r>
      <w:r>
        <w:rPr>
          <w:rFonts w:hint="eastAsia" w:ascii="宋体" w:hAnsi="宋体"/>
          <w:color w:val="auto"/>
          <w:spacing w:val="-6"/>
          <w:sz w:val="24"/>
          <w:highlight w:val="none"/>
          <w:lang w:eastAsia="zh-CN"/>
        </w:rPr>
        <w:t>）</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10</w:t>
      </w:r>
      <w:r>
        <w:rPr>
          <w:rFonts w:hint="eastAsia" w:ascii="宋体" w:hAnsi="宋体"/>
          <w:color w:val="auto"/>
          <w:spacing w:val="-6"/>
          <w:sz w:val="24"/>
          <w:highlight w:val="none"/>
        </w:rPr>
        <w:t>）货物配置清单（不含报价）</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11</w:t>
      </w:r>
      <w:r>
        <w:rPr>
          <w:rFonts w:hint="eastAsia" w:ascii="宋体" w:hAnsi="宋体"/>
          <w:color w:val="auto"/>
          <w:spacing w:val="-6"/>
          <w:sz w:val="24"/>
          <w:highlight w:val="none"/>
        </w:rPr>
        <w:t>）备品备件清单</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12</w:t>
      </w:r>
      <w:r>
        <w:rPr>
          <w:rFonts w:hint="eastAsia" w:ascii="宋体" w:hAnsi="宋体"/>
          <w:color w:val="auto"/>
          <w:spacing w:val="-6"/>
          <w:sz w:val="24"/>
          <w:highlight w:val="none"/>
        </w:rPr>
        <w:t>）消耗品购买清单</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13</w:t>
      </w:r>
      <w:r>
        <w:rPr>
          <w:rFonts w:hint="eastAsia" w:ascii="宋体" w:hAnsi="宋体"/>
          <w:color w:val="auto"/>
          <w:spacing w:val="-6"/>
          <w:sz w:val="24"/>
          <w:highlight w:val="none"/>
        </w:rPr>
        <w:t>）技术培训方案</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14</w:t>
      </w:r>
      <w:r>
        <w:rPr>
          <w:rFonts w:hint="eastAsia" w:ascii="宋体" w:hAnsi="宋体"/>
          <w:color w:val="auto"/>
          <w:spacing w:val="-6"/>
          <w:sz w:val="24"/>
          <w:highlight w:val="none"/>
        </w:rPr>
        <w:t>）售后服务方案</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15</w:t>
      </w:r>
      <w:r>
        <w:rPr>
          <w:rFonts w:hint="eastAsia" w:ascii="宋体" w:hAnsi="宋体"/>
          <w:color w:val="auto"/>
          <w:spacing w:val="-6"/>
          <w:sz w:val="24"/>
          <w:highlight w:val="none"/>
        </w:rPr>
        <w:t>）合理化建议及优惠承诺；</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16</w:t>
      </w:r>
      <w:r>
        <w:rPr>
          <w:rFonts w:hint="eastAsia" w:ascii="宋体" w:hAnsi="宋体"/>
          <w:color w:val="auto"/>
          <w:spacing w:val="-6"/>
          <w:sz w:val="24"/>
          <w:highlight w:val="none"/>
        </w:rPr>
        <w:t>）投标商认为需要提供的材料或评审办法要求提供的材料；</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lang w:val="en-US" w:eastAsia="zh-CN"/>
        </w:rPr>
        <w:t>17</w:t>
      </w:r>
      <w:r>
        <w:rPr>
          <w:rFonts w:hint="eastAsia" w:ascii="宋体" w:hAnsi="宋体"/>
          <w:color w:val="auto"/>
          <w:spacing w:val="-6"/>
          <w:sz w:val="24"/>
          <w:highlight w:val="none"/>
        </w:rPr>
        <w:t>）包括但不限于以上技术文件或说明。</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以上所需的各种证书、证件、证明、证照若系复印件，须在复印件上加盖有效公章。</w:t>
      </w:r>
    </w:p>
    <w:p>
      <w:pPr>
        <w:spacing w:line="440" w:lineRule="exact"/>
        <w:ind w:firstLine="458" w:firstLineChars="200"/>
        <w:jc w:val="left"/>
        <w:rPr>
          <w:rFonts w:ascii="宋体" w:hAnsi="宋体"/>
          <w:b/>
          <w:color w:val="auto"/>
          <w:spacing w:val="-6"/>
          <w:sz w:val="24"/>
          <w:highlight w:val="none"/>
        </w:rPr>
      </w:pPr>
      <w:r>
        <w:rPr>
          <w:rFonts w:hint="eastAsia" w:ascii="宋体" w:hAnsi="宋体"/>
          <w:b/>
          <w:color w:val="auto"/>
          <w:spacing w:val="-6"/>
          <w:sz w:val="24"/>
          <w:highlight w:val="none"/>
        </w:rPr>
        <w:t>★</w:t>
      </w:r>
      <w:r>
        <w:rPr>
          <w:rFonts w:ascii="宋体" w:hAnsi="宋体"/>
          <w:b/>
          <w:color w:val="auto"/>
          <w:spacing w:val="-6"/>
          <w:sz w:val="24"/>
          <w:highlight w:val="none"/>
        </w:rPr>
        <w:t>注：法定代表人资格证明书</w:t>
      </w:r>
      <w:r>
        <w:rPr>
          <w:rFonts w:hint="eastAsia" w:ascii="宋体" w:hAnsi="宋体"/>
          <w:b/>
          <w:color w:val="auto"/>
          <w:spacing w:val="-6"/>
          <w:sz w:val="24"/>
          <w:highlight w:val="none"/>
        </w:rPr>
        <w:t>、</w:t>
      </w:r>
      <w:r>
        <w:rPr>
          <w:rFonts w:ascii="宋体" w:hAnsi="宋体"/>
          <w:b/>
          <w:color w:val="auto"/>
          <w:spacing w:val="-6"/>
          <w:sz w:val="24"/>
          <w:highlight w:val="none"/>
        </w:rPr>
        <w:t>法定代表人授权委托书</w:t>
      </w:r>
      <w:r>
        <w:rPr>
          <w:rFonts w:hint="eastAsia" w:ascii="宋体" w:hAnsi="宋体"/>
          <w:b/>
          <w:color w:val="auto"/>
          <w:spacing w:val="-6"/>
          <w:sz w:val="24"/>
          <w:highlight w:val="none"/>
        </w:rPr>
        <w:t>、</w:t>
      </w:r>
      <w:r>
        <w:rPr>
          <w:rFonts w:ascii="宋体" w:hAnsi="宋体"/>
          <w:b/>
          <w:color w:val="auto"/>
          <w:spacing w:val="-6"/>
          <w:sz w:val="24"/>
          <w:highlight w:val="none"/>
        </w:rPr>
        <w:t>响应声明书、响应函、初次报价一览表</w:t>
      </w:r>
      <w:r>
        <w:rPr>
          <w:rFonts w:hint="eastAsia" w:ascii="宋体" w:hAnsi="宋体"/>
          <w:b/>
          <w:color w:val="auto"/>
          <w:spacing w:val="-6"/>
          <w:sz w:val="24"/>
          <w:highlight w:val="none"/>
        </w:rPr>
        <w:t>必须按磋商文件格式中相应代表人签署</w:t>
      </w:r>
      <w:r>
        <w:rPr>
          <w:rFonts w:ascii="宋体" w:hAnsi="宋体"/>
          <w:b/>
          <w:color w:val="auto"/>
          <w:spacing w:val="-6"/>
          <w:sz w:val="24"/>
          <w:highlight w:val="none"/>
        </w:rPr>
        <w:t>并加盖公章。</w:t>
      </w:r>
    </w:p>
    <w:p>
      <w:pPr>
        <w:pStyle w:val="4"/>
        <w:spacing w:line="440" w:lineRule="exact"/>
        <w:rPr>
          <w:color w:val="auto"/>
          <w:highlight w:val="none"/>
        </w:rPr>
      </w:pPr>
      <w:bookmarkStart w:id="61" w:name="_Toc4472"/>
      <w:r>
        <w:rPr>
          <w:rFonts w:hint="eastAsia"/>
          <w:color w:val="auto"/>
          <w:highlight w:val="none"/>
        </w:rPr>
        <w:t>二、响应文件的签署和份数</w:t>
      </w:r>
      <w:bookmarkEnd w:id="61"/>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1.磋商响应供应商应按本磋商文件规定的格式和顺序编制、装订响应文件，响应文件内容不完整、编排混乱导致响应文件被误读、漏读或者查找不到相关内容的，是磋商响应供应商的责任。</w:t>
      </w:r>
    </w:p>
    <w:p>
      <w:pPr>
        <w:spacing w:line="440" w:lineRule="exact"/>
        <w:ind w:firstLine="482" w:firstLineChars="200"/>
        <w:jc w:val="left"/>
        <w:rPr>
          <w:rFonts w:ascii="宋体" w:hAnsi="宋体"/>
          <w:b/>
          <w:snapToGrid w:val="0"/>
          <w:color w:val="auto"/>
          <w:kern w:val="0"/>
          <w:sz w:val="24"/>
          <w:highlight w:val="none"/>
        </w:rPr>
      </w:pPr>
      <w:r>
        <w:rPr>
          <w:rFonts w:hint="eastAsia" w:ascii="宋体" w:hAnsi="宋体"/>
          <w:b/>
          <w:snapToGrid w:val="0"/>
          <w:color w:val="auto"/>
          <w:kern w:val="0"/>
          <w:sz w:val="24"/>
          <w:highlight w:val="none"/>
        </w:rPr>
        <w:t>2.磋商响应供应商应按资格证明文件单独装订成册，报价文件和商务技术文件编制并装订成一册（</w:t>
      </w:r>
      <w:r>
        <w:rPr>
          <w:rFonts w:hint="eastAsia" w:ascii="宋体" w:hAnsi="宋体"/>
          <w:b/>
          <w:color w:val="auto"/>
          <w:spacing w:val="-6"/>
          <w:sz w:val="24"/>
          <w:highlight w:val="none"/>
        </w:rPr>
        <w:t>建议胶装</w:t>
      </w:r>
      <w:r>
        <w:rPr>
          <w:rFonts w:hint="eastAsia" w:ascii="宋体" w:hAnsi="宋体"/>
          <w:b/>
          <w:snapToGrid w:val="0"/>
          <w:color w:val="auto"/>
          <w:kern w:val="0"/>
          <w:sz w:val="24"/>
          <w:highlight w:val="none"/>
        </w:rPr>
        <w:t>），活页装订的响应文件无效，其中正本一份、副本三份，响应文件的封面应注明“正本“、“副本”字样。</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3.响应文件的正本需打印或用不褪色的墨水填写，响应文件正本除本《磋商响应供应商须知》中规定的可提供复印件外均须提供原件（复印件须加盖公章）。副本可以是正本加盖公章后的复印件。</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4.响应文件须由磋商响应供应商在规定位置盖章并由法定代表人或法定代表授权人签署，磋商响应供应商应写全称。</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5.响应文件不得涂改，若有修改错漏处，须加盖公章或者法定代表人或授权委托人签字或盖章。响应文件因字迹潦草或表达不清所引起的后果由磋商响应供应商负责。</w:t>
      </w:r>
    </w:p>
    <w:p>
      <w:pPr>
        <w:pStyle w:val="4"/>
        <w:spacing w:line="440" w:lineRule="exact"/>
        <w:rPr>
          <w:color w:val="auto"/>
          <w:highlight w:val="none"/>
        </w:rPr>
      </w:pPr>
      <w:bookmarkStart w:id="62" w:name="_Toc2096"/>
      <w:r>
        <w:rPr>
          <w:rFonts w:hint="eastAsia"/>
          <w:color w:val="auto"/>
          <w:highlight w:val="none"/>
        </w:rPr>
        <w:t>三、响应文件的包装、递交、修改和撤回</w:t>
      </w:r>
      <w:bookmarkEnd w:id="62"/>
    </w:p>
    <w:p>
      <w:pPr>
        <w:spacing w:line="440" w:lineRule="exact"/>
        <w:ind w:firstLine="456" w:firstLineChars="200"/>
        <w:rPr>
          <w:rFonts w:ascii="宋体" w:hAnsi="宋体"/>
          <w:color w:val="auto"/>
          <w:spacing w:val="-6"/>
          <w:sz w:val="24"/>
          <w:highlight w:val="none"/>
        </w:rPr>
      </w:pPr>
      <w:r>
        <w:rPr>
          <w:rFonts w:hint="eastAsia" w:ascii="宋体" w:hAnsi="宋体"/>
          <w:color w:val="auto"/>
          <w:spacing w:val="-6"/>
          <w:sz w:val="24"/>
          <w:highlight w:val="none"/>
        </w:rPr>
        <w:t>1.磋商响应供应商应在响应文件包装封面上注明磋商响应供应商名称、磋商响应供应商地址、磋商响应项目名称、项目编号及“响应文件开启时启封”字样，并加盖磋商响应供应商公章。</w:t>
      </w:r>
    </w:p>
    <w:p>
      <w:pPr>
        <w:spacing w:line="440" w:lineRule="exact"/>
        <w:ind w:firstLine="456" w:firstLineChars="200"/>
        <w:rPr>
          <w:rFonts w:ascii="宋体" w:hAnsi="宋体"/>
          <w:color w:val="auto"/>
          <w:spacing w:val="-6"/>
          <w:sz w:val="24"/>
          <w:highlight w:val="none"/>
        </w:rPr>
      </w:pPr>
      <w:r>
        <w:rPr>
          <w:rFonts w:hint="eastAsia" w:ascii="宋体" w:hAnsi="宋体"/>
          <w:color w:val="auto"/>
          <w:spacing w:val="-6"/>
          <w:sz w:val="24"/>
          <w:highlight w:val="none"/>
        </w:rPr>
        <w:t>2.未按规定密封或标记的响应文件将被拒绝，由此造成响应文件被误投或提前拆封的风险由磋商响应供应商承担。</w:t>
      </w:r>
    </w:p>
    <w:p>
      <w:pPr>
        <w:spacing w:line="440" w:lineRule="exact"/>
        <w:ind w:firstLine="456" w:firstLineChars="200"/>
        <w:rPr>
          <w:rFonts w:ascii="宋体" w:hAnsi="宋体"/>
          <w:color w:val="auto"/>
          <w:spacing w:val="-6"/>
          <w:sz w:val="21"/>
          <w:szCs w:val="21"/>
          <w:highlight w:val="none"/>
        </w:rPr>
      </w:pPr>
      <w:r>
        <w:rPr>
          <w:rFonts w:hint="eastAsia" w:ascii="宋体" w:hAnsi="宋体"/>
          <w:color w:val="auto"/>
          <w:spacing w:val="-6"/>
          <w:sz w:val="24"/>
          <w:highlight w:val="none"/>
        </w:rPr>
        <w:t>3.磋商响应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4"/>
        <w:spacing w:line="440" w:lineRule="exact"/>
        <w:rPr>
          <w:color w:val="auto"/>
          <w:highlight w:val="none"/>
        </w:rPr>
      </w:pPr>
      <w:bookmarkStart w:id="63" w:name="_Toc11026"/>
      <w:r>
        <w:rPr>
          <w:rFonts w:hint="eastAsia"/>
          <w:color w:val="auto"/>
          <w:highlight w:val="none"/>
        </w:rPr>
        <w:t>四、响应文件的语言及计量</w:t>
      </w:r>
      <w:bookmarkEnd w:id="63"/>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响应文件以及磋商响应供应商与采购人、采购代理机构就有关磋商响应事宜的所有来往函电，均应以中文汉语书写。除签名、盖章、专用名称等特殊情形外，以中文汉语以外的文字表述的响应文件视同未提供（有中文汉语说明的除外）。</w:t>
      </w:r>
    </w:p>
    <w:p>
      <w:pPr>
        <w:pStyle w:val="4"/>
        <w:spacing w:line="440" w:lineRule="exact"/>
        <w:rPr>
          <w:color w:val="auto"/>
          <w:highlight w:val="none"/>
        </w:rPr>
      </w:pPr>
      <w:bookmarkStart w:id="64" w:name="_Toc11778"/>
      <w:r>
        <w:rPr>
          <w:rFonts w:hint="eastAsia"/>
          <w:color w:val="auto"/>
          <w:highlight w:val="none"/>
        </w:rPr>
        <w:t>五、磋商响应报价</w:t>
      </w:r>
      <w:bookmarkEnd w:id="64"/>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1.本次磋商采用人民币报价。</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2.磋商响应报价应按磋商文件中相关附表格式填写。</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3.最后磋商报价是履行合同的最终价格，应包括完成所有产品供货及履行所有规定服务所产生的全部费用。</w:t>
      </w:r>
    </w:p>
    <w:p>
      <w:pPr>
        <w:pStyle w:val="4"/>
        <w:spacing w:line="440" w:lineRule="exact"/>
        <w:rPr>
          <w:color w:val="auto"/>
          <w:highlight w:val="none"/>
        </w:rPr>
      </w:pPr>
      <w:bookmarkStart w:id="65" w:name="_Toc8285"/>
      <w:r>
        <w:rPr>
          <w:rFonts w:hint="eastAsia"/>
          <w:color w:val="auto"/>
          <w:highlight w:val="none"/>
        </w:rPr>
        <w:t>六、响应文件的有效期</w:t>
      </w:r>
      <w:bookmarkEnd w:id="65"/>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★1.自提交响应文件截止日起90天响应文件应保持有效。有效期不足的响应文件将被拒绝。</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2.在特殊情况下，采购代理机构可与磋商响应供应商协商延长响应文件的有效期，这种要求和答复均以书面形式进行。</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 xml:space="preserve">3.磋商响应供应商可拒绝接受延期要求而不会导致磋商保证金被没收。同意延长有效期的磋商响应供应商需要相应延长磋商保证金的有效期，但不能修改响应文件。 </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4.成交供应商的响应文件自开启之日起至合同履行完毕止均应保持有效。</w:t>
      </w:r>
    </w:p>
    <w:p>
      <w:pPr>
        <w:pStyle w:val="4"/>
        <w:spacing w:line="440" w:lineRule="exact"/>
        <w:rPr>
          <w:color w:val="auto"/>
          <w:highlight w:val="none"/>
        </w:rPr>
      </w:pPr>
      <w:bookmarkStart w:id="66" w:name="_Toc24057"/>
      <w:r>
        <w:rPr>
          <w:rFonts w:hint="eastAsia"/>
          <w:color w:val="auto"/>
          <w:highlight w:val="none"/>
        </w:rPr>
        <w:t>七、 磋商保证金</w:t>
      </w:r>
      <w:bookmarkEnd w:id="66"/>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★1.磋商响应供应商须按时提交磋商保证金。否则，其磋商响应将被拒绝。</w:t>
      </w:r>
    </w:p>
    <w:p>
      <w:pPr>
        <w:spacing w:line="440" w:lineRule="exact"/>
        <w:ind w:firstLine="456" w:firstLineChars="200"/>
        <w:jc w:val="left"/>
        <w:rPr>
          <w:rFonts w:ascii="宋体" w:hAnsi="宋体" w:cs="宋体"/>
          <w:b/>
          <w:color w:val="auto"/>
          <w:spacing w:val="-6"/>
          <w:kern w:val="0"/>
          <w:sz w:val="24"/>
          <w:highlight w:val="none"/>
        </w:rPr>
      </w:pPr>
      <w:r>
        <w:rPr>
          <w:rFonts w:hint="eastAsia" w:ascii="宋体" w:hAnsi="宋体"/>
          <w:color w:val="auto"/>
          <w:spacing w:val="-6"/>
          <w:sz w:val="24"/>
          <w:highlight w:val="none"/>
        </w:rPr>
        <w:t>2.保证金支付形式：</w:t>
      </w:r>
      <w:r>
        <w:rPr>
          <w:rFonts w:hint="eastAsia" w:ascii="宋体" w:hAnsi="宋体" w:cs="宋体"/>
          <w:b/>
          <w:color w:val="auto"/>
          <w:spacing w:val="-6"/>
          <w:kern w:val="0"/>
          <w:sz w:val="24"/>
          <w:highlight w:val="none"/>
        </w:rPr>
        <w:t>转账、银行汇款等非现金方式。</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3.未成交供应商的磋商保证金，在成交通知书发出后五个工作日内（因供应商自身原因导致无法及时退还的除外）凭保证金收据自行退还。</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4．成交供应商的磋商保证金，在采购合同签订后五个工作日内（因供应商自身原因导致无法及时退还的除外）凭保证金收据自行退还。</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5.</w:t>
      </w:r>
      <w:r>
        <w:rPr>
          <w:rFonts w:ascii="宋体" w:hAnsi="宋体"/>
          <w:color w:val="auto"/>
          <w:spacing w:val="-6"/>
          <w:sz w:val="24"/>
          <w:highlight w:val="none"/>
        </w:rPr>
        <w:t>保证金不计息。</w:t>
      </w:r>
    </w:p>
    <w:p>
      <w:pPr>
        <w:spacing w:line="440" w:lineRule="exact"/>
        <w:ind w:firstLine="456" w:firstLineChars="200"/>
        <w:jc w:val="left"/>
        <w:rPr>
          <w:rFonts w:ascii="宋体" w:hAnsi="宋体"/>
          <w:color w:val="auto"/>
          <w:spacing w:val="-6"/>
          <w:sz w:val="24"/>
          <w:highlight w:val="none"/>
        </w:rPr>
      </w:pPr>
      <w:r>
        <w:rPr>
          <w:rFonts w:hint="eastAsia" w:ascii="宋体" w:hAnsi="宋体"/>
          <w:color w:val="auto"/>
          <w:spacing w:val="-6"/>
          <w:sz w:val="24"/>
          <w:highlight w:val="none"/>
        </w:rPr>
        <w:t>6.下列情况，磋商保证金将不予退还：</w:t>
      </w:r>
    </w:p>
    <w:p>
      <w:pPr>
        <w:spacing w:line="440" w:lineRule="exact"/>
        <w:ind w:firstLine="456" w:firstLineChars="200"/>
        <w:rPr>
          <w:rFonts w:ascii="宋体" w:hAnsi="宋体"/>
          <w:color w:val="auto"/>
          <w:spacing w:val="-6"/>
          <w:sz w:val="24"/>
          <w:highlight w:val="none"/>
        </w:rPr>
      </w:pPr>
      <w:r>
        <w:rPr>
          <w:rFonts w:hint="eastAsia" w:ascii="宋体" w:hAnsi="宋体"/>
          <w:color w:val="auto"/>
          <w:spacing w:val="-6"/>
          <w:sz w:val="24"/>
          <w:highlight w:val="none"/>
        </w:rPr>
        <w:t>（1）供应商在提交响应文件截止时间后撤回响应文件的；</w:t>
      </w:r>
    </w:p>
    <w:p>
      <w:pPr>
        <w:spacing w:line="440" w:lineRule="exact"/>
        <w:ind w:firstLine="456" w:firstLineChars="200"/>
        <w:rPr>
          <w:rFonts w:ascii="宋体" w:hAnsi="宋体"/>
          <w:color w:val="auto"/>
          <w:spacing w:val="-6"/>
          <w:sz w:val="24"/>
          <w:highlight w:val="none"/>
        </w:rPr>
      </w:pPr>
      <w:r>
        <w:rPr>
          <w:rFonts w:hint="eastAsia" w:ascii="宋体" w:hAnsi="宋体"/>
          <w:color w:val="auto"/>
          <w:spacing w:val="-6"/>
          <w:sz w:val="24"/>
          <w:highlight w:val="none"/>
        </w:rPr>
        <w:t>（2）供应商在响应文件中提供虚假材料的；</w:t>
      </w:r>
    </w:p>
    <w:p>
      <w:pPr>
        <w:spacing w:line="440" w:lineRule="exact"/>
        <w:ind w:firstLine="456" w:firstLineChars="200"/>
        <w:rPr>
          <w:rFonts w:ascii="宋体" w:hAnsi="宋体"/>
          <w:color w:val="auto"/>
          <w:spacing w:val="-6"/>
          <w:sz w:val="24"/>
          <w:highlight w:val="none"/>
        </w:rPr>
      </w:pPr>
      <w:r>
        <w:rPr>
          <w:rFonts w:hint="eastAsia" w:ascii="宋体" w:hAnsi="宋体"/>
          <w:color w:val="auto"/>
          <w:spacing w:val="-6"/>
          <w:sz w:val="24"/>
          <w:highlight w:val="none"/>
        </w:rPr>
        <w:t>（3）除因不可抗力或磋商文件认可的情形以外，成交供应商不与采购人签订合同的；</w:t>
      </w:r>
    </w:p>
    <w:p>
      <w:pPr>
        <w:spacing w:line="440" w:lineRule="exact"/>
        <w:ind w:firstLine="456" w:firstLineChars="200"/>
        <w:rPr>
          <w:rFonts w:ascii="宋体" w:hAnsi="宋体"/>
          <w:color w:val="auto"/>
          <w:spacing w:val="-6"/>
          <w:sz w:val="24"/>
          <w:highlight w:val="none"/>
        </w:rPr>
      </w:pPr>
      <w:r>
        <w:rPr>
          <w:rFonts w:hint="eastAsia" w:ascii="宋体" w:hAnsi="宋体"/>
          <w:color w:val="auto"/>
          <w:spacing w:val="-6"/>
          <w:sz w:val="24"/>
          <w:highlight w:val="none"/>
        </w:rPr>
        <w:t>（4）供应商与采购人、其他供应商或者采购代理机构恶意串通的；</w:t>
      </w:r>
    </w:p>
    <w:p>
      <w:pPr>
        <w:spacing w:line="440" w:lineRule="exact"/>
        <w:ind w:firstLine="456" w:firstLineChars="200"/>
        <w:rPr>
          <w:rFonts w:ascii="宋体" w:hAnsi="宋体"/>
          <w:color w:val="auto"/>
          <w:spacing w:val="-6"/>
          <w:sz w:val="24"/>
          <w:highlight w:val="none"/>
        </w:rPr>
      </w:pPr>
      <w:r>
        <w:rPr>
          <w:rFonts w:hint="eastAsia" w:ascii="宋体" w:hAnsi="宋体"/>
          <w:color w:val="auto"/>
          <w:spacing w:val="-6"/>
          <w:sz w:val="24"/>
          <w:highlight w:val="none"/>
        </w:rPr>
        <w:t>（5）磋商文件规定的其他情形。</w:t>
      </w:r>
    </w:p>
    <w:p>
      <w:pPr>
        <w:pStyle w:val="4"/>
        <w:spacing w:line="440" w:lineRule="exact"/>
        <w:rPr>
          <w:rFonts w:asciiTheme="minorHAnsi" w:hAnsiTheme="minorHAnsi" w:eastAsiaTheme="minorEastAsia"/>
          <w:b w:val="0"/>
          <w:color w:val="auto"/>
          <w:highlight w:val="none"/>
        </w:rPr>
      </w:pPr>
      <w:bookmarkStart w:id="67" w:name="_Toc5262"/>
      <w:r>
        <w:rPr>
          <w:rFonts w:hint="eastAsia" w:asciiTheme="minorHAnsi" w:hAnsiTheme="minorHAnsi" w:eastAsiaTheme="minorEastAsia"/>
          <w:b w:val="0"/>
          <w:color w:val="auto"/>
          <w:highlight w:val="none"/>
        </w:rPr>
        <w:t>八、 磋商响应无效的情形</w:t>
      </w:r>
      <w:bookmarkEnd w:id="67"/>
      <w:bookmarkStart w:id="68" w:name="_Toc501022803"/>
      <w:bookmarkStart w:id="69" w:name="_Toc495582134"/>
    </w:p>
    <w:p>
      <w:pPr>
        <w:spacing w:line="440" w:lineRule="exact"/>
        <w:ind w:firstLine="480" w:firstLineChars="200"/>
        <w:rPr>
          <w:color w:val="auto"/>
          <w:sz w:val="24"/>
          <w:highlight w:val="none"/>
        </w:rPr>
      </w:pPr>
      <w:r>
        <w:rPr>
          <w:rFonts w:hint="eastAsia"/>
          <w:color w:val="auto"/>
          <w:sz w:val="24"/>
          <w:highlight w:val="none"/>
        </w:rPr>
        <w:t>1.审查内容</w:t>
      </w:r>
      <w:bookmarkEnd w:id="68"/>
      <w:bookmarkEnd w:id="69"/>
    </w:p>
    <w:p>
      <w:pPr>
        <w:spacing w:line="440" w:lineRule="exact"/>
        <w:ind w:firstLine="422"/>
        <w:rPr>
          <w:color w:val="auto"/>
          <w:sz w:val="24"/>
          <w:highlight w:val="none"/>
        </w:rPr>
      </w:pPr>
      <w:r>
        <w:rPr>
          <w:rFonts w:hint="eastAsia"/>
          <w:color w:val="auto"/>
          <w:sz w:val="24"/>
          <w:highlight w:val="none"/>
        </w:rPr>
        <w:t>1.1投标文件资格性审查</w:t>
      </w:r>
    </w:p>
    <w:p>
      <w:pPr>
        <w:spacing w:line="440" w:lineRule="exact"/>
        <w:ind w:firstLine="420"/>
        <w:rPr>
          <w:color w:val="auto"/>
          <w:sz w:val="24"/>
          <w:highlight w:val="none"/>
        </w:rPr>
      </w:pPr>
      <w:r>
        <w:rPr>
          <w:rFonts w:hint="eastAsia"/>
          <w:color w:val="auto"/>
          <w:sz w:val="24"/>
          <w:highlight w:val="none"/>
        </w:rPr>
        <w:t>（1）采购人或者采购代理机构应当依法对投标人的资格进行审查，以确定投标人是否具备投标资格。审查结果告知所有投标人，未通过审查的告知其原因。</w:t>
      </w:r>
    </w:p>
    <w:p>
      <w:pPr>
        <w:spacing w:line="440" w:lineRule="exact"/>
        <w:ind w:firstLine="420"/>
        <w:rPr>
          <w:color w:val="auto"/>
          <w:sz w:val="24"/>
          <w:highlight w:val="none"/>
        </w:rPr>
      </w:pPr>
      <w:r>
        <w:rPr>
          <w:rFonts w:hint="eastAsia"/>
          <w:color w:val="auto"/>
          <w:sz w:val="24"/>
          <w:highlight w:val="none"/>
        </w:rPr>
        <w:t>（2）投标人以投标文件中提供的书面材料为准。</w:t>
      </w:r>
    </w:p>
    <w:p>
      <w:pPr>
        <w:spacing w:line="440" w:lineRule="exact"/>
        <w:ind w:firstLine="420"/>
        <w:rPr>
          <w:color w:val="auto"/>
          <w:sz w:val="24"/>
          <w:highlight w:val="none"/>
        </w:rPr>
      </w:pPr>
      <w:r>
        <w:rPr>
          <w:rFonts w:hint="eastAsia"/>
          <w:color w:val="auto"/>
          <w:sz w:val="24"/>
          <w:highlight w:val="none"/>
        </w:rPr>
        <w:t xml:space="preserve">（3）招标人对投标文件的判定，只依据投标内容本身，不依靠开标后的任何外来证明。如投标人提交的资质证明或其他内容不齐全， 由此造成的后果由投标人自己负责。  </w:t>
      </w:r>
    </w:p>
    <w:p>
      <w:pPr>
        <w:spacing w:line="440" w:lineRule="exact"/>
        <w:ind w:firstLine="422"/>
        <w:rPr>
          <w:b/>
          <w:color w:val="auto"/>
          <w:sz w:val="24"/>
          <w:highlight w:val="none"/>
        </w:rPr>
      </w:pPr>
      <w:r>
        <w:rPr>
          <w:rFonts w:hint="eastAsia"/>
          <w:b/>
          <w:color w:val="auto"/>
          <w:sz w:val="24"/>
          <w:highlight w:val="none"/>
        </w:rPr>
        <w:t>1.2 投标文件符合性审查</w:t>
      </w:r>
    </w:p>
    <w:p>
      <w:pPr>
        <w:spacing w:line="440" w:lineRule="exact"/>
        <w:ind w:firstLine="420"/>
        <w:rPr>
          <w:color w:val="auto"/>
          <w:sz w:val="24"/>
          <w:highlight w:val="none"/>
        </w:rPr>
      </w:pPr>
      <w:r>
        <w:rPr>
          <w:rFonts w:hint="eastAsia"/>
          <w:color w:val="auto"/>
          <w:sz w:val="24"/>
          <w:highlight w:val="none"/>
        </w:rPr>
        <w:t>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响应性的投标。</w:t>
      </w:r>
    </w:p>
    <w:p>
      <w:pPr>
        <w:spacing w:line="440" w:lineRule="exact"/>
        <w:ind w:firstLine="482" w:firstLineChars="200"/>
        <w:rPr>
          <w:b/>
          <w:bCs/>
          <w:color w:val="auto"/>
          <w:sz w:val="24"/>
          <w:highlight w:val="none"/>
        </w:rPr>
      </w:pPr>
      <w:bookmarkStart w:id="70" w:name="_Toc495582135"/>
      <w:bookmarkStart w:id="71" w:name="_Toc501022804"/>
      <w:r>
        <w:rPr>
          <w:rFonts w:hint="eastAsia"/>
          <w:b/>
          <w:bCs/>
          <w:color w:val="auto"/>
          <w:sz w:val="24"/>
          <w:highlight w:val="none"/>
        </w:rPr>
        <w:t>2.无效标</w:t>
      </w:r>
      <w:bookmarkEnd w:id="70"/>
      <w:bookmarkEnd w:id="71"/>
    </w:p>
    <w:p>
      <w:pPr>
        <w:spacing w:line="440" w:lineRule="exact"/>
        <w:ind w:firstLine="422"/>
        <w:rPr>
          <w:b/>
          <w:color w:val="auto"/>
          <w:sz w:val="24"/>
          <w:highlight w:val="none"/>
        </w:rPr>
      </w:pPr>
      <w:r>
        <w:rPr>
          <w:rFonts w:hint="eastAsia"/>
          <w:b/>
          <w:color w:val="auto"/>
          <w:sz w:val="24"/>
          <w:highlight w:val="none"/>
        </w:rPr>
        <w:t>2.1投标文件属下列情况之一的，应当在资格性检查时按照无效投标处理：</w:t>
      </w:r>
    </w:p>
    <w:p>
      <w:pPr>
        <w:spacing w:line="440" w:lineRule="exact"/>
        <w:ind w:firstLine="42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）未按照招标文件的规定提交投标保证金的；</w:t>
      </w:r>
    </w:p>
    <w:p>
      <w:pPr>
        <w:spacing w:line="440" w:lineRule="exact"/>
        <w:ind w:firstLine="42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）资格证明文件不全的，或者不符合招标文件标明的资格要求的；</w:t>
      </w:r>
    </w:p>
    <w:p>
      <w:pPr>
        <w:spacing w:line="440" w:lineRule="exact"/>
        <w:ind w:firstLine="422"/>
        <w:rPr>
          <w:b/>
          <w:color w:val="auto"/>
          <w:sz w:val="24"/>
          <w:highlight w:val="none"/>
        </w:rPr>
      </w:pPr>
      <w:r>
        <w:rPr>
          <w:rFonts w:hint="eastAsia"/>
          <w:b/>
          <w:color w:val="auto"/>
          <w:sz w:val="24"/>
          <w:highlight w:val="none"/>
        </w:rPr>
        <w:t>2.2投标文件属下列情况之一的，应当在符合性检查时按照无效投标处理：</w:t>
      </w:r>
    </w:p>
    <w:p>
      <w:pPr>
        <w:spacing w:line="440" w:lineRule="exact"/>
        <w:ind w:firstLine="42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）未按照招标文件规定要求装订、密封、签署、盖章的；</w:t>
      </w:r>
    </w:p>
    <w:p>
      <w:pPr>
        <w:spacing w:line="440" w:lineRule="exact"/>
        <w:ind w:firstLine="42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）活页装订（是指用卡条、抽杆夹、订书机等形式装订，使标书可以拆卸或者在翻动过程中易脱落的一种装订方式）的投标文件按无效标处理；</w:t>
      </w:r>
    </w:p>
    <w:p>
      <w:pPr>
        <w:spacing w:line="440" w:lineRule="exact"/>
        <w:ind w:firstLine="42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）不响应招标文件实质性要求（招标文件中带“★”条款要求）</w:t>
      </w:r>
    </w:p>
    <w:p>
      <w:pPr>
        <w:spacing w:line="440" w:lineRule="exact"/>
        <w:ind w:firstLine="42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）投标有效期短于投标人须知前附表规定期限的投标文件；</w:t>
      </w:r>
    </w:p>
    <w:p>
      <w:pPr>
        <w:spacing w:line="440" w:lineRule="exact"/>
        <w:ind w:firstLine="42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）投标人存在串通行为或虚假投标的；</w:t>
      </w:r>
    </w:p>
    <w:p>
      <w:pPr>
        <w:spacing w:line="440" w:lineRule="exact"/>
        <w:ind w:firstLine="42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）不符合法律、法规和招标文件中规定的其他实质性要求的。</w:t>
      </w:r>
    </w:p>
    <w:p>
      <w:pPr>
        <w:spacing w:line="440" w:lineRule="exact"/>
        <w:ind w:firstLine="422"/>
        <w:rPr>
          <w:b/>
          <w:color w:val="auto"/>
          <w:sz w:val="24"/>
          <w:highlight w:val="none"/>
        </w:rPr>
      </w:pPr>
      <w:r>
        <w:rPr>
          <w:rFonts w:hint="eastAsia"/>
          <w:b/>
          <w:color w:val="auto"/>
          <w:sz w:val="24"/>
          <w:highlight w:val="none"/>
        </w:rPr>
        <w:t>2.3在报价评审时，如发现下列情形之一的，报价文件将被视为无效：</w:t>
      </w:r>
    </w:p>
    <w:p>
      <w:pPr>
        <w:spacing w:line="440" w:lineRule="exact"/>
        <w:ind w:firstLine="420"/>
        <w:rPr>
          <w:color w:val="auto"/>
          <w:sz w:val="24"/>
          <w:highlight w:val="none"/>
        </w:rPr>
      </w:pPr>
      <w:r>
        <w:rPr>
          <w:rFonts w:hint="eastAsia"/>
          <w:color w:val="auto"/>
          <w:sz w:val="24"/>
          <w:highlight w:val="none"/>
        </w:rPr>
        <w:t>（1）最终报价超出最高限价，或者超出采购预算金额，采购人不能支付的；</w:t>
      </w:r>
    </w:p>
    <w:p>
      <w:pPr>
        <w:spacing w:line="440" w:lineRule="exact"/>
        <w:ind w:firstLine="420"/>
        <w:rPr>
          <w:color w:val="auto"/>
          <w:sz w:val="24"/>
          <w:highlight w:val="none"/>
        </w:rPr>
      </w:pPr>
      <w:r>
        <w:rPr>
          <w:rFonts w:hint="eastAsia"/>
          <w:color w:val="auto"/>
          <w:sz w:val="24"/>
          <w:highlight w:val="none"/>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241" w:firstLineChars="100"/>
        <w:rPr>
          <w:b/>
          <w:bCs/>
          <w:color w:val="auto"/>
          <w:sz w:val="24"/>
          <w:highlight w:val="none"/>
        </w:rPr>
      </w:pPr>
      <w:bookmarkStart w:id="72" w:name="_Toc501022805"/>
      <w:bookmarkStart w:id="73" w:name="_Toc495582136"/>
      <w:r>
        <w:rPr>
          <w:rFonts w:hint="eastAsia"/>
          <w:b/>
          <w:bCs/>
          <w:color w:val="auto"/>
          <w:sz w:val="24"/>
          <w:highlight w:val="none"/>
        </w:rPr>
        <w:t>3.废标</w:t>
      </w:r>
      <w:bookmarkEnd w:id="72"/>
      <w:bookmarkEnd w:id="73"/>
    </w:p>
    <w:p>
      <w:pPr>
        <w:spacing w:line="440" w:lineRule="exact"/>
        <w:ind w:firstLine="420"/>
        <w:rPr>
          <w:color w:val="auto"/>
          <w:sz w:val="24"/>
          <w:highlight w:val="none"/>
        </w:rPr>
      </w:pPr>
      <w:r>
        <w:rPr>
          <w:rFonts w:hint="eastAsia"/>
          <w:color w:val="auto"/>
          <w:sz w:val="24"/>
          <w:highlight w:val="none"/>
        </w:rPr>
        <w:t>3.1根据《中华人民共和国政府采购法》第三十六条之规定，在采购中，出现下列情况之一的，应予以废标：</w:t>
      </w:r>
    </w:p>
    <w:p>
      <w:pPr>
        <w:spacing w:line="440" w:lineRule="exact"/>
        <w:ind w:firstLine="42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）符合专业条件的供应商或者对招标文件作实质响应的供应商不足</w:t>
      </w:r>
      <w:r>
        <w:rPr>
          <w:color w:val="auto"/>
          <w:sz w:val="24"/>
          <w:highlight w:val="none"/>
        </w:rPr>
        <w:t>3</w:t>
      </w:r>
      <w:r>
        <w:rPr>
          <w:rFonts w:hint="eastAsia"/>
          <w:color w:val="auto"/>
          <w:sz w:val="24"/>
          <w:highlight w:val="none"/>
        </w:rPr>
        <w:t>家的（政府购买服务项目（含政府和社会资本合作项目）符合专业条件的供应商或者对招标文件作实质响应的供应商不足2家的）；</w:t>
      </w:r>
    </w:p>
    <w:p>
      <w:pPr>
        <w:spacing w:line="440" w:lineRule="exact"/>
        <w:ind w:firstLine="42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）出现影响采购公正的违法、违规行为的；</w:t>
      </w:r>
    </w:p>
    <w:p>
      <w:pPr>
        <w:spacing w:line="440" w:lineRule="exact"/>
        <w:ind w:firstLine="42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）投标人的最终报价均超过了采购预算，采购单位不能支付的；</w:t>
      </w:r>
    </w:p>
    <w:p>
      <w:pPr>
        <w:spacing w:line="440" w:lineRule="exact"/>
        <w:ind w:firstLine="42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）因重大变故，采购任务取消的。</w:t>
      </w:r>
    </w:p>
    <w:p>
      <w:pPr>
        <w:spacing w:line="440" w:lineRule="exact"/>
        <w:ind w:firstLine="420"/>
        <w:rPr>
          <w:color w:val="auto"/>
          <w:sz w:val="24"/>
          <w:highlight w:val="none"/>
        </w:rPr>
      </w:pPr>
      <w:r>
        <w:rPr>
          <w:rFonts w:hint="eastAsia"/>
          <w:color w:val="auto"/>
          <w:sz w:val="24"/>
          <w:highlight w:val="none"/>
        </w:rPr>
        <w:t>废标后，采购代理机构应当将废标理由通知所有投标人。</w:t>
      </w:r>
    </w:p>
    <w:p>
      <w:pPr>
        <w:spacing w:line="440" w:lineRule="exact"/>
        <w:rPr>
          <w:b/>
          <w:bCs/>
          <w:color w:val="auto"/>
          <w:sz w:val="24"/>
          <w:highlight w:val="none"/>
        </w:rPr>
      </w:pPr>
      <w:bookmarkStart w:id="74" w:name="_Toc501022806"/>
      <w:bookmarkStart w:id="75" w:name="_Toc495582137"/>
      <w:r>
        <w:rPr>
          <w:rFonts w:hint="eastAsia"/>
          <w:b/>
          <w:bCs/>
          <w:color w:val="auto"/>
          <w:sz w:val="24"/>
          <w:highlight w:val="none"/>
        </w:rPr>
        <w:t>4.情形认定</w:t>
      </w:r>
      <w:bookmarkEnd w:id="74"/>
      <w:bookmarkEnd w:id="75"/>
    </w:p>
    <w:p>
      <w:pPr>
        <w:spacing w:line="440" w:lineRule="exact"/>
        <w:ind w:firstLine="420"/>
        <w:rPr>
          <w:color w:val="auto"/>
          <w:sz w:val="24"/>
          <w:highlight w:val="none"/>
        </w:rPr>
      </w:pPr>
      <w:r>
        <w:rPr>
          <w:rFonts w:hint="eastAsia"/>
          <w:color w:val="auto"/>
          <w:sz w:val="24"/>
          <w:highlight w:val="none"/>
        </w:rPr>
        <w:t>4.1</w:t>
      </w:r>
      <w:r>
        <w:rPr>
          <w:color w:val="auto"/>
          <w:sz w:val="24"/>
          <w:highlight w:val="none"/>
        </w:rPr>
        <w:t>当磋商小组有充分理由确认所有供应商的报价没有达到预期的竞争效果，经磋商小组半数以上成员确认，可以否决本次采购。</w:t>
      </w:r>
    </w:p>
    <w:p>
      <w:pPr>
        <w:spacing w:line="440" w:lineRule="exact"/>
        <w:ind w:firstLine="420"/>
        <w:rPr>
          <w:color w:val="auto"/>
          <w:sz w:val="24"/>
          <w:highlight w:val="none"/>
        </w:rPr>
      </w:pPr>
      <w:r>
        <w:rPr>
          <w:rFonts w:hint="eastAsia"/>
          <w:color w:val="auto"/>
          <w:sz w:val="24"/>
          <w:highlight w:val="none"/>
        </w:rPr>
        <w:t>4.2采用竞争性磋商采购方式采购的政府购买服务项目（含政府和社会资本合作项目），在采购过程中符合要求的供应商（社会资本）只有</w:t>
      </w:r>
      <w:r>
        <w:rPr>
          <w:color w:val="auto"/>
          <w:sz w:val="24"/>
          <w:highlight w:val="none"/>
        </w:rPr>
        <w:t>2</w:t>
      </w:r>
      <w:r>
        <w:rPr>
          <w:rFonts w:hint="eastAsia"/>
          <w:color w:val="auto"/>
          <w:sz w:val="24"/>
          <w:highlight w:val="none"/>
        </w:rPr>
        <w:t>家的，竞争性磋商采购活动可以继续进行。采购过程中符合要求的供应商（社会资本）只有</w:t>
      </w:r>
      <w:r>
        <w:rPr>
          <w:color w:val="auto"/>
          <w:sz w:val="24"/>
          <w:highlight w:val="none"/>
        </w:rPr>
        <w:t>1</w:t>
      </w:r>
      <w:r>
        <w:rPr>
          <w:rFonts w:hint="eastAsia"/>
          <w:color w:val="auto"/>
          <w:sz w:val="24"/>
          <w:highlight w:val="none"/>
        </w:rPr>
        <w:t>家的，采购人（项目实施机构）或者采购代理机构应当终止竞争性磋商采购活动，发布项目终止公告并说明原因，重新开展采购活动。</w:t>
      </w:r>
    </w:p>
    <w:p>
      <w:pPr>
        <w:pStyle w:val="3"/>
        <w:spacing w:line="460" w:lineRule="exact"/>
        <w:rPr>
          <w:rFonts w:ascii="宋体" w:hAnsi="宋体"/>
          <w:color w:val="auto"/>
          <w:sz w:val="24"/>
          <w:highlight w:val="none"/>
        </w:rPr>
      </w:pPr>
      <w:bookmarkStart w:id="76" w:name="_Toc17794"/>
      <w:r>
        <w:rPr>
          <w:rFonts w:hint="eastAsia" w:ascii="宋体" w:hAnsi="宋体"/>
          <w:color w:val="auto"/>
          <w:sz w:val="24"/>
          <w:highlight w:val="none"/>
        </w:rPr>
        <w:t>四、响应文件开启</w:t>
      </w:r>
      <w:bookmarkEnd w:id="76"/>
      <w:bookmarkStart w:id="77" w:name="_Toc26048"/>
    </w:p>
    <w:p>
      <w:pPr>
        <w:spacing w:line="460" w:lineRule="exact"/>
        <w:rPr>
          <w:rFonts w:ascii="宋体"/>
          <w:color w:val="auto"/>
          <w:sz w:val="24"/>
          <w:highlight w:val="none"/>
        </w:rPr>
      </w:pPr>
      <w:r>
        <w:rPr>
          <w:rFonts w:hint="eastAsia" w:ascii="宋体"/>
          <w:color w:val="auto"/>
          <w:sz w:val="24"/>
          <w:highlight w:val="none"/>
        </w:rPr>
        <w:t>（一）响应文件开启准备</w:t>
      </w:r>
      <w:bookmarkEnd w:id="77"/>
    </w:p>
    <w:p>
      <w:pPr>
        <w:spacing w:line="460" w:lineRule="exact"/>
        <w:ind w:firstLine="480" w:firstLineChars="200"/>
        <w:rPr>
          <w:rFonts w:ascii="宋体"/>
          <w:color w:val="auto"/>
          <w:sz w:val="24"/>
          <w:highlight w:val="none"/>
        </w:rPr>
      </w:pPr>
      <w:r>
        <w:rPr>
          <w:rFonts w:hint="eastAsia" w:ascii="宋体"/>
          <w:color w:val="auto"/>
          <w:sz w:val="24"/>
          <w:highlight w:val="none"/>
        </w:rPr>
        <w:t>1.制订响应文件开启、评审工作的组织方案，落实工作场地、设施，检查录音录像采集设备运行情况。</w:t>
      </w:r>
    </w:p>
    <w:p>
      <w:pPr>
        <w:spacing w:line="460" w:lineRule="exact"/>
        <w:ind w:firstLine="480" w:firstLineChars="200"/>
        <w:rPr>
          <w:rFonts w:ascii="宋体" w:hAnsi="宋体"/>
          <w:color w:val="auto"/>
          <w:spacing w:val="-6"/>
          <w:sz w:val="24"/>
          <w:highlight w:val="none"/>
        </w:rPr>
      </w:pPr>
      <w:r>
        <w:rPr>
          <w:rFonts w:hint="eastAsia" w:ascii="宋体" w:hAnsi="宋体"/>
          <w:color w:val="auto"/>
          <w:sz w:val="24"/>
          <w:highlight w:val="none"/>
        </w:rPr>
        <w:t>2.通知或邀请相关单位和人员出席响应文件开启、评审活动（按规定由相关监管部门或其授权机构随机抽取</w:t>
      </w:r>
      <w:r>
        <w:rPr>
          <w:rFonts w:ascii="宋体" w:hAnsi="宋体"/>
          <w:color w:val="auto"/>
          <w:spacing w:val="-6"/>
          <w:sz w:val="24"/>
          <w:highlight w:val="none"/>
        </w:rPr>
        <w:t>、通知的政府采购评审专家除外）。</w:t>
      </w:r>
    </w:p>
    <w:p>
      <w:pPr>
        <w:spacing w:line="460" w:lineRule="exact"/>
        <w:ind w:firstLine="456" w:firstLineChars="200"/>
        <w:rPr>
          <w:rFonts w:ascii="宋体" w:hAnsi="宋体"/>
          <w:color w:val="auto"/>
          <w:spacing w:val="-6"/>
          <w:sz w:val="24"/>
          <w:highlight w:val="none"/>
        </w:rPr>
      </w:pPr>
      <w:r>
        <w:rPr>
          <w:rFonts w:hint="eastAsia" w:ascii="宋体" w:hAnsi="宋体"/>
          <w:color w:val="auto"/>
          <w:spacing w:val="-6"/>
          <w:sz w:val="24"/>
          <w:highlight w:val="none"/>
        </w:rPr>
        <w:t>3.</w:t>
      </w:r>
      <w:r>
        <w:rPr>
          <w:rFonts w:ascii="宋体" w:hAnsi="宋体"/>
          <w:color w:val="auto"/>
          <w:spacing w:val="-6"/>
          <w:sz w:val="24"/>
          <w:highlight w:val="none"/>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pPr>
        <w:spacing w:line="460" w:lineRule="exact"/>
        <w:ind w:firstLine="456" w:firstLineChars="200"/>
        <w:rPr>
          <w:rFonts w:ascii="宋体" w:hAnsi="宋体"/>
          <w:color w:val="auto"/>
          <w:spacing w:val="-6"/>
          <w:sz w:val="24"/>
          <w:highlight w:val="none"/>
        </w:rPr>
      </w:pPr>
      <w:r>
        <w:rPr>
          <w:rFonts w:hint="eastAsia" w:ascii="宋体" w:hAnsi="宋体"/>
          <w:color w:val="auto"/>
          <w:spacing w:val="-6"/>
          <w:sz w:val="24"/>
          <w:highlight w:val="none"/>
        </w:rPr>
        <w:t>4.</w:t>
      </w:r>
      <w:r>
        <w:rPr>
          <w:rFonts w:ascii="宋体" w:hAnsi="宋体"/>
          <w:color w:val="auto"/>
          <w:spacing w:val="-6"/>
          <w:sz w:val="24"/>
          <w:highlight w:val="none"/>
        </w:rPr>
        <w:t>其他应准备的事项。</w:t>
      </w:r>
    </w:p>
    <w:p>
      <w:pPr>
        <w:spacing w:line="460" w:lineRule="exact"/>
        <w:rPr>
          <w:rFonts w:ascii="宋体"/>
          <w:color w:val="auto"/>
          <w:sz w:val="24"/>
          <w:highlight w:val="none"/>
        </w:rPr>
      </w:pPr>
      <w:bookmarkStart w:id="78" w:name="_Toc8867"/>
      <w:r>
        <w:rPr>
          <w:rFonts w:hint="eastAsia" w:ascii="宋体"/>
          <w:color w:val="auto"/>
          <w:sz w:val="24"/>
          <w:highlight w:val="none"/>
        </w:rPr>
        <w:t>（二）响应文件开启程序</w:t>
      </w:r>
      <w:bookmarkEnd w:id="78"/>
    </w:p>
    <w:p>
      <w:pPr>
        <w:pStyle w:val="7"/>
        <w:spacing w:line="460" w:lineRule="exact"/>
        <w:ind w:firstLine="456" w:firstLineChars="200"/>
        <w:rPr>
          <w:rFonts w:hAnsi="宋体"/>
          <w:color w:val="auto"/>
          <w:spacing w:val="-6"/>
          <w:sz w:val="24"/>
          <w:szCs w:val="24"/>
          <w:highlight w:val="none"/>
        </w:rPr>
      </w:pPr>
      <w:r>
        <w:rPr>
          <w:rFonts w:hAnsi="宋体"/>
          <w:color w:val="auto"/>
          <w:spacing w:val="-6"/>
          <w:sz w:val="24"/>
          <w:szCs w:val="24"/>
          <w:highlight w:val="none"/>
        </w:rPr>
        <w:t>采购代理机构按照</w:t>
      </w:r>
      <w:r>
        <w:rPr>
          <w:rFonts w:hint="eastAsia" w:hAnsi="宋体"/>
          <w:color w:val="auto"/>
          <w:spacing w:val="-6"/>
          <w:sz w:val="24"/>
          <w:szCs w:val="24"/>
          <w:highlight w:val="none"/>
        </w:rPr>
        <w:t>磋商文件</w:t>
      </w:r>
      <w:r>
        <w:rPr>
          <w:rFonts w:hAnsi="宋体"/>
          <w:color w:val="auto"/>
          <w:spacing w:val="-6"/>
          <w:sz w:val="24"/>
          <w:szCs w:val="24"/>
          <w:highlight w:val="none"/>
        </w:rPr>
        <w:t>规定的时间、地点和程序组织</w:t>
      </w:r>
      <w:r>
        <w:rPr>
          <w:rFonts w:hint="eastAsia" w:hAnsi="宋体"/>
          <w:color w:val="auto"/>
          <w:spacing w:val="-6"/>
          <w:sz w:val="24"/>
          <w:szCs w:val="24"/>
          <w:highlight w:val="none"/>
        </w:rPr>
        <w:t>响应文件开启</w:t>
      </w:r>
      <w:r>
        <w:rPr>
          <w:rFonts w:hAnsi="宋体"/>
          <w:color w:val="auto"/>
          <w:spacing w:val="-6"/>
          <w:sz w:val="24"/>
          <w:szCs w:val="24"/>
          <w:highlight w:val="none"/>
        </w:rPr>
        <w:t>。具体按以下程序进行：</w:t>
      </w:r>
    </w:p>
    <w:p>
      <w:pPr>
        <w:pStyle w:val="7"/>
        <w:spacing w:line="460" w:lineRule="exact"/>
        <w:ind w:firstLine="456" w:firstLineChars="200"/>
        <w:rPr>
          <w:rFonts w:hAnsi="宋体"/>
          <w:color w:val="auto"/>
          <w:sz w:val="24"/>
          <w:szCs w:val="24"/>
          <w:highlight w:val="none"/>
        </w:rPr>
      </w:pPr>
      <w:r>
        <w:rPr>
          <w:rFonts w:hint="eastAsia" w:hAnsi="宋体"/>
          <w:color w:val="auto"/>
          <w:spacing w:val="-6"/>
          <w:sz w:val="24"/>
          <w:szCs w:val="24"/>
          <w:highlight w:val="none"/>
        </w:rPr>
        <w:t>1.</w:t>
      </w:r>
      <w:r>
        <w:rPr>
          <w:rFonts w:hAnsi="宋体"/>
          <w:color w:val="auto"/>
          <w:sz w:val="24"/>
          <w:szCs w:val="24"/>
          <w:highlight w:val="none"/>
        </w:rPr>
        <w:t>开启</w:t>
      </w:r>
      <w:r>
        <w:rPr>
          <w:rFonts w:hint="eastAsia" w:hAnsi="宋体"/>
          <w:color w:val="auto"/>
          <w:sz w:val="24"/>
          <w:szCs w:val="24"/>
          <w:highlight w:val="none"/>
        </w:rPr>
        <w:t>响应文件开启</w:t>
      </w:r>
      <w:r>
        <w:rPr>
          <w:rFonts w:hAnsi="宋体"/>
          <w:color w:val="auto"/>
          <w:sz w:val="24"/>
          <w:szCs w:val="24"/>
          <w:highlight w:val="none"/>
        </w:rPr>
        <w:t>场地的录音录像采集设备，并确保其正常运行。</w:t>
      </w:r>
    </w:p>
    <w:p>
      <w:pPr>
        <w:pStyle w:val="7"/>
        <w:spacing w:line="460" w:lineRule="exact"/>
        <w:ind w:firstLine="464" w:firstLineChars="200"/>
        <w:rPr>
          <w:rFonts w:hAnsi="宋体"/>
          <w:color w:val="auto"/>
          <w:sz w:val="24"/>
          <w:szCs w:val="24"/>
          <w:highlight w:val="none"/>
        </w:rPr>
      </w:pPr>
      <w:r>
        <w:rPr>
          <w:rFonts w:hint="eastAsia" w:hAnsi="宋体"/>
          <w:color w:val="auto"/>
          <w:sz w:val="24"/>
          <w:szCs w:val="24"/>
          <w:highlight w:val="none"/>
        </w:rPr>
        <w:t>2.</w:t>
      </w:r>
      <w:r>
        <w:rPr>
          <w:rFonts w:hAnsi="宋体"/>
          <w:color w:val="auto"/>
          <w:sz w:val="24"/>
          <w:szCs w:val="24"/>
          <w:highlight w:val="none"/>
        </w:rPr>
        <w:t>核验出席</w:t>
      </w:r>
      <w:r>
        <w:rPr>
          <w:rFonts w:hint="eastAsia" w:hAnsi="宋体"/>
          <w:color w:val="auto"/>
          <w:sz w:val="24"/>
          <w:szCs w:val="24"/>
          <w:highlight w:val="none"/>
        </w:rPr>
        <w:t>响应文件开启</w:t>
      </w:r>
      <w:r>
        <w:rPr>
          <w:rFonts w:hAnsi="宋体"/>
          <w:color w:val="auto"/>
          <w:sz w:val="24"/>
          <w:szCs w:val="24"/>
          <w:highlight w:val="none"/>
        </w:rPr>
        <w:t>活动现场的各授权供应商代表及相关单位人员身份，并组织其分别登记、签到，无关人员可拒绝其进入现场。</w:t>
      </w:r>
    </w:p>
    <w:p>
      <w:pPr>
        <w:pStyle w:val="7"/>
        <w:spacing w:line="460" w:lineRule="exact"/>
        <w:ind w:firstLine="464" w:firstLineChars="200"/>
        <w:rPr>
          <w:rFonts w:hAnsi="宋体"/>
          <w:color w:val="auto"/>
          <w:sz w:val="24"/>
          <w:szCs w:val="24"/>
          <w:highlight w:val="none"/>
        </w:rPr>
      </w:pPr>
      <w:r>
        <w:rPr>
          <w:rFonts w:hint="eastAsia" w:hAnsi="宋体"/>
          <w:color w:val="auto"/>
          <w:sz w:val="24"/>
          <w:szCs w:val="24"/>
          <w:highlight w:val="none"/>
        </w:rPr>
        <w:t>3.</w:t>
      </w:r>
      <w:r>
        <w:rPr>
          <w:rFonts w:hAnsi="宋体"/>
          <w:color w:val="auto"/>
          <w:sz w:val="24"/>
          <w:szCs w:val="24"/>
          <w:highlight w:val="none"/>
        </w:rPr>
        <w:t>对现场接受</w:t>
      </w:r>
      <w:r>
        <w:rPr>
          <w:rFonts w:hint="eastAsia" w:hAnsi="宋体"/>
          <w:color w:val="auto"/>
          <w:sz w:val="24"/>
          <w:szCs w:val="24"/>
          <w:highlight w:val="none"/>
        </w:rPr>
        <w:t>响应文件的，</w:t>
      </w:r>
      <w:r>
        <w:rPr>
          <w:rFonts w:hAnsi="宋体"/>
          <w:color w:val="auto"/>
          <w:sz w:val="24"/>
          <w:szCs w:val="24"/>
          <w:highlight w:val="none"/>
        </w:rPr>
        <w:t>由现场工作人员接收</w:t>
      </w:r>
      <w:r>
        <w:rPr>
          <w:rFonts w:hint="eastAsia" w:hAnsi="宋体"/>
          <w:color w:val="auto"/>
          <w:sz w:val="24"/>
          <w:szCs w:val="24"/>
          <w:highlight w:val="none"/>
        </w:rPr>
        <w:t>响应文件</w:t>
      </w:r>
      <w:r>
        <w:rPr>
          <w:rFonts w:hAnsi="宋体"/>
          <w:color w:val="auto"/>
          <w:sz w:val="24"/>
          <w:szCs w:val="24"/>
          <w:highlight w:val="none"/>
        </w:rPr>
        <w:t>并登记，请供应商代表对</w:t>
      </w:r>
      <w:r>
        <w:rPr>
          <w:rFonts w:hint="eastAsia" w:hAnsi="宋体"/>
          <w:color w:val="auto"/>
          <w:sz w:val="24"/>
          <w:szCs w:val="24"/>
          <w:highlight w:val="none"/>
        </w:rPr>
        <w:t>响应文件</w:t>
      </w:r>
      <w:r>
        <w:rPr>
          <w:rFonts w:hAnsi="宋体"/>
          <w:color w:val="auto"/>
          <w:sz w:val="24"/>
          <w:szCs w:val="24"/>
          <w:highlight w:val="none"/>
        </w:rPr>
        <w:t>的递交记录情况进行签字确认。</w:t>
      </w:r>
    </w:p>
    <w:p>
      <w:pPr>
        <w:pStyle w:val="7"/>
        <w:spacing w:line="460" w:lineRule="exact"/>
        <w:ind w:firstLine="464" w:firstLineChars="200"/>
        <w:rPr>
          <w:rFonts w:hAnsi="宋体"/>
          <w:color w:val="auto"/>
          <w:sz w:val="24"/>
          <w:szCs w:val="24"/>
          <w:highlight w:val="none"/>
        </w:rPr>
      </w:pPr>
      <w:r>
        <w:rPr>
          <w:rFonts w:hint="eastAsia" w:hAnsi="宋体"/>
          <w:color w:val="auto"/>
          <w:sz w:val="24"/>
          <w:szCs w:val="24"/>
          <w:highlight w:val="none"/>
        </w:rPr>
        <w:t>4.</w:t>
      </w:r>
      <w:r>
        <w:rPr>
          <w:rFonts w:hAnsi="宋体"/>
          <w:color w:val="auto"/>
          <w:sz w:val="24"/>
          <w:szCs w:val="24"/>
          <w:highlight w:val="none"/>
        </w:rPr>
        <w:t>主持人宣布</w:t>
      </w:r>
      <w:r>
        <w:rPr>
          <w:rFonts w:hint="eastAsia" w:hAnsi="宋体"/>
          <w:color w:val="auto"/>
          <w:sz w:val="24"/>
          <w:szCs w:val="24"/>
          <w:highlight w:val="none"/>
        </w:rPr>
        <w:t>响应文件开启</w:t>
      </w:r>
      <w:r>
        <w:rPr>
          <w:rFonts w:hAnsi="宋体"/>
          <w:color w:val="auto"/>
          <w:sz w:val="24"/>
          <w:szCs w:val="24"/>
          <w:highlight w:val="none"/>
        </w:rPr>
        <w:t>，介绍</w:t>
      </w:r>
      <w:r>
        <w:rPr>
          <w:rFonts w:hint="eastAsia" w:hAnsi="宋体"/>
          <w:color w:val="auto"/>
          <w:sz w:val="24"/>
          <w:szCs w:val="24"/>
          <w:highlight w:val="none"/>
        </w:rPr>
        <w:t>响应文件开启</w:t>
      </w:r>
      <w:r>
        <w:rPr>
          <w:rFonts w:hAnsi="宋体"/>
          <w:color w:val="auto"/>
          <w:sz w:val="24"/>
          <w:szCs w:val="24"/>
          <w:highlight w:val="none"/>
        </w:rPr>
        <w:t>现场的人员情况，宣读递交</w:t>
      </w:r>
      <w:r>
        <w:rPr>
          <w:rFonts w:hint="eastAsia" w:hAnsi="宋体"/>
          <w:color w:val="auto"/>
          <w:sz w:val="24"/>
          <w:szCs w:val="24"/>
          <w:highlight w:val="none"/>
        </w:rPr>
        <w:t>响应文件的供应商名单</w:t>
      </w:r>
      <w:r>
        <w:rPr>
          <w:rFonts w:hAnsi="宋体"/>
          <w:color w:val="auto"/>
          <w:sz w:val="24"/>
          <w:szCs w:val="24"/>
          <w:highlight w:val="none"/>
        </w:rPr>
        <w:t>、</w:t>
      </w:r>
      <w:r>
        <w:rPr>
          <w:rFonts w:hint="eastAsia" w:hAnsi="宋体"/>
          <w:color w:val="auto"/>
          <w:sz w:val="24"/>
          <w:szCs w:val="24"/>
          <w:highlight w:val="none"/>
        </w:rPr>
        <w:t>响应文件开启</w:t>
      </w:r>
      <w:r>
        <w:rPr>
          <w:rFonts w:hAnsi="宋体"/>
          <w:color w:val="auto"/>
          <w:sz w:val="24"/>
          <w:szCs w:val="24"/>
          <w:highlight w:val="none"/>
        </w:rPr>
        <w:t>纪律、应当回避的情形等注意事项，组织供应商签署不存在影响公平竞争的《政府采购活动现场确认声明书》。</w:t>
      </w:r>
    </w:p>
    <w:p>
      <w:pPr>
        <w:pStyle w:val="7"/>
        <w:spacing w:line="460" w:lineRule="exact"/>
        <w:ind w:firstLine="464" w:firstLineChars="200"/>
        <w:rPr>
          <w:rFonts w:hAnsi="宋体"/>
          <w:color w:val="auto"/>
          <w:sz w:val="24"/>
          <w:szCs w:val="24"/>
          <w:highlight w:val="none"/>
        </w:rPr>
      </w:pPr>
      <w:r>
        <w:rPr>
          <w:rFonts w:hint="eastAsia" w:hAnsi="宋体"/>
          <w:color w:val="auto"/>
          <w:sz w:val="24"/>
          <w:szCs w:val="24"/>
          <w:highlight w:val="none"/>
        </w:rPr>
        <w:t>5.</w:t>
      </w:r>
      <w:r>
        <w:rPr>
          <w:rFonts w:hAnsi="宋体"/>
          <w:color w:val="auto"/>
          <w:sz w:val="24"/>
          <w:szCs w:val="24"/>
          <w:highlight w:val="none"/>
        </w:rPr>
        <w:t>对供应商</w:t>
      </w:r>
      <w:r>
        <w:rPr>
          <w:rFonts w:hint="eastAsia" w:hAnsi="宋体"/>
          <w:color w:val="auto"/>
          <w:sz w:val="24"/>
          <w:szCs w:val="24"/>
          <w:highlight w:val="none"/>
        </w:rPr>
        <w:t>磋商保证金缴纳情况进行查验</w:t>
      </w:r>
      <w:r>
        <w:rPr>
          <w:rFonts w:hAnsi="宋体"/>
          <w:color w:val="auto"/>
          <w:sz w:val="24"/>
          <w:szCs w:val="24"/>
          <w:highlight w:val="none"/>
        </w:rPr>
        <w:t>、核实，提请供应商代表或公证人员查验响应文件密封情况。</w:t>
      </w:r>
    </w:p>
    <w:p>
      <w:pPr>
        <w:pStyle w:val="7"/>
        <w:spacing w:line="460" w:lineRule="exact"/>
        <w:ind w:firstLine="464" w:firstLineChars="200"/>
        <w:rPr>
          <w:rFonts w:hAnsi="宋体"/>
          <w:color w:val="auto"/>
          <w:sz w:val="24"/>
          <w:szCs w:val="24"/>
          <w:highlight w:val="none"/>
        </w:rPr>
      </w:pPr>
      <w:r>
        <w:rPr>
          <w:rFonts w:hint="eastAsia" w:hAnsi="宋体"/>
          <w:color w:val="auto"/>
          <w:sz w:val="24"/>
          <w:szCs w:val="24"/>
          <w:highlight w:val="none"/>
        </w:rPr>
        <w:t>6.</w:t>
      </w:r>
      <w:r>
        <w:rPr>
          <w:rFonts w:hAnsi="宋体"/>
          <w:color w:val="auto"/>
          <w:sz w:val="24"/>
          <w:szCs w:val="24"/>
          <w:highlight w:val="none"/>
        </w:rPr>
        <w:t>按供应商提交响应文件的先后顺序当众拆封、清点</w:t>
      </w:r>
      <w:r>
        <w:rPr>
          <w:rFonts w:hint="eastAsia" w:hAnsi="宋体"/>
          <w:color w:val="auto"/>
          <w:sz w:val="24"/>
          <w:szCs w:val="24"/>
          <w:highlight w:val="none"/>
        </w:rPr>
        <w:t>响应文件</w:t>
      </w:r>
      <w:r>
        <w:rPr>
          <w:rFonts w:hAnsi="宋体"/>
          <w:color w:val="auto"/>
          <w:sz w:val="24"/>
          <w:szCs w:val="24"/>
          <w:highlight w:val="none"/>
        </w:rPr>
        <w:t>（包括正本、副本）数量，将拆封后的</w:t>
      </w:r>
      <w:r>
        <w:rPr>
          <w:rFonts w:hint="eastAsia" w:hAnsi="宋体"/>
          <w:color w:val="auto"/>
          <w:sz w:val="24"/>
          <w:szCs w:val="24"/>
          <w:highlight w:val="none"/>
        </w:rPr>
        <w:t>响应</w:t>
      </w:r>
      <w:r>
        <w:rPr>
          <w:rFonts w:hAnsi="宋体"/>
          <w:color w:val="auto"/>
          <w:sz w:val="24"/>
          <w:szCs w:val="24"/>
          <w:highlight w:val="none"/>
        </w:rPr>
        <w:t>文件由现场工作人员护送至指定的评审地点。对不符合装订要求的</w:t>
      </w:r>
      <w:r>
        <w:rPr>
          <w:rFonts w:hint="eastAsia" w:hAnsi="宋体"/>
          <w:color w:val="auto"/>
          <w:sz w:val="24"/>
          <w:szCs w:val="24"/>
          <w:highlight w:val="none"/>
        </w:rPr>
        <w:t>响应文件</w:t>
      </w:r>
      <w:r>
        <w:rPr>
          <w:rFonts w:hAnsi="宋体"/>
          <w:color w:val="auto"/>
          <w:sz w:val="24"/>
          <w:szCs w:val="24"/>
          <w:highlight w:val="none"/>
        </w:rPr>
        <w:t>，</w:t>
      </w:r>
      <w:r>
        <w:rPr>
          <w:rFonts w:hint="eastAsia" w:hAnsi="宋体"/>
          <w:color w:val="auto"/>
          <w:sz w:val="24"/>
          <w:szCs w:val="24"/>
          <w:highlight w:val="none"/>
        </w:rPr>
        <w:t>由现场工作人员退还供应商代表</w:t>
      </w:r>
      <w:r>
        <w:rPr>
          <w:rFonts w:hAnsi="宋体"/>
          <w:color w:val="auto"/>
          <w:sz w:val="24"/>
          <w:szCs w:val="24"/>
          <w:highlight w:val="none"/>
        </w:rPr>
        <w:t>。</w:t>
      </w:r>
    </w:p>
    <w:p>
      <w:pPr>
        <w:pStyle w:val="3"/>
        <w:rPr>
          <w:rFonts w:hAnsi="宋体"/>
          <w:color w:val="auto"/>
          <w:spacing w:val="-6"/>
          <w:sz w:val="32"/>
          <w:highlight w:val="none"/>
        </w:rPr>
      </w:pPr>
      <w:r>
        <w:rPr>
          <w:rFonts w:hAnsi="宋体"/>
          <w:color w:val="auto"/>
          <w:spacing w:val="-6"/>
          <w:sz w:val="32"/>
          <w:highlight w:val="none"/>
        </w:rPr>
        <w:br w:type="page"/>
      </w:r>
      <w:bookmarkStart w:id="79" w:name="_Toc11858"/>
      <w:bookmarkStart w:id="80" w:name="_Toc2941"/>
      <w:r>
        <w:rPr>
          <w:rFonts w:hint="eastAsia" w:hAnsi="宋体"/>
          <w:color w:val="auto"/>
          <w:spacing w:val="-6"/>
          <w:sz w:val="32"/>
          <w:highlight w:val="none"/>
        </w:rPr>
        <w:t>五、</w:t>
      </w:r>
      <w:r>
        <w:rPr>
          <w:rFonts w:hint="eastAsia" w:ascii="宋体" w:hAnsi="宋体"/>
          <w:color w:val="auto"/>
          <w:sz w:val="24"/>
          <w:highlight w:val="none"/>
        </w:rPr>
        <w:t>磋商程序</w:t>
      </w:r>
      <w:bookmarkEnd w:id="79"/>
      <w:bookmarkEnd w:id="80"/>
    </w:p>
    <w:p>
      <w:pPr>
        <w:spacing w:line="460" w:lineRule="exact"/>
        <w:rPr>
          <w:rFonts w:ascii="宋体"/>
          <w:color w:val="auto"/>
          <w:sz w:val="24"/>
          <w:highlight w:val="none"/>
        </w:rPr>
      </w:pPr>
      <w:bookmarkStart w:id="81" w:name="_Toc25326"/>
      <w:r>
        <w:rPr>
          <w:rFonts w:hint="eastAsia" w:ascii="宋体"/>
          <w:color w:val="auto"/>
          <w:sz w:val="24"/>
          <w:highlight w:val="none"/>
        </w:rPr>
        <w:t>（一）组建磋商小组</w:t>
      </w:r>
      <w:bookmarkEnd w:id="81"/>
    </w:p>
    <w:p>
      <w:pPr>
        <w:spacing w:line="460" w:lineRule="exact"/>
        <w:ind w:firstLine="480" w:firstLineChars="200"/>
        <w:rPr>
          <w:rFonts w:ascii="宋体"/>
          <w:color w:val="auto"/>
          <w:sz w:val="24"/>
          <w:highlight w:val="none"/>
        </w:rPr>
      </w:pPr>
      <w:r>
        <w:rPr>
          <w:rFonts w:hint="eastAsia" w:ascii="宋体"/>
          <w:color w:val="auto"/>
          <w:sz w:val="24"/>
          <w:highlight w:val="none"/>
        </w:rPr>
        <w:t>磋商小组由采购人代表和评审专家共3人以上单数组成，其中评审专家人数不得少于磋商小组成员总数的2/3。</w:t>
      </w:r>
    </w:p>
    <w:p>
      <w:pPr>
        <w:spacing w:line="460" w:lineRule="exact"/>
        <w:rPr>
          <w:rFonts w:ascii="宋体"/>
          <w:color w:val="auto"/>
          <w:sz w:val="24"/>
          <w:highlight w:val="none"/>
        </w:rPr>
      </w:pPr>
      <w:bookmarkStart w:id="82" w:name="_Toc8723"/>
      <w:r>
        <w:rPr>
          <w:rFonts w:hint="eastAsia" w:ascii="宋体"/>
          <w:color w:val="auto"/>
          <w:sz w:val="24"/>
          <w:highlight w:val="none"/>
        </w:rPr>
        <w:t>（二）评审的方式</w:t>
      </w:r>
      <w:bookmarkEnd w:id="82"/>
    </w:p>
    <w:p>
      <w:pPr>
        <w:spacing w:line="460" w:lineRule="exact"/>
        <w:ind w:firstLine="480" w:firstLineChars="200"/>
        <w:rPr>
          <w:rFonts w:ascii="宋体"/>
          <w:color w:val="auto"/>
          <w:sz w:val="24"/>
          <w:highlight w:val="none"/>
        </w:rPr>
      </w:pPr>
      <w:r>
        <w:rPr>
          <w:rFonts w:hint="eastAsia" w:ascii="宋体"/>
          <w:color w:val="auto"/>
          <w:sz w:val="24"/>
          <w:highlight w:val="none"/>
        </w:rPr>
        <w:t>本项目采用不公开方式评审，评审的依据为磋商文件、响应文件和磋商记录。</w:t>
      </w:r>
    </w:p>
    <w:p>
      <w:pPr>
        <w:spacing w:line="460" w:lineRule="exact"/>
        <w:rPr>
          <w:rFonts w:ascii="宋体"/>
          <w:color w:val="auto"/>
          <w:sz w:val="24"/>
          <w:highlight w:val="none"/>
        </w:rPr>
      </w:pPr>
      <w:bookmarkStart w:id="83" w:name="_Toc25069"/>
      <w:r>
        <w:rPr>
          <w:rFonts w:hint="eastAsia" w:ascii="宋体"/>
          <w:color w:val="auto"/>
          <w:sz w:val="24"/>
          <w:highlight w:val="none"/>
        </w:rPr>
        <w:t>（三） 评审程序</w:t>
      </w:r>
      <w:bookmarkEnd w:id="83"/>
    </w:p>
    <w:p>
      <w:pPr>
        <w:spacing w:line="460" w:lineRule="exact"/>
        <w:ind w:firstLine="480" w:firstLineChars="200"/>
        <w:rPr>
          <w:rFonts w:ascii="宋体"/>
          <w:color w:val="auto"/>
          <w:sz w:val="24"/>
          <w:highlight w:val="none"/>
        </w:rPr>
      </w:pPr>
      <w:r>
        <w:rPr>
          <w:rFonts w:hint="eastAsia" w:ascii="宋体"/>
          <w:color w:val="auto"/>
          <w:sz w:val="24"/>
          <w:highlight w:val="none"/>
        </w:rPr>
        <w:t>采购代理机构按照磋商文件规定的时间、地点及程序组织评审。评审活动一般应按以下程序组织开展：</w:t>
      </w:r>
    </w:p>
    <w:p>
      <w:pPr>
        <w:spacing w:line="460" w:lineRule="exact"/>
        <w:ind w:firstLine="480" w:firstLineChars="200"/>
        <w:rPr>
          <w:rFonts w:ascii="宋体"/>
          <w:color w:val="auto"/>
          <w:sz w:val="24"/>
          <w:highlight w:val="none"/>
        </w:rPr>
      </w:pPr>
      <w:r>
        <w:rPr>
          <w:rFonts w:hint="eastAsia" w:ascii="宋体"/>
          <w:color w:val="auto"/>
          <w:sz w:val="24"/>
          <w:highlight w:val="none"/>
        </w:rPr>
        <w:t>1.开启评审场地的录音录像采集设备，并确保其正常运行。</w:t>
      </w:r>
    </w:p>
    <w:p>
      <w:pPr>
        <w:spacing w:line="460" w:lineRule="exact"/>
        <w:ind w:firstLine="480" w:firstLineChars="200"/>
        <w:rPr>
          <w:rFonts w:ascii="宋体"/>
          <w:color w:val="auto"/>
          <w:sz w:val="24"/>
          <w:highlight w:val="none"/>
        </w:rPr>
      </w:pPr>
      <w:r>
        <w:rPr>
          <w:rFonts w:hint="eastAsia" w:ascii="宋体"/>
          <w:color w:val="auto"/>
          <w:sz w:val="24"/>
          <w:highlight w:val="none"/>
        </w:rPr>
        <w:t>2.核验出席评审活动现场的磋商小组各成员和相关监督人员身份，并要求其分别登记、签到，按规定统一收缴、保存其通讯工具，无关人员一律拒绝其进入评审现场。</w:t>
      </w:r>
    </w:p>
    <w:p>
      <w:pPr>
        <w:spacing w:line="460" w:lineRule="exact"/>
        <w:ind w:firstLine="480" w:firstLineChars="200"/>
        <w:rPr>
          <w:rFonts w:ascii="宋体"/>
          <w:color w:val="auto"/>
          <w:sz w:val="24"/>
          <w:highlight w:val="none"/>
        </w:rPr>
      </w:pPr>
      <w:r>
        <w:rPr>
          <w:rFonts w:hint="eastAsia" w:ascii="宋体"/>
          <w:color w:val="auto"/>
          <w:sz w:val="24"/>
          <w:highlight w:val="none"/>
        </w:rPr>
        <w:t>3.介绍评审现场的人员情况，宣布评审工作纪律，告知磋商小组应当回避情形；组织推选磋商小组组长。</w:t>
      </w:r>
    </w:p>
    <w:p>
      <w:pPr>
        <w:spacing w:line="460" w:lineRule="exact"/>
        <w:ind w:firstLine="480" w:firstLineChars="200"/>
        <w:rPr>
          <w:rFonts w:ascii="宋体"/>
          <w:color w:val="auto"/>
          <w:sz w:val="24"/>
          <w:highlight w:val="none"/>
        </w:rPr>
      </w:pPr>
      <w:r>
        <w:rPr>
          <w:rFonts w:hint="eastAsia" w:ascii="宋体"/>
          <w:color w:val="auto"/>
          <w:sz w:val="24"/>
          <w:highlight w:val="none"/>
        </w:rPr>
        <w:t>4.通报报名参加本项目采购的供应商名单及资格预审情况（如有），宣读最终提交响应文件的供应商名单，组织磋商小组各位成员签订《政府采购评审人员廉洁自律承诺书》。</w:t>
      </w:r>
    </w:p>
    <w:p>
      <w:pPr>
        <w:spacing w:line="460" w:lineRule="exact"/>
        <w:ind w:firstLine="480" w:firstLineChars="200"/>
        <w:rPr>
          <w:rFonts w:ascii="宋体"/>
          <w:color w:val="auto"/>
          <w:sz w:val="24"/>
          <w:highlight w:val="none"/>
        </w:rPr>
      </w:pPr>
      <w:r>
        <w:rPr>
          <w:rFonts w:hint="eastAsia" w:ascii="宋体"/>
          <w:color w:val="auto"/>
          <w:sz w:val="24"/>
          <w:highlight w:val="none"/>
        </w:rPr>
        <w:t>5.根据需要简要介绍磋商文件（含补充文件）制定及质疑答复情况、按书面陈述项目基本情况及评审工作需注意事项等，让评审专家尽快知悉和了解所评审项目的采购需求、评审依据、评审标准、工作程序等；提醒磋商小组对客观评审项目应统一评审依据和评审标准，对主观评审项目应确定大致的评审要求和评审尺度；对磋商小组提出的有关磋商文件、响应文件的问题进行必要的说明、解释或讨论。</w:t>
      </w:r>
    </w:p>
    <w:p>
      <w:pPr>
        <w:spacing w:line="460" w:lineRule="exact"/>
        <w:ind w:firstLine="480" w:firstLineChars="200"/>
        <w:rPr>
          <w:rFonts w:ascii="宋体"/>
          <w:color w:val="auto"/>
          <w:sz w:val="24"/>
          <w:highlight w:val="none"/>
        </w:rPr>
      </w:pPr>
      <w:r>
        <w:rPr>
          <w:rFonts w:hint="eastAsia" w:ascii="宋体"/>
          <w:color w:val="auto"/>
          <w:sz w:val="24"/>
          <w:highlight w:val="none"/>
        </w:rPr>
        <w:t>6.磋商小组组长组织磋商小组成员根据磋商文件规定的评审程序、评审方法和评审标准进行独立评审。未实质性响应磋商文件的响应文件按无效响应处理，磋商小组告知提交响应文件的供应商。</w:t>
      </w:r>
    </w:p>
    <w:p>
      <w:pPr>
        <w:spacing w:line="460" w:lineRule="exact"/>
        <w:ind w:firstLine="480" w:firstLineChars="200"/>
        <w:rPr>
          <w:rFonts w:ascii="宋体"/>
          <w:color w:val="auto"/>
          <w:sz w:val="24"/>
          <w:highlight w:val="none"/>
        </w:rPr>
      </w:pPr>
      <w:r>
        <w:rPr>
          <w:rFonts w:hint="eastAsia" w:ascii="宋体"/>
          <w:color w:val="auto"/>
          <w:sz w:val="24"/>
          <w:highlight w:val="none"/>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spacing w:line="460" w:lineRule="exact"/>
        <w:ind w:firstLine="480" w:firstLineChars="200"/>
        <w:rPr>
          <w:rFonts w:ascii="宋体"/>
          <w:color w:val="auto"/>
          <w:sz w:val="24"/>
          <w:highlight w:val="none"/>
        </w:rPr>
      </w:pPr>
      <w:r>
        <w:rPr>
          <w:rFonts w:hint="eastAsia" w:ascii="宋体"/>
          <w:color w:val="auto"/>
          <w:sz w:val="24"/>
          <w:highlight w:val="none"/>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spacing w:line="460" w:lineRule="exact"/>
        <w:ind w:firstLine="480" w:firstLineChars="200"/>
        <w:rPr>
          <w:rFonts w:ascii="宋体"/>
          <w:color w:val="auto"/>
          <w:sz w:val="24"/>
          <w:highlight w:val="none"/>
        </w:rPr>
      </w:pPr>
      <w:r>
        <w:rPr>
          <w:rFonts w:hint="eastAsia" w:ascii="宋体"/>
          <w:color w:val="auto"/>
          <w:sz w:val="24"/>
          <w:highlight w:val="none"/>
        </w:rPr>
        <w:t>9.经磋商确定最终采购需求和提交最后磋商报价的供应商后，由磋商小组采用综合评分法对提交最后磋商报价的供应商的响应文件和最后磋商报价进行综合评分。</w:t>
      </w:r>
    </w:p>
    <w:p>
      <w:pPr>
        <w:spacing w:line="460" w:lineRule="exact"/>
        <w:ind w:firstLine="480" w:firstLineChars="200"/>
        <w:rPr>
          <w:rFonts w:ascii="宋体"/>
          <w:color w:val="auto"/>
          <w:sz w:val="24"/>
          <w:highlight w:val="none"/>
        </w:rPr>
      </w:pPr>
      <w:r>
        <w:rPr>
          <w:rFonts w:hint="eastAsia" w:ascii="宋体"/>
          <w:color w:val="auto"/>
          <w:sz w:val="24"/>
          <w:highlight w:val="none"/>
        </w:rPr>
        <w:t>10.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spacing w:line="460" w:lineRule="exact"/>
        <w:ind w:firstLine="480" w:firstLineChars="200"/>
        <w:rPr>
          <w:rFonts w:ascii="宋体"/>
          <w:color w:val="auto"/>
          <w:sz w:val="24"/>
          <w:highlight w:val="none"/>
        </w:rPr>
      </w:pPr>
      <w:r>
        <w:rPr>
          <w:rFonts w:hint="eastAsia" w:ascii="宋体"/>
          <w:color w:val="auto"/>
          <w:sz w:val="24"/>
          <w:highlight w:val="none"/>
        </w:rPr>
        <w:t>11.做好评审现场相关记录，协助磋商小组组长做好评审报告起草、有关内容电脑文字录入等工作，并要求磋商小组各成员签字确认。</w:t>
      </w:r>
    </w:p>
    <w:p>
      <w:pPr>
        <w:spacing w:line="460" w:lineRule="exact"/>
        <w:ind w:firstLine="480" w:firstLineChars="200"/>
        <w:rPr>
          <w:rFonts w:ascii="宋体"/>
          <w:color w:val="auto"/>
          <w:sz w:val="24"/>
          <w:highlight w:val="none"/>
        </w:rPr>
      </w:pPr>
      <w:r>
        <w:rPr>
          <w:rFonts w:hint="eastAsia" w:ascii="宋体"/>
          <w:color w:val="auto"/>
          <w:sz w:val="24"/>
          <w:highlight w:val="none"/>
        </w:rPr>
        <w:t>12.评审结束后，采购代理机构交还评审人员及其他现场相关人员的通讯工具，主持人公布成交候选供应商名单，及采购人最终确定成交供应商名单的时间和公告方式等。</w:t>
      </w:r>
    </w:p>
    <w:p>
      <w:pPr>
        <w:spacing w:line="460" w:lineRule="exact"/>
        <w:rPr>
          <w:rFonts w:ascii="宋体"/>
          <w:color w:val="auto"/>
          <w:sz w:val="24"/>
          <w:highlight w:val="none"/>
        </w:rPr>
      </w:pPr>
      <w:bookmarkStart w:id="84" w:name="_Toc11759"/>
      <w:r>
        <w:rPr>
          <w:rFonts w:hint="eastAsia" w:ascii="宋体"/>
          <w:color w:val="auto"/>
          <w:sz w:val="24"/>
          <w:highlight w:val="none"/>
        </w:rPr>
        <w:t>（四）澄清问题的形式</w:t>
      </w:r>
      <w:bookmarkEnd w:id="84"/>
    </w:p>
    <w:p>
      <w:pPr>
        <w:spacing w:line="460" w:lineRule="exact"/>
        <w:ind w:firstLine="480" w:firstLineChars="200"/>
        <w:rPr>
          <w:rFonts w:ascii="宋体"/>
          <w:color w:val="auto"/>
          <w:sz w:val="24"/>
          <w:highlight w:val="none"/>
        </w:rPr>
      </w:pPr>
      <w:r>
        <w:rPr>
          <w:rFonts w:hint="eastAsia" w:ascii="宋体"/>
          <w:color w:val="auto"/>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60" w:lineRule="exact"/>
        <w:ind w:firstLine="480" w:firstLineChars="200"/>
        <w:rPr>
          <w:rFonts w:ascii="宋体"/>
          <w:color w:val="auto"/>
          <w:sz w:val="24"/>
          <w:highlight w:val="none"/>
        </w:rPr>
      </w:pPr>
      <w:r>
        <w:rPr>
          <w:rFonts w:hint="eastAsia" w:ascii="宋体"/>
          <w:color w:val="auto"/>
          <w:sz w:val="24"/>
          <w:highlight w:val="none"/>
        </w:rPr>
        <w:t>磋商小组要求供应商澄清、说明或者更正响应文件应当以书面形式作出。供应商的澄清、说明或者更正应当由法定代表人或其授权代表签字或者加盖公章。</w:t>
      </w:r>
    </w:p>
    <w:p>
      <w:pPr>
        <w:spacing w:line="460" w:lineRule="exact"/>
        <w:rPr>
          <w:rFonts w:ascii="宋体"/>
          <w:color w:val="auto"/>
          <w:sz w:val="24"/>
          <w:highlight w:val="none"/>
        </w:rPr>
      </w:pPr>
      <w:bookmarkStart w:id="85" w:name="_Toc23780"/>
      <w:r>
        <w:rPr>
          <w:rFonts w:hint="eastAsia" w:ascii="宋体"/>
          <w:color w:val="auto"/>
          <w:sz w:val="24"/>
          <w:highlight w:val="none"/>
        </w:rPr>
        <w:t>（五）评审原则和评审办法</w:t>
      </w:r>
      <w:bookmarkEnd w:id="85"/>
    </w:p>
    <w:p>
      <w:pPr>
        <w:spacing w:line="460" w:lineRule="exact"/>
        <w:ind w:firstLine="240" w:firstLineChars="100"/>
        <w:rPr>
          <w:rFonts w:ascii="宋体"/>
          <w:color w:val="auto"/>
          <w:sz w:val="24"/>
          <w:highlight w:val="none"/>
        </w:rPr>
      </w:pPr>
      <w:r>
        <w:rPr>
          <w:rFonts w:hint="eastAsia" w:ascii="宋体"/>
          <w:color w:val="auto"/>
          <w:sz w:val="24"/>
          <w:highlight w:val="none"/>
        </w:rPr>
        <w:t>1.评审专家应当遵守评审工作纪律，不得泄露评审情况和评审中获悉的商业秘密。磋商小组成员应当按照客观、公正、审慎的原则，根据磋商文件规定的评审程序、评审方法和评审标准进行独立评审。</w:t>
      </w:r>
    </w:p>
    <w:p>
      <w:pPr>
        <w:spacing w:line="460" w:lineRule="exact"/>
        <w:ind w:firstLine="240" w:firstLineChars="100"/>
        <w:rPr>
          <w:rFonts w:ascii="宋体"/>
          <w:color w:val="auto"/>
          <w:sz w:val="24"/>
          <w:highlight w:val="none"/>
        </w:rPr>
      </w:pPr>
      <w:r>
        <w:rPr>
          <w:rFonts w:hint="eastAsia" w:ascii="宋体"/>
          <w:color w:val="auto"/>
          <w:sz w:val="24"/>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460" w:lineRule="exact"/>
        <w:ind w:firstLine="240" w:firstLineChars="100"/>
        <w:rPr>
          <w:rFonts w:ascii="宋体"/>
          <w:color w:val="auto"/>
          <w:sz w:val="24"/>
          <w:highlight w:val="none"/>
        </w:rPr>
      </w:pPr>
      <w:r>
        <w:rPr>
          <w:rFonts w:hint="eastAsia" w:ascii="宋体"/>
          <w:color w:val="auto"/>
          <w:sz w:val="24"/>
          <w:highlight w:val="none"/>
        </w:rPr>
        <w:t>3.磋商文件内容违反国家有关强制性规定的，磋商小组应当停止评审并向采购人或者采购代理机构说明情况。</w:t>
      </w:r>
    </w:p>
    <w:p>
      <w:pPr>
        <w:spacing w:line="460" w:lineRule="exact"/>
        <w:ind w:firstLine="240" w:firstLineChars="100"/>
        <w:rPr>
          <w:rFonts w:ascii="宋体"/>
          <w:color w:val="auto"/>
          <w:sz w:val="24"/>
          <w:highlight w:val="none"/>
        </w:rPr>
      </w:pPr>
      <w:r>
        <w:rPr>
          <w:rFonts w:hint="eastAsia" w:ascii="宋体"/>
          <w:color w:val="auto"/>
          <w:sz w:val="24"/>
          <w:highlight w:val="none"/>
        </w:rPr>
        <w:t>4.采购人、采购代理机构不得向磋商小组中的评审专家作倾向性、误导性的解释或者说明。</w:t>
      </w:r>
    </w:p>
    <w:p>
      <w:pPr>
        <w:spacing w:line="460" w:lineRule="exact"/>
        <w:ind w:firstLine="240" w:firstLineChars="100"/>
        <w:rPr>
          <w:rFonts w:ascii="宋体"/>
          <w:color w:val="auto"/>
          <w:sz w:val="24"/>
          <w:highlight w:val="none"/>
        </w:rPr>
      </w:pPr>
      <w:r>
        <w:rPr>
          <w:rFonts w:hint="eastAsia" w:ascii="宋体"/>
          <w:color w:val="auto"/>
          <w:sz w:val="24"/>
          <w:highlight w:val="none"/>
        </w:rPr>
        <w:t>5.已提交响应文件的供应商，在提交最后磋商报价之前，可以根据磋商情况退出磋商。</w:t>
      </w:r>
    </w:p>
    <w:p>
      <w:pPr>
        <w:spacing w:line="460" w:lineRule="exact"/>
        <w:ind w:firstLine="240" w:firstLineChars="100"/>
        <w:rPr>
          <w:rFonts w:ascii="宋体"/>
          <w:color w:val="auto"/>
          <w:sz w:val="24"/>
          <w:highlight w:val="none"/>
        </w:rPr>
      </w:pPr>
      <w:r>
        <w:rPr>
          <w:rFonts w:hint="eastAsia" w:ascii="宋体"/>
          <w:color w:val="auto"/>
          <w:sz w:val="24"/>
          <w:highlight w:val="none"/>
        </w:rPr>
        <w:t>6.采用竞争性磋商采购方式采购的政府购买服务项目（含政府和社会资本合作项目），在采购过程中符合要求的供应商（社会资本）只有2家的，竞争性磋商采购活动可以继续进行。</w:t>
      </w:r>
    </w:p>
    <w:p>
      <w:pPr>
        <w:spacing w:line="460" w:lineRule="exact"/>
        <w:ind w:firstLine="240" w:firstLineChars="100"/>
        <w:rPr>
          <w:rFonts w:ascii="宋体"/>
          <w:color w:val="auto"/>
          <w:sz w:val="24"/>
          <w:highlight w:val="none"/>
        </w:rPr>
      </w:pPr>
      <w:r>
        <w:rPr>
          <w:rFonts w:hint="eastAsia" w:ascii="宋体"/>
          <w:color w:val="auto"/>
          <w:sz w:val="24"/>
          <w:highlight w:val="none"/>
        </w:rPr>
        <w:t>7.磋商及报价轮次不超过三轮,具体根据项目的情况由磋商小组决定。</w:t>
      </w:r>
    </w:p>
    <w:p>
      <w:pPr>
        <w:spacing w:line="460" w:lineRule="exact"/>
        <w:ind w:firstLine="240" w:firstLineChars="100"/>
        <w:rPr>
          <w:rFonts w:ascii="宋体"/>
          <w:color w:val="auto"/>
          <w:sz w:val="24"/>
          <w:highlight w:val="none"/>
        </w:rPr>
      </w:pPr>
      <w:r>
        <w:rPr>
          <w:rFonts w:hint="eastAsia" w:ascii="宋体"/>
          <w:color w:val="auto"/>
          <w:sz w:val="24"/>
          <w:highlight w:val="none"/>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60" w:lineRule="exact"/>
        <w:ind w:firstLine="240" w:firstLineChars="100"/>
        <w:rPr>
          <w:rFonts w:ascii="宋体"/>
          <w:color w:val="auto"/>
          <w:sz w:val="24"/>
          <w:highlight w:val="none"/>
        </w:rPr>
      </w:pPr>
      <w:r>
        <w:rPr>
          <w:rFonts w:hint="eastAsia" w:ascii="宋体"/>
          <w:color w:val="auto"/>
          <w:sz w:val="24"/>
          <w:highlight w:val="none"/>
        </w:rPr>
        <w:t>9.评审办法。本项目评审办法是综合评分法，具体评审内容及评分标准等详见《第四章：评审办法及评分标准》。</w:t>
      </w:r>
    </w:p>
    <w:p>
      <w:pPr>
        <w:spacing w:line="460" w:lineRule="exact"/>
        <w:rPr>
          <w:rFonts w:ascii="宋体"/>
          <w:color w:val="auto"/>
          <w:sz w:val="24"/>
          <w:highlight w:val="none"/>
        </w:rPr>
      </w:pPr>
      <w:bookmarkStart w:id="86" w:name="_Toc13829"/>
      <w:r>
        <w:rPr>
          <w:rFonts w:hint="eastAsia" w:ascii="宋体"/>
          <w:color w:val="auto"/>
          <w:sz w:val="24"/>
          <w:highlight w:val="none"/>
        </w:rPr>
        <w:t>（六） 成 交</w:t>
      </w:r>
      <w:bookmarkEnd w:id="86"/>
    </w:p>
    <w:p>
      <w:pPr>
        <w:spacing w:line="460" w:lineRule="exact"/>
        <w:ind w:firstLine="240" w:firstLineChars="100"/>
        <w:rPr>
          <w:rFonts w:ascii="宋体"/>
          <w:color w:val="auto"/>
          <w:sz w:val="24"/>
          <w:highlight w:val="none"/>
        </w:rPr>
      </w:pPr>
      <w:r>
        <w:rPr>
          <w:rFonts w:hint="eastAsia" w:ascii="宋体"/>
          <w:color w:val="auto"/>
          <w:sz w:val="24"/>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60" w:lineRule="exact"/>
        <w:ind w:firstLine="240" w:firstLineChars="100"/>
        <w:rPr>
          <w:rFonts w:ascii="宋体"/>
          <w:color w:val="auto"/>
          <w:sz w:val="24"/>
          <w:highlight w:val="none"/>
        </w:rPr>
      </w:pPr>
      <w:r>
        <w:rPr>
          <w:rFonts w:hint="eastAsia" w:ascii="宋体"/>
          <w:color w:val="auto"/>
          <w:sz w:val="24"/>
          <w:highlight w:val="none"/>
        </w:rPr>
        <w:t>2.采购代理机构在成交供应商确定后2个工作日内在浙江政府采购网（http://www.zjzfcg.gov.cn)等相关网站或媒体上公告成交结果，同时向成交供应商发出成交通知书，并将磋商文件随成交结果同时公告。</w:t>
      </w:r>
    </w:p>
    <w:p>
      <w:pPr>
        <w:spacing w:line="460" w:lineRule="exact"/>
        <w:rPr>
          <w:rFonts w:ascii="宋体"/>
          <w:color w:val="auto"/>
          <w:sz w:val="24"/>
          <w:highlight w:val="none"/>
        </w:rPr>
      </w:pPr>
      <w:bookmarkStart w:id="87" w:name="_Toc23508"/>
      <w:r>
        <w:rPr>
          <w:rFonts w:hint="eastAsia" w:ascii="宋体"/>
          <w:color w:val="auto"/>
          <w:sz w:val="24"/>
          <w:highlight w:val="none"/>
        </w:rPr>
        <w:t>（七） 合同授予</w:t>
      </w:r>
      <w:bookmarkEnd w:id="87"/>
    </w:p>
    <w:p>
      <w:pPr>
        <w:spacing w:line="460" w:lineRule="exact"/>
        <w:ind w:firstLine="240" w:firstLineChars="100"/>
        <w:rPr>
          <w:rFonts w:ascii="宋体"/>
          <w:color w:val="auto"/>
          <w:sz w:val="24"/>
          <w:highlight w:val="none"/>
        </w:rPr>
      </w:pPr>
      <w:r>
        <w:rPr>
          <w:rFonts w:hint="eastAsia" w:ascii="宋体"/>
          <w:color w:val="auto"/>
          <w:sz w:val="24"/>
          <w:highlight w:val="none"/>
        </w:rPr>
        <w:t>1.成交供应商应当在《成交通知书》发出之日起30日内与采购人签订采购合同。</w:t>
      </w:r>
    </w:p>
    <w:p>
      <w:pPr>
        <w:spacing w:line="460" w:lineRule="exact"/>
        <w:ind w:firstLine="240" w:firstLineChars="100"/>
        <w:rPr>
          <w:rFonts w:ascii="宋体" w:hAnsi="宋体"/>
          <w:color w:val="auto"/>
          <w:spacing w:val="-6"/>
          <w:sz w:val="24"/>
          <w:highlight w:val="none"/>
        </w:rPr>
      </w:pPr>
      <w:r>
        <w:rPr>
          <w:rFonts w:hint="eastAsia" w:ascii="宋体"/>
          <w:color w:val="auto"/>
          <w:sz w:val="24"/>
          <w:highlight w:val="none"/>
        </w:rPr>
        <w:t>2.成交后无正当理由拒不与采购人签订政府采购合同，将被扣罚磋商保证金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w:t>
      </w:r>
      <w:r>
        <w:rPr>
          <w:rFonts w:hint="eastAsia" w:ascii="宋体" w:hAnsi="宋体"/>
          <w:color w:val="auto"/>
          <w:spacing w:val="-6"/>
          <w:sz w:val="24"/>
          <w:highlight w:val="none"/>
        </w:rPr>
        <w:t>照。</w:t>
      </w:r>
    </w:p>
    <w:p>
      <w:pPr>
        <w:spacing w:line="440" w:lineRule="exact"/>
        <w:ind w:firstLine="420"/>
        <w:rPr>
          <w:color w:val="auto"/>
          <w:sz w:val="24"/>
          <w:highlight w:val="none"/>
        </w:rPr>
      </w:pPr>
      <w:r>
        <w:rPr>
          <w:rFonts w:ascii="宋体" w:hAnsi="宋体"/>
          <w:bCs/>
          <w:color w:val="auto"/>
          <w:spacing w:val="-6"/>
          <w:sz w:val="21"/>
          <w:szCs w:val="21"/>
          <w:highlight w:val="none"/>
        </w:rPr>
        <w:br w:type="page"/>
      </w:r>
    </w:p>
    <w:p>
      <w:pPr>
        <w:pStyle w:val="2"/>
        <w:rPr>
          <w:rFonts w:ascii="宋体" w:hAnsi="宋体" w:cs="宋体"/>
          <w:color w:val="auto"/>
          <w:spacing w:val="-6"/>
          <w:kern w:val="0"/>
          <w:sz w:val="21"/>
          <w:szCs w:val="21"/>
          <w:highlight w:val="none"/>
        </w:rPr>
      </w:pPr>
      <w:bookmarkStart w:id="88" w:name="_Toc1976"/>
      <w:r>
        <w:rPr>
          <w:rFonts w:hint="eastAsia" w:ascii="宋体" w:hAnsi="宋体"/>
          <w:color w:val="auto"/>
          <w:sz w:val="32"/>
          <w:szCs w:val="32"/>
          <w:highlight w:val="none"/>
        </w:rPr>
        <w:t xml:space="preserve">第三章  </w:t>
      </w:r>
      <w:r>
        <w:rPr>
          <w:rFonts w:hint="eastAsia" w:ascii="宋体" w:hAnsi="宋体"/>
          <w:bCs/>
          <w:color w:val="auto"/>
          <w:sz w:val="32"/>
          <w:szCs w:val="32"/>
          <w:highlight w:val="none"/>
        </w:rPr>
        <w:t>竞争性磋商采购需求</w:t>
      </w:r>
      <w:bookmarkEnd w:id="44"/>
      <w:bookmarkEnd w:id="88"/>
    </w:p>
    <w:p>
      <w:pPr>
        <w:pStyle w:val="3"/>
        <w:spacing w:line="460" w:lineRule="exact"/>
        <w:rPr>
          <w:color w:val="auto"/>
          <w:highlight w:val="none"/>
        </w:rPr>
      </w:pPr>
      <w:bookmarkStart w:id="89" w:name="_Toc1899"/>
      <w:bookmarkStart w:id="90" w:name="_Toc22000"/>
      <w:r>
        <w:rPr>
          <w:rFonts w:hint="eastAsia"/>
          <w:color w:val="auto"/>
          <w:highlight w:val="none"/>
        </w:rPr>
        <w:t>一</w:t>
      </w:r>
      <w:r>
        <w:rPr>
          <w:color w:val="auto"/>
          <w:highlight w:val="none"/>
        </w:rPr>
        <w:t>、</w:t>
      </w:r>
      <w:bookmarkEnd w:id="89"/>
      <w:r>
        <w:rPr>
          <w:rFonts w:hint="eastAsia"/>
          <w:color w:val="auto"/>
          <w:highlight w:val="none"/>
        </w:rPr>
        <w:t>说明</w:t>
      </w:r>
      <w:bookmarkEnd w:id="90"/>
    </w:p>
    <w:p>
      <w:pPr>
        <w:spacing w:line="440" w:lineRule="exact"/>
        <w:ind w:firstLine="480" w:firstLineChars="200"/>
        <w:rPr>
          <w:rFonts w:ascii="宋体"/>
          <w:color w:val="auto"/>
          <w:sz w:val="24"/>
          <w:highlight w:val="none"/>
        </w:rPr>
      </w:pPr>
      <w:r>
        <w:rPr>
          <w:rFonts w:hint="eastAsia" w:ascii="宋体"/>
          <w:color w:val="auto"/>
          <w:sz w:val="24"/>
          <w:highlight w:val="none"/>
        </w:rPr>
        <w:t>1.1、本《招标文件》所提出的货物技术标准是基本的技术标准和使用功能，并未规定所有的技术要求和适用标准，供应商应提供一套满足所列标准要求的高质量的产品及相应服务。</w:t>
      </w:r>
    </w:p>
    <w:p>
      <w:pPr>
        <w:spacing w:line="440" w:lineRule="exact"/>
        <w:ind w:firstLine="480" w:firstLineChars="200"/>
        <w:rPr>
          <w:rFonts w:ascii="宋体"/>
          <w:color w:val="auto"/>
          <w:sz w:val="24"/>
          <w:highlight w:val="none"/>
        </w:rPr>
      </w:pPr>
      <w:r>
        <w:rPr>
          <w:rFonts w:hint="eastAsia" w:ascii="宋体"/>
          <w:color w:val="auto"/>
          <w:sz w:val="24"/>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spacing w:line="440" w:lineRule="exact"/>
        <w:ind w:firstLine="480" w:firstLineChars="200"/>
        <w:rPr>
          <w:rFonts w:ascii="宋体"/>
          <w:color w:val="auto"/>
          <w:sz w:val="24"/>
          <w:highlight w:val="none"/>
        </w:rPr>
      </w:pPr>
      <w:r>
        <w:rPr>
          <w:rFonts w:hint="eastAsia" w:ascii="宋体"/>
          <w:color w:val="auto"/>
          <w:sz w:val="24"/>
          <w:highlight w:val="none"/>
        </w:rPr>
        <w:t>1.3、投标方及厂商必须保证所有投标产品均为中华人民共和国境内（不含港澳台地区）合法销售的产品，并保证所有投标参数真实可信，同时承担以非法产品或虚假参数应标所带来的一切法律风险。</w:t>
      </w:r>
    </w:p>
    <w:p>
      <w:pPr>
        <w:spacing w:line="440" w:lineRule="exact"/>
        <w:ind w:firstLine="480" w:firstLineChars="200"/>
        <w:rPr>
          <w:rFonts w:ascii="宋体"/>
          <w:color w:val="auto"/>
          <w:sz w:val="24"/>
          <w:highlight w:val="none"/>
        </w:rPr>
      </w:pPr>
      <w:r>
        <w:rPr>
          <w:rFonts w:hint="eastAsia" w:ascii="宋体"/>
          <w:color w:val="auto"/>
          <w:sz w:val="24"/>
          <w:highlight w:val="none"/>
        </w:rPr>
        <w:t>1.4、为保证设备稳定运行、保障售后服务质量、保护甲方的合法权益，投标方及厂商必须保证：本项目所有设备售后服务权益方名称为中国美术学院。在项目实施过程中、项目验收时，将专门针对各系统主要内容、各类设备、辅材等原厂商进行真伪查验校对，产品主要参数、功能校对，质保期查验校对，并将详细确认售后服务权益方名称。对于校对后不符合项目清单要求，中标方需承担一切后果。</w:t>
      </w:r>
    </w:p>
    <w:p>
      <w:pPr>
        <w:pStyle w:val="3"/>
        <w:numPr>
          <w:ilvl w:val="0"/>
          <w:numId w:val="4"/>
        </w:numPr>
        <w:spacing w:line="460" w:lineRule="exact"/>
        <w:rPr>
          <w:color w:val="auto"/>
          <w:highlight w:val="none"/>
        </w:rPr>
      </w:pPr>
      <w:bookmarkStart w:id="91" w:name="_Toc23098"/>
      <w:r>
        <w:rPr>
          <w:rFonts w:hint="eastAsia"/>
          <w:color w:val="auto"/>
          <w:highlight w:val="none"/>
        </w:rPr>
        <w:t>具体要求</w:t>
      </w:r>
      <w:bookmarkEnd w:id="91"/>
    </w:p>
    <w:tbl>
      <w:tblPr>
        <w:tblStyle w:val="20"/>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color w:val="auto"/>
                <w:sz w:val="24"/>
                <w:highlight w:val="none"/>
              </w:rPr>
            </w:pPr>
            <w:r>
              <w:rPr>
                <w:rFonts w:hint="eastAsia" w:ascii="宋体"/>
                <w:color w:val="auto"/>
                <w:sz w:val="24"/>
                <w:highlight w:val="none"/>
              </w:rPr>
              <w:t>采购内容</w:t>
            </w:r>
          </w:p>
        </w:tc>
        <w:tc>
          <w:tcPr>
            <w:tcW w:w="66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ascii="宋体"/>
                <w:color w:val="auto"/>
                <w:sz w:val="24"/>
                <w:highlight w:val="none"/>
              </w:rPr>
            </w:pPr>
            <w:r>
              <w:rPr>
                <w:rFonts w:hint="eastAsia" w:ascii="宋体"/>
                <w:color w:val="auto"/>
                <w:sz w:val="24"/>
                <w:highlight w:val="none"/>
              </w:rPr>
              <w:t>型号/规格</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color w:val="auto"/>
                <w:sz w:val="24"/>
                <w:highlight w:val="none"/>
              </w:rPr>
            </w:pPr>
            <w:r>
              <w:rPr>
                <w:rFonts w:hint="eastAsia" w:ascii="宋体"/>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color w:val="auto"/>
                <w:sz w:val="24"/>
                <w:highlight w:val="none"/>
              </w:rPr>
            </w:pPr>
            <w:r>
              <w:rPr>
                <w:rFonts w:hint="eastAsia" w:ascii="宋体"/>
                <w:color w:val="auto"/>
                <w:sz w:val="24"/>
                <w:highlight w:val="none"/>
              </w:rPr>
              <w:t>消防应急电源模块</w:t>
            </w:r>
          </w:p>
        </w:tc>
        <w:tc>
          <w:tcPr>
            <w:tcW w:w="666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color w:val="auto"/>
                <w:sz w:val="24"/>
                <w:highlight w:val="none"/>
              </w:rPr>
            </w:pPr>
            <w:r>
              <w:rPr>
                <w:rFonts w:hint="eastAsia" w:ascii="宋体"/>
                <w:color w:val="auto"/>
                <w:sz w:val="24"/>
                <w:highlight w:val="none"/>
              </w:rPr>
              <w:t>电压：111</w:t>
            </w:r>
            <w:r>
              <w:rPr>
                <w:rFonts w:ascii="宋体"/>
                <w:color w:val="auto"/>
                <w:sz w:val="24"/>
                <w:highlight w:val="none"/>
              </w:rPr>
              <w:t>V~240V，</w:t>
            </w:r>
            <w:r>
              <w:rPr>
                <w:rFonts w:hint="eastAsia" w:ascii="宋体"/>
                <w:color w:val="auto"/>
                <w:sz w:val="24"/>
                <w:highlight w:val="none"/>
              </w:rPr>
              <w:t>应急时间：≥90min，功率：3W（含）-40</w:t>
            </w:r>
            <w:r>
              <w:rPr>
                <w:rFonts w:ascii="宋体"/>
                <w:color w:val="auto"/>
                <w:sz w:val="24"/>
                <w:highlight w:val="none"/>
              </w:rPr>
              <w:t>W（</w:t>
            </w:r>
            <w:r>
              <w:rPr>
                <w:rFonts w:hint="eastAsia" w:ascii="宋体"/>
                <w:color w:val="auto"/>
                <w:sz w:val="24"/>
                <w:highlight w:val="none"/>
              </w:rPr>
              <w:t>含），内置电池组，主电功耗：18</w:t>
            </w:r>
            <w:r>
              <w:rPr>
                <w:rFonts w:ascii="宋体"/>
                <w:color w:val="auto"/>
                <w:sz w:val="24"/>
                <w:highlight w:val="none"/>
              </w:rPr>
              <w:t>W，</w:t>
            </w:r>
            <w:r>
              <w:rPr>
                <w:rFonts w:hint="eastAsia" w:ascii="宋体"/>
                <w:color w:val="auto"/>
                <w:sz w:val="24"/>
                <w:highlight w:val="none"/>
              </w:rPr>
              <w:t>尺寸：长19.5cm，宽3</w:t>
            </w:r>
            <w:r>
              <w:rPr>
                <w:rFonts w:ascii="宋体"/>
                <w:color w:val="auto"/>
                <w:sz w:val="24"/>
                <w:highlight w:val="none"/>
              </w:rPr>
              <w:t>.</w:t>
            </w:r>
            <w:r>
              <w:rPr>
                <w:rFonts w:hint="eastAsia" w:ascii="宋体"/>
                <w:color w:val="auto"/>
                <w:sz w:val="24"/>
                <w:highlight w:val="none"/>
              </w:rPr>
              <w:t>4cm，高2.3cm，内外置驱动通用</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color w:val="auto"/>
                <w:sz w:val="24"/>
                <w:highlight w:val="none"/>
              </w:rPr>
            </w:pPr>
            <w:r>
              <w:rPr>
                <w:rFonts w:ascii="宋体"/>
                <w:color w:val="auto"/>
                <w:sz w:val="24"/>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color w:val="auto"/>
                <w:sz w:val="24"/>
                <w:highlight w:val="none"/>
              </w:rPr>
            </w:pPr>
            <w:r>
              <w:rPr>
                <w:rFonts w:hint="eastAsia" w:ascii="宋体"/>
                <w:color w:val="auto"/>
                <w:sz w:val="24"/>
                <w:highlight w:val="none"/>
              </w:rPr>
              <w:t>消防应急灯</w:t>
            </w:r>
          </w:p>
        </w:tc>
        <w:tc>
          <w:tcPr>
            <w:tcW w:w="666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color w:val="auto"/>
                <w:sz w:val="24"/>
                <w:highlight w:val="none"/>
              </w:rPr>
            </w:pPr>
            <w:r>
              <w:rPr>
                <w:rFonts w:hint="eastAsia" w:ascii="宋体"/>
                <w:color w:val="auto"/>
                <w:sz w:val="24"/>
                <w:highlight w:val="none"/>
              </w:rPr>
              <w:t>电压：111</w:t>
            </w:r>
            <w:r>
              <w:rPr>
                <w:rFonts w:ascii="宋体"/>
                <w:color w:val="auto"/>
                <w:sz w:val="24"/>
                <w:highlight w:val="none"/>
              </w:rPr>
              <w:t>V~240V，</w:t>
            </w:r>
            <w:r>
              <w:rPr>
                <w:rFonts w:hint="eastAsia" w:ascii="宋体"/>
                <w:color w:val="auto"/>
                <w:sz w:val="24"/>
                <w:highlight w:val="none"/>
              </w:rPr>
              <w:t>光源类型：L</w:t>
            </w:r>
            <w:r>
              <w:rPr>
                <w:rFonts w:ascii="宋体"/>
                <w:color w:val="auto"/>
                <w:sz w:val="24"/>
                <w:highlight w:val="none"/>
              </w:rPr>
              <w:t>ED，</w:t>
            </w:r>
            <w:r>
              <w:rPr>
                <w:rFonts w:hint="eastAsia" w:ascii="宋体"/>
                <w:color w:val="auto"/>
                <w:sz w:val="24"/>
                <w:highlight w:val="none"/>
              </w:rPr>
              <w:t>功率：5</w:t>
            </w:r>
            <w:r>
              <w:rPr>
                <w:rFonts w:ascii="宋体"/>
                <w:color w:val="auto"/>
                <w:sz w:val="24"/>
                <w:highlight w:val="none"/>
              </w:rPr>
              <w:t>W</w:t>
            </w:r>
            <w:r>
              <w:rPr>
                <w:rFonts w:hint="eastAsia" w:ascii="宋体"/>
                <w:color w:val="auto"/>
                <w:sz w:val="24"/>
                <w:highlight w:val="none"/>
              </w:rPr>
              <w:t>-10</w:t>
            </w:r>
            <w:r>
              <w:rPr>
                <w:rFonts w:ascii="宋体"/>
                <w:color w:val="auto"/>
                <w:sz w:val="24"/>
                <w:highlight w:val="none"/>
              </w:rPr>
              <w:t>W，</w:t>
            </w:r>
            <w:r>
              <w:rPr>
                <w:rFonts w:hint="eastAsia" w:ascii="宋体"/>
                <w:color w:val="auto"/>
                <w:sz w:val="24"/>
                <w:highlight w:val="none"/>
              </w:rPr>
              <w:t>应急时间：≥90min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color w:val="auto"/>
                <w:sz w:val="24"/>
                <w:highlight w:val="none"/>
              </w:rPr>
            </w:pPr>
            <w:r>
              <w:rPr>
                <w:rFonts w:hint="eastAsia" w:ascii="宋体"/>
                <w:color w:val="auto"/>
                <w:sz w:val="24"/>
                <w:highlight w:val="none"/>
                <w:lang w:val="en-US" w:eastAsia="zh-CN"/>
              </w:rPr>
              <w:t>推荐品牌：三雄极光、台谊、敏华、艺光</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color w:val="auto"/>
                <w:sz w:val="24"/>
                <w:highlight w:val="none"/>
              </w:rPr>
            </w:pPr>
            <w:r>
              <w:rPr>
                <w:rFonts w:ascii="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color w:val="auto"/>
                <w:sz w:val="24"/>
                <w:highlight w:val="none"/>
              </w:rPr>
            </w:pPr>
            <w:r>
              <w:rPr>
                <w:rFonts w:hint="eastAsia" w:ascii="宋体"/>
                <w:color w:val="auto"/>
                <w:sz w:val="24"/>
                <w:highlight w:val="none"/>
              </w:rPr>
              <w:t>疏散通道安全出口指示灯牌</w:t>
            </w:r>
          </w:p>
        </w:tc>
        <w:tc>
          <w:tcPr>
            <w:tcW w:w="666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color w:val="auto"/>
                <w:sz w:val="24"/>
                <w:highlight w:val="none"/>
              </w:rPr>
            </w:pPr>
            <w:r>
              <w:rPr>
                <w:rFonts w:hint="eastAsia" w:ascii="宋体"/>
                <w:color w:val="auto"/>
                <w:sz w:val="24"/>
                <w:highlight w:val="none"/>
              </w:rPr>
              <w:t>电压：111</w:t>
            </w:r>
            <w:r>
              <w:rPr>
                <w:rFonts w:ascii="宋体"/>
                <w:color w:val="auto"/>
                <w:sz w:val="24"/>
                <w:highlight w:val="none"/>
              </w:rPr>
              <w:t>V~240V，</w:t>
            </w:r>
            <w:r>
              <w:rPr>
                <w:rFonts w:hint="eastAsia" w:ascii="宋体"/>
                <w:color w:val="auto"/>
                <w:sz w:val="24"/>
                <w:highlight w:val="none"/>
              </w:rPr>
              <w:t>光源类型：L</w:t>
            </w:r>
            <w:r>
              <w:rPr>
                <w:rFonts w:ascii="宋体"/>
                <w:color w:val="auto"/>
                <w:sz w:val="24"/>
                <w:highlight w:val="none"/>
              </w:rPr>
              <w:t>ED，</w:t>
            </w:r>
            <w:r>
              <w:rPr>
                <w:rFonts w:hint="eastAsia" w:ascii="宋体"/>
                <w:color w:val="auto"/>
                <w:sz w:val="24"/>
                <w:highlight w:val="none"/>
              </w:rPr>
              <w:t>功率：5</w:t>
            </w:r>
            <w:r>
              <w:rPr>
                <w:rFonts w:ascii="宋体"/>
                <w:color w:val="auto"/>
                <w:sz w:val="24"/>
                <w:highlight w:val="none"/>
              </w:rPr>
              <w:t>W</w:t>
            </w:r>
            <w:r>
              <w:rPr>
                <w:rFonts w:hint="eastAsia" w:ascii="宋体"/>
                <w:color w:val="auto"/>
                <w:sz w:val="24"/>
                <w:highlight w:val="none"/>
              </w:rPr>
              <w:t>-10</w:t>
            </w:r>
            <w:r>
              <w:rPr>
                <w:rFonts w:ascii="宋体"/>
                <w:color w:val="auto"/>
                <w:sz w:val="24"/>
                <w:highlight w:val="none"/>
              </w:rPr>
              <w:t>W，</w:t>
            </w:r>
            <w:r>
              <w:rPr>
                <w:rFonts w:hint="eastAsia" w:ascii="宋体"/>
                <w:color w:val="auto"/>
                <w:sz w:val="24"/>
                <w:highlight w:val="none"/>
              </w:rPr>
              <w:t>应急时间：≥90min，带光源，钢化玻璃吊牌，指示方向：向左，向右，双向。规格（335-145-25）</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color w:val="auto"/>
                <w:sz w:val="24"/>
                <w:highlight w:val="none"/>
              </w:rPr>
            </w:pPr>
            <w:r>
              <w:rPr>
                <w:rFonts w:hint="eastAsia" w:ascii="宋体"/>
                <w:color w:val="auto"/>
                <w:sz w:val="24"/>
                <w:highlight w:val="none"/>
                <w:lang w:val="en-US" w:eastAsia="zh-CN"/>
              </w:rPr>
              <w:t>推荐品牌：三雄极光、台谊、敏华、艺光</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color w:val="auto"/>
                <w:sz w:val="24"/>
                <w:highlight w:val="none"/>
              </w:rPr>
            </w:pPr>
            <w:r>
              <w:rPr>
                <w:rFonts w:ascii="宋体"/>
                <w:color w:val="auto"/>
                <w:sz w:val="24"/>
                <w:highlight w:val="none"/>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color w:val="auto"/>
                <w:sz w:val="24"/>
                <w:highlight w:val="none"/>
              </w:rPr>
            </w:pPr>
            <w:r>
              <w:rPr>
                <w:rFonts w:hint="eastAsia" w:ascii="宋体"/>
                <w:color w:val="auto"/>
                <w:sz w:val="24"/>
                <w:highlight w:val="none"/>
              </w:rPr>
              <w:t>消防水带</w:t>
            </w:r>
          </w:p>
        </w:tc>
        <w:tc>
          <w:tcPr>
            <w:tcW w:w="666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color w:val="auto"/>
                <w:sz w:val="24"/>
                <w:highlight w:val="none"/>
              </w:rPr>
            </w:pPr>
            <w:r>
              <w:rPr>
                <w:rFonts w:ascii="宋体"/>
                <w:color w:val="auto"/>
                <w:sz w:val="24"/>
                <w:highlight w:val="none"/>
              </w:rPr>
              <w:t>PVC</w:t>
            </w:r>
            <w:r>
              <w:rPr>
                <w:rFonts w:hint="eastAsia" w:ascii="宋体"/>
                <w:color w:val="auto"/>
                <w:sz w:val="24"/>
                <w:highlight w:val="none"/>
              </w:rPr>
              <w:t>消防水带10-65-25（带接口）</w:t>
            </w:r>
          </w:p>
        </w:tc>
        <w:tc>
          <w:tcPr>
            <w:tcW w:w="12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color w:val="auto"/>
                <w:sz w:val="24"/>
                <w:highlight w:val="none"/>
              </w:rPr>
            </w:pPr>
            <w:r>
              <w:rPr>
                <w:rFonts w:ascii="宋体"/>
                <w:color w:val="auto"/>
                <w:sz w:val="24"/>
                <w:highlight w:val="none"/>
              </w:rPr>
              <w:t>230</w:t>
            </w:r>
          </w:p>
        </w:tc>
      </w:tr>
    </w:tbl>
    <w:p>
      <w:pPr>
        <w:spacing w:line="460" w:lineRule="exact"/>
        <w:ind w:firstLine="480" w:firstLineChars="200"/>
        <w:rPr>
          <w:rFonts w:hint="eastAsia" w:ascii="Calibri" w:hAnsi="Calibri" w:eastAsia="宋体" w:cs="Times New Roman"/>
          <w:color w:val="auto"/>
          <w:sz w:val="24"/>
          <w:highlight w:val="none"/>
          <w:lang w:val="en-US" w:eastAsia="zh-CN"/>
        </w:rPr>
      </w:pPr>
    </w:p>
    <w:p>
      <w:pPr>
        <w:spacing w:line="460" w:lineRule="exact"/>
        <w:ind w:firstLine="480" w:firstLineChars="200"/>
        <w:rPr>
          <w:rFonts w:hint="eastAsia" w:ascii="Calibri" w:hAnsi="Calibri" w:eastAsia="宋体" w:cs="Times New Roman"/>
          <w:color w:val="auto"/>
          <w:sz w:val="24"/>
          <w:highlight w:val="none"/>
          <w:lang w:val="en-US" w:eastAsia="zh-CN"/>
        </w:rPr>
      </w:pPr>
      <w:r>
        <w:rPr>
          <w:rFonts w:hint="eastAsia" w:ascii="Calibri" w:hAnsi="Calibri" w:eastAsia="宋体" w:cs="Times New Roman"/>
          <w:color w:val="auto"/>
          <w:sz w:val="24"/>
          <w:highlight w:val="none"/>
          <w:lang w:val="en-US" w:eastAsia="zh-CN"/>
        </w:rPr>
        <w:t>★提供产品3C认证证书。</w:t>
      </w:r>
    </w:p>
    <w:p>
      <w:pPr>
        <w:spacing w:line="460" w:lineRule="exact"/>
        <w:ind w:firstLine="480" w:firstLineChars="200"/>
        <w:rPr>
          <w:rFonts w:hint="eastAsia" w:ascii="Calibri" w:hAnsi="Calibri" w:eastAsia="宋体" w:cs="Times New Roman"/>
          <w:color w:val="auto"/>
          <w:sz w:val="24"/>
          <w:highlight w:val="none"/>
          <w:lang w:val="en-US" w:eastAsia="zh-CN"/>
        </w:rPr>
      </w:pPr>
      <w:r>
        <w:rPr>
          <w:rFonts w:hint="eastAsia" w:ascii="Calibri" w:hAnsi="Calibri" w:eastAsia="宋体" w:cs="Times New Roman"/>
          <w:color w:val="auto"/>
          <w:sz w:val="24"/>
          <w:highlight w:val="none"/>
          <w:lang w:val="en-US" w:eastAsia="zh-CN"/>
        </w:rPr>
        <w:t>注：采购文件中推荐的品牌仅供参考，欢迎其他能满足本项目技术需求且性能与所明确品牌相当或高于的产品参加。</w:t>
      </w:r>
    </w:p>
    <w:p>
      <w:pPr>
        <w:spacing w:line="460" w:lineRule="exact"/>
        <w:ind w:firstLine="480" w:firstLineChars="200"/>
        <w:rPr>
          <w:rFonts w:hint="eastAsia" w:ascii="Calibri" w:hAnsi="Calibri" w:eastAsia="宋体" w:cs="Times New Roman"/>
          <w:color w:val="auto"/>
          <w:sz w:val="24"/>
          <w:highlight w:val="none"/>
          <w:lang w:val="en-US" w:eastAsia="zh-CN"/>
        </w:rPr>
      </w:pPr>
      <w:r>
        <w:rPr>
          <w:rFonts w:hint="eastAsia" w:ascii="Calibri" w:hAnsi="Calibri" w:eastAsia="宋体" w:cs="Times New Roman"/>
          <w:color w:val="auto"/>
          <w:sz w:val="24"/>
          <w:highlight w:val="none"/>
          <w:lang w:val="en-US" w:eastAsia="zh-CN"/>
        </w:rPr>
        <w:br w:type="page"/>
      </w:r>
    </w:p>
    <w:p>
      <w:pPr>
        <w:pStyle w:val="3"/>
        <w:spacing w:line="460" w:lineRule="exact"/>
        <w:rPr>
          <w:rFonts w:ascii="宋体" w:hAnsi="宋体"/>
          <w:color w:val="auto"/>
          <w:spacing w:val="-6"/>
          <w:sz w:val="21"/>
          <w:szCs w:val="21"/>
          <w:highlight w:val="none"/>
        </w:rPr>
      </w:pPr>
      <w:bookmarkStart w:id="92" w:name="_Toc6519"/>
      <w:r>
        <w:rPr>
          <w:rFonts w:hint="eastAsia"/>
          <w:color w:val="auto"/>
          <w:highlight w:val="none"/>
        </w:rPr>
        <w:t>三、商务条款</w:t>
      </w:r>
      <w:bookmarkEnd w:id="92"/>
    </w:p>
    <w:p>
      <w:pPr>
        <w:pStyle w:val="4"/>
        <w:spacing w:line="360" w:lineRule="auto"/>
        <w:rPr>
          <w:rFonts w:asciiTheme="minorEastAsia" w:hAnsiTheme="minorEastAsia" w:eastAsiaTheme="minorEastAsia" w:cstheme="minorEastAsia"/>
          <w:color w:val="auto"/>
          <w:highlight w:val="none"/>
        </w:rPr>
      </w:pPr>
      <w:bookmarkStart w:id="93" w:name="_Toc501022786"/>
      <w:bookmarkStart w:id="94" w:name="_Toc27969"/>
      <w:r>
        <w:rPr>
          <w:rFonts w:hint="eastAsia" w:asciiTheme="minorEastAsia" w:hAnsiTheme="minorEastAsia" w:eastAsiaTheme="minorEastAsia" w:cstheme="minorEastAsia"/>
          <w:color w:val="auto"/>
          <w:highlight w:val="none"/>
        </w:rPr>
        <w:t>1、供货期</w:t>
      </w:r>
      <w:bookmarkEnd w:id="93"/>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合同签订之日起按要求30天内交货。</w:t>
      </w:r>
    </w:p>
    <w:p>
      <w:pPr>
        <w:pStyle w:val="4"/>
        <w:spacing w:line="360" w:lineRule="auto"/>
        <w:rPr>
          <w:rFonts w:asciiTheme="minorEastAsia" w:hAnsiTheme="minorEastAsia" w:eastAsiaTheme="minorEastAsia" w:cstheme="minorEastAsia"/>
          <w:color w:val="auto"/>
          <w:highlight w:val="none"/>
        </w:rPr>
      </w:pPr>
      <w:bookmarkStart w:id="95" w:name="_Toc501022787"/>
      <w:r>
        <w:rPr>
          <w:rFonts w:hint="eastAsia" w:asciiTheme="minorEastAsia" w:hAnsiTheme="minorEastAsia" w:eastAsiaTheme="minorEastAsia" w:cstheme="minorEastAsia"/>
          <w:color w:val="auto"/>
          <w:highlight w:val="none"/>
        </w:rPr>
        <w:t>2、质保期</w:t>
      </w:r>
      <w:bookmarkEnd w:id="95"/>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2年。</w:t>
      </w:r>
    </w:p>
    <w:p>
      <w:pPr>
        <w:pStyle w:val="4"/>
        <w:spacing w:line="360" w:lineRule="auto"/>
        <w:rPr>
          <w:rFonts w:asciiTheme="minorEastAsia" w:hAnsiTheme="minorEastAsia" w:eastAsiaTheme="minorEastAsia" w:cstheme="minorEastAsia"/>
          <w:color w:val="auto"/>
          <w:highlight w:val="none"/>
        </w:rPr>
      </w:pPr>
      <w:bookmarkStart w:id="96" w:name="_Toc501022788"/>
      <w:r>
        <w:rPr>
          <w:rFonts w:hint="eastAsia" w:asciiTheme="minorEastAsia" w:hAnsiTheme="minorEastAsia" w:eastAsiaTheme="minorEastAsia" w:cstheme="minorEastAsia"/>
          <w:color w:val="auto"/>
          <w:highlight w:val="none"/>
        </w:rPr>
        <w:t>3、保存和运输要求</w:t>
      </w:r>
      <w:bookmarkEnd w:id="96"/>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送货至指定地点</w:t>
      </w:r>
    </w:p>
    <w:p>
      <w:pPr>
        <w:pStyle w:val="4"/>
        <w:spacing w:line="360" w:lineRule="auto"/>
        <w:rPr>
          <w:rFonts w:asciiTheme="minorEastAsia" w:hAnsiTheme="minorEastAsia" w:eastAsiaTheme="minorEastAsia" w:cstheme="minorEastAsia"/>
          <w:color w:val="auto"/>
          <w:highlight w:val="none"/>
        </w:rPr>
      </w:pPr>
      <w:bookmarkStart w:id="97" w:name="_Toc501022789"/>
      <w:r>
        <w:rPr>
          <w:rFonts w:hint="eastAsia" w:asciiTheme="minorEastAsia" w:hAnsiTheme="minorEastAsia" w:eastAsiaTheme="minorEastAsia" w:cstheme="minorEastAsia"/>
          <w:color w:val="auto"/>
          <w:highlight w:val="none"/>
        </w:rPr>
        <w:t>4、验收标准</w:t>
      </w:r>
      <w:bookmarkEnd w:id="97"/>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成交人须按国家有关规定及标准完成本次竞争性磋商货物的供货、运输、检验等。如成交，成交人及制造商对成交产品使用的质量、安全性能与检测结果的可靠性负全部责任。按中国美术学院标准验收和确认。</w:t>
      </w:r>
    </w:p>
    <w:p>
      <w:pPr>
        <w:pStyle w:val="4"/>
        <w:spacing w:line="360" w:lineRule="auto"/>
        <w:rPr>
          <w:rFonts w:asciiTheme="minorEastAsia" w:hAnsiTheme="minorEastAsia" w:eastAsiaTheme="minorEastAsia" w:cstheme="minorEastAsia"/>
          <w:color w:val="auto"/>
          <w:highlight w:val="none"/>
        </w:rPr>
      </w:pPr>
      <w:bookmarkStart w:id="98" w:name="_Toc501022790"/>
      <w:r>
        <w:rPr>
          <w:rFonts w:hint="eastAsia" w:asciiTheme="minorEastAsia" w:hAnsiTheme="minorEastAsia" w:eastAsiaTheme="minorEastAsia" w:cstheme="minorEastAsia"/>
          <w:color w:val="auto"/>
          <w:highlight w:val="none"/>
        </w:rPr>
        <w:t>5、售后服务</w:t>
      </w:r>
      <w:bookmarkEnd w:id="98"/>
      <w:r>
        <w:rPr>
          <w:rFonts w:hint="eastAsia" w:asciiTheme="minorEastAsia" w:hAnsiTheme="minorEastAsia" w:eastAsiaTheme="minorEastAsia" w:cstheme="minorEastAsia"/>
          <w:color w:val="auto"/>
          <w:highlight w:val="none"/>
        </w:rPr>
        <w:t xml:space="preserve"> </w:t>
      </w:r>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要求24小时内响应，每个季度提供上门咨询，听取使用意见。</w:t>
      </w:r>
    </w:p>
    <w:p>
      <w:pPr>
        <w:pStyle w:val="4"/>
        <w:spacing w:line="360" w:lineRule="auto"/>
        <w:rPr>
          <w:rFonts w:asciiTheme="minorEastAsia" w:hAnsiTheme="minorEastAsia" w:eastAsiaTheme="minorEastAsia" w:cstheme="minorEastAsia"/>
          <w:color w:val="auto"/>
          <w:highlight w:val="none"/>
        </w:rPr>
      </w:pPr>
      <w:bookmarkStart w:id="99" w:name="_Toc501022791"/>
      <w:bookmarkStart w:id="100" w:name="_Toc462392356"/>
      <w:bookmarkStart w:id="101" w:name="_Toc462303721"/>
      <w:r>
        <w:rPr>
          <w:rFonts w:hint="eastAsia" w:asciiTheme="minorEastAsia" w:hAnsiTheme="minorEastAsia" w:eastAsiaTheme="minorEastAsia" w:cstheme="minorEastAsia"/>
          <w:color w:val="auto"/>
          <w:highlight w:val="none"/>
        </w:rPr>
        <w:t>6、履约保证金及质量保证金</w:t>
      </w:r>
      <w:bookmarkEnd w:id="99"/>
      <w:bookmarkEnd w:id="100"/>
      <w:bookmarkEnd w:id="101"/>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6.1成交供应商在合同签订之日起5天内向采购人指定的账户缴纳合同总价5%的履约保证金。履约保证金的交付方式：支票、汇票、本票或保函等非现金方式。</w:t>
      </w:r>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6.2履约保证金在货到安装、调试验收合格后，转为质量保证金。</w:t>
      </w:r>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6.3质量保证金在质保期满，确认成交供应商无违约行为并经审计后一周内无息返还。</w:t>
      </w:r>
    </w:p>
    <w:p>
      <w:pPr>
        <w:pStyle w:val="4"/>
        <w:spacing w:line="440" w:lineRule="exact"/>
        <w:rPr>
          <w:rFonts w:asciiTheme="minorEastAsia" w:hAnsiTheme="minorEastAsia" w:eastAsiaTheme="minorEastAsia" w:cstheme="minorEastAsia"/>
          <w:color w:val="auto"/>
          <w:highlight w:val="none"/>
        </w:rPr>
      </w:pPr>
      <w:bookmarkStart w:id="102" w:name="_Toc501022792"/>
      <w:r>
        <w:rPr>
          <w:rFonts w:hint="eastAsia" w:asciiTheme="minorEastAsia" w:hAnsiTheme="minorEastAsia" w:eastAsiaTheme="minorEastAsia" w:cstheme="minorEastAsia"/>
          <w:color w:val="auto"/>
          <w:highlight w:val="none"/>
        </w:rPr>
        <w:t>7付款方式</w:t>
      </w:r>
      <w:bookmarkEnd w:id="102"/>
    </w:p>
    <w:p>
      <w:pPr>
        <w:spacing w:line="440" w:lineRule="exact"/>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货物最终验收后，甲方支付合同总价款的100%</w:t>
      </w:r>
    </w:p>
    <w:p>
      <w:pPr>
        <w:pStyle w:val="4"/>
        <w:spacing w:line="440" w:lineRule="exact"/>
        <w:rPr>
          <w:color w:val="auto"/>
          <w:highlight w:val="none"/>
        </w:rPr>
      </w:pPr>
      <w:bookmarkStart w:id="103" w:name="_Toc20417"/>
      <w:r>
        <w:rPr>
          <w:rFonts w:hint="eastAsia"/>
          <w:color w:val="auto"/>
          <w:highlight w:val="none"/>
        </w:rPr>
        <w:t>8、合同履行</w:t>
      </w:r>
      <w:bookmarkEnd w:id="103"/>
    </w:p>
    <w:p>
      <w:pPr>
        <w:spacing w:line="440" w:lineRule="exact"/>
        <w:ind w:firstLine="480"/>
        <w:rPr>
          <w:rFonts w:ascii="宋体" w:hAnsi="宋体" w:cs="宋体"/>
          <w:color w:val="auto"/>
          <w:sz w:val="24"/>
          <w:szCs w:val="32"/>
          <w:highlight w:val="none"/>
        </w:rPr>
      </w:pPr>
      <w:r>
        <w:rPr>
          <w:rFonts w:hint="eastAsia" w:ascii="宋体" w:hAnsi="宋体" w:cs="宋体"/>
          <w:color w:val="auto"/>
          <w:sz w:val="24"/>
          <w:szCs w:val="32"/>
          <w:highlight w:val="none"/>
        </w:rPr>
        <w:t>必须由投标主体履行合同。</w:t>
      </w:r>
    </w:p>
    <w:p>
      <w:pPr>
        <w:pStyle w:val="4"/>
        <w:spacing w:line="360" w:lineRule="auto"/>
        <w:rPr>
          <w:rFonts w:asciiTheme="minorEastAsia" w:hAnsiTheme="minorEastAsia" w:eastAsiaTheme="minorEastAsia" w:cstheme="minorEastAsia"/>
          <w:color w:val="auto"/>
          <w:highlight w:val="none"/>
        </w:rPr>
      </w:pPr>
      <w:bookmarkStart w:id="104" w:name="_Toc16554"/>
      <w:r>
        <w:rPr>
          <w:rFonts w:hint="eastAsia" w:asciiTheme="minorEastAsia" w:hAnsiTheme="minorEastAsia" w:eastAsiaTheme="minorEastAsia" w:cstheme="minorEastAsia"/>
          <w:color w:val="auto"/>
          <w:highlight w:val="none"/>
        </w:rPr>
        <w:t>9、培训</w:t>
      </w:r>
      <w:bookmarkEnd w:id="104"/>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9.1中标人应对采购人的操作人员、维修人员免费进行培训。</w:t>
      </w:r>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9.2中标人应提供相应的培训计划。</w:t>
      </w:r>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9.3中标人应对上述内容的实现方式、地点、人数、时间在投标文件中详细说明。（请附加培训计划书）提供不少于3人次的现场技术培训。</w:t>
      </w:r>
    </w:p>
    <w:p>
      <w:pPr>
        <w:pStyle w:val="4"/>
        <w:spacing w:line="360" w:lineRule="auto"/>
        <w:rPr>
          <w:rFonts w:asciiTheme="minorEastAsia" w:hAnsiTheme="minorEastAsia" w:eastAsiaTheme="minorEastAsia" w:cstheme="minorEastAsia"/>
          <w:color w:val="auto"/>
          <w:highlight w:val="none"/>
        </w:rPr>
      </w:pPr>
      <w:bookmarkStart w:id="105" w:name="_Toc1878"/>
      <w:r>
        <w:rPr>
          <w:rFonts w:hint="eastAsia" w:asciiTheme="minorEastAsia" w:hAnsiTheme="minorEastAsia" w:eastAsiaTheme="minorEastAsia" w:cstheme="minorEastAsia"/>
          <w:color w:val="auto"/>
          <w:highlight w:val="none"/>
        </w:rPr>
        <w:t>10、安装调试</w:t>
      </w:r>
      <w:bookmarkEnd w:id="105"/>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10.1安装地点：采购人指定地点。</w:t>
      </w:r>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10.2安装完成时间：接到用户电话通知后在7日内完成</w:t>
      </w:r>
      <w:r>
        <w:rPr>
          <w:rFonts w:hint="eastAsia" w:asciiTheme="minorEastAsia" w:hAnsiTheme="minorEastAsia" w:cstheme="minorEastAsia"/>
          <w:color w:val="auto"/>
          <w:sz w:val="24"/>
          <w:highlight w:val="none"/>
          <w:lang w:val="en-US" w:eastAsia="zh-CN"/>
        </w:rPr>
        <w:t>拆装</w:t>
      </w:r>
      <w:r>
        <w:rPr>
          <w:rFonts w:hint="eastAsia" w:asciiTheme="minorEastAsia" w:hAnsiTheme="minorEastAsia" w:cstheme="minorEastAsia"/>
          <w:color w:val="auto"/>
          <w:sz w:val="24"/>
          <w:highlight w:val="none"/>
        </w:rPr>
        <w:t>和调试（“投标人须知前附表”有规定的除外），如在规定的时间内由于中标人的原因不能完成安装和调试，中标人应承担由此给采购人造成的损失。</w:t>
      </w:r>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10.3安装标准：符合我国国家有关技术规范要求和技术标准，所有的软件和硬件必须保证同时安装到位。</w:t>
      </w:r>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10.4中标人应免费提供合同货物的</w:t>
      </w:r>
      <w:r>
        <w:rPr>
          <w:rFonts w:hint="eastAsia" w:asciiTheme="minorEastAsia" w:hAnsiTheme="minorEastAsia" w:cstheme="minorEastAsia"/>
          <w:color w:val="auto"/>
          <w:sz w:val="24"/>
          <w:highlight w:val="none"/>
          <w:lang w:val="en-US" w:eastAsia="zh-CN"/>
        </w:rPr>
        <w:t>拆装</w:t>
      </w:r>
      <w:r>
        <w:rPr>
          <w:rFonts w:hint="eastAsia" w:asciiTheme="minorEastAsia" w:hAnsiTheme="minorEastAsia" w:cstheme="minorEastAsia"/>
          <w:color w:val="auto"/>
          <w:sz w:val="24"/>
          <w:highlight w:val="none"/>
        </w:rPr>
        <w:t>服务。</w:t>
      </w:r>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10.5中标人在投标文件中应提供安装调试计划、对安装场地和环境的要求。</w:t>
      </w:r>
      <w:r>
        <w:rPr>
          <w:rFonts w:hint="eastAsia" w:asciiTheme="minorEastAsia" w:hAnsiTheme="minorEastAsia" w:cstheme="minorEastAsia"/>
          <w:color w:val="auto"/>
          <w:sz w:val="24"/>
          <w:highlight w:val="none"/>
        </w:rPr>
        <w:br w:type="page"/>
      </w:r>
    </w:p>
    <w:p>
      <w:pPr>
        <w:pStyle w:val="2"/>
        <w:rPr>
          <w:rFonts w:ascii="宋体" w:hAnsi="宋体"/>
          <w:color w:val="auto"/>
          <w:spacing w:val="-6"/>
          <w:sz w:val="32"/>
          <w:szCs w:val="32"/>
          <w:highlight w:val="none"/>
        </w:rPr>
      </w:pPr>
      <w:bookmarkStart w:id="106" w:name="_Toc27807"/>
      <w:r>
        <w:rPr>
          <w:rFonts w:hint="eastAsia" w:ascii="宋体" w:hAnsi="宋体"/>
          <w:color w:val="auto"/>
          <w:spacing w:val="-6"/>
          <w:sz w:val="32"/>
          <w:szCs w:val="32"/>
          <w:highlight w:val="none"/>
        </w:rPr>
        <w:t>第四章  评审办法及评分标准</w:t>
      </w:r>
      <w:bookmarkEnd w:id="94"/>
      <w:bookmarkEnd w:id="106"/>
    </w:p>
    <w:p>
      <w:pPr>
        <w:pStyle w:val="3"/>
        <w:rPr>
          <w:color w:val="auto"/>
          <w:highlight w:val="none"/>
        </w:rPr>
      </w:pPr>
      <w:bookmarkStart w:id="107" w:name="_Toc8447"/>
      <w:bookmarkStart w:id="108" w:name="_Toc11555"/>
      <w:r>
        <w:rPr>
          <w:rFonts w:hint="eastAsia"/>
          <w:color w:val="auto"/>
          <w:highlight w:val="none"/>
        </w:rPr>
        <w:t>一、总则</w:t>
      </w:r>
      <w:bookmarkEnd w:id="107"/>
      <w:bookmarkEnd w:id="108"/>
    </w:p>
    <w:p>
      <w:pPr>
        <w:spacing w:line="440" w:lineRule="exact"/>
        <w:ind w:firstLine="456" w:firstLineChars="200"/>
        <w:rPr>
          <w:rFonts w:ascii="宋体" w:hAnsi="宋体"/>
          <w:bCs/>
          <w:color w:val="auto"/>
          <w:spacing w:val="-6"/>
          <w:sz w:val="24"/>
          <w:highlight w:val="none"/>
        </w:rPr>
      </w:pPr>
      <w:r>
        <w:rPr>
          <w:rFonts w:hint="eastAsia" w:ascii="宋体" w:hAnsi="宋体"/>
          <w:color w:val="auto"/>
          <w:spacing w:val="-6"/>
          <w:sz w:val="24"/>
          <w:highlight w:val="none"/>
        </w:rPr>
        <w:t>本次评审采用综合评分法，总分为100分。合格磋商响应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color w:val="auto"/>
          <w:spacing w:val="-6"/>
          <w:sz w:val="24"/>
          <w:highlight w:val="none"/>
        </w:rPr>
        <w:t>评分过程中采用四舍五入法，并保留小数2位。</w:t>
      </w:r>
    </w:p>
    <w:p>
      <w:pPr>
        <w:spacing w:line="440" w:lineRule="exact"/>
        <w:ind w:firstLine="456" w:firstLineChars="200"/>
        <w:rPr>
          <w:rFonts w:ascii="宋体" w:hAnsi="宋体"/>
          <w:bCs/>
          <w:color w:val="auto"/>
          <w:spacing w:val="-6"/>
          <w:sz w:val="24"/>
          <w:highlight w:val="none"/>
        </w:rPr>
      </w:pPr>
      <w:r>
        <w:rPr>
          <w:rFonts w:hint="eastAsia" w:ascii="宋体" w:hAnsi="宋体"/>
          <w:color w:val="auto"/>
          <w:spacing w:val="-6"/>
          <w:sz w:val="24"/>
          <w:highlight w:val="none"/>
        </w:rPr>
        <w:t>磋商响应供应商评审</w:t>
      </w:r>
      <w:r>
        <w:rPr>
          <w:rFonts w:hint="eastAsia" w:ascii="宋体" w:hAnsi="宋体"/>
          <w:bCs/>
          <w:color w:val="auto"/>
          <w:spacing w:val="-6"/>
          <w:sz w:val="24"/>
          <w:highlight w:val="none"/>
        </w:rPr>
        <w:t>综合得分=商务分+技术分+价格分</w:t>
      </w:r>
    </w:p>
    <w:p>
      <w:pPr>
        <w:spacing w:line="440" w:lineRule="exact"/>
        <w:ind w:firstLine="456" w:firstLineChars="200"/>
        <w:rPr>
          <w:rFonts w:ascii="宋体" w:hAnsi="宋体"/>
          <w:color w:val="auto"/>
          <w:spacing w:val="-6"/>
          <w:sz w:val="24"/>
          <w:highlight w:val="none"/>
        </w:rPr>
      </w:pPr>
      <w:r>
        <w:rPr>
          <w:rFonts w:hint="eastAsia" w:ascii="宋体" w:hAnsi="宋体"/>
          <w:bCs/>
          <w:color w:val="auto"/>
          <w:spacing w:val="-6"/>
          <w:sz w:val="24"/>
          <w:highlight w:val="none"/>
        </w:rPr>
        <w:t>商务分、技术分按照磋商小组成员的独立评分结果的算术平均分计算，计算公式为：商务分、技术分=（磋商小组所有成员评分合计数）</w:t>
      </w:r>
      <w:r>
        <w:rPr>
          <w:rFonts w:ascii="宋体" w:hAnsi="宋体"/>
          <w:bCs/>
          <w:color w:val="auto"/>
          <w:spacing w:val="-6"/>
          <w:sz w:val="24"/>
          <w:highlight w:val="none"/>
        </w:rPr>
        <w:t>/（</w:t>
      </w:r>
      <w:r>
        <w:rPr>
          <w:rFonts w:hint="eastAsia" w:ascii="宋体" w:hAnsi="宋体"/>
          <w:bCs/>
          <w:color w:val="auto"/>
          <w:spacing w:val="-6"/>
          <w:sz w:val="24"/>
          <w:highlight w:val="none"/>
        </w:rPr>
        <w:t>磋商小组组成人员数）</w:t>
      </w:r>
    </w:p>
    <w:p>
      <w:pPr>
        <w:pStyle w:val="3"/>
        <w:spacing w:line="440" w:lineRule="exact"/>
        <w:rPr>
          <w:color w:val="auto"/>
          <w:highlight w:val="none"/>
        </w:rPr>
      </w:pPr>
      <w:bookmarkStart w:id="109" w:name="_Toc6406"/>
      <w:bookmarkStart w:id="110" w:name="_Toc23279"/>
      <w:r>
        <w:rPr>
          <w:rFonts w:hint="eastAsia"/>
          <w:color w:val="auto"/>
          <w:highlight w:val="none"/>
        </w:rPr>
        <w:t>二、评审内容及标准</w:t>
      </w:r>
      <w:bookmarkEnd w:id="109"/>
      <w:bookmarkEnd w:id="110"/>
    </w:p>
    <w:p>
      <w:pPr>
        <w:spacing w:line="440" w:lineRule="exact"/>
        <w:ind w:firstLine="458" w:firstLineChars="200"/>
        <w:rPr>
          <w:rFonts w:ascii="宋体" w:hAnsi="宋体"/>
          <w:b/>
          <w:bCs/>
          <w:color w:val="auto"/>
          <w:spacing w:val="-6"/>
          <w:sz w:val="24"/>
          <w:highlight w:val="none"/>
        </w:rPr>
      </w:pPr>
      <w:r>
        <w:rPr>
          <w:rFonts w:hint="eastAsia" w:ascii="宋体" w:hAnsi="宋体"/>
          <w:b/>
          <w:bCs/>
          <w:color w:val="auto"/>
          <w:spacing w:val="-6"/>
          <w:sz w:val="24"/>
          <w:highlight w:val="none"/>
        </w:rPr>
        <w:t>1、商务报价分0-35分</w:t>
      </w:r>
    </w:p>
    <w:p>
      <w:pPr>
        <w:spacing w:line="440" w:lineRule="exact"/>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商务报价评分将在有效供应商范围内进行，最高得35分，最低得0分，小数点后保留2位小数。满足采购文件要求的最终报价最低的投标报价为评审基准价，其商务报价分为满分35分。其他供应商的价格分统一按照下列公式计算：投标报价得分=(评审基准价／投标报价)×价格权值35%×100。</w:t>
      </w:r>
    </w:p>
    <w:p>
      <w:pPr>
        <w:spacing w:line="440" w:lineRule="exact"/>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根据浙江省财政厅浙江省中小企业局转发财政部工业和信息化部关于印发《政府采购促进中小企业发展暂行办法》的通知（浙财采监【2012】11号文）规定，参加浙江省政府采购的中小企业供应商，应根据浙江省财政厅《关于开展政府采购供应商网上注册登记和诚信管理工作的通知》（浙财采监【2010】8号文）的要求，通过浙江政府采购网申请注册加入政府采购供应商库。</w:t>
      </w:r>
    </w:p>
    <w:p>
      <w:pPr>
        <w:spacing w:line="440" w:lineRule="exact"/>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已注册入库且符合《政府采购促进中小企业发展暂行办法》规定的小微企业条件的，在参加浙江省政府采购活动时可享受《政府采购促进中小企业发展暂行办法》规定的优惠政策。供应商应按照浙江省财政厅浙江省中小企业局转发财政部工业和信息化部关于印发《政府采购促进中小企业发展暂行办法》的通知（浙财采监【2012】11号文）规定，在商务文件中按照规定格式，</w:t>
      </w:r>
      <w:r>
        <w:rPr>
          <w:rFonts w:hint="eastAsia" w:ascii="宋体" w:hAnsi="宋体"/>
          <w:color w:val="0000FF"/>
          <w:spacing w:val="-6"/>
          <w:sz w:val="24"/>
          <w:highlight w:val="none"/>
        </w:rPr>
        <w:t>提供《中小企业申明函》和</w:t>
      </w:r>
      <w:r>
        <w:rPr>
          <w:rFonts w:hint="eastAsia" w:ascii="宋体" w:hAnsi="宋体"/>
          <w:color w:val="0000FF"/>
          <w:spacing w:val="-6"/>
          <w:sz w:val="24"/>
          <w:highlight w:val="none"/>
          <w:lang w:val="en-US" w:eastAsia="zh-CN"/>
        </w:rPr>
        <w:t>小微企业名录查询页面截图（http://xwqy.gsxt.gov.cn/）</w:t>
      </w:r>
      <w:r>
        <w:rPr>
          <w:rFonts w:hint="eastAsia" w:ascii="宋体" w:hAnsi="宋体"/>
          <w:color w:val="0000FF"/>
          <w:spacing w:val="-6"/>
          <w:sz w:val="24"/>
          <w:highlight w:val="none"/>
        </w:rPr>
        <w:t>，</w:t>
      </w:r>
      <w:r>
        <w:rPr>
          <w:rFonts w:hint="eastAsia" w:ascii="宋体" w:hAnsi="宋体"/>
          <w:color w:val="auto"/>
          <w:spacing w:val="-6"/>
          <w:sz w:val="24"/>
          <w:highlight w:val="none"/>
        </w:rPr>
        <w:t>同时在商务文件中提供投标人注册加入政府采购供应商库的相应证明材料，才可享受价格扣除后参与评审的优惠。</w:t>
      </w:r>
    </w:p>
    <w:p>
      <w:pPr>
        <w:spacing w:line="440" w:lineRule="exact"/>
        <w:ind w:firstLine="458" w:firstLineChars="200"/>
        <w:rPr>
          <w:rFonts w:ascii="宋体" w:hAnsi="宋体"/>
          <w:b/>
          <w:bCs/>
          <w:color w:val="auto"/>
          <w:spacing w:val="-6"/>
          <w:sz w:val="24"/>
          <w:highlight w:val="none"/>
        </w:rPr>
      </w:pPr>
      <w:r>
        <w:rPr>
          <w:rFonts w:hint="eastAsia" w:ascii="宋体" w:hAnsi="宋体"/>
          <w:b/>
          <w:bCs/>
          <w:color w:val="auto"/>
          <w:spacing w:val="-6"/>
          <w:sz w:val="24"/>
          <w:highlight w:val="none"/>
        </w:rPr>
        <w:t>2、资信评分0-1</w:t>
      </w:r>
      <w:r>
        <w:rPr>
          <w:rFonts w:hint="eastAsia" w:ascii="宋体" w:hAnsi="宋体"/>
          <w:b/>
          <w:bCs/>
          <w:color w:val="auto"/>
          <w:spacing w:val="-6"/>
          <w:sz w:val="24"/>
          <w:highlight w:val="none"/>
          <w:lang w:val="en-US" w:eastAsia="zh-CN"/>
        </w:rPr>
        <w:t>2</w:t>
      </w:r>
      <w:r>
        <w:rPr>
          <w:rFonts w:hint="eastAsia" w:ascii="宋体" w:hAnsi="宋体"/>
          <w:b/>
          <w:bCs/>
          <w:color w:val="auto"/>
          <w:spacing w:val="-6"/>
          <w:sz w:val="24"/>
          <w:highlight w:val="none"/>
        </w:rPr>
        <w:t>分</w:t>
      </w:r>
    </w:p>
    <w:p>
      <w:pPr>
        <w:spacing w:line="440" w:lineRule="exact"/>
        <w:ind w:firstLine="456" w:firstLineChars="200"/>
        <w:rPr>
          <w:rFonts w:ascii="宋体" w:hAnsi="宋体"/>
          <w:color w:val="auto"/>
          <w:spacing w:val="-6"/>
          <w:sz w:val="24"/>
          <w:highlight w:val="none"/>
        </w:rPr>
      </w:pPr>
      <w:r>
        <w:rPr>
          <w:rFonts w:hint="eastAsia" w:ascii="宋体" w:hAnsi="宋体"/>
          <w:color w:val="auto"/>
          <w:spacing w:val="-6"/>
          <w:sz w:val="24"/>
          <w:highlight w:val="none"/>
        </w:rPr>
        <w:t>投标人自2015年6月份以来各级国家机关、事业单位和团体组织同类业绩，每个得1分，最高5分；（业绩必须提供相应的证明文件（合同复印件），时间以合同签订时间为准。原则上以投标文件中的复印件为准，若复印件不明确，评审小组以核查的原件为准，开标时请携带原件备查）（0-5分）。</w:t>
      </w:r>
    </w:p>
    <w:p>
      <w:pPr>
        <w:spacing w:line="440" w:lineRule="exact"/>
        <w:ind w:firstLine="456" w:firstLineChars="200"/>
        <w:rPr>
          <w:rFonts w:ascii="宋体" w:hAnsi="宋体"/>
          <w:color w:val="auto"/>
          <w:spacing w:val="-6"/>
          <w:sz w:val="24"/>
          <w:highlight w:val="none"/>
        </w:rPr>
      </w:pPr>
      <w:r>
        <w:rPr>
          <w:rFonts w:hint="eastAsia" w:ascii="宋体" w:hAnsi="宋体"/>
          <w:color w:val="auto"/>
          <w:spacing w:val="-6"/>
          <w:sz w:val="24"/>
          <w:highlight w:val="none"/>
        </w:rPr>
        <w:t>提供生产厂家（或者生产厂家的中国区授权经销商）的ISO9001质量管理体系认证证书，ISO14001环境管理体系认证证书，OHSMS职业健康与安全管理体系认证证书，每提供一个得1分 (0-3分)</w:t>
      </w:r>
    </w:p>
    <w:p>
      <w:pPr>
        <w:spacing w:line="440" w:lineRule="exact"/>
        <w:ind w:firstLine="456" w:firstLineChars="200"/>
        <w:rPr>
          <w:rFonts w:hint="eastAsia" w:ascii="宋体" w:hAnsi="宋体"/>
          <w:color w:val="auto"/>
          <w:spacing w:val="-6"/>
          <w:sz w:val="24"/>
          <w:highlight w:val="none"/>
        </w:rPr>
      </w:pPr>
      <w:r>
        <w:rPr>
          <w:rFonts w:hint="eastAsia" w:ascii="宋体" w:hAnsi="宋体"/>
          <w:color w:val="auto"/>
          <w:spacing w:val="-6"/>
          <w:sz w:val="24"/>
          <w:highlight w:val="none"/>
        </w:rPr>
        <w:t>所提供的质保计划优于采购文件情况，每增加一年质保期加1分，最高得2分，(须提供原厂商承诺书)（0-2分）</w:t>
      </w:r>
    </w:p>
    <w:p>
      <w:pPr>
        <w:spacing w:line="440" w:lineRule="exact"/>
        <w:ind w:firstLine="456" w:firstLineChars="200"/>
        <w:rPr>
          <w:rFonts w:hint="eastAsia" w:ascii="宋体" w:hAnsi="宋体" w:eastAsiaTheme="minorEastAsia"/>
          <w:color w:val="auto"/>
          <w:spacing w:val="-6"/>
          <w:sz w:val="24"/>
          <w:highlight w:val="none"/>
          <w:lang w:val="en-US" w:eastAsia="zh-CN"/>
        </w:rPr>
      </w:pPr>
      <w:r>
        <w:rPr>
          <w:rFonts w:hint="eastAsia" w:ascii="宋体" w:hAnsi="宋体"/>
          <w:color w:val="auto"/>
          <w:spacing w:val="-6"/>
          <w:sz w:val="24"/>
          <w:highlight w:val="none"/>
          <w:lang w:val="en-US" w:eastAsia="zh-CN"/>
        </w:rPr>
        <w:t>提供产品检测报告，每提供一个得0.5分，最高2分。</w:t>
      </w:r>
    </w:p>
    <w:p>
      <w:pPr>
        <w:spacing w:line="440" w:lineRule="exact"/>
        <w:ind w:firstLine="456" w:firstLineChars="200"/>
        <w:rPr>
          <w:rFonts w:ascii="宋体" w:hAnsi="宋体"/>
          <w:color w:val="auto"/>
          <w:spacing w:val="-6"/>
          <w:sz w:val="24"/>
          <w:highlight w:val="none"/>
        </w:rPr>
      </w:pPr>
      <w:r>
        <w:rPr>
          <w:rFonts w:hint="eastAsia" w:ascii="宋体" w:hAnsi="宋体"/>
          <w:color w:val="auto"/>
          <w:spacing w:val="-6"/>
          <w:sz w:val="24"/>
          <w:highlight w:val="none"/>
        </w:rPr>
        <w:t>此项由磋商小组集体核实后统一打分。</w:t>
      </w:r>
    </w:p>
    <w:p>
      <w:pPr>
        <w:spacing w:line="440" w:lineRule="exact"/>
        <w:ind w:firstLine="458" w:firstLineChars="200"/>
        <w:rPr>
          <w:rFonts w:ascii="宋体" w:hAnsi="宋体"/>
          <w:b/>
          <w:bCs/>
          <w:color w:val="auto"/>
          <w:spacing w:val="-6"/>
          <w:sz w:val="24"/>
          <w:highlight w:val="none"/>
        </w:rPr>
      </w:pPr>
      <w:r>
        <w:rPr>
          <w:rFonts w:hint="eastAsia" w:ascii="宋体" w:hAnsi="宋体"/>
          <w:b/>
          <w:bCs/>
          <w:color w:val="auto"/>
          <w:spacing w:val="-6"/>
          <w:sz w:val="24"/>
          <w:highlight w:val="none"/>
        </w:rPr>
        <w:t>3、技术评分1</w:t>
      </w:r>
      <w:r>
        <w:rPr>
          <w:rFonts w:hint="eastAsia" w:ascii="宋体" w:hAnsi="宋体"/>
          <w:b/>
          <w:bCs/>
          <w:color w:val="auto"/>
          <w:spacing w:val="-6"/>
          <w:sz w:val="24"/>
          <w:highlight w:val="none"/>
          <w:lang w:val="en-US" w:eastAsia="zh-CN"/>
        </w:rPr>
        <w:t>0</w:t>
      </w:r>
      <w:r>
        <w:rPr>
          <w:rFonts w:hint="eastAsia" w:ascii="宋体" w:hAnsi="宋体"/>
          <w:b/>
          <w:bCs/>
          <w:color w:val="auto"/>
          <w:spacing w:val="-6"/>
          <w:sz w:val="24"/>
          <w:highlight w:val="none"/>
        </w:rPr>
        <w:t>-5</w:t>
      </w:r>
      <w:r>
        <w:rPr>
          <w:rFonts w:hint="eastAsia" w:ascii="宋体" w:hAnsi="宋体"/>
          <w:b/>
          <w:bCs/>
          <w:color w:val="auto"/>
          <w:spacing w:val="-6"/>
          <w:sz w:val="24"/>
          <w:highlight w:val="none"/>
          <w:lang w:val="en-US" w:eastAsia="zh-CN"/>
        </w:rPr>
        <w:t>3</w:t>
      </w:r>
      <w:r>
        <w:rPr>
          <w:rFonts w:hint="eastAsia" w:ascii="宋体" w:hAnsi="宋体"/>
          <w:b/>
          <w:bCs/>
          <w:color w:val="auto"/>
          <w:spacing w:val="-6"/>
          <w:sz w:val="24"/>
          <w:highlight w:val="none"/>
        </w:rPr>
        <w:t>分</w:t>
      </w:r>
    </w:p>
    <w:p>
      <w:pPr>
        <w:spacing w:line="440" w:lineRule="exact"/>
        <w:ind w:firstLine="456" w:firstLineChars="200"/>
        <w:rPr>
          <w:rFonts w:ascii="宋体" w:hAnsi="宋体"/>
          <w:color w:val="auto"/>
          <w:spacing w:val="-6"/>
          <w:sz w:val="24"/>
          <w:highlight w:val="none"/>
        </w:rPr>
      </w:pPr>
      <w:r>
        <w:rPr>
          <w:rFonts w:hint="eastAsia" w:ascii="宋体" w:hAnsi="宋体"/>
          <w:color w:val="auto"/>
          <w:spacing w:val="-6"/>
          <w:sz w:val="24"/>
          <w:highlight w:val="none"/>
        </w:rPr>
        <w:t>该评分分值由磋商小组根据评审情况在分值范围内独立打分（具体分值设定详见表格），小数点后保留2位小数，每个供应商的最终技术得分为磋商小组打分的算术平均值。</w:t>
      </w:r>
    </w:p>
    <w:tbl>
      <w:tblPr>
        <w:tblStyle w:val="19"/>
        <w:tblW w:w="9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493"/>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94" w:type="dxa"/>
            <w:vAlign w:val="center"/>
          </w:tcPr>
          <w:p>
            <w:pPr>
              <w:spacing w:line="440" w:lineRule="exact"/>
              <w:jc w:val="center"/>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序号</w:t>
            </w:r>
          </w:p>
        </w:tc>
        <w:tc>
          <w:tcPr>
            <w:tcW w:w="7493" w:type="dxa"/>
            <w:vAlign w:val="center"/>
          </w:tcPr>
          <w:p>
            <w:pPr>
              <w:spacing w:line="440" w:lineRule="exact"/>
              <w:jc w:val="center"/>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评分项目</w:t>
            </w:r>
          </w:p>
        </w:tc>
        <w:tc>
          <w:tcPr>
            <w:tcW w:w="1254" w:type="dxa"/>
            <w:vAlign w:val="center"/>
          </w:tcPr>
          <w:p>
            <w:pPr>
              <w:spacing w:line="440" w:lineRule="exact"/>
              <w:jc w:val="center"/>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4" w:type="dxa"/>
            <w:vAlign w:val="center"/>
          </w:tcPr>
          <w:p>
            <w:pPr>
              <w:spacing w:line="440" w:lineRule="exact"/>
              <w:jc w:val="center"/>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1</w:t>
            </w:r>
          </w:p>
        </w:tc>
        <w:tc>
          <w:tcPr>
            <w:tcW w:w="7493" w:type="dxa"/>
          </w:tcPr>
          <w:p>
            <w:pPr>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z w:val="24"/>
                <w:highlight w:val="none"/>
              </w:rPr>
              <w:t>根据供应商规模、</w:t>
            </w:r>
            <w:r>
              <w:rPr>
                <w:rFonts w:hint="eastAsia" w:asciiTheme="minorEastAsia" w:hAnsiTheme="minorEastAsia" w:cstheme="minorEastAsia"/>
                <w:color w:val="auto"/>
                <w:sz w:val="24"/>
                <w:highlight w:val="none"/>
                <w:lang w:val="en-US" w:eastAsia="zh-CN"/>
              </w:rPr>
              <w:t>注册资金</w:t>
            </w:r>
            <w:r>
              <w:rPr>
                <w:rFonts w:hint="eastAsia" w:asciiTheme="minorEastAsia" w:hAnsiTheme="minorEastAsia" w:cstheme="minorEastAsia"/>
                <w:color w:val="auto"/>
                <w:sz w:val="24"/>
                <w:highlight w:val="none"/>
              </w:rPr>
              <w:t>、管理能力、实力等横向比较。</w:t>
            </w:r>
          </w:p>
        </w:tc>
        <w:tc>
          <w:tcPr>
            <w:tcW w:w="1254" w:type="dxa"/>
            <w:vAlign w:val="center"/>
          </w:tcPr>
          <w:p>
            <w:pPr>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94" w:type="dxa"/>
            <w:vAlign w:val="center"/>
          </w:tcPr>
          <w:p>
            <w:pPr>
              <w:spacing w:line="440" w:lineRule="exact"/>
              <w:jc w:val="center"/>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2</w:t>
            </w:r>
          </w:p>
        </w:tc>
        <w:tc>
          <w:tcPr>
            <w:tcW w:w="7493" w:type="dxa"/>
            <w:vAlign w:val="center"/>
          </w:tcPr>
          <w:p>
            <w:pPr>
              <w:pStyle w:val="26"/>
              <w:spacing w:line="440" w:lineRule="exact"/>
              <w:jc w:val="left"/>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投标产品品牌档次优劣，产品型号，技术规格的先进性</w:t>
            </w:r>
            <w:r>
              <w:rPr>
                <w:rFonts w:hint="eastAsia" w:asciiTheme="minorEastAsia" w:hAnsiTheme="minorEastAsia" w:eastAsiaTheme="minorEastAsia" w:cstheme="minorEastAsia"/>
                <w:color w:val="auto"/>
                <w:spacing w:val="-6"/>
                <w:sz w:val="24"/>
                <w:szCs w:val="24"/>
                <w:highlight w:val="none"/>
                <w:lang w:eastAsia="zh-CN"/>
              </w:rPr>
              <w:t>的</w:t>
            </w:r>
            <w:r>
              <w:rPr>
                <w:rFonts w:hint="eastAsia" w:asciiTheme="minorEastAsia" w:hAnsiTheme="minorEastAsia" w:eastAsiaTheme="minorEastAsia" w:cstheme="minorEastAsia"/>
                <w:color w:val="auto"/>
                <w:spacing w:val="-6"/>
                <w:sz w:val="24"/>
                <w:szCs w:val="24"/>
                <w:highlight w:val="none"/>
              </w:rPr>
              <w:t>完整性评分。以投标产品配置清单及主要设备参数。</w:t>
            </w:r>
          </w:p>
        </w:tc>
        <w:tc>
          <w:tcPr>
            <w:tcW w:w="1254" w:type="dxa"/>
            <w:vAlign w:val="center"/>
          </w:tcPr>
          <w:p>
            <w:pPr>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2-</w:t>
            </w:r>
            <w:r>
              <w:rPr>
                <w:rFonts w:hint="eastAsia" w:asciiTheme="minorEastAsia" w:hAnsiTheme="minorEastAsia" w:cstheme="minorEastAsia"/>
                <w:color w:val="auto"/>
                <w:spacing w:val="-6"/>
                <w:sz w:val="24"/>
                <w:highlight w:val="none"/>
                <w:lang w:val="en-US" w:eastAsia="zh-CN"/>
              </w:rPr>
              <w:t>8</w:t>
            </w:r>
            <w:r>
              <w:rPr>
                <w:rFonts w:hint="eastAsia" w:asciiTheme="minorEastAsia" w:hAnsiTheme="minorEastAsia" w:cstheme="minorEastAsia"/>
                <w:color w:val="auto"/>
                <w:spacing w:val="-6"/>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94" w:type="dxa"/>
            <w:vAlign w:val="center"/>
          </w:tcPr>
          <w:p>
            <w:pPr>
              <w:spacing w:line="440" w:lineRule="exact"/>
              <w:jc w:val="center"/>
              <w:rPr>
                <w:rFonts w:hint="eastAsia" w:asciiTheme="minorEastAsia" w:hAnsiTheme="minorEastAsia" w:eastAsiaTheme="minorEastAsia" w:cstheme="minorEastAsia"/>
                <w:color w:val="auto"/>
                <w:spacing w:val="-6"/>
                <w:sz w:val="24"/>
                <w:highlight w:val="none"/>
                <w:lang w:val="en-US" w:eastAsia="zh-CN"/>
              </w:rPr>
            </w:pPr>
            <w:r>
              <w:rPr>
                <w:rFonts w:hint="eastAsia" w:asciiTheme="minorEastAsia" w:hAnsiTheme="minorEastAsia" w:cstheme="minorEastAsia"/>
                <w:color w:val="auto"/>
                <w:spacing w:val="-6"/>
                <w:sz w:val="24"/>
                <w:highlight w:val="none"/>
                <w:lang w:val="en-US" w:eastAsia="zh-CN"/>
              </w:rPr>
              <w:t>3</w:t>
            </w:r>
          </w:p>
        </w:tc>
        <w:tc>
          <w:tcPr>
            <w:tcW w:w="7493" w:type="dxa"/>
            <w:vAlign w:val="center"/>
          </w:tcPr>
          <w:p>
            <w:pPr>
              <w:pStyle w:val="26"/>
              <w:spacing w:line="440" w:lineRule="exact"/>
              <w:jc w:val="left"/>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技术部分负偏离情况（</w:t>
            </w:r>
            <w:r>
              <w:rPr>
                <w:rFonts w:hint="eastAsia" w:asciiTheme="minorEastAsia" w:hAnsiTheme="minorEastAsia" w:eastAsiaTheme="minorEastAsia" w:cstheme="minorEastAsia"/>
                <w:color w:val="auto"/>
                <w:spacing w:val="-6"/>
                <w:sz w:val="24"/>
                <w:szCs w:val="24"/>
                <w:highlight w:val="none"/>
                <w:lang w:val="en-US" w:eastAsia="zh-CN"/>
              </w:rPr>
              <w:t>基准分为3分，</w:t>
            </w:r>
            <w:r>
              <w:rPr>
                <w:rFonts w:hint="eastAsia" w:asciiTheme="minorEastAsia" w:hAnsiTheme="minorEastAsia" w:eastAsiaTheme="minorEastAsia" w:cstheme="minorEastAsia"/>
                <w:color w:val="auto"/>
                <w:spacing w:val="-6"/>
                <w:sz w:val="24"/>
                <w:szCs w:val="24"/>
                <w:highlight w:val="none"/>
              </w:rPr>
              <w:t>正负偏离每一项酌情加减分，加减分最高不超过±</w:t>
            </w:r>
            <w:r>
              <w:rPr>
                <w:rFonts w:hint="eastAsia" w:asciiTheme="minorEastAsia" w:hAnsiTheme="minorEastAsia" w:eastAsiaTheme="minorEastAsia" w:cstheme="minorEastAsia"/>
                <w:color w:val="auto"/>
                <w:spacing w:val="-6"/>
                <w:sz w:val="24"/>
                <w:szCs w:val="24"/>
                <w:highlight w:val="none"/>
                <w:lang w:val="en-US" w:eastAsia="zh-CN"/>
              </w:rPr>
              <w:t>3</w:t>
            </w:r>
            <w:r>
              <w:rPr>
                <w:rFonts w:hint="eastAsia" w:asciiTheme="minorEastAsia" w:hAnsiTheme="minorEastAsia" w:eastAsiaTheme="minorEastAsia" w:cstheme="minorEastAsia"/>
                <w:color w:val="auto"/>
                <w:spacing w:val="-6"/>
                <w:sz w:val="24"/>
                <w:szCs w:val="24"/>
                <w:highlight w:val="none"/>
              </w:rPr>
              <w:t>分。）</w:t>
            </w:r>
          </w:p>
        </w:tc>
        <w:tc>
          <w:tcPr>
            <w:tcW w:w="1254" w:type="dxa"/>
            <w:vAlign w:val="center"/>
          </w:tcPr>
          <w:p>
            <w:pPr>
              <w:spacing w:line="440" w:lineRule="exact"/>
              <w:rPr>
                <w:rFonts w:hint="eastAsia"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0-</w:t>
            </w:r>
            <w:r>
              <w:rPr>
                <w:rFonts w:hint="eastAsia" w:asciiTheme="minorEastAsia" w:hAnsiTheme="minorEastAsia" w:cstheme="minorEastAsia"/>
                <w:color w:val="auto"/>
                <w:spacing w:val="-6"/>
                <w:sz w:val="24"/>
                <w:highlight w:val="none"/>
                <w:lang w:val="en-US" w:eastAsia="zh-CN"/>
              </w:rPr>
              <w:t>6</w:t>
            </w:r>
            <w:r>
              <w:rPr>
                <w:rFonts w:hint="eastAsia" w:asciiTheme="minorEastAsia" w:hAnsiTheme="minorEastAsia" w:cstheme="minorEastAsia"/>
                <w:color w:val="auto"/>
                <w:spacing w:val="-6"/>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94" w:type="dxa"/>
            <w:vAlign w:val="center"/>
          </w:tcPr>
          <w:p>
            <w:pPr>
              <w:spacing w:line="440" w:lineRule="exact"/>
              <w:jc w:val="center"/>
              <w:rPr>
                <w:rFonts w:hint="eastAsia" w:asciiTheme="minorEastAsia" w:hAnsiTheme="minorEastAsia" w:eastAsiaTheme="minorEastAsia" w:cstheme="minorEastAsia"/>
                <w:color w:val="auto"/>
                <w:spacing w:val="-6"/>
                <w:sz w:val="24"/>
                <w:highlight w:val="none"/>
                <w:lang w:val="en-US" w:eastAsia="zh-CN"/>
              </w:rPr>
            </w:pPr>
            <w:r>
              <w:rPr>
                <w:rFonts w:hint="eastAsia" w:asciiTheme="minorEastAsia" w:hAnsiTheme="minorEastAsia" w:cstheme="minorEastAsia"/>
                <w:color w:val="auto"/>
                <w:spacing w:val="-6"/>
                <w:sz w:val="24"/>
                <w:highlight w:val="none"/>
                <w:lang w:val="en-US" w:eastAsia="zh-CN"/>
              </w:rPr>
              <w:t>4</w:t>
            </w:r>
          </w:p>
        </w:tc>
        <w:tc>
          <w:tcPr>
            <w:tcW w:w="7493" w:type="dxa"/>
            <w:vAlign w:val="center"/>
          </w:tcPr>
          <w:p>
            <w:pPr>
              <w:pStyle w:val="26"/>
              <w:spacing w:line="440" w:lineRule="exact"/>
              <w:jc w:val="left"/>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rPr>
              <w:t>组织实施方案：供应商组织实施方案的科学性、合理性、规范性和可操作性，包括设备供货、验货、安装调试、测试、调优、管理等内容，以及组织机构、工作时间进度表、工作程序和步骤、管理和协调方法、关键步骤的思路和要点等</w:t>
            </w:r>
            <w:r>
              <w:rPr>
                <w:rFonts w:hint="eastAsia" w:asciiTheme="minorEastAsia" w:hAnsiTheme="minorEastAsia" w:eastAsiaTheme="minorEastAsia" w:cstheme="minorEastAsia"/>
                <w:color w:val="auto"/>
                <w:spacing w:val="-6"/>
                <w:sz w:val="24"/>
                <w:szCs w:val="24"/>
                <w:highlight w:val="none"/>
                <w:lang w:eastAsia="zh-CN"/>
              </w:rPr>
              <w:t>。</w:t>
            </w:r>
          </w:p>
        </w:tc>
        <w:tc>
          <w:tcPr>
            <w:tcW w:w="1254" w:type="dxa"/>
            <w:vAlign w:val="center"/>
          </w:tcPr>
          <w:p>
            <w:pPr>
              <w:spacing w:line="440" w:lineRule="exact"/>
              <w:rPr>
                <w:rFonts w:hint="eastAsia" w:asciiTheme="minorEastAsia" w:hAnsiTheme="minorEastAsia" w:eastAsiaTheme="minorEastAsia" w:cstheme="minorEastAsia"/>
                <w:color w:val="auto"/>
                <w:spacing w:val="-6"/>
                <w:sz w:val="24"/>
                <w:highlight w:val="none"/>
                <w:lang w:val="en-US" w:eastAsia="zh-CN"/>
              </w:rPr>
            </w:pPr>
            <w:r>
              <w:rPr>
                <w:rFonts w:hint="eastAsia" w:asciiTheme="minorEastAsia" w:hAnsiTheme="minorEastAsia" w:cstheme="minorEastAsia"/>
                <w:color w:val="auto"/>
                <w:spacing w:val="-6"/>
                <w:sz w:val="24"/>
                <w:highlight w:val="none"/>
                <w:lang w:val="en-US" w:eastAsia="zh-CN"/>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794" w:type="dxa"/>
            <w:vAlign w:val="center"/>
          </w:tcPr>
          <w:p>
            <w:pPr>
              <w:spacing w:line="440" w:lineRule="exact"/>
              <w:jc w:val="center"/>
              <w:rPr>
                <w:rFonts w:hint="eastAsia" w:asciiTheme="minorEastAsia" w:hAnsiTheme="minorEastAsia" w:eastAsiaTheme="minorEastAsia" w:cstheme="minorEastAsia"/>
                <w:color w:val="auto"/>
                <w:spacing w:val="-6"/>
                <w:sz w:val="24"/>
                <w:highlight w:val="none"/>
                <w:lang w:val="en-US" w:eastAsia="zh-CN"/>
              </w:rPr>
            </w:pPr>
            <w:r>
              <w:rPr>
                <w:rFonts w:hint="eastAsia" w:asciiTheme="minorEastAsia" w:hAnsiTheme="minorEastAsia" w:cstheme="minorEastAsia"/>
                <w:color w:val="auto"/>
                <w:spacing w:val="-6"/>
                <w:sz w:val="24"/>
                <w:highlight w:val="none"/>
                <w:lang w:val="en-US" w:eastAsia="zh-CN"/>
              </w:rPr>
              <w:t>5</w:t>
            </w:r>
          </w:p>
        </w:tc>
        <w:tc>
          <w:tcPr>
            <w:tcW w:w="7493" w:type="dxa"/>
            <w:vAlign w:val="center"/>
          </w:tcPr>
          <w:p>
            <w:pPr>
              <w:pStyle w:val="26"/>
              <w:spacing w:line="440" w:lineRule="exact"/>
              <w:jc w:val="left"/>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rPr>
              <w:t>项目组人员素质情况：是否具有完备的管理组织、项目实施规范和管理制度，是否有完善的质量管理体系，并能有效实施；拟投入本项目的管理与作业人员总数、作业设备、软硬件的综合水平情况；（提供以上人员社保及其他证明材料。）</w:t>
            </w:r>
          </w:p>
        </w:tc>
        <w:tc>
          <w:tcPr>
            <w:tcW w:w="1254" w:type="dxa"/>
            <w:vAlign w:val="center"/>
          </w:tcPr>
          <w:p>
            <w:pPr>
              <w:spacing w:line="440" w:lineRule="exact"/>
              <w:rPr>
                <w:rFonts w:hint="eastAsia"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lang w:val="en-US" w:eastAsia="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794" w:type="dxa"/>
            <w:vAlign w:val="center"/>
          </w:tcPr>
          <w:p>
            <w:pPr>
              <w:spacing w:line="440" w:lineRule="exact"/>
              <w:jc w:val="center"/>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6</w:t>
            </w:r>
          </w:p>
        </w:tc>
        <w:tc>
          <w:tcPr>
            <w:tcW w:w="7493" w:type="dxa"/>
            <w:vAlign w:val="center"/>
          </w:tcPr>
          <w:p>
            <w:pPr>
              <w:adjustRightInd w:val="0"/>
              <w:snapToGrid w:val="0"/>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供应商所能提供原厂服务横向进行比较</w:t>
            </w:r>
          </w:p>
        </w:tc>
        <w:tc>
          <w:tcPr>
            <w:tcW w:w="1254" w:type="dxa"/>
            <w:vAlign w:val="center"/>
          </w:tcPr>
          <w:p>
            <w:pPr>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1-</w:t>
            </w:r>
            <w:r>
              <w:rPr>
                <w:rFonts w:hint="eastAsia" w:asciiTheme="minorEastAsia" w:hAnsiTheme="minorEastAsia" w:cstheme="minorEastAsia"/>
                <w:color w:val="auto"/>
                <w:spacing w:val="-6"/>
                <w:sz w:val="24"/>
                <w:highlight w:val="none"/>
                <w:lang w:val="en-US" w:eastAsia="zh-CN"/>
              </w:rPr>
              <w:t>3</w:t>
            </w:r>
            <w:r>
              <w:rPr>
                <w:rFonts w:hint="eastAsia" w:asciiTheme="minorEastAsia" w:hAnsiTheme="minorEastAsia" w:cstheme="minorEastAsia"/>
                <w:color w:val="auto"/>
                <w:spacing w:val="-6"/>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794" w:type="dxa"/>
            <w:vAlign w:val="center"/>
          </w:tcPr>
          <w:p>
            <w:pPr>
              <w:spacing w:line="440" w:lineRule="exact"/>
              <w:jc w:val="center"/>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7</w:t>
            </w:r>
          </w:p>
        </w:tc>
        <w:tc>
          <w:tcPr>
            <w:tcW w:w="7493" w:type="dxa"/>
            <w:vAlign w:val="center"/>
          </w:tcPr>
          <w:p>
            <w:pPr>
              <w:adjustRightInd w:val="0"/>
              <w:snapToGrid w:val="0"/>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备品备件及耗材优惠措施横向比较</w:t>
            </w:r>
          </w:p>
        </w:tc>
        <w:tc>
          <w:tcPr>
            <w:tcW w:w="1254" w:type="dxa"/>
            <w:vAlign w:val="center"/>
          </w:tcPr>
          <w:p>
            <w:pPr>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lang w:val="en-US" w:eastAsia="zh-CN"/>
              </w:rPr>
              <w:t>1</w:t>
            </w:r>
            <w:r>
              <w:rPr>
                <w:rFonts w:hint="eastAsia" w:asciiTheme="minorEastAsia" w:hAnsiTheme="minorEastAsia" w:cstheme="minorEastAsia"/>
                <w:color w:val="auto"/>
                <w:spacing w:val="-6"/>
                <w:sz w:val="24"/>
                <w:highlight w:val="none"/>
              </w:rPr>
              <w:t>-</w:t>
            </w:r>
            <w:r>
              <w:rPr>
                <w:rFonts w:hint="eastAsia" w:asciiTheme="minorEastAsia" w:hAnsiTheme="minorEastAsia" w:cstheme="minorEastAsia"/>
                <w:color w:val="auto"/>
                <w:spacing w:val="-6"/>
                <w:sz w:val="24"/>
                <w:highlight w:val="none"/>
                <w:lang w:val="en-US" w:eastAsia="zh-CN"/>
              </w:rPr>
              <w:t>3</w:t>
            </w:r>
            <w:r>
              <w:rPr>
                <w:rFonts w:hint="eastAsia" w:asciiTheme="minorEastAsia" w:hAnsiTheme="minorEastAsia" w:cstheme="minorEastAsia"/>
                <w:color w:val="auto"/>
                <w:spacing w:val="-6"/>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794" w:type="dxa"/>
            <w:vAlign w:val="center"/>
          </w:tcPr>
          <w:p>
            <w:pPr>
              <w:spacing w:line="440" w:lineRule="exact"/>
              <w:jc w:val="center"/>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8</w:t>
            </w:r>
          </w:p>
        </w:tc>
        <w:tc>
          <w:tcPr>
            <w:tcW w:w="7493" w:type="dxa"/>
          </w:tcPr>
          <w:p>
            <w:pPr>
              <w:widowControl/>
              <w:spacing w:before="63" w:after="63" w:line="440" w:lineRule="exact"/>
              <w:ind w:right="63"/>
              <w:jc w:val="lef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技术培训：为招标方免费进行技术培训的服务，包括培训人数及培训时间、培训地点横向进行比较</w:t>
            </w:r>
          </w:p>
        </w:tc>
        <w:tc>
          <w:tcPr>
            <w:tcW w:w="1254" w:type="dxa"/>
            <w:vAlign w:val="center"/>
          </w:tcPr>
          <w:p>
            <w:pPr>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94" w:type="dxa"/>
            <w:vAlign w:val="center"/>
          </w:tcPr>
          <w:p>
            <w:pPr>
              <w:spacing w:line="440" w:lineRule="exact"/>
              <w:jc w:val="center"/>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9</w:t>
            </w:r>
          </w:p>
        </w:tc>
        <w:tc>
          <w:tcPr>
            <w:tcW w:w="7493" w:type="dxa"/>
          </w:tcPr>
          <w:p>
            <w:pPr>
              <w:widowControl/>
              <w:spacing w:before="63" w:after="63" w:line="440" w:lineRule="exact"/>
              <w:ind w:right="63"/>
              <w:jc w:val="lef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保修范围：免费维保期内发生各类故障的保修范围，故障响应修复时间、响应方式、零配件和维修备品备件的供应保障措施，服务网点等横向进行比较</w:t>
            </w:r>
          </w:p>
        </w:tc>
        <w:tc>
          <w:tcPr>
            <w:tcW w:w="1254" w:type="dxa"/>
            <w:vAlign w:val="center"/>
          </w:tcPr>
          <w:p>
            <w:pPr>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794" w:type="dxa"/>
            <w:vAlign w:val="center"/>
          </w:tcPr>
          <w:p>
            <w:pPr>
              <w:spacing w:line="440" w:lineRule="exact"/>
              <w:jc w:val="center"/>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10</w:t>
            </w:r>
          </w:p>
        </w:tc>
        <w:tc>
          <w:tcPr>
            <w:tcW w:w="7493" w:type="dxa"/>
          </w:tcPr>
          <w:p>
            <w:pPr>
              <w:widowControl/>
              <w:spacing w:before="63" w:after="63" w:line="440" w:lineRule="exact"/>
              <w:ind w:right="63"/>
              <w:jc w:val="left"/>
              <w:rPr>
                <w:rFonts w:asciiTheme="minorEastAsia" w:hAnsiTheme="minorEastAsia" w:cstheme="minorEastAsia"/>
                <w:color w:val="auto"/>
                <w:spacing w:val="-6"/>
                <w:sz w:val="24"/>
                <w:highlight w:val="none"/>
              </w:rPr>
            </w:pPr>
            <w:r>
              <w:rPr>
                <w:rFonts w:hint="eastAsia" w:asciiTheme="minorEastAsia" w:hAnsiTheme="minorEastAsia" w:cstheme="minorEastAsia"/>
                <w:color w:val="auto"/>
                <w:sz w:val="24"/>
                <w:highlight w:val="none"/>
              </w:rPr>
              <w:t>供应商售后服务：包括对售后服务承诺、供货周期、服务标准，人员配备，服务网点等，横向进行比较</w:t>
            </w:r>
          </w:p>
        </w:tc>
        <w:tc>
          <w:tcPr>
            <w:tcW w:w="1254" w:type="dxa"/>
            <w:vAlign w:val="center"/>
          </w:tcPr>
          <w:p>
            <w:pPr>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1-</w:t>
            </w:r>
            <w:r>
              <w:rPr>
                <w:rFonts w:hint="eastAsia" w:asciiTheme="minorEastAsia" w:hAnsiTheme="minorEastAsia" w:cstheme="minorEastAsia"/>
                <w:color w:val="auto"/>
                <w:spacing w:val="-6"/>
                <w:sz w:val="24"/>
                <w:highlight w:val="none"/>
                <w:lang w:val="en-US" w:eastAsia="zh-CN"/>
              </w:rPr>
              <w:t>4</w:t>
            </w:r>
            <w:r>
              <w:rPr>
                <w:rFonts w:hint="eastAsia" w:asciiTheme="minorEastAsia" w:hAnsiTheme="minorEastAsia" w:cstheme="minorEastAsia"/>
                <w:color w:val="auto"/>
                <w:spacing w:val="-6"/>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94" w:type="dxa"/>
            <w:vAlign w:val="center"/>
          </w:tcPr>
          <w:p>
            <w:pPr>
              <w:spacing w:line="440" w:lineRule="exact"/>
              <w:jc w:val="center"/>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11</w:t>
            </w:r>
          </w:p>
        </w:tc>
        <w:tc>
          <w:tcPr>
            <w:tcW w:w="7493" w:type="dxa"/>
          </w:tcPr>
          <w:p>
            <w:pPr>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其他合理化建议及优惠承诺横向比较综合打分</w:t>
            </w:r>
          </w:p>
        </w:tc>
        <w:tc>
          <w:tcPr>
            <w:tcW w:w="1254" w:type="dxa"/>
            <w:vAlign w:val="center"/>
          </w:tcPr>
          <w:p>
            <w:pPr>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0-</w:t>
            </w:r>
            <w:r>
              <w:rPr>
                <w:rFonts w:hint="eastAsia" w:asciiTheme="minorEastAsia" w:hAnsiTheme="minorEastAsia" w:cstheme="minorEastAsia"/>
                <w:color w:val="auto"/>
                <w:spacing w:val="-6"/>
                <w:sz w:val="24"/>
                <w:highlight w:val="none"/>
                <w:lang w:val="en-US" w:eastAsia="zh-CN"/>
              </w:rPr>
              <w:t>3</w:t>
            </w:r>
            <w:r>
              <w:rPr>
                <w:rFonts w:hint="eastAsia" w:asciiTheme="minorEastAsia" w:hAnsiTheme="minorEastAsia" w:cstheme="minorEastAsia"/>
                <w:color w:val="auto"/>
                <w:spacing w:val="-6"/>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94" w:type="dxa"/>
            <w:vAlign w:val="center"/>
          </w:tcPr>
          <w:p>
            <w:pPr>
              <w:spacing w:line="440" w:lineRule="exact"/>
              <w:jc w:val="center"/>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12</w:t>
            </w:r>
          </w:p>
        </w:tc>
        <w:tc>
          <w:tcPr>
            <w:tcW w:w="7493" w:type="dxa"/>
          </w:tcPr>
          <w:p>
            <w:pPr>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投标文件质量（包括投标文件的装订质量、完整性及对采购文件的响应情况等）</w:t>
            </w:r>
          </w:p>
        </w:tc>
        <w:tc>
          <w:tcPr>
            <w:tcW w:w="1254" w:type="dxa"/>
            <w:vAlign w:val="center"/>
          </w:tcPr>
          <w:p>
            <w:pPr>
              <w:spacing w:line="440" w:lineRule="exact"/>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0-</w:t>
            </w:r>
            <w:r>
              <w:rPr>
                <w:rFonts w:hint="eastAsia" w:asciiTheme="minorEastAsia" w:hAnsiTheme="minorEastAsia" w:cstheme="minorEastAsia"/>
                <w:color w:val="auto"/>
                <w:spacing w:val="-6"/>
                <w:sz w:val="24"/>
                <w:highlight w:val="none"/>
                <w:lang w:val="en-US" w:eastAsia="zh-CN"/>
              </w:rPr>
              <w:t>2</w:t>
            </w:r>
            <w:r>
              <w:rPr>
                <w:rFonts w:hint="eastAsia" w:asciiTheme="minorEastAsia" w:hAnsiTheme="minorEastAsia" w:cstheme="minorEastAsia"/>
                <w:color w:val="auto"/>
                <w:spacing w:val="-6"/>
                <w:sz w:val="24"/>
                <w:highlight w:val="none"/>
              </w:rPr>
              <w:t>分</w:t>
            </w:r>
          </w:p>
        </w:tc>
      </w:tr>
    </w:tbl>
    <w:p>
      <w:pPr>
        <w:rPr>
          <w:color w:val="auto"/>
          <w:highlight w:val="none"/>
        </w:rPr>
      </w:pPr>
    </w:p>
    <w:p>
      <w:pPr>
        <w:spacing w:line="360" w:lineRule="auto"/>
        <w:rPr>
          <w:rFonts w:ascii="等线" w:hAnsi="等线" w:eastAsia="等线"/>
          <w:b/>
          <w:color w:val="auto"/>
          <w:sz w:val="21"/>
          <w:szCs w:val="21"/>
          <w:highlight w:val="none"/>
        </w:rPr>
      </w:pPr>
      <w:r>
        <w:rPr>
          <w:rFonts w:hint="eastAsia" w:ascii="等线" w:hAnsi="等线" w:eastAsia="等线"/>
          <w:b/>
          <w:color w:val="auto"/>
          <w:sz w:val="21"/>
          <w:szCs w:val="21"/>
          <w:highlight w:val="none"/>
        </w:rPr>
        <w:t>说明</w:t>
      </w:r>
      <w:r>
        <w:rPr>
          <w:rFonts w:ascii="等线" w:hAnsi="等线" w:eastAsia="等线"/>
          <w:b/>
          <w:color w:val="auto"/>
          <w:sz w:val="21"/>
          <w:szCs w:val="21"/>
          <w:highlight w:val="none"/>
        </w:rPr>
        <w:t>：</w:t>
      </w:r>
    </w:p>
    <w:p>
      <w:pPr>
        <w:spacing w:line="360" w:lineRule="auto"/>
        <w:rPr>
          <w:rFonts w:ascii="等线" w:hAnsi="等线" w:eastAsia="等线"/>
          <w:b/>
          <w:color w:val="auto"/>
          <w:sz w:val="21"/>
          <w:szCs w:val="21"/>
          <w:highlight w:val="none"/>
        </w:rPr>
      </w:pPr>
      <w:r>
        <w:rPr>
          <w:rFonts w:hint="eastAsia" w:ascii="等线" w:hAnsi="等线" w:eastAsia="等线"/>
          <w:b/>
          <w:color w:val="auto"/>
          <w:sz w:val="21"/>
          <w:szCs w:val="21"/>
          <w:highlight w:val="none"/>
        </w:rPr>
        <w:t>1</w:t>
      </w:r>
      <w:r>
        <w:rPr>
          <w:rFonts w:ascii="等线" w:hAnsi="等线" w:eastAsia="等线"/>
          <w:b/>
          <w:color w:val="auto"/>
          <w:sz w:val="21"/>
          <w:szCs w:val="21"/>
          <w:highlight w:val="none"/>
        </w:rPr>
        <w:t>.</w:t>
      </w:r>
      <w:r>
        <w:rPr>
          <w:rFonts w:hint="eastAsia" w:ascii="等线" w:hAnsi="等线" w:eastAsia="等线"/>
          <w:b/>
          <w:color w:val="auto"/>
          <w:sz w:val="21"/>
          <w:szCs w:val="21"/>
          <w:highlight w:val="none"/>
        </w:rPr>
        <w:t>根据《政府采购促进中小企业发展暂行办法》（财库[2011]181号）的规定，磋商响应供应商如为小型或微型企业并提交相关证明材料且响应产品为小型或微型企业制造的，</w:t>
      </w:r>
      <w:r>
        <w:rPr>
          <w:rFonts w:ascii="等线" w:hAnsi="等线" w:eastAsia="等线"/>
          <w:b/>
          <w:color w:val="auto"/>
          <w:sz w:val="21"/>
          <w:szCs w:val="21"/>
          <w:highlight w:val="none"/>
        </w:rPr>
        <w:t>其小型或微型企业</w:t>
      </w:r>
      <w:r>
        <w:rPr>
          <w:rFonts w:hint="eastAsia" w:ascii="等线" w:hAnsi="等线" w:eastAsia="等线"/>
          <w:b/>
          <w:color w:val="auto"/>
          <w:sz w:val="21"/>
          <w:szCs w:val="21"/>
          <w:highlight w:val="none"/>
        </w:rPr>
        <w:t>部分</w:t>
      </w:r>
      <w:r>
        <w:rPr>
          <w:rFonts w:ascii="等线" w:hAnsi="等线" w:eastAsia="等线"/>
          <w:b/>
          <w:color w:val="auto"/>
          <w:sz w:val="21"/>
          <w:szCs w:val="21"/>
          <w:highlight w:val="none"/>
        </w:rPr>
        <w:t>的最后磋商报价</w:t>
      </w:r>
      <w:r>
        <w:rPr>
          <w:rFonts w:hint="eastAsia" w:ascii="等线" w:hAnsi="等线" w:eastAsia="等线"/>
          <w:b/>
          <w:color w:val="auto"/>
          <w:sz w:val="21"/>
          <w:szCs w:val="21"/>
          <w:highlight w:val="none"/>
        </w:rPr>
        <w:t>扣除6%后参与评审；</w:t>
      </w:r>
    </w:p>
    <w:p>
      <w:pPr>
        <w:spacing w:line="360" w:lineRule="auto"/>
        <w:rPr>
          <w:rFonts w:ascii="等线" w:hAnsi="等线" w:eastAsia="等线"/>
          <w:b/>
          <w:color w:val="auto"/>
          <w:sz w:val="21"/>
          <w:szCs w:val="21"/>
          <w:highlight w:val="none"/>
        </w:rPr>
      </w:pPr>
      <w:r>
        <w:rPr>
          <w:rFonts w:hint="eastAsia" w:ascii="等线" w:hAnsi="等线" w:eastAsia="等线"/>
          <w:b/>
          <w:color w:val="auto"/>
          <w:sz w:val="21"/>
          <w:szCs w:val="21"/>
          <w:highlight w:val="none"/>
        </w:rPr>
        <w:t>2</w:t>
      </w:r>
      <w:r>
        <w:rPr>
          <w:rFonts w:ascii="等线" w:hAnsi="等线" w:eastAsia="等线"/>
          <w:b/>
          <w:color w:val="auto"/>
          <w:sz w:val="21"/>
          <w:szCs w:val="21"/>
          <w:highlight w:val="none"/>
        </w:rPr>
        <w:t>.</w:t>
      </w:r>
      <w:r>
        <w:rPr>
          <w:rFonts w:hint="eastAsia" w:ascii="等线" w:hAnsi="等线" w:eastAsia="等线"/>
          <w:b/>
          <w:color w:val="auto"/>
          <w:sz w:val="21"/>
          <w:szCs w:val="21"/>
          <w:highlight w:val="none"/>
        </w:rPr>
        <w:t>根据《</w:t>
      </w:r>
      <w:r>
        <w:rPr>
          <w:rFonts w:ascii="等线" w:hAnsi="等线" w:eastAsia="等线"/>
          <w:b/>
          <w:color w:val="auto"/>
          <w:sz w:val="21"/>
          <w:szCs w:val="21"/>
          <w:highlight w:val="none"/>
        </w:rPr>
        <w:t>关于政府采购支持监狱企业发展有关问题的通知</w:t>
      </w:r>
      <w:r>
        <w:rPr>
          <w:rFonts w:hint="eastAsia" w:ascii="等线" w:hAnsi="等线" w:eastAsia="等线"/>
          <w:b/>
          <w:color w:val="auto"/>
          <w:sz w:val="21"/>
          <w:szCs w:val="21"/>
          <w:highlight w:val="none"/>
        </w:rPr>
        <w:t>》（</w:t>
      </w:r>
      <w:r>
        <w:rPr>
          <w:rFonts w:ascii="等线" w:hAnsi="等线" w:eastAsia="等线"/>
          <w:b/>
          <w:color w:val="auto"/>
          <w:sz w:val="21"/>
          <w:szCs w:val="21"/>
          <w:highlight w:val="none"/>
        </w:rPr>
        <w:t>财库[2014]68号</w:t>
      </w:r>
      <w:r>
        <w:rPr>
          <w:rFonts w:hint="eastAsia" w:ascii="等线" w:hAnsi="等线" w:eastAsia="等线"/>
          <w:b/>
          <w:color w:val="auto"/>
          <w:sz w:val="21"/>
          <w:szCs w:val="21"/>
          <w:highlight w:val="none"/>
        </w:rPr>
        <w:t>）的规定，磋商响应供应商如为监狱企业并提交相关证明材料且响应产品为小型或微型企业制造的，</w:t>
      </w:r>
      <w:r>
        <w:rPr>
          <w:rFonts w:ascii="等线" w:hAnsi="等线" w:eastAsia="等线"/>
          <w:b/>
          <w:color w:val="auto"/>
          <w:sz w:val="21"/>
          <w:szCs w:val="21"/>
          <w:highlight w:val="none"/>
        </w:rPr>
        <w:t>其小型或微型企业</w:t>
      </w:r>
      <w:r>
        <w:rPr>
          <w:rFonts w:hint="eastAsia" w:ascii="等线" w:hAnsi="等线" w:eastAsia="等线"/>
          <w:b/>
          <w:color w:val="auto"/>
          <w:sz w:val="21"/>
          <w:szCs w:val="21"/>
          <w:highlight w:val="none"/>
        </w:rPr>
        <w:t>部分</w:t>
      </w:r>
      <w:r>
        <w:rPr>
          <w:rFonts w:ascii="等线" w:hAnsi="等线" w:eastAsia="等线"/>
          <w:b/>
          <w:color w:val="auto"/>
          <w:sz w:val="21"/>
          <w:szCs w:val="21"/>
          <w:highlight w:val="none"/>
        </w:rPr>
        <w:t>的最后磋商报价</w:t>
      </w:r>
      <w:r>
        <w:rPr>
          <w:rFonts w:hint="eastAsia" w:ascii="等线" w:hAnsi="等线" w:eastAsia="等线"/>
          <w:b/>
          <w:color w:val="auto"/>
          <w:sz w:val="21"/>
          <w:szCs w:val="21"/>
          <w:highlight w:val="none"/>
        </w:rPr>
        <w:t>扣除6%后参与评审；</w:t>
      </w:r>
    </w:p>
    <w:p>
      <w:pPr>
        <w:spacing w:line="360" w:lineRule="auto"/>
        <w:rPr>
          <w:rFonts w:ascii="等线" w:hAnsi="等线" w:eastAsia="等线"/>
          <w:b/>
          <w:color w:val="auto"/>
          <w:sz w:val="21"/>
          <w:szCs w:val="21"/>
          <w:highlight w:val="none"/>
        </w:rPr>
      </w:pPr>
      <w:r>
        <w:rPr>
          <w:rFonts w:hint="eastAsia" w:ascii="等线" w:hAnsi="等线" w:eastAsia="等线"/>
          <w:b/>
          <w:color w:val="auto"/>
          <w:sz w:val="21"/>
          <w:szCs w:val="21"/>
          <w:highlight w:val="none"/>
        </w:rPr>
        <w:t>3</w:t>
      </w:r>
      <w:r>
        <w:rPr>
          <w:rFonts w:ascii="等线" w:hAnsi="等线" w:eastAsia="等线"/>
          <w:b/>
          <w:color w:val="auto"/>
          <w:sz w:val="21"/>
          <w:szCs w:val="21"/>
          <w:highlight w:val="none"/>
        </w:rPr>
        <w:t>.</w:t>
      </w:r>
      <w:r>
        <w:rPr>
          <w:rFonts w:hint="eastAsia" w:ascii="等线" w:hAnsi="等线" w:eastAsia="等线"/>
          <w:b/>
          <w:color w:val="auto"/>
          <w:sz w:val="21"/>
          <w:szCs w:val="21"/>
          <w:highlight w:val="none"/>
        </w:rPr>
        <w:t>根据</w:t>
      </w:r>
      <w:r>
        <w:rPr>
          <w:rFonts w:ascii="等线" w:hAnsi="等线" w:eastAsia="等线"/>
          <w:b/>
          <w:color w:val="auto"/>
          <w:sz w:val="21"/>
          <w:szCs w:val="21"/>
          <w:highlight w:val="none"/>
        </w:rPr>
        <w:t>《关于促进残疾人就业政府采购政策的通知</w:t>
      </w:r>
      <w:r>
        <w:rPr>
          <w:rFonts w:hint="eastAsia" w:ascii="等线" w:hAnsi="等线" w:eastAsia="等线"/>
          <w:b/>
          <w:color w:val="auto"/>
          <w:sz w:val="21"/>
          <w:szCs w:val="21"/>
          <w:highlight w:val="none"/>
        </w:rPr>
        <w:t>》</w:t>
      </w:r>
      <w:r>
        <w:rPr>
          <w:rFonts w:ascii="等线" w:hAnsi="等线" w:eastAsia="等线"/>
          <w:b/>
          <w:color w:val="auto"/>
          <w:sz w:val="21"/>
          <w:szCs w:val="21"/>
          <w:highlight w:val="none"/>
        </w:rPr>
        <w:t>（</w:t>
      </w:r>
      <w:bookmarkStart w:id="111" w:name="sendNo"/>
      <w:r>
        <w:rPr>
          <w:rFonts w:ascii="等线" w:hAnsi="等线" w:eastAsia="等线"/>
          <w:b/>
          <w:color w:val="auto"/>
          <w:sz w:val="21"/>
          <w:szCs w:val="21"/>
          <w:highlight w:val="none"/>
        </w:rPr>
        <w:t>财库</w:t>
      </w:r>
      <w:bookmarkEnd w:id="111"/>
      <w:r>
        <w:rPr>
          <w:rFonts w:hint="eastAsia" w:ascii="等线" w:hAnsi="等线" w:eastAsia="等线"/>
          <w:b/>
          <w:color w:val="auto"/>
          <w:sz w:val="21"/>
          <w:szCs w:val="21"/>
          <w:highlight w:val="none"/>
        </w:rPr>
        <w:t>[</w:t>
      </w:r>
      <w:r>
        <w:rPr>
          <w:rFonts w:ascii="等线" w:hAnsi="等线" w:eastAsia="等线"/>
          <w:b/>
          <w:color w:val="auto"/>
          <w:sz w:val="21"/>
          <w:szCs w:val="21"/>
          <w:highlight w:val="none"/>
        </w:rPr>
        <w:t>2017]141号）</w:t>
      </w:r>
      <w:r>
        <w:rPr>
          <w:rFonts w:hint="eastAsia" w:ascii="等线" w:hAnsi="等线" w:eastAsia="等线"/>
          <w:b/>
          <w:color w:val="auto"/>
          <w:sz w:val="21"/>
          <w:szCs w:val="21"/>
          <w:highlight w:val="none"/>
        </w:rPr>
        <w:t>的</w:t>
      </w:r>
      <w:r>
        <w:rPr>
          <w:rFonts w:ascii="等线" w:hAnsi="等线" w:eastAsia="等线"/>
          <w:b/>
          <w:color w:val="auto"/>
          <w:sz w:val="21"/>
          <w:szCs w:val="21"/>
          <w:highlight w:val="none"/>
        </w:rPr>
        <w:t>规定，</w:t>
      </w:r>
      <w:r>
        <w:rPr>
          <w:rFonts w:hint="eastAsia" w:ascii="等线" w:hAnsi="等线" w:eastAsia="等线"/>
          <w:b/>
          <w:color w:val="auto"/>
          <w:sz w:val="21"/>
          <w:szCs w:val="21"/>
          <w:highlight w:val="none"/>
        </w:rPr>
        <w:t>磋商响应供应商</w:t>
      </w:r>
      <w:r>
        <w:rPr>
          <w:rFonts w:ascii="等线" w:hAnsi="等线" w:eastAsia="等线"/>
          <w:b/>
          <w:color w:val="auto"/>
          <w:sz w:val="21"/>
          <w:szCs w:val="21"/>
          <w:highlight w:val="none"/>
        </w:rPr>
        <w:t>如为</w:t>
      </w:r>
      <w:r>
        <w:rPr>
          <w:rFonts w:hint="eastAsia" w:ascii="等线" w:hAnsi="等线" w:eastAsia="等线"/>
          <w:b/>
          <w:color w:val="auto"/>
          <w:sz w:val="21"/>
          <w:szCs w:val="21"/>
          <w:highlight w:val="none"/>
        </w:rPr>
        <w:t>残疾人福利性单位并</w:t>
      </w:r>
      <w:r>
        <w:rPr>
          <w:rFonts w:ascii="等线" w:hAnsi="等线" w:eastAsia="等线"/>
          <w:b/>
          <w:color w:val="auto"/>
          <w:sz w:val="21"/>
          <w:szCs w:val="21"/>
          <w:highlight w:val="none"/>
        </w:rPr>
        <w:t>提交</w:t>
      </w:r>
      <w:r>
        <w:rPr>
          <w:rFonts w:hint="eastAsia" w:ascii="等线" w:hAnsi="等线" w:eastAsia="等线"/>
          <w:b/>
          <w:color w:val="auto"/>
          <w:sz w:val="21"/>
          <w:szCs w:val="21"/>
          <w:highlight w:val="none"/>
        </w:rPr>
        <w:t>《残疾人福利性单位声明函》</w:t>
      </w:r>
      <w:r>
        <w:rPr>
          <w:rFonts w:ascii="等线" w:hAnsi="等线" w:eastAsia="等线"/>
          <w:b/>
          <w:color w:val="auto"/>
          <w:sz w:val="21"/>
          <w:szCs w:val="21"/>
          <w:highlight w:val="none"/>
        </w:rPr>
        <w:t>且</w:t>
      </w:r>
      <w:r>
        <w:rPr>
          <w:rFonts w:hint="eastAsia" w:ascii="等线" w:hAnsi="等线" w:eastAsia="等线"/>
          <w:b/>
          <w:color w:val="auto"/>
          <w:sz w:val="21"/>
          <w:szCs w:val="21"/>
          <w:highlight w:val="none"/>
        </w:rPr>
        <w:t>响应</w:t>
      </w:r>
      <w:r>
        <w:rPr>
          <w:rFonts w:ascii="等线" w:hAnsi="等线" w:eastAsia="等线"/>
          <w:b/>
          <w:color w:val="auto"/>
          <w:sz w:val="21"/>
          <w:szCs w:val="21"/>
          <w:highlight w:val="none"/>
        </w:rPr>
        <w:t>产品为本企业</w:t>
      </w:r>
      <w:r>
        <w:rPr>
          <w:rFonts w:hint="eastAsia" w:ascii="等线" w:hAnsi="等线" w:eastAsia="等线"/>
          <w:b/>
          <w:color w:val="auto"/>
          <w:sz w:val="21"/>
          <w:szCs w:val="21"/>
          <w:highlight w:val="none"/>
        </w:rPr>
        <w:t>或其他残疾人福利性单位制造的</w:t>
      </w:r>
      <w:r>
        <w:rPr>
          <w:rFonts w:ascii="等线" w:hAnsi="等线" w:eastAsia="等线"/>
          <w:b/>
          <w:color w:val="auto"/>
          <w:sz w:val="21"/>
          <w:szCs w:val="21"/>
          <w:highlight w:val="none"/>
        </w:rPr>
        <w:t>，其</w:t>
      </w:r>
      <w:r>
        <w:rPr>
          <w:rFonts w:hint="eastAsia" w:ascii="等线" w:hAnsi="等线" w:eastAsia="等线"/>
          <w:b/>
          <w:color w:val="auto"/>
          <w:sz w:val="21"/>
          <w:szCs w:val="21"/>
          <w:highlight w:val="none"/>
        </w:rPr>
        <w:t>残疾人福利性单位部分</w:t>
      </w:r>
      <w:r>
        <w:rPr>
          <w:rFonts w:ascii="等线" w:hAnsi="等线" w:eastAsia="等线"/>
          <w:b/>
          <w:color w:val="auto"/>
          <w:sz w:val="21"/>
          <w:szCs w:val="21"/>
          <w:highlight w:val="none"/>
        </w:rPr>
        <w:t>的最后磋商报价</w:t>
      </w:r>
      <w:r>
        <w:rPr>
          <w:rFonts w:hint="eastAsia" w:ascii="等线" w:hAnsi="等线" w:eastAsia="等线"/>
          <w:b/>
          <w:color w:val="auto"/>
          <w:sz w:val="21"/>
          <w:szCs w:val="21"/>
          <w:highlight w:val="none"/>
        </w:rPr>
        <w:t>扣除6%后参与评审；</w:t>
      </w:r>
    </w:p>
    <w:p>
      <w:pPr>
        <w:spacing w:line="360" w:lineRule="auto"/>
        <w:rPr>
          <w:rFonts w:ascii="等线" w:hAnsi="等线" w:eastAsia="等线"/>
          <w:b/>
          <w:color w:val="auto"/>
          <w:sz w:val="21"/>
          <w:szCs w:val="21"/>
          <w:highlight w:val="none"/>
        </w:rPr>
      </w:pPr>
      <w:r>
        <w:rPr>
          <w:rFonts w:hint="eastAsia" w:ascii="等线" w:hAnsi="等线" w:eastAsia="等线"/>
          <w:b/>
          <w:color w:val="auto"/>
          <w:sz w:val="21"/>
          <w:szCs w:val="21"/>
          <w:highlight w:val="none"/>
        </w:rPr>
        <w:t>4</w:t>
      </w:r>
      <w:r>
        <w:rPr>
          <w:rFonts w:ascii="等线" w:hAnsi="等线" w:eastAsia="等线"/>
          <w:b/>
          <w:color w:val="auto"/>
          <w:sz w:val="21"/>
          <w:szCs w:val="21"/>
          <w:highlight w:val="none"/>
        </w:rPr>
        <w:t>.残疾人福利性单位属于小型、微型企业的，不重复享受政策。</w:t>
      </w:r>
    </w:p>
    <w:p>
      <w:pPr>
        <w:pStyle w:val="2"/>
        <w:rPr>
          <w:rFonts w:ascii="宋体" w:hAnsi="宋体"/>
          <w:bCs/>
          <w:color w:val="auto"/>
          <w:spacing w:val="-6"/>
          <w:sz w:val="32"/>
          <w:szCs w:val="32"/>
          <w:highlight w:val="none"/>
        </w:rPr>
      </w:pPr>
      <w:r>
        <w:rPr>
          <w:rFonts w:ascii="宋体" w:hAnsi="宋体"/>
          <w:bCs/>
          <w:color w:val="auto"/>
          <w:spacing w:val="-6"/>
          <w:sz w:val="21"/>
          <w:szCs w:val="21"/>
          <w:highlight w:val="none"/>
        </w:rPr>
        <w:br w:type="page"/>
      </w:r>
      <w:bookmarkStart w:id="112" w:name="_Toc21864"/>
      <w:bookmarkStart w:id="113" w:name="_Toc27491"/>
      <w:r>
        <w:rPr>
          <w:rFonts w:hint="eastAsia" w:ascii="宋体" w:hAnsi="宋体"/>
          <w:bCs/>
          <w:color w:val="auto"/>
          <w:spacing w:val="-6"/>
          <w:sz w:val="32"/>
          <w:szCs w:val="32"/>
          <w:highlight w:val="none"/>
        </w:rPr>
        <w:t>第五章  合同主要条款</w:t>
      </w:r>
      <w:bookmarkEnd w:id="112"/>
      <w:bookmarkEnd w:id="113"/>
    </w:p>
    <w:p>
      <w:pPr>
        <w:snapToGrid w:val="0"/>
        <w:spacing w:line="288"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中国美术学院消防系统改造升级政府采购合同</w:t>
      </w:r>
    </w:p>
    <w:p>
      <w:pPr>
        <w:pStyle w:val="9"/>
        <w:snapToGrid w:val="0"/>
        <w:spacing w:beforeLines="0" w:afterLines="0" w:line="360" w:lineRule="auto"/>
        <w:jc w:val="center"/>
        <w:rPr>
          <w:rFonts w:hAnsi="宋体"/>
          <w:b/>
          <w:color w:val="auto"/>
          <w:spacing w:val="-6"/>
          <w:highlight w:val="none"/>
        </w:rPr>
      </w:pPr>
      <w:r>
        <w:rPr>
          <w:rFonts w:hAnsi="宋体"/>
          <w:color w:val="auto"/>
          <w:spacing w:val="-6"/>
          <w:highlight w:val="none"/>
        </w:rPr>
        <w:t>（本合同为合同样稿，最终稿由三方协商后确定）</w:t>
      </w:r>
    </w:p>
    <w:p>
      <w:pPr>
        <w:pStyle w:val="3"/>
        <w:rPr>
          <w:color w:val="auto"/>
          <w:highlight w:val="none"/>
        </w:rPr>
      </w:pPr>
      <w:bookmarkStart w:id="114" w:name="_Toc497313879"/>
      <w:bookmarkStart w:id="115" w:name="_Toc18189"/>
      <w:r>
        <w:rPr>
          <w:rFonts w:hint="eastAsia"/>
          <w:color w:val="auto"/>
          <w:highlight w:val="none"/>
        </w:rPr>
        <w:t>浙江省政府采购合同指引</w:t>
      </w:r>
      <w:bookmarkEnd w:id="114"/>
      <w:bookmarkEnd w:id="115"/>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项目名称：                                     项目编号：</w:t>
      </w:r>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确认书号:</w:t>
      </w:r>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甲方：（买方）</w:t>
      </w:r>
    </w:p>
    <w:p>
      <w:pPr>
        <w:spacing w:line="360" w:lineRule="auto"/>
        <w:ind w:firstLine="42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乙方：（卖方）</w:t>
      </w:r>
    </w:p>
    <w:p>
      <w:pPr>
        <w:spacing w:line="360" w:lineRule="auto"/>
        <w:ind w:firstLine="420"/>
        <w:rPr>
          <w:rFonts w:asciiTheme="minorEastAsia" w:hAnsiTheme="minorEastAsia" w:cstheme="minorEastAsia"/>
          <w:b/>
          <w:color w:val="auto"/>
          <w:sz w:val="24"/>
          <w:highlight w:val="none"/>
        </w:rPr>
      </w:pPr>
      <w:r>
        <w:rPr>
          <w:rFonts w:hint="eastAsia" w:asciiTheme="minorEastAsia" w:hAnsiTheme="minorEastAsia" w:cstheme="minorEastAsia"/>
          <w:color w:val="auto"/>
          <w:sz w:val="24"/>
          <w:highlight w:val="none"/>
        </w:rPr>
        <w:t xml:space="preserve">甲、乙双方根据 </w:t>
      </w:r>
      <w:r>
        <w:rPr>
          <w:rFonts w:hint="eastAsia" w:asciiTheme="minorEastAsia" w:hAnsiTheme="minorEastAsia" w:cstheme="minorEastAsia"/>
          <w:color w:val="auto"/>
          <w:sz w:val="24"/>
          <w:highlight w:val="none"/>
          <w:u w:val="single"/>
        </w:rPr>
        <w:t xml:space="preserve"> 中国美术学院消防系统改造升级  </w:t>
      </w:r>
      <w:r>
        <w:rPr>
          <w:rFonts w:hint="eastAsia" w:asciiTheme="minorEastAsia" w:hAnsiTheme="minorEastAsia" w:cstheme="minorEastAsia"/>
          <w:color w:val="auto"/>
          <w:sz w:val="24"/>
          <w:highlight w:val="none"/>
        </w:rPr>
        <w:t>的结果，签署本合同。</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一、货物内容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1.1 货物名称：</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1.2 型号规格：</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1.3 技术参数：</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1.4 数量、单位：</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二、合同金额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2.1本合同金额为（大写）：_____________元（￥______________元）人民币。 </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三、技术资料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3.1乙方应按招标文件规定的时间向甲方提供使用货物的有关技术资料。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四、知识产权</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4.1 乙方应保证所提供的货物或其任何一部分均不会侵犯任何第三方的知识产权。</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五、产权担保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5.1 乙方保证所交付的货物的所有权完全属于乙方且无任何抵押、查封等产权瑕疵。 </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六、履约保证金及质保金</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6.1乙方在合同签订之日起5天内向甲方指定账户缴纳合同总价5%的履约保证金。履约保证金的交付方式：支票、汇票、本票或保函等非现金方式。</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6.2履约保证金在货到安装、调试验收合格后，转为质量保证金。</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6.3质量保证金在质保期满，确认乙方无违约行为后一周内无息返还。</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七.、转包或分包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7.1本合同范围的货物应由供方直接供应不得转让他人供应。</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7.2 除非得到需方的书面同意供方不得部分分包给他人供应。</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7.3如有转让和未经需方同意的分包行为需方有权给予终止合同。 </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八、质保期和质保金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8.1 质保期：    年。自交货验收合格之日起计</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8.2 质保金     元。履约保证金在中标投标人按合同约定交货验收合格后自行转为质保金。</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九、交货期、交货方式及交货地点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9.1 交货期：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9.2 交货方式：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9.3 交货地点：</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十、货款支付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10.1 付款方式：</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10.2 当采购数量与实际使用数量不一致时，投标人应根据实际使用量，供货合同的最终结算金额按实际使用量乘以成交单价进行计算。 </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十一、税费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11.1本合同执行中相关的一切税费均由供方负担。 </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十二、质量保证及售后服务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12.1 乙方应按招标文件规定的货物性能、技术要求、质量标准向甲方提供未经使用的全新产品。</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12.2 乙方提供的货物在质量期内因货物本身的质量问题发生故障乙方应负责免费更换。对达不到技术要求者根据实际情况经双方协商可按以下办法处理</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⑴更换。由乙方承担所发生的全部费用。</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⑵贬值处理。由甲乙双方合议定价。</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⑶退货处理。乙方应退还甲方支付的合同款，同时应承担该货物的直接费用、运输、保险、检验、货款利息及银行手续费等。</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12.3 如在使用过程中发生质量问题，乙方在接到甲方通知后在一小时内到达甲方现场。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12.4 在质保期内，乙方应对货物出现的质量及安全问题负责处理解决并承担一切费用。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12.5上述的货物免费保修期为    年因人为因素出现的故障不在免费保修范围内。超过保修期的机器设备终生维修，维修时只收部件成本费。 </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十三、调试和验收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13.2 乙方交货前应对产品作出全面检查和对验收文件进行整理并列出清单作为甲方收货验收和使用的技术条件依据，检验的结果应随货物交甲方。</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13.3 甲方对乙方提供的货物在使用前进行调试时，乙方需负责安装并培训甲方的使用操作人员并协助甲方一起调试直到符合技术要求甲方才做最终验收。</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13.4 对技术复杂的货物，甲方应请国家认可的专业检测机构参与初步验收及最终验收，并由其出具质量检测报告。</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13.5 验收时乙方必须在现场，验收完毕后作出验收结果报告，验收费用由乙方负责。</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十四、货物包装、发运及运输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14.1 乙方应在货物发运前对其进行满足运输距离、防潮、防震、防锈和防破损装卸等要求包装以保证货物安全运达甲方指定地点。</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14.2 使用说明书、质量检验证明书、随配附件和工具以及清单一并附于货物内。</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14.3 乙方在货物发运手续办理完毕后24小时内或货到甲方48小时前通知甲方以准备接货。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14.4 货物在交付甲方前发生的风险均由乙方负责。</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14.5 货物在规定的交付期限内由乙方送达甲方指定的地点视为交付，乙方同时需通知甲方货物已送达。</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十五、违约责任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15.1 甲方无正当理由拒收货物的，甲方向乙方偿付拒收货款总值的百分之五违约金。</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15.2 甲方无故逾期验收和办理货款支付手续的,甲方应按逾期付款总额每日万分之五向乙方支付违约金。</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十六、不可抗力事件处理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16.1 在合同有效期内，任何一方因不可抗力事件导致不能履行合同，则合同履行期可延长其延长期与不可抗力影响期相同。</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16.2 不可抗力事件发生后，应立即通知对方，并寄送有关权威机构出具的证明。</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16.3 不可抗力事件延续120天以上，双方应通过友好协商，确定是否继续履行合同。 </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十七、诉讼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17.1 双方在执行合同中所发生的一切争议，应通过协商解决。如协商不成，可向合同签订地法院起诉，合同签订地在此约定为杭州市。 </w:t>
      </w:r>
    </w:p>
    <w:p>
      <w:pPr>
        <w:pStyle w:val="4"/>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40"/>
          <w:highlight w:val="none"/>
        </w:rPr>
      </w:pPr>
      <w:r>
        <w:rPr>
          <w:rFonts w:hint="eastAsia" w:ascii="宋体" w:hAnsi="宋体" w:cs="宋体"/>
          <w:sz w:val="24"/>
          <w:szCs w:val="40"/>
          <w:highlight w:val="none"/>
        </w:rPr>
        <w:t xml:space="preserve">十八、合同生效及其它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18.1 合同经双方法定代表人或授权委托代理人签字并加盖单位公章后生效。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18.2合同执行中涉及采购资金和采购内容修改或补充的，须经财政部门审批，并签书面补充协议报采购监督管理部门备案，方可作为主合同不可分割的一部分。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 xml:space="preserve">18.3本合同未尽事宜遵照《合同法》有关条文执行。 </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32"/>
          <w:highlight w:val="none"/>
        </w:rPr>
      </w:pPr>
      <w:r>
        <w:rPr>
          <w:rFonts w:hint="eastAsia" w:ascii="宋体" w:hAnsi="宋体" w:cs="宋体"/>
          <w:sz w:val="24"/>
          <w:szCs w:val="32"/>
          <w:highlight w:val="none"/>
        </w:rPr>
        <w:t>18.4 本合同正本一式</w:t>
      </w:r>
      <w:r>
        <w:rPr>
          <w:rFonts w:hint="eastAsia" w:ascii="宋体" w:hAnsi="宋体" w:cs="宋体"/>
          <w:sz w:val="24"/>
          <w:szCs w:val="32"/>
          <w:highlight w:val="none"/>
          <w:lang w:val="en-US" w:eastAsia="zh-CN"/>
        </w:rPr>
        <w:t xml:space="preserve"> </w:t>
      </w:r>
      <w:r>
        <w:rPr>
          <w:rFonts w:hint="eastAsia" w:ascii="宋体" w:hAnsi="宋体" w:cs="宋体"/>
          <w:sz w:val="24"/>
          <w:szCs w:val="32"/>
          <w:highlight w:val="none"/>
        </w:rPr>
        <w:t>份，具有同等法律效力甲乙双方各执</w:t>
      </w:r>
      <w:r>
        <w:rPr>
          <w:rFonts w:hint="eastAsia" w:ascii="宋体" w:hAnsi="宋体" w:cs="宋体"/>
          <w:sz w:val="24"/>
          <w:szCs w:val="32"/>
          <w:highlight w:val="none"/>
          <w:lang w:val="en-US" w:eastAsia="zh-CN"/>
        </w:rPr>
        <w:t>两</w:t>
      </w:r>
      <w:r>
        <w:rPr>
          <w:rFonts w:hint="eastAsia" w:ascii="宋体" w:hAnsi="宋体" w:cs="宋体"/>
          <w:sz w:val="24"/>
          <w:szCs w:val="32"/>
          <w:highlight w:val="none"/>
        </w:rPr>
        <w:t>份</w:t>
      </w:r>
      <w:r>
        <w:rPr>
          <w:rFonts w:hint="eastAsia" w:ascii="宋体" w:hAnsi="宋体" w:cs="宋体"/>
          <w:sz w:val="24"/>
          <w:szCs w:val="32"/>
          <w:highlight w:val="none"/>
          <w:lang w:eastAsia="zh-CN"/>
        </w:rPr>
        <w:t>，</w:t>
      </w:r>
      <w:r>
        <w:rPr>
          <w:rFonts w:hint="eastAsia" w:ascii="宋体" w:hAnsi="宋体" w:cs="宋体"/>
          <w:sz w:val="24"/>
          <w:szCs w:val="32"/>
          <w:highlight w:val="none"/>
          <w:lang w:val="en-US" w:eastAsia="zh-CN"/>
        </w:rPr>
        <w:t>代理机构两份</w:t>
      </w:r>
      <w:r>
        <w:rPr>
          <w:rFonts w:hint="eastAsia" w:ascii="宋体" w:hAnsi="宋体" w:cs="宋体"/>
          <w:sz w:val="24"/>
          <w:szCs w:val="32"/>
          <w:highlight w:val="none"/>
        </w:rPr>
        <w:t xml:space="preserve">。 </w:t>
      </w:r>
    </w:p>
    <w:tbl>
      <w:tblPr>
        <w:tblStyle w:val="19"/>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甲方（采购人）：（公章）</w:t>
            </w:r>
          </w:p>
        </w:tc>
        <w:tc>
          <w:tcPr>
            <w:tcW w:w="3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乙方（成交供应商）：（公章）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甲方代表：</w:t>
            </w:r>
          </w:p>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(签字）</w:t>
            </w:r>
          </w:p>
        </w:tc>
        <w:tc>
          <w:tcPr>
            <w:tcW w:w="3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乙方代表：</w:t>
            </w:r>
          </w:p>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 xml:space="preserve">地址： </w:t>
            </w:r>
          </w:p>
        </w:tc>
        <w:tc>
          <w:tcPr>
            <w:tcW w:w="3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地址：</w:t>
            </w:r>
            <w:r>
              <w:rPr>
                <w:rFonts w:hint="eastAsia" w:asciiTheme="minorEastAsia" w:hAnsiTheme="minorEastAsia" w:cstheme="minorEastAsia"/>
                <w:color w:val="auto"/>
                <w:spacing w:val="-6"/>
                <w:sz w:val="24"/>
                <w:highlight w:val="none"/>
              </w:rPr>
              <w:tab/>
            </w:r>
            <w:r>
              <w:rPr>
                <w:rFonts w:hint="eastAsia" w:asciiTheme="minorEastAsia" w:hAnsiTheme="minorEastAsia" w:cstheme="minorEastAsia"/>
                <w:color w:val="auto"/>
                <w:spacing w:val="-6"/>
                <w:sz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 xml:space="preserve">邮编： </w:t>
            </w:r>
          </w:p>
        </w:tc>
        <w:tc>
          <w:tcPr>
            <w:tcW w:w="3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邮编：</w:t>
            </w:r>
            <w:r>
              <w:rPr>
                <w:rFonts w:hint="eastAsia" w:asciiTheme="minorEastAsia" w:hAnsiTheme="minorEastAsia" w:cstheme="minorEastAsia"/>
                <w:color w:val="auto"/>
                <w:spacing w:val="-6"/>
                <w:sz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 xml:space="preserve">电话： </w:t>
            </w:r>
          </w:p>
        </w:tc>
        <w:tc>
          <w:tcPr>
            <w:tcW w:w="3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电话：</w:t>
            </w:r>
            <w:r>
              <w:rPr>
                <w:rFonts w:hint="eastAsia" w:asciiTheme="minorEastAsia" w:hAnsiTheme="minorEastAsia" w:cstheme="minorEastAsia"/>
                <w:color w:val="auto"/>
                <w:spacing w:val="-6"/>
                <w:sz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 xml:space="preserve">传真： </w:t>
            </w:r>
          </w:p>
        </w:tc>
        <w:tc>
          <w:tcPr>
            <w:tcW w:w="3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传真：</w:t>
            </w:r>
            <w:r>
              <w:rPr>
                <w:rFonts w:hint="eastAsia" w:asciiTheme="minorEastAsia" w:hAnsiTheme="minorEastAsia" w:cstheme="minorEastAsia"/>
                <w:color w:val="auto"/>
                <w:spacing w:val="-6"/>
                <w:sz w:val="24"/>
                <w:highlight w:val="none"/>
              </w:rPr>
              <w:tab/>
            </w:r>
            <w:r>
              <w:rPr>
                <w:rFonts w:hint="eastAsia" w:asciiTheme="minorEastAsia" w:hAnsiTheme="minorEastAsia" w:cstheme="minorEastAsia"/>
                <w:color w:val="auto"/>
                <w:spacing w:val="-6"/>
                <w:sz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户名：</w:t>
            </w:r>
          </w:p>
        </w:tc>
        <w:tc>
          <w:tcPr>
            <w:tcW w:w="3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开户银行：</w:t>
            </w:r>
            <w:r>
              <w:rPr>
                <w:rFonts w:hint="eastAsia" w:asciiTheme="minorEastAsia" w:hAnsiTheme="minorEastAsia" w:cstheme="minorEastAsia"/>
                <w:color w:val="auto"/>
                <w:spacing w:val="-6"/>
                <w:sz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 xml:space="preserve">开户银行： </w:t>
            </w:r>
          </w:p>
        </w:tc>
        <w:tc>
          <w:tcPr>
            <w:tcW w:w="3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帐号：</w:t>
            </w:r>
          </w:p>
        </w:tc>
        <w:tc>
          <w:tcPr>
            <w:tcW w:w="39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76" w:type="dxa"/>
          <w:trHeight w:val="467" w:hRule="atLeast"/>
        </w:trPr>
        <w:tc>
          <w:tcPr>
            <w:tcW w:w="46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采购代理机构：浙江五石工程咨询有限公司（鉴证章）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76" w:type="dxa"/>
          <w:trHeight w:val="467" w:hRule="atLeast"/>
        </w:trPr>
        <w:tc>
          <w:tcPr>
            <w:tcW w:w="46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采购代理机构代表：（签字）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76" w:type="dxa"/>
          <w:trHeight w:val="467" w:hRule="atLeast"/>
        </w:trPr>
        <w:tc>
          <w:tcPr>
            <w:tcW w:w="46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76" w:type="dxa"/>
          <w:trHeight w:val="312" w:hRule="atLeast"/>
        </w:trPr>
        <w:tc>
          <w:tcPr>
            <w:tcW w:w="4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976" w:type="dxa"/>
        </w:trPr>
        <w:tc>
          <w:tcPr>
            <w:tcW w:w="466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32" w:lineRule="auto"/>
              <w:textAlignment w:val="auto"/>
              <w:outlineLvl w:val="9"/>
              <w:rPr>
                <w:rFonts w:asciiTheme="minorEastAsia" w:hAnsiTheme="minorEastAsia" w:cstheme="minorEastAsia"/>
                <w:color w:val="auto"/>
                <w:spacing w:val="-6"/>
                <w:sz w:val="24"/>
                <w:highlight w:val="none"/>
              </w:rPr>
            </w:pPr>
            <w:r>
              <w:rPr>
                <w:rFonts w:hint="eastAsia" w:asciiTheme="minorEastAsia" w:hAnsiTheme="minorEastAsia" w:cstheme="minorEastAsia"/>
                <w:color w:val="auto"/>
                <w:spacing w:val="-6"/>
                <w:sz w:val="24"/>
                <w:highlight w:val="none"/>
              </w:rPr>
              <w:t>鉴证时间：    年   月   日</w:t>
            </w:r>
          </w:p>
        </w:tc>
      </w:tr>
    </w:tbl>
    <w:p>
      <w:pPr>
        <w:pStyle w:val="2"/>
        <w:rPr>
          <w:rFonts w:hAnsi="宋体"/>
          <w:color w:val="auto"/>
          <w:spacing w:val="-6"/>
          <w:sz w:val="32"/>
          <w:szCs w:val="32"/>
          <w:highlight w:val="none"/>
        </w:rPr>
      </w:pPr>
      <w:r>
        <w:rPr>
          <w:rFonts w:hAnsi="宋体"/>
          <w:color w:val="auto"/>
          <w:spacing w:val="-6"/>
          <w:sz w:val="21"/>
          <w:szCs w:val="21"/>
          <w:highlight w:val="none"/>
        </w:rPr>
        <w:br w:type="page"/>
      </w:r>
      <w:bookmarkStart w:id="116" w:name="_Toc303"/>
      <w:bookmarkStart w:id="117" w:name="_Toc1521"/>
      <w:r>
        <w:rPr>
          <w:rFonts w:hAnsi="宋体"/>
          <w:color w:val="auto"/>
          <w:spacing w:val="-6"/>
          <w:sz w:val="32"/>
          <w:szCs w:val="32"/>
          <w:highlight w:val="none"/>
        </w:rPr>
        <w:t>第六章</w:t>
      </w:r>
      <w:r>
        <w:rPr>
          <w:rFonts w:hint="eastAsia" w:hAnsi="宋体"/>
          <w:color w:val="auto"/>
          <w:spacing w:val="-6"/>
          <w:sz w:val="32"/>
          <w:szCs w:val="32"/>
          <w:highlight w:val="none"/>
        </w:rPr>
        <w:t xml:space="preserve">  </w:t>
      </w:r>
      <w:r>
        <w:rPr>
          <w:rFonts w:hAnsi="宋体"/>
          <w:color w:val="auto"/>
          <w:spacing w:val="-6"/>
          <w:sz w:val="32"/>
          <w:szCs w:val="32"/>
          <w:highlight w:val="none"/>
        </w:rPr>
        <w:t>响应文件格式</w:t>
      </w:r>
      <w:bookmarkEnd w:id="116"/>
      <w:bookmarkEnd w:id="117"/>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外层包装（封签）</w: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（磋商响应供应商名称）</w:t>
      </w:r>
    </w:p>
    <w:p>
      <w:pPr>
        <w:spacing w:line="360" w:lineRule="auto"/>
        <w:jc w:val="center"/>
        <w:rPr>
          <w:rFonts w:ascii="宋体" w:hAnsi="宋体"/>
          <w:b/>
          <w:bCs/>
          <w:color w:val="auto"/>
          <w:spacing w:val="-6"/>
          <w:sz w:val="24"/>
          <w:highlight w:val="none"/>
        </w:rPr>
      </w:pPr>
      <w:r>
        <w:rPr>
          <w:rFonts w:hint="eastAsia" w:ascii="宋体" w:hAnsi="宋体"/>
          <w:b/>
          <w:bCs/>
          <w:color w:val="auto"/>
          <w:spacing w:val="-6"/>
          <w:sz w:val="24"/>
          <w:highlight w:val="none"/>
        </w:rPr>
        <w:t>响 应 文 件</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30"/>
          <w:szCs w:val="30"/>
          <w:highlight w:val="none"/>
        </w:rPr>
      </w:pPr>
      <w:r>
        <w:rPr>
          <w:rFonts w:hint="eastAsia" w:ascii="宋体" w:hAnsi="宋体"/>
          <w:bCs/>
          <w:color w:val="auto"/>
          <w:spacing w:val="-6"/>
          <w:sz w:val="30"/>
          <w:szCs w:val="30"/>
          <w:highlight w:val="none"/>
        </w:rPr>
        <w:t>采 购 人：</w:t>
      </w:r>
    </w:p>
    <w:p>
      <w:pPr>
        <w:spacing w:line="360" w:lineRule="auto"/>
        <w:rPr>
          <w:rFonts w:ascii="宋体" w:hAnsi="宋体"/>
          <w:bCs/>
          <w:color w:val="auto"/>
          <w:spacing w:val="-6"/>
          <w:sz w:val="30"/>
          <w:szCs w:val="30"/>
          <w:highlight w:val="none"/>
        </w:rPr>
      </w:pPr>
      <w:r>
        <w:rPr>
          <w:rFonts w:hint="eastAsia" w:ascii="宋体" w:hAnsi="宋体"/>
          <w:bCs/>
          <w:color w:val="auto"/>
          <w:spacing w:val="-6"/>
          <w:sz w:val="30"/>
          <w:szCs w:val="30"/>
          <w:highlight w:val="none"/>
        </w:rPr>
        <w:t>项目名称：</w:t>
      </w:r>
    </w:p>
    <w:p>
      <w:pPr>
        <w:spacing w:line="360" w:lineRule="auto"/>
        <w:rPr>
          <w:rFonts w:ascii="宋体" w:hAnsi="宋体" w:eastAsia="宋体"/>
          <w:bCs/>
          <w:color w:val="auto"/>
          <w:spacing w:val="-6"/>
          <w:sz w:val="30"/>
          <w:szCs w:val="30"/>
          <w:highlight w:val="none"/>
        </w:rPr>
      </w:pPr>
      <w:r>
        <w:rPr>
          <w:rFonts w:hint="eastAsia" w:ascii="宋体" w:hAnsi="宋体"/>
          <w:bCs/>
          <w:color w:val="auto"/>
          <w:spacing w:val="-6"/>
          <w:sz w:val="30"/>
          <w:szCs w:val="30"/>
          <w:highlight w:val="none"/>
        </w:rPr>
        <w:t>项目编号：</w:t>
      </w:r>
    </w:p>
    <w:p>
      <w:pPr>
        <w:spacing w:line="360" w:lineRule="auto"/>
        <w:rPr>
          <w:rFonts w:ascii="宋体" w:hAnsi="宋体"/>
          <w:bCs/>
          <w:color w:val="auto"/>
          <w:spacing w:val="-6"/>
          <w:sz w:val="30"/>
          <w:szCs w:val="30"/>
          <w:highlight w:val="none"/>
        </w:rPr>
      </w:pPr>
      <w:r>
        <w:rPr>
          <w:rFonts w:hint="eastAsia" w:ascii="宋体" w:hAnsi="宋体"/>
          <w:bCs/>
          <w:color w:val="auto"/>
          <w:spacing w:val="-6"/>
          <w:sz w:val="30"/>
          <w:szCs w:val="30"/>
          <w:highlight w:val="none"/>
        </w:rPr>
        <w:t>投标文件名称：资格证明</w:t>
      </w:r>
      <w:r>
        <w:rPr>
          <w:rFonts w:ascii="宋体" w:hAnsi="宋体"/>
          <w:bCs/>
          <w:color w:val="auto"/>
          <w:spacing w:val="-6"/>
          <w:sz w:val="30"/>
          <w:szCs w:val="30"/>
          <w:highlight w:val="none"/>
        </w:rPr>
        <w:t>文件</w:t>
      </w:r>
      <w:r>
        <w:rPr>
          <w:rFonts w:hint="eastAsia" w:ascii="宋体" w:hAnsi="宋体"/>
          <w:bCs/>
          <w:color w:val="auto"/>
          <w:spacing w:val="-6"/>
          <w:sz w:val="30"/>
          <w:szCs w:val="30"/>
          <w:highlight w:val="none"/>
        </w:rPr>
        <w:t>/报价文件、商务技术文件</w:t>
      </w:r>
    </w:p>
    <w:p>
      <w:pPr>
        <w:spacing w:line="360" w:lineRule="auto"/>
        <w:rPr>
          <w:rFonts w:ascii="宋体" w:hAnsi="宋体"/>
          <w:bCs/>
          <w:color w:val="auto"/>
          <w:spacing w:val="-6"/>
          <w:sz w:val="30"/>
          <w:szCs w:val="30"/>
          <w:highlight w:val="none"/>
        </w:rPr>
      </w:pPr>
      <w:r>
        <w:rPr>
          <w:rFonts w:hint="eastAsia" w:ascii="宋体" w:hAnsi="宋体"/>
          <w:bCs/>
          <w:color w:val="auto"/>
          <w:spacing w:val="-6"/>
          <w:sz w:val="30"/>
          <w:szCs w:val="30"/>
          <w:highlight w:val="none"/>
        </w:rPr>
        <w:t>投标人名称（盖章）：</w:t>
      </w:r>
    </w:p>
    <w:p>
      <w:pPr>
        <w:spacing w:line="360" w:lineRule="auto"/>
        <w:rPr>
          <w:rFonts w:ascii="宋体" w:hAnsi="宋体"/>
          <w:bCs/>
          <w:color w:val="auto"/>
          <w:spacing w:val="-6"/>
          <w:sz w:val="30"/>
          <w:szCs w:val="30"/>
          <w:highlight w:val="none"/>
        </w:rPr>
      </w:pPr>
      <w:r>
        <w:rPr>
          <w:rFonts w:hint="eastAsia" w:ascii="宋体" w:hAnsi="宋体"/>
          <w:bCs/>
          <w:color w:val="auto"/>
          <w:spacing w:val="-6"/>
          <w:sz w:val="30"/>
          <w:szCs w:val="30"/>
          <w:highlight w:val="none"/>
        </w:rPr>
        <w:t>投标人地址：</w:t>
      </w:r>
    </w:p>
    <w:p>
      <w:pPr>
        <w:spacing w:line="360" w:lineRule="auto"/>
        <w:rPr>
          <w:rFonts w:ascii="宋体" w:hAnsi="宋体"/>
          <w:bCs/>
          <w:color w:val="auto"/>
          <w:spacing w:val="-6"/>
          <w:sz w:val="30"/>
          <w:szCs w:val="30"/>
          <w:highlight w:val="none"/>
        </w:rPr>
      </w:pPr>
      <w:r>
        <w:rPr>
          <w:rFonts w:hint="eastAsia" w:ascii="宋体" w:hAnsi="宋体"/>
          <w:bCs/>
          <w:color w:val="auto"/>
          <w:spacing w:val="-6"/>
          <w:sz w:val="30"/>
          <w:szCs w:val="30"/>
          <w:highlight w:val="none"/>
        </w:rPr>
        <w:t xml:space="preserve">在  </w:t>
      </w:r>
      <w:r>
        <w:rPr>
          <w:rFonts w:ascii="宋体" w:hAnsi="宋体"/>
          <w:bCs/>
          <w:color w:val="auto"/>
          <w:spacing w:val="-6"/>
          <w:sz w:val="30"/>
          <w:szCs w:val="30"/>
          <w:highlight w:val="none"/>
        </w:rPr>
        <w:t xml:space="preserve">  </w:t>
      </w:r>
      <w:r>
        <w:rPr>
          <w:rFonts w:hint="eastAsia" w:ascii="宋体" w:hAnsi="宋体"/>
          <w:bCs/>
          <w:color w:val="auto"/>
          <w:spacing w:val="-6"/>
          <w:sz w:val="30"/>
          <w:szCs w:val="30"/>
          <w:highlight w:val="none"/>
        </w:rPr>
        <w:t>年  月  日  时  分之前不得启封</w:t>
      </w:r>
    </w:p>
    <w:p>
      <w:pPr>
        <w:spacing w:line="360" w:lineRule="auto"/>
        <w:rPr>
          <w:rFonts w:ascii="宋体" w:hAnsi="宋体"/>
          <w:bCs/>
          <w:color w:val="auto"/>
          <w:spacing w:val="-6"/>
          <w:sz w:val="30"/>
          <w:szCs w:val="30"/>
          <w:highlight w:val="none"/>
        </w:rPr>
      </w:pPr>
    </w:p>
    <w:p>
      <w:pPr>
        <w:spacing w:line="360" w:lineRule="auto"/>
        <w:rPr>
          <w:rFonts w:ascii="宋体" w:hAnsi="宋体"/>
          <w:bCs/>
          <w:color w:val="auto"/>
          <w:spacing w:val="-6"/>
          <w:sz w:val="30"/>
          <w:szCs w:val="30"/>
          <w:highlight w:val="none"/>
        </w:rPr>
      </w:pPr>
      <w:r>
        <w:rPr>
          <w:rFonts w:hint="eastAsia" w:ascii="宋体" w:hAnsi="宋体"/>
          <w:color w:val="auto"/>
          <w:spacing w:val="-6"/>
          <w:sz w:val="30"/>
          <w:szCs w:val="30"/>
          <w:highlight w:val="none"/>
        </w:rPr>
        <w:t>授权代表签字</w:t>
      </w:r>
      <w:r>
        <w:rPr>
          <w:rFonts w:hint="eastAsia" w:ascii="宋体" w:hAnsi="宋体"/>
          <w:bCs/>
          <w:color w:val="auto"/>
          <w:spacing w:val="-6"/>
          <w:sz w:val="30"/>
          <w:szCs w:val="30"/>
          <w:highlight w:val="none"/>
        </w:rPr>
        <w:t>：</w:t>
      </w:r>
    </w:p>
    <w:p>
      <w:pPr>
        <w:spacing w:line="360" w:lineRule="auto"/>
        <w:rPr>
          <w:rFonts w:ascii="宋体" w:hAnsi="宋体"/>
          <w:bCs/>
          <w:color w:val="auto"/>
          <w:spacing w:val="-6"/>
          <w:sz w:val="30"/>
          <w:szCs w:val="30"/>
          <w:highlight w:val="none"/>
        </w:rPr>
      </w:pPr>
      <w:r>
        <w:rPr>
          <w:rFonts w:hint="eastAsia" w:ascii="宋体" w:hAnsi="宋体"/>
          <w:bCs/>
          <w:color w:val="auto"/>
          <w:spacing w:val="-6"/>
          <w:sz w:val="30"/>
          <w:szCs w:val="30"/>
          <w:highlight w:val="none"/>
        </w:rPr>
        <w:t xml:space="preserve">日期：  </w:t>
      </w:r>
      <w:r>
        <w:rPr>
          <w:rFonts w:ascii="宋体" w:hAnsi="宋体"/>
          <w:bCs/>
          <w:color w:val="auto"/>
          <w:spacing w:val="-6"/>
          <w:sz w:val="30"/>
          <w:szCs w:val="30"/>
          <w:highlight w:val="none"/>
        </w:rPr>
        <w:t xml:space="preserve">  </w:t>
      </w:r>
      <w:r>
        <w:rPr>
          <w:rFonts w:hint="eastAsia" w:ascii="宋体" w:hAnsi="宋体"/>
          <w:bCs/>
          <w:color w:val="auto"/>
          <w:spacing w:val="-6"/>
          <w:sz w:val="30"/>
          <w:szCs w:val="30"/>
          <w:highlight w:val="none"/>
        </w:rPr>
        <w:t>年  月  日</w:t>
      </w:r>
    </w:p>
    <w:p>
      <w:pPr>
        <w:spacing w:line="360" w:lineRule="auto"/>
        <w:rPr>
          <w:rFonts w:ascii="宋体" w:hAnsi="宋体"/>
          <w:color w:val="auto"/>
          <w:spacing w:val="-6"/>
          <w:sz w:val="24"/>
          <w:highlight w:val="none"/>
        </w:rPr>
      </w:pPr>
      <w:r>
        <w:rPr>
          <w:rFonts w:ascii="宋体" w:hAnsi="宋体"/>
          <w:bCs/>
          <w:color w:val="auto"/>
          <w:spacing w:val="-6"/>
          <w:sz w:val="24"/>
          <w:highlight w:val="none"/>
        </w:rPr>
        <w:br w:type="page"/>
      </w:r>
      <w:r>
        <w:rPr>
          <w:rFonts w:hint="eastAsia" w:ascii="宋体" w:hAnsi="宋体"/>
          <w:color w:val="auto"/>
          <w:spacing w:val="-6"/>
          <w:sz w:val="24"/>
          <w:highlight w:val="none"/>
        </w:rPr>
        <w:t>封面</w:t>
      </w:r>
    </w:p>
    <w:p>
      <w:pPr>
        <w:spacing w:line="360" w:lineRule="auto"/>
        <w:jc w:val="right"/>
        <w:rPr>
          <w:rFonts w:ascii="宋体" w:hAnsi="宋体"/>
          <w:color w:val="auto"/>
          <w:spacing w:val="-6"/>
          <w:sz w:val="24"/>
          <w:highlight w:val="none"/>
        </w:rPr>
      </w:pPr>
      <w:r>
        <w:rPr>
          <w:rFonts w:ascii="宋体" w:hAnsi="宋体" w:cs="宋体"/>
          <w:color w:val="auto"/>
          <w:sz w:val="24"/>
          <w:szCs w:val="40"/>
          <w:highlight w:val="none"/>
        </w:rPr>
        <mc:AlternateContent>
          <mc:Choice Requires="wps">
            <w:drawing>
              <wp:anchor distT="0" distB="0" distL="114300" distR="114300" simplePos="0" relativeHeight="251658240" behindDoc="1" locked="0" layoutInCell="1" allowOverlap="1">
                <wp:simplePos x="0" y="0"/>
                <wp:positionH relativeFrom="column">
                  <wp:posOffset>4827270</wp:posOffset>
                </wp:positionH>
                <wp:positionV relativeFrom="paragraph">
                  <wp:posOffset>6985</wp:posOffset>
                </wp:positionV>
                <wp:extent cx="1403350" cy="507365"/>
                <wp:effectExtent l="0" t="0" r="25400" b="26035"/>
                <wp:wrapNone/>
                <wp:docPr id="15"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80.1pt;margin-top:0.55pt;height:39.95pt;width:110.5pt;z-index:-251658240;mso-width-relative:page;mso-height-relative:page;" fillcolor="#FFFFFF" filled="t" stroked="t" coordsize="21600,21600" o:gfxdata="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LHqhLWAAAACAEAAA8AAAAAAAAAAQAgAAAAIgAAAGRycy9kb3ducmV2LnhtbFBLAQIUABQAAAAI&#10;AIdO4kDxJP737wEAAOkDAAAOAAAAAAAAAAEAIAAAACUBAABkcnMvZTJvRG9jLnhtbFBLBQYAAAAA&#10;BgAGAFkBAACGBQAAAAA=&#10;">
                <v:fill on="t" focussize="0,0"/>
                <v:stroke color="#000000" joinstyle="miter"/>
                <v:imagedata o:title=""/>
                <o:lock v:ext="edit" aspectratio="f"/>
                <v:textbox>
                  <w:txbxContent>
                    <w:p>
                      <w:pPr>
                        <w:rPr>
                          <w:sz w:val="32"/>
                          <w:szCs w:val="32"/>
                        </w:rPr>
                      </w:pPr>
                      <w:r>
                        <w:rPr>
                          <w:rFonts w:hint="eastAsia"/>
                          <w:sz w:val="32"/>
                          <w:szCs w:val="32"/>
                        </w:rPr>
                        <w:t>正本（</w:t>
                      </w:r>
                      <w:r>
                        <w:rPr>
                          <w:sz w:val="32"/>
                          <w:szCs w:val="32"/>
                        </w:rPr>
                        <w:t>副本）</w:t>
                      </w:r>
                    </w:p>
                  </w:txbxContent>
                </v:textbox>
              </v:shape>
            </w:pict>
          </mc:Fallback>
        </mc:AlternateContent>
      </w:r>
    </w:p>
    <w:p>
      <w:pPr>
        <w:spacing w:line="360" w:lineRule="auto"/>
        <w:rPr>
          <w:rFonts w:ascii="宋体" w:hAnsi="宋体"/>
          <w:color w:val="auto"/>
          <w:spacing w:val="-6"/>
          <w:sz w:val="24"/>
          <w:highlight w:val="none"/>
        </w:rPr>
      </w:pPr>
    </w:p>
    <w:p>
      <w:pPr>
        <w:spacing w:line="360" w:lineRule="auto"/>
        <w:jc w:val="center"/>
        <w:rPr>
          <w:rFonts w:ascii="宋体" w:hAnsi="宋体"/>
          <w:bCs/>
          <w:color w:val="auto"/>
          <w:spacing w:val="-6"/>
          <w:sz w:val="24"/>
          <w:highlight w:val="none"/>
        </w:rPr>
      </w:pPr>
      <w:r>
        <w:rPr>
          <w:rFonts w:hint="eastAsia" w:ascii="宋体" w:hAnsi="宋体"/>
          <w:bCs/>
          <w:color w:val="auto"/>
          <w:spacing w:val="-6"/>
          <w:sz w:val="24"/>
          <w:highlight w:val="none"/>
          <w:u w:val="single"/>
        </w:rPr>
        <w:t xml:space="preserve">                    </w:t>
      </w:r>
      <w:r>
        <w:rPr>
          <w:rFonts w:hint="eastAsia" w:ascii="宋体" w:hAnsi="宋体"/>
          <w:bCs/>
          <w:color w:val="auto"/>
          <w:spacing w:val="-6"/>
          <w:sz w:val="24"/>
          <w:highlight w:val="none"/>
        </w:rPr>
        <w:t>（磋商响应供应商名称）</w:t>
      </w:r>
    </w:p>
    <w:p>
      <w:pPr>
        <w:spacing w:line="360" w:lineRule="auto"/>
        <w:jc w:val="center"/>
        <w:rPr>
          <w:rFonts w:ascii="宋体" w:hAnsi="宋体"/>
          <w:b/>
          <w:bCs/>
          <w:color w:val="auto"/>
          <w:spacing w:val="-6"/>
          <w:szCs w:val="28"/>
          <w:highlight w:val="none"/>
        </w:rPr>
      </w:pPr>
      <w:r>
        <w:rPr>
          <w:rFonts w:hint="eastAsia" w:ascii="宋体" w:hAnsi="宋体"/>
          <w:b/>
          <w:bCs/>
          <w:color w:val="auto"/>
          <w:spacing w:val="-6"/>
          <w:szCs w:val="28"/>
          <w:highlight w:val="none"/>
        </w:rPr>
        <w:t>响 应 文 件</w:t>
      </w:r>
    </w:p>
    <w:p>
      <w:pPr>
        <w:spacing w:line="360" w:lineRule="auto"/>
        <w:rPr>
          <w:rFonts w:ascii="宋体" w:hAnsi="宋体"/>
          <w:bCs/>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bCs/>
          <w:color w:val="auto"/>
          <w:spacing w:val="-6"/>
          <w:sz w:val="24"/>
          <w:highlight w:val="none"/>
        </w:rPr>
      </w:pPr>
    </w:p>
    <w:p>
      <w:pPr>
        <w:ind w:firstLine="720"/>
        <w:rPr>
          <w:rFonts w:ascii="宋体" w:hAnsi="宋体"/>
          <w:color w:val="auto"/>
          <w:sz w:val="30"/>
          <w:szCs w:val="30"/>
          <w:highlight w:val="none"/>
        </w:rPr>
      </w:pPr>
    </w:p>
    <w:p>
      <w:pPr>
        <w:ind w:firstLine="720"/>
        <w:rPr>
          <w:rFonts w:ascii="宋体" w:hAnsi="宋体"/>
          <w:color w:val="auto"/>
          <w:sz w:val="30"/>
          <w:szCs w:val="30"/>
          <w:highlight w:val="none"/>
        </w:rPr>
      </w:pPr>
      <w:r>
        <w:rPr>
          <w:rFonts w:hint="eastAsia" w:ascii="宋体" w:hAnsi="宋体"/>
          <w:color w:val="auto"/>
          <w:sz w:val="30"/>
          <w:szCs w:val="30"/>
          <w:highlight w:val="none"/>
        </w:rPr>
        <w:t>采 购 人：</w:t>
      </w:r>
    </w:p>
    <w:p>
      <w:pPr>
        <w:ind w:firstLine="720"/>
        <w:rPr>
          <w:rFonts w:ascii="宋体" w:hAnsi="宋体"/>
          <w:color w:val="auto"/>
          <w:sz w:val="30"/>
          <w:szCs w:val="30"/>
          <w:highlight w:val="none"/>
        </w:rPr>
      </w:pPr>
      <w:r>
        <w:rPr>
          <w:rFonts w:hint="eastAsia" w:ascii="宋体" w:hAnsi="宋体"/>
          <w:color w:val="auto"/>
          <w:sz w:val="30"/>
          <w:szCs w:val="30"/>
          <w:highlight w:val="none"/>
        </w:rPr>
        <w:t>项目名称：</w:t>
      </w:r>
    </w:p>
    <w:p>
      <w:pPr>
        <w:ind w:firstLine="720"/>
        <w:rPr>
          <w:rFonts w:ascii="宋体" w:hAnsi="宋体"/>
          <w:color w:val="auto"/>
          <w:sz w:val="30"/>
          <w:szCs w:val="30"/>
          <w:highlight w:val="none"/>
        </w:rPr>
      </w:pPr>
      <w:r>
        <w:rPr>
          <w:rFonts w:hint="eastAsia" w:ascii="宋体" w:hAnsi="宋体"/>
          <w:color w:val="auto"/>
          <w:sz w:val="30"/>
          <w:szCs w:val="30"/>
          <w:highlight w:val="none"/>
        </w:rPr>
        <w:t>项目编号：</w:t>
      </w:r>
    </w:p>
    <w:p>
      <w:pPr>
        <w:ind w:firstLine="720"/>
        <w:rPr>
          <w:rFonts w:hint="eastAsia" w:ascii="宋体" w:hAnsi="宋体"/>
          <w:color w:val="auto"/>
          <w:sz w:val="30"/>
          <w:szCs w:val="30"/>
          <w:highlight w:val="none"/>
        </w:rPr>
      </w:pPr>
      <w:r>
        <w:rPr>
          <w:rFonts w:hint="eastAsia" w:ascii="宋体" w:hAnsi="宋体"/>
          <w:bCs/>
          <w:color w:val="auto"/>
          <w:spacing w:val="-6"/>
          <w:sz w:val="30"/>
          <w:szCs w:val="30"/>
          <w:highlight w:val="none"/>
        </w:rPr>
        <w:t>投标文件名称：资格证明</w:t>
      </w:r>
      <w:r>
        <w:rPr>
          <w:rFonts w:ascii="宋体" w:hAnsi="宋体"/>
          <w:bCs/>
          <w:color w:val="auto"/>
          <w:spacing w:val="-6"/>
          <w:sz w:val="30"/>
          <w:szCs w:val="30"/>
          <w:highlight w:val="none"/>
        </w:rPr>
        <w:t>文件</w:t>
      </w:r>
      <w:r>
        <w:rPr>
          <w:rFonts w:hint="eastAsia" w:ascii="宋体" w:hAnsi="宋体"/>
          <w:bCs/>
          <w:color w:val="auto"/>
          <w:spacing w:val="-6"/>
          <w:sz w:val="30"/>
          <w:szCs w:val="30"/>
          <w:highlight w:val="none"/>
        </w:rPr>
        <w:t>/报价文件、商务技术文件</w:t>
      </w:r>
    </w:p>
    <w:p>
      <w:pPr>
        <w:ind w:firstLine="720"/>
        <w:rPr>
          <w:rFonts w:ascii="宋体" w:hAnsi="宋体"/>
          <w:color w:val="auto"/>
          <w:sz w:val="30"/>
          <w:szCs w:val="30"/>
          <w:highlight w:val="none"/>
        </w:rPr>
      </w:pPr>
      <w:r>
        <w:rPr>
          <w:rFonts w:hint="eastAsia" w:ascii="宋体" w:hAnsi="宋体"/>
          <w:color w:val="auto"/>
          <w:sz w:val="30"/>
          <w:szCs w:val="30"/>
          <w:highlight w:val="none"/>
        </w:rPr>
        <w:t>投标人名称（盖章）：</w:t>
      </w:r>
    </w:p>
    <w:p>
      <w:pPr>
        <w:ind w:firstLine="720"/>
        <w:rPr>
          <w:rFonts w:ascii="宋体" w:hAnsi="宋体"/>
          <w:color w:val="auto"/>
          <w:sz w:val="30"/>
          <w:szCs w:val="30"/>
          <w:highlight w:val="none"/>
        </w:rPr>
      </w:pPr>
      <w:r>
        <w:rPr>
          <w:rFonts w:hint="eastAsia" w:ascii="宋体" w:hAnsi="宋体"/>
          <w:color w:val="auto"/>
          <w:sz w:val="30"/>
          <w:szCs w:val="30"/>
          <w:highlight w:val="none"/>
        </w:rPr>
        <w:t>投标人地址：</w:t>
      </w:r>
    </w:p>
    <w:p>
      <w:pPr>
        <w:ind w:firstLine="720"/>
        <w:rPr>
          <w:rFonts w:ascii="宋体" w:hAnsi="宋体"/>
          <w:color w:val="auto"/>
          <w:sz w:val="30"/>
          <w:szCs w:val="30"/>
          <w:highlight w:val="none"/>
        </w:rPr>
      </w:pPr>
    </w:p>
    <w:p>
      <w:pPr>
        <w:ind w:firstLine="720"/>
        <w:rPr>
          <w:rFonts w:ascii="宋体" w:hAnsi="宋体"/>
          <w:color w:val="auto"/>
          <w:sz w:val="30"/>
          <w:szCs w:val="30"/>
          <w:highlight w:val="none"/>
        </w:rPr>
      </w:pPr>
    </w:p>
    <w:p>
      <w:pPr>
        <w:ind w:firstLine="720"/>
        <w:rPr>
          <w:rFonts w:ascii="宋体" w:hAnsi="宋体"/>
          <w:color w:val="auto"/>
          <w:sz w:val="30"/>
          <w:szCs w:val="30"/>
          <w:highlight w:val="none"/>
        </w:rPr>
      </w:pPr>
      <w:r>
        <w:rPr>
          <w:rFonts w:hint="eastAsia" w:ascii="宋体" w:hAnsi="宋体"/>
          <w:color w:val="auto"/>
          <w:sz w:val="30"/>
          <w:szCs w:val="30"/>
          <w:highlight w:val="none"/>
        </w:rPr>
        <w:t>授权代表签字：</w:t>
      </w:r>
    </w:p>
    <w:p>
      <w:pPr>
        <w:ind w:firstLine="720"/>
        <w:rPr>
          <w:rFonts w:ascii="宋体" w:hAnsi="宋体"/>
          <w:color w:val="auto"/>
          <w:sz w:val="30"/>
          <w:szCs w:val="30"/>
          <w:highlight w:val="none"/>
        </w:rPr>
      </w:pPr>
      <w:r>
        <w:rPr>
          <w:rFonts w:hint="eastAsia" w:ascii="宋体" w:hAnsi="宋体"/>
          <w:color w:val="auto"/>
          <w:sz w:val="30"/>
          <w:szCs w:val="30"/>
          <w:highlight w:val="none"/>
        </w:rPr>
        <w:t>日期：    年  月  日</w:t>
      </w:r>
    </w:p>
    <w:p>
      <w:pPr>
        <w:spacing w:line="360" w:lineRule="auto"/>
        <w:jc w:val="center"/>
        <w:rPr>
          <w:rFonts w:ascii="宋体" w:hAnsi="宋体"/>
          <w:b/>
          <w:color w:val="auto"/>
          <w:spacing w:val="-6"/>
          <w:sz w:val="52"/>
          <w:szCs w:val="52"/>
          <w:highlight w:val="none"/>
        </w:rPr>
      </w:pPr>
      <w:r>
        <w:rPr>
          <w:rFonts w:ascii="宋体" w:hAnsi="宋体"/>
          <w:bCs/>
          <w:color w:val="auto"/>
          <w:spacing w:val="-6"/>
          <w:sz w:val="24"/>
          <w:highlight w:val="none"/>
        </w:rPr>
        <w:br w:type="page"/>
      </w:r>
    </w:p>
    <w:p>
      <w:pPr>
        <w:pStyle w:val="4"/>
        <w:jc w:val="center"/>
        <w:rPr>
          <w:color w:val="auto"/>
          <w:highlight w:val="none"/>
        </w:rPr>
      </w:pPr>
      <w:r>
        <w:rPr>
          <w:rFonts w:hint="eastAsia"/>
          <w:color w:val="auto"/>
          <w:highlight w:val="none"/>
        </w:rPr>
        <w:t>响 应 函</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致：浙江五石工程咨询有限公司：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根据贵方为</w:t>
      </w:r>
      <w:r>
        <w:rPr>
          <w:rFonts w:hint="eastAsia" w:ascii="宋体" w:hAnsi="宋体"/>
          <w:bCs/>
          <w:color w:val="auto"/>
          <w:spacing w:val="-6"/>
          <w:sz w:val="24"/>
          <w:highlight w:val="none"/>
        </w:rPr>
        <w:t>中国美术学院消防系统改造升级</w:t>
      </w:r>
      <w:r>
        <w:rPr>
          <w:rFonts w:hint="eastAsia" w:ascii="宋体" w:hAnsi="宋体"/>
          <w:color w:val="auto"/>
          <w:spacing w:val="-6"/>
          <w:sz w:val="24"/>
          <w:highlight w:val="none"/>
        </w:rPr>
        <w:t>的采购公告（项目编号</w:t>
      </w:r>
      <w:r>
        <w:rPr>
          <w:rFonts w:hint="eastAsia" w:ascii="宋体" w:hAnsi="宋体"/>
          <w:bCs/>
          <w:color w:val="auto"/>
          <w:spacing w:val="-6"/>
          <w:sz w:val="24"/>
          <w:highlight w:val="none"/>
        </w:rPr>
        <w:t>：</w:t>
      </w:r>
      <w:r>
        <w:rPr>
          <w:rFonts w:hint="eastAsia" w:ascii="宋体" w:hAnsi="宋体"/>
          <w:bCs/>
          <w:color w:val="auto"/>
          <w:spacing w:val="-6"/>
          <w:sz w:val="24"/>
          <w:highlight w:val="none"/>
          <w:lang w:eastAsia="zh-CN"/>
        </w:rPr>
        <w:t>ZJWSBJ-MY-201808C-1</w:t>
      </w:r>
      <w:r>
        <w:rPr>
          <w:rFonts w:hint="eastAsia" w:ascii="宋体" w:hAnsi="宋体"/>
          <w:bCs/>
          <w:color w:val="auto"/>
          <w:spacing w:val="-6"/>
          <w:sz w:val="24"/>
          <w:highlight w:val="none"/>
        </w:rPr>
        <w:t>）</w:t>
      </w:r>
      <w:r>
        <w:rPr>
          <w:rFonts w:hint="eastAsia" w:ascii="宋体" w:hAnsi="宋体"/>
          <w:color w:val="auto"/>
          <w:spacing w:val="-6"/>
          <w:sz w:val="24"/>
          <w:highlight w:val="none"/>
        </w:rPr>
        <w:t>，签字代表</w:t>
      </w:r>
      <w:r>
        <w:rPr>
          <w:rFonts w:hint="eastAsia" w:ascii="宋体" w:hAnsi="宋体"/>
          <w:bCs/>
          <w:color w:val="auto"/>
          <w:spacing w:val="-6"/>
          <w:sz w:val="24"/>
          <w:highlight w:val="none"/>
          <w:u w:val="single"/>
        </w:rPr>
        <w:t xml:space="preserve">      </w:t>
      </w:r>
      <w:r>
        <w:rPr>
          <w:rFonts w:hint="eastAsia" w:ascii="宋体" w:hAnsi="宋体"/>
          <w:color w:val="auto"/>
          <w:spacing w:val="-6"/>
          <w:sz w:val="24"/>
          <w:highlight w:val="none"/>
        </w:rPr>
        <w:t>（全名）经正式授权并代表</w:t>
      </w:r>
      <w:r>
        <w:rPr>
          <w:rFonts w:ascii="宋体" w:hAnsi="宋体"/>
          <w:color w:val="auto"/>
          <w:spacing w:val="-6"/>
          <w:sz w:val="24"/>
          <w:highlight w:val="none"/>
        </w:rPr>
        <w:t>__________</w:t>
      </w:r>
      <w:r>
        <w:rPr>
          <w:rFonts w:hint="eastAsia" w:ascii="宋体" w:hAnsi="宋体"/>
          <w:color w:val="auto"/>
          <w:spacing w:val="-6"/>
          <w:sz w:val="24"/>
          <w:highlight w:val="none"/>
        </w:rPr>
        <w:t>（磋商响应供应商名称）提交商务和技术文件正本一份、副本</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份。</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据此函，签字代表宣布同意如下：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3、本磋商响应有效期自响应文件开启日起</w:t>
      </w:r>
      <w:r>
        <w:rPr>
          <w:rFonts w:hint="eastAsia" w:ascii="宋体" w:hAnsi="宋体"/>
          <w:bCs/>
          <w:color w:val="auto"/>
          <w:spacing w:val="-6"/>
          <w:sz w:val="24"/>
          <w:highlight w:val="none"/>
          <w:u w:val="single"/>
        </w:rPr>
        <w:t>90</w:t>
      </w:r>
      <w:r>
        <w:rPr>
          <w:rFonts w:hint="eastAsia" w:ascii="宋体" w:hAnsi="宋体"/>
          <w:color w:val="auto"/>
          <w:spacing w:val="-6"/>
          <w:sz w:val="24"/>
          <w:highlight w:val="none"/>
        </w:rPr>
        <w:t>个日历日。</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4、如成交，本响应文件至本项目合同履行完毕止均保持有效，我方将按“磋商文件”及政府采购法律、法规的规定履行合同责任和义务。</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5、我方同意按照贵方要求提供与磋商有关的一切数据或资料。</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6、与本磋商有关的一切正式往来信函请寄：</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地址：_______ 邮编：__________</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电话：_________ 传真：______ </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磋商响应供应商代表姓名：_________职务：_________</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开户银行：_________</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银行帐号：_________</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w:t>
      </w:r>
      <w:r>
        <w:rPr>
          <w:rFonts w:hint="eastAsia" w:ascii="宋体" w:hAnsi="宋体"/>
          <w:bCs/>
          <w:color w:val="auto"/>
          <w:spacing w:val="-6"/>
          <w:sz w:val="24"/>
          <w:highlight w:val="none"/>
        </w:rPr>
        <w:t>盖章）</w:t>
      </w:r>
      <w:r>
        <w:rPr>
          <w:rFonts w:hint="eastAsia" w:ascii="宋体" w:hAnsi="宋体"/>
          <w:color w:val="auto"/>
          <w:spacing w:val="-6"/>
          <w:sz w:val="24"/>
          <w:highlight w:val="none"/>
        </w:rPr>
        <w:t>：</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授权代表签字</w:t>
      </w:r>
      <w:r>
        <w:rPr>
          <w:rFonts w:hint="eastAsia" w:ascii="宋体" w:hAnsi="宋体"/>
          <w:bCs/>
          <w:color w:val="auto"/>
          <w:spacing w:val="-6"/>
          <w:sz w:val="24"/>
          <w:highlight w:val="none"/>
        </w:rPr>
        <w:t>：</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p>
    <w:p>
      <w:pPr>
        <w:spacing w:line="360" w:lineRule="auto"/>
        <w:rPr>
          <w:rFonts w:ascii="宋体" w:hAnsi="宋体"/>
          <w:bCs/>
          <w:color w:val="auto"/>
          <w:spacing w:val="-6"/>
          <w:sz w:val="24"/>
          <w:highlight w:val="none"/>
        </w:rPr>
      </w:pPr>
    </w:p>
    <w:p>
      <w:pPr>
        <w:pStyle w:val="4"/>
        <w:rPr>
          <w:color w:val="auto"/>
          <w:highlight w:val="none"/>
        </w:rPr>
      </w:pPr>
      <w:r>
        <w:rPr>
          <w:rFonts w:hint="eastAsia"/>
          <w:color w:val="auto"/>
          <w:highlight w:val="none"/>
        </w:rPr>
        <w:t>初次报价一览表</w:t>
      </w:r>
    </w:p>
    <w:p>
      <w:pPr>
        <w:spacing w:line="360" w:lineRule="auto"/>
        <w:jc w:val="center"/>
        <w:rPr>
          <w:rFonts w:ascii="宋体" w:hAnsi="宋体"/>
          <w:b/>
          <w:color w:val="auto"/>
          <w:spacing w:val="-6"/>
          <w:sz w:val="24"/>
          <w:highlight w:val="none"/>
        </w:rPr>
      </w:pPr>
      <w:r>
        <w:rPr>
          <w:rFonts w:hint="eastAsia" w:ascii="宋体" w:hAnsi="宋体"/>
          <w:b/>
          <w:color w:val="auto"/>
          <w:spacing w:val="-6"/>
          <w:sz w:val="24"/>
          <w:highlight w:val="none"/>
        </w:rPr>
        <w:t>初次报价一览表</w:t>
      </w:r>
    </w:p>
    <w:p>
      <w:pPr>
        <w:spacing w:line="360" w:lineRule="auto"/>
        <w:rPr>
          <w:rFonts w:hint="eastAsia" w:ascii="宋体" w:hAnsi="宋体" w:eastAsiaTheme="minorEastAsia"/>
          <w:bCs/>
          <w:color w:val="auto"/>
          <w:spacing w:val="-6"/>
          <w:sz w:val="24"/>
          <w:highlight w:val="none"/>
          <w:lang w:eastAsia="zh-CN"/>
        </w:rPr>
      </w:pPr>
      <w:r>
        <w:rPr>
          <w:rFonts w:hint="eastAsia" w:ascii="宋体" w:hAnsi="宋体"/>
          <w:color w:val="auto"/>
          <w:spacing w:val="-6"/>
          <w:sz w:val="24"/>
          <w:highlight w:val="none"/>
        </w:rPr>
        <w:t>项目编号：</w:t>
      </w:r>
      <w:r>
        <w:rPr>
          <w:rFonts w:hint="eastAsia" w:ascii="宋体" w:hAnsi="宋体"/>
          <w:bCs/>
          <w:color w:val="auto"/>
          <w:spacing w:val="-6"/>
          <w:sz w:val="24"/>
          <w:highlight w:val="none"/>
          <w:lang w:eastAsia="zh-CN"/>
        </w:rPr>
        <w:t>ZJWSBJ-MY-201808C-1</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w:t>
      </w:r>
      <w:r>
        <w:rPr>
          <w:rFonts w:hint="eastAsia" w:ascii="宋体" w:hAnsi="宋体"/>
          <w:color w:val="auto"/>
          <w:spacing w:val="-6"/>
          <w:sz w:val="24"/>
          <w:highlight w:val="none"/>
          <w:u w:val="single"/>
        </w:rPr>
        <w:t xml:space="preserve">                     </w:t>
      </w:r>
    </w:p>
    <w:tbl>
      <w:tblPr>
        <w:tblStyle w:val="19"/>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pacing w:val="-6"/>
                <w:sz w:val="24"/>
                <w:highlight w:val="none"/>
                <w:u w:val="single"/>
              </w:rPr>
            </w:pPr>
            <w:r>
              <w:rPr>
                <w:rFonts w:hint="eastAsia" w:ascii="宋体" w:hAnsi="宋体"/>
                <w:b/>
                <w:color w:val="auto"/>
                <w:spacing w:val="-6"/>
                <w:sz w:val="24"/>
                <w:highlight w:val="none"/>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pacing w:val="-6"/>
                <w:sz w:val="24"/>
                <w:highlight w:val="none"/>
              </w:rPr>
            </w:pPr>
          </w:p>
          <w:p>
            <w:pPr>
              <w:spacing w:line="360" w:lineRule="auto"/>
              <w:rPr>
                <w:rFonts w:ascii="宋体" w:hAnsi="宋体"/>
                <w:color w:val="auto"/>
                <w:spacing w:val="-6"/>
                <w:sz w:val="24"/>
                <w:highlight w:val="none"/>
                <w:u w:val="single"/>
              </w:rPr>
            </w:pPr>
            <w:r>
              <w:rPr>
                <w:rFonts w:hint="eastAsia" w:ascii="宋体" w:hAnsi="宋体"/>
                <w:color w:val="auto"/>
                <w:spacing w:val="-6"/>
                <w:sz w:val="24"/>
                <w:highlight w:val="none"/>
              </w:rPr>
              <w:t>金额大写：</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，小写：</w:t>
            </w:r>
            <w:r>
              <w:rPr>
                <w:rFonts w:hint="eastAsia" w:ascii="宋体" w:hAnsi="宋体"/>
                <w:color w:val="auto"/>
                <w:spacing w:val="-6"/>
                <w:sz w:val="24"/>
                <w:highlight w:val="none"/>
                <w:u w:val="single"/>
              </w:rPr>
              <w:t xml:space="preserve">            </w:t>
            </w:r>
          </w:p>
          <w:p>
            <w:pPr>
              <w:spacing w:line="360" w:lineRule="auto"/>
              <w:rPr>
                <w:rFonts w:ascii="宋体" w:hAnsi="宋体"/>
                <w:color w:val="auto"/>
                <w:spacing w:val="-6"/>
                <w:sz w:val="24"/>
                <w:highlight w:val="none"/>
                <w:u w:val="single"/>
              </w:rPr>
            </w:pPr>
          </w:p>
          <w:p>
            <w:pPr>
              <w:spacing w:line="360" w:lineRule="auto"/>
              <w:rPr>
                <w:rFonts w:ascii="宋体" w:hAnsi="宋体"/>
                <w:b/>
                <w:color w:val="auto"/>
                <w:spacing w:val="-6"/>
                <w:sz w:val="24"/>
                <w:highlight w:val="none"/>
              </w:rPr>
            </w:pPr>
            <w:r>
              <w:rPr>
                <w:rFonts w:hint="eastAsia" w:ascii="宋体" w:hAnsi="宋体"/>
                <w:color w:val="auto"/>
                <w:spacing w:val="-6"/>
                <w:sz w:val="24"/>
                <w:highlight w:val="none"/>
              </w:rPr>
              <w:t>单位：人民币元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供货期：</w:t>
            </w:r>
          </w:p>
        </w:tc>
      </w:tr>
    </w:tbl>
    <w:p>
      <w:pPr>
        <w:spacing w:line="360" w:lineRule="auto"/>
        <w:jc w:val="left"/>
        <w:rPr>
          <w:rFonts w:ascii="宋体" w:hAnsi="宋体"/>
          <w:color w:val="auto"/>
          <w:spacing w:val="-6"/>
          <w:sz w:val="24"/>
          <w:highlight w:val="none"/>
        </w:rPr>
      </w:pP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说明:</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1、磋商响应总价包括完成所有产品供货及履行所有规定服务所产生的全部费用。</w:t>
      </w:r>
    </w:p>
    <w:p>
      <w:pPr>
        <w:spacing w:line="360" w:lineRule="auto"/>
        <w:jc w:val="left"/>
        <w:rPr>
          <w:rFonts w:ascii="宋体" w:hAnsi="宋体"/>
          <w:b/>
          <w:color w:val="auto"/>
          <w:spacing w:val="-6"/>
          <w:sz w:val="24"/>
          <w:highlight w:val="none"/>
        </w:rPr>
      </w:pPr>
      <w:r>
        <w:rPr>
          <w:rFonts w:hint="eastAsia" w:ascii="宋体" w:hAnsi="宋体"/>
          <w:b/>
          <w:color w:val="auto"/>
          <w:spacing w:val="-6"/>
          <w:sz w:val="24"/>
          <w:highlight w:val="none"/>
        </w:rPr>
        <w:t>2、以上报价应与“初次报价明细表”中的“磋商响应总价”相一致。</w:t>
      </w: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3、此表在不改变格式要求的情况下，可自行制作。</w:t>
      </w:r>
    </w:p>
    <w:p>
      <w:pPr>
        <w:spacing w:line="360" w:lineRule="auto"/>
        <w:rPr>
          <w:rFonts w:ascii="宋体" w:hAnsi="宋体"/>
          <w:color w:val="auto"/>
          <w:spacing w:val="-6"/>
          <w:sz w:val="24"/>
          <w:highlight w:val="none"/>
        </w:rPr>
      </w:pP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ind w:right="-1089" w:rightChars="-389"/>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 xml:space="preserve"> 年  月  日</w:t>
      </w:r>
    </w:p>
    <w:p>
      <w:pPr>
        <w:pStyle w:val="9"/>
        <w:spacing w:beforeLines="0" w:afterLines="0" w:line="360" w:lineRule="auto"/>
        <w:jc w:val="center"/>
        <w:rPr>
          <w:rFonts w:hAnsi="宋体"/>
          <w:b/>
          <w:color w:val="auto"/>
          <w:spacing w:val="-6"/>
          <w:highlight w:val="none"/>
        </w:rPr>
      </w:pPr>
      <w:r>
        <w:rPr>
          <w:rFonts w:hAnsi="宋体"/>
          <w:b/>
          <w:color w:val="auto"/>
          <w:spacing w:val="-6"/>
          <w:highlight w:val="none"/>
        </w:rPr>
        <w:br w:type="page"/>
      </w:r>
    </w:p>
    <w:p>
      <w:pPr>
        <w:pStyle w:val="4"/>
        <w:rPr>
          <w:color w:val="auto"/>
          <w:highlight w:val="none"/>
        </w:rPr>
      </w:pPr>
      <w:r>
        <w:rPr>
          <w:rFonts w:hint="eastAsia"/>
          <w:color w:val="auto"/>
          <w:highlight w:val="none"/>
        </w:rPr>
        <w:t>初次报价明细表</w:t>
      </w:r>
    </w:p>
    <w:p>
      <w:pPr>
        <w:pStyle w:val="9"/>
        <w:spacing w:beforeLines="0" w:afterLines="0" w:line="360" w:lineRule="auto"/>
        <w:jc w:val="center"/>
        <w:rPr>
          <w:rFonts w:hAnsi="宋体"/>
          <w:b/>
          <w:color w:val="auto"/>
          <w:spacing w:val="-6"/>
          <w:highlight w:val="none"/>
        </w:rPr>
      </w:pPr>
      <w:r>
        <w:rPr>
          <w:rFonts w:hint="eastAsia" w:hAnsi="宋体"/>
          <w:b/>
          <w:color w:val="auto"/>
          <w:spacing w:val="-6"/>
          <w:highlight w:val="none"/>
        </w:rPr>
        <w:t>初次</w:t>
      </w:r>
      <w:r>
        <w:rPr>
          <w:rFonts w:hAnsi="宋体"/>
          <w:b/>
          <w:color w:val="auto"/>
          <w:spacing w:val="-6"/>
          <w:highlight w:val="none"/>
        </w:rPr>
        <w:t>报价明细表</w:t>
      </w:r>
    </w:p>
    <w:p>
      <w:pPr>
        <w:pStyle w:val="9"/>
        <w:spacing w:beforeLines="0" w:afterLines="0" w:line="360" w:lineRule="auto"/>
        <w:ind w:right="342"/>
        <w:jc w:val="right"/>
        <w:rPr>
          <w:rFonts w:hAnsi="宋体"/>
          <w:b/>
          <w:color w:val="auto"/>
          <w:spacing w:val="-6"/>
          <w:highlight w:val="none"/>
        </w:rPr>
      </w:pPr>
      <w:r>
        <w:rPr>
          <w:rFonts w:hAnsi="宋体"/>
          <w:color w:val="auto"/>
          <w:spacing w:val="-6"/>
          <w:highlight w:val="none"/>
        </w:rPr>
        <w:t>金额单位：</w:t>
      </w:r>
      <w:r>
        <w:rPr>
          <w:rFonts w:hint="eastAsia" w:hAnsi="宋体"/>
          <w:color w:val="auto"/>
          <w:spacing w:val="-6"/>
          <w:highlight w:val="none"/>
        </w:rPr>
        <w:t>人民币元</w:t>
      </w:r>
    </w:p>
    <w:tbl>
      <w:tblPr>
        <w:tblStyle w:val="19"/>
        <w:tblW w:w="96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83"/>
        <w:gridCol w:w="1358"/>
        <w:gridCol w:w="1357"/>
        <w:gridCol w:w="798"/>
        <w:gridCol w:w="1078"/>
        <w:gridCol w:w="1078"/>
        <w:gridCol w:w="1078"/>
        <w:gridCol w:w="7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99" w:type="dxa"/>
            <w:tcBorders>
              <w:top w:val="double" w:color="auto" w:sz="4" w:space="0"/>
              <w:left w:val="doub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序号</w:t>
            </w:r>
          </w:p>
        </w:tc>
        <w:tc>
          <w:tcPr>
            <w:tcW w:w="1283" w:type="dxa"/>
            <w:tcBorders>
              <w:top w:val="doub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名   称</w:t>
            </w:r>
          </w:p>
        </w:tc>
        <w:tc>
          <w:tcPr>
            <w:tcW w:w="1358" w:type="dxa"/>
            <w:tcBorders>
              <w:top w:val="doub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投标报价</w:t>
            </w:r>
          </w:p>
          <w:p>
            <w:pPr>
              <w:jc w:val="cente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(元)</w:t>
            </w:r>
          </w:p>
        </w:tc>
        <w:tc>
          <w:tcPr>
            <w:tcW w:w="1357"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规格型号</w:t>
            </w:r>
          </w:p>
        </w:tc>
        <w:tc>
          <w:tcPr>
            <w:tcW w:w="79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品牌</w:t>
            </w:r>
          </w:p>
        </w:tc>
        <w:tc>
          <w:tcPr>
            <w:tcW w:w="107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原产地</w:t>
            </w:r>
          </w:p>
        </w:tc>
        <w:tc>
          <w:tcPr>
            <w:tcW w:w="107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供货期</w:t>
            </w:r>
          </w:p>
        </w:tc>
        <w:tc>
          <w:tcPr>
            <w:tcW w:w="1078" w:type="dxa"/>
            <w:tcBorders>
              <w:top w:val="doub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质保期</w:t>
            </w:r>
          </w:p>
        </w:tc>
        <w:tc>
          <w:tcPr>
            <w:tcW w:w="799" w:type="dxa"/>
            <w:tcBorders>
              <w:top w:val="double" w:color="auto" w:sz="4" w:space="0"/>
              <w:left w:val="single" w:color="auto" w:sz="4" w:space="0"/>
              <w:bottom w:val="single" w:color="auto" w:sz="4" w:space="0"/>
              <w:right w:val="double" w:color="auto" w:sz="4" w:space="0"/>
            </w:tcBorders>
            <w:vAlign w:val="center"/>
          </w:tcPr>
          <w:p>
            <w:pPr>
              <w:jc w:val="cente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99" w:type="dxa"/>
            <w:tcBorders>
              <w:top w:val="double" w:color="auto" w:sz="4" w:space="0"/>
              <w:left w:val="doub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1</w:t>
            </w:r>
          </w:p>
        </w:tc>
        <w:tc>
          <w:tcPr>
            <w:tcW w:w="1283" w:type="dxa"/>
            <w:tcBorders>
              <w:top w:val="doub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p>
        </w:tc>
        <w:tc>
          <w:tcPr>
            <w:tcW w:w="135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357"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79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07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07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078" w:type="dxa"/>
            <w:tcBorders>
              <w:top w:val="doub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p>
        </w:tc>
        <w:tc>
          <w:tcPr>
            <w:tcW w:w="799" w:type="dxa"/>
            <w:tcBorders>
              <w:top w:val="double" w:color="auto" w:sz="4" w:space="0"/>
              <w:left w:val="single" w:color="auto" w:sz="4" w:space="0"/>
              <w:bottom w:val="single" w:color="auto" w:sz="4" w:space="0"/>
              <w:right w:val="double" w:color="auto" w:sz="4" w:space="0"/>
            </w:tcBorders>
            <w:vAlign w:val="center"/>
          </w:tcPr>
          <w:p>
            <w:pPr>
              <w:jc w:val="center"/>
              <w:rPr>
                <w:rFonts w:asciiTheme="minorEastAsia" w:hAnsiTheme="minorEastAsia" w:cstheme="minorEastAsia"/>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99" w:type="dxa"/>
            <w:tcBorders>
              <w:top w:val="double" w:color="auto" w:sz="4" w:space="0"/>
              <w:left w:val="doub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2</w:t>
            </w:r>
          </w:p>
        </w:tc>
        <w:tc>
          <w:tcPr>
            <w:tcW w:w="1283" w:type="dxa"/>
            <w:tcBorders>
              <w:top w:val="doub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p>
        </w:tc>
        <w:tc>
          <w:tcPr>
            <w:tcW w:w="135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357"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79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07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07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078" w:type="dxa"/>
            <w:tcBorders>
              <w:top w:val="doub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p>
        </w:tc>
        <w:tc>
          <w:tcPr>
            <w:tcW w:w="799" w:type="dxa"/>
            <w:tcBorders>
              <w:top w:val="double" w:color="auto" w:sz="4" w:space="0"/>
              <w:left w:val="single" w:color="auto" w:sz="4" w:space="0"/>
              <w:bottom w:val="single" w:color="auto" w:sz="4" w:space="0"/>
              <w:right w:val="double" w:color="auto" w:sz="4" w:space="0"/>
            </w:tcBorders>
            <w:vAlign w:val="center"/>
          </w:tcPr>
          <w:p>
            <w:pPr>
              <w:jc w:val="center"/>
              <w:rPr>
                <w:rFonts w:asciiTheme="minorEastAsia" w:hAnsiTheme="minorEastAsia" w:cstheme="minorEastAsia"/>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99" w:type="dxa"/>
            <w:tcBorders>
              <w:top w:val="double" w:color="auto" w:sz="4" w:space="0"/>
              <w:left w:val="doub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w:t>
            </w:r>
          </w:p>
        </w:tc>
        <w:tc>
          <w:tcPr>
            <w:tcW w:w="1283" w:type="dxa"/>
            <w:tcBorders>
              <w:top w:val="doub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p>
        </w:tc>
        <w:tc>
          <w:tcPr>
            <w:tcW w:w="135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357"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79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07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07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078" w:type="dxa"/>
            <w:tcBorders>
              <w:top w:val="doub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p>
        </w:tc>
        <w:tc>
          <w:tcPr>
            <w:tcW w:w="799" w:type="dxa"/>
            <w:tcBorders>
              <w:top w:val="double" w:color="auto" w:sz="4" w:space="0"/>
              <w:left w:val="single" w:color="auto" w:sz="4" w:space="0"/>
              <w:bottom w:val="single" w:color="auto" w:sz="4" w:space="0"/>
              <w:right w:val="double" w:color="auto" w:sz="4" w:space="0"/>
            </w:tcBorders>
            <w:vAlign w:val="center"/>
          </w:tcPr>
          <w:p>
            <w:pPr>
              <w:jc w:val="center"/>
              <w:rPr>
                <w:rFonts w:asciiTheme="minorEastAsia" w:hAnsiTheme="minorEastAsia" w:cstheme="minorEastAsia"/>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799" w:type="dxa"/>
            <w:tcBorders>
              <w:top w:val="double" w:color="auto" w:sz="4" w:space="0"/>
              <w:left w:val="doub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合计</w:t>
            </w:r>
          </w:p>
        </w:tc>
        <w:tc>
          <w:tcPr>
            <w:tcW w:w="1283" w:type="dxa"/>
            <w:tcBorders>
              <w:top w:val="doub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p>
        </w:tc>
        <w:tc>
          <w:tcPr>
            <w:tcW w:w="135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357"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79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07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078" w:type="dxa"/>
            <w:tcBorders>
              <w:top w:val="doub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color w:val="auto"/>
                <w:spacing w:val="20"/>
                <w:sz w:val="24"/>
                <w:highlight w:val="none"/>
              </w:rPr>
            </w:pPr>
          </w:p>
        </w:tc>
        <w:tc>
          <w:tcPr>
            <w:tcW w:w="1078" w:type="dxa"/>
            <w:tcBorders>
              <w:top w:val="doub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auto"/>
                <w:spacing w:val="20"/>
                <w:sz w:val="24"/>
                <w:highlight w:val="none"/>
              </w:rPr>
            </w:pPr>
          </w:p>
        </w:tc>
        <w:tc>
          <w:tcPr>
            <w:tcW w:w="799" w:type="dxa"/>
            <w:tcBorders>
              <w:top w:val="double" w:color="auto" w:sz="4" w:space="0"/>
              <w:left w:val="single" w:color="auto" w:sz="4" w:space="0"/>
              <w:bottom w:val="single" w:color="auto" w:sz="4" w:space="0"/>
              <w:right w:val="double" w:color="auto" w:sz="4" w:space="0"/>
            </w:tcBorders>
            <w:vAlign w:val="center"/>
          </w:tcPr>
          <w:p>
            <w:pPr>
              <w:jc w:val="center"/>
              <w:rPr>
                <w:rFonts w:asciiTheme="minorEastAsia" w:hAnsiTheme="minorEastAsia" w:cstheme="minorEastAsia"/>
                <w:color w:val="auto"/>
                <w:spacing w:val="20"/>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rPr>
        <w:tc>
          <w:tcPr>
            <w:tcW w:w="2082" w:type="dxa"/>
            <w:gridSpan w:val="2"/>
            <w:tcBorders>
              <w:top w:val="single" w:color="auto" w:sz="4" w:space="0"/>
              <w:left w:val="double" w:color="auto" w:sz="4" w:space="0"/>
              <w:bottom w:val="double" w:color="auto" w:sz="4" w:space="0"/>
              <w:right w:val="single" w:color="auto" w:sz="4" w:space="0"/>
            </w:tcBorders>
            <w:vAlign w:val="center"/>
          </w:tcPr>
          <w:p>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总报价</w:t>
            </w:r>
          </w:p>
        </w:tc>
        <w:tc>
          <w:tcPr>
            <w:tcW w:w="7546" w:type="dxa"/>
            <w:gridSpan w:val="7"/>
            <w:tcBorders>
              <w:top w:val="single" w:color="auto" w:sz="4" w:space="0"/>
              <w:left w:val="single" w:color="auto" w:sz="4" w:space="0"/>
              <w:bottom w:val="double" w:color="auto" w:sz="4" w:space="0"/>
              <w:right w:val="double" w:color="auto" w:sz="4" w:space="0"/>
            </w:tcBorders>
            <w:vAlign w:val="center"/>
          </w:tcPr>
          <w:p>
            <w:pP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小写：</w:t>
            </w:r>
          </w:p>
          <w:p>
            <w:pPr>
              <w:rPr>
                <w:rFonts w:asciiTheme="minorEastAsia" w:hAnsiTheme="minorEastAsia" w:cstheme="minorEastAsia"/>
                <w:color w:val="auto"/>
                <w:spacing w:val="20"/>
                <w:sz w:val="24"/>
                <w:highlight w:val="none"/>
              </w:rPr>
            </w:pPr>
            <w:r>
              <w:rPr>
                <w:rFonts w:hint="eastAsia" w:asciiTheme="minorEastAsia" w:hAnsiTheme="minorEastAsia" w:cstheme="minorEastAsia"/>
                <w:color w:val="auto"/>
                <w:spacing w:val="20"/>
                <w:sz w:val="24"/>
                <w:highlight w:val="none"/>
              </w:rPr>
              <w:t>大写：</w:t>
            </w:r>
          </w:p>
        </w:tc>
      </w:tr>
    </w:tbl>
    <w:p>
      <w:pPr>
        <w:tabs>
          <w:tab w:val="left" w:pos="1418"/>
        </w:tabs>
        <w:spacing w:line="360" w:lineRule="auto"/>
        <w:rPr>
          <w:rFonts w:ascii="宋体" w:hAnsi="宋体"/>
          <w:color w:val="auto"/>
          <w:spacing w:val="-6"/>
          <w:sz w:val="24"/>
          <w:highlight w:val="none"/>
          <w:u w:val="single"/>
        </w:rPr>
      </w:pPr>
    </w:p>
    <w:p>
      <w:pPr>
        <w:tabs>
          <w:tab w:val="left" w:pos="1418"/>
        </w:tabs>
        <w:spacing w:line="360" w:lineRule="auto"/>
        <w:rPr>
          <w:rFonts w:ascii="宋体" w:hAnsi="宋体"/>
          <w:color w:val="auto"/>
          <w:spacing w:val="-6"/>
          <w:sz w:val="24"/>
          <w:highlight w:val="none"/>
          <w:u w:val="single"/>
        </w:rPr>
      </w:pPr>
    </w:p>
    <w:p>
      <w:pPr>
        <w:tabs>
          <w:tab w:val="left" w:pos="1418"/>
        </w:tabs>
        <w:spacing w:line="360" w:lineRule="auto"/>
        <w:rPr>
          <w:rFonts w:ascii="宋体" w:hAnsi="宋体"/>
          <w:color w:val="auto"/>
          <w:spacing w:val="-6"/>
          <w:sz w:val="24"/>
          <w:highlight w:val="none"/>
          <w:u w:val="single"/>
        </w:rPr>
      </w:pP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ind w:right="-1089" w:rightChars="-389"/>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widowControl/>
        <w:jc w:val="left"/>
        <w:rPr>
          <w:rFonts w:ascii="宋体" w:hAnsi="宋体"/>
          <w:color w:val="auto"/>
          <w:spacing w:val="-6"/>
          <w:sz w:val="24"/>
          <w:highlight w:val="none"/>
        </w:rPr>
      </w:pPr>
      <w:r>
        <w:rPr>
          <w:rFonts w:hAnsi="宋体"/>
          <w:color w:val="auto"/>
          <w:spacing w:val="-6"/>
          <w:highlight w:val="none"/>
        </w:rPr>
        <w:br w:type="page"/>
      </w:r>
    </w:p>
    <w:p>
      <w:pPr>
        <w:pStyle w:val="4"/>
        <w:jc w:val="center"/>
        <w:rPr>
          <w:color w:val="auto"/>
          <w:highlight w:val="none"/>
        </w:rPr>
      </w:pPr>
      <w:r>
        <w:rPr>
          <w:rFonts w:hint="eastAsia"/>
          <w:color w:val="auto"/>
          <w:highlight w:val="none"/>
        </w:rPr>
        <w:t>廉政承诺书</w:t>
      </w:r>
    </w:p>
    <w:p>
      <w:pPr>
        <w:rPr>
          <w:color w:val="auto"/>
          <w:highlight w:val="none"/>
        </w:rPr>
      </w:pPr>
    </w:p>
    <w:p>
      <w:pPr>
        <w:spacing w:line="360" w:lineRule="auto"/>
        <w:rPr>
          <w:color w:val="auto"/>
          <w:sz w:val="24"/>
          <w:szCs w:val="22"/>
          <w:highlight w:val="none"/>
        </w:rPr>
      </w:pPr>
      <w:r>
        <w:rPr>
          <w:rFonts w:hint="eastAsia"/>
          <w:color w:val="auto"/>
          <w:sz w:val="24"/>
          <w:szCs w:val="22"/>
          <w:highlight w:val="none"/>
        </w:rPr>
        <w:t>中国美术学院、浙江五石工程咨询有限公司：</w:t>
      </w:r>
    </w:p>
    <w:p>
      <w:pPr>
        <w:spacing w:line="360" w:lineRule="auto"/>
        <w:ind w:firstLine="480" w:firstLineChars="200"/>
        <w:rPr>
          <w:color w:val="auto"/>
          <w:sz w:val="24"/>
          <w:szCs w:val="22"/>
          <w:highlight w:val="none"/>
        </w:rPr>
      </w:pPr>
      <w:r>
        <w:rPr>
          <w:rFonts w:hint="eastAsia"/>
          <w:color w:val="auto"/>
          <w:sz w:val="24"/>
          <w:szCs w:val="22"/>
          <w:highlight w:val="none"/>
        </w:rPr>
        <w:t xml:space="preserve">我单位响应你单位项目招标要求参加投标。在这次投标过程中和中标后，我们将严格遵守国家法律法规要求，并郑重承诺： </w:t>
      </w:r>
    </w:p>
    <w:p>
      <w:pPr>
        <w:spacing w:line="360" w:lineRule="auto"/>
        <w:ind w:firstLine="480" w:firstLineChars="200"/>
        <w:rPr>
          <w:color w:val="auto"/>
          <w:sz w:val="24"/>
          <w:szCs w:val="22"/>
          <w:highlight w:val="none"/>
        </w:rPr>
      </w:pPr>
      <w:r>
        <w:rPr>
          <w:rFonts w:hint="eastAsia"/>
          <w:color w:val="auto"/>
          <w:sz w:val="24"/>
          <w:szCs w:val="22"/>
          <w:highlight w:val="none"/>
        </w:rPr>
        <w:t>一、不向项目有关人员及部门赠送礼金礼物、有价证券、回扣以及中介费、介绍费、咨询费等好处费；</w:t>
      </w:r>
    </w:p>
    <w:p>
      <w:pPr>
        <w:spacing w:line="360" w:lineRule="auto"/>
        <w:ind w:firstLine="480" w:firstLineChars="200"/>
        <w:rPr>
          <w:color w:val="auto"/>
          <w:sz w:val="24"/>
          <w:szCs w:val="22"/>
          <w:highlight w:val="none"/>
        </w:rPr>
      </w:pPr>
      <w:r>
        <w:rPr>
          <w:rFonts w:hint="eastAsia"/>
          <w:color w:val="auto"/>
          <w:sz w:val="24"/>
          <w:szCs w:val="22"/>
          <w:highlight w:val="none"/>
        </w:rPr>
        <w:t>二、不为项目有关人员及部门报销应由你方单位或个人支付的费用；</w:t>
      </w:r>
    </w:p>
    <w:p>
      <w:pPr>
        <w:spacing w:line="360" w:lineRule="auto"/>
        <w:ind w:firstLine="480" w:firstLineChars="200"/>
        <w:rPr>
          <w:color w:val="auto"/>
          <w:sz w:val="24"/>
          <w:szCs w:val="22"/>
          <w:highlight w:val="none"/>
        </w:rPr>
      </w:pPr>
      <w:r>
        <w:rPr>
          <w:rFonts w:hint="eastAsia"/>
          <w:color w:val="auto"/>
          <w:sz w:val="24"/>
          <w:szCs w:val="22"/>
          <w:highlight w:val="none"/>
        </w:rPr>
        <w:t>三、不向项目有关人员及部门提供有可能影响公正的宴请和健身娱乐等活动；</w:t>
      </w:r>
    </w:p>
    <w:p>
      <w:pPr>
        <w:spacing w:line="360" w:lineRule="auto"/>
        <w:ind w:firstLine="480" w:firstLineChars="200"/>
        <w:rPr>
          <w:color w:val="auto"/>
          <w:sz w:val="24"/>
          <w:szCs w:val="22"/>
          <w:highlight w:val="none"/>
        </w:rPr>
      </w:pPr>
      <w:r>
        <w:rPr>
          <w:rFonts w:hint="eastAsia"/>
          <w:color w:val="auto"/>
          <w:sz w:val="24"/>
          <w:szCs w:val="22"/>
          <w:highlight w:val="none"/>
        </w:rPr>
        <w:t>四、不为项目有关人员及部门出国（境）、旅游等提供方便；</w:t>
      </w:r>
    </w:p>
    <w:p>
      <w:pPr>
        <w:spacing w:line="360" w:lineRule="auto"/>
        <w:ind w:firstLine="480" w:firstLineChars="200"/>
        <w:rPr>
          <w:color w:val="auto"/>
          <w:sz w:val="24"/>
          <w:szCs w:val="22"/>
          <w:highlight w:val="none"/>
        </w:rPr>
      </w:pPr>
      <w:r>
        <w:rPr>
          <w:rFonts w:hint="eastAsia"/>
          <w:color w:val="auto"/>
          <w:sz w:val="24"/>
          <w:szCs w:val="22"/>
          <w:highlight w:val="none"/>
        </w:rPr>
        <w:t>五、不为项目有关人员个人装修住房、婚丧嫁娶、配偶子女工作安排等提供好处；</w:t>
      </w:r>
    </w:p>
    <w:p>
      <w:pPr>
        <w:spacing w:line="360" w:lineRule="auto"/>
        <w:ind w:firstLine="480" w:firstLineChars="200"/>
        <w:rPr>
          <w:color w:val="auto"/>
          <w:sz w:val="24"/>
          <w:szCs w:val="22"/>
          <w:highlight w:val="none"/>
        </w:rPr>
      </w:pPr>
      <w:r>
        <w:rPr>
          <w:rFonts w:hint="eastAsia"/>
          <w:color w:val="auto"/>
          <w:sz w:val="24"/>
          <w:szCs w:val="22"/>
          <w:highlight w:val="none"/>
        </w:rPr>
        <w:t>六、严格遵守政府采购法、招标投标法、合同法等法律，诚实守信，合法经营，坚决抵制各种违法违纪行为。</w:t>
      </w:r>
    </w:p>
    <w:p>
      <w:pPr>
        <w:spacing w:line="360" w:lineRule="auto"/>
        <w:ind w:firstLine="480" w:firstLineChars="200"/>
        <w:rPr>
          <w:color w:val="auto"/>
          <w:sz w:val="24"/>
          <w:szCs w:val="22"/>
          <w:highlight w:val="none"/>
        </w:rPr>
      </w:pPr>
      <w:r>
        <w:rPr>
          <w:rFonts w:hint="eastAsia"/>
          <w:color w:val="auto"/>
          <w:sz w:val="24"/>
          <w:szCs w:val="22"/>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spacing w:line="360" w:lineRule="auto"/>
        <w:ind w:firstLine="480" w:firstLineChars="200"/>
        <w:rPr>
          <w:color w:val="auto"/>
          <w:sz w:val="24"/>
          <w:szCs w:val="22"/>
          <w:highlight w:val="none"/>
        </w:rPr>
      </w:pPr>
    </w:p>
    <w:p>
      <w:pPr>
        <w:spacing w:line="360" w:lineRule="auto"/>
        <w:rPr>
          <w:color w:val="auto"/>
          <w:sz w:val="24"/>
          <w:szCs w:val="22"/>
          <w:highlight w:val="none"/>
        </w:rPr>
      </w:pPr>
    </w:p>
    <w:p>
      <w:pPr>
        <w:spacing w:line="360" w:lineRule="auto"/>
        <w:rPr>
          <w:color w:val="auto"/>
          <w:sz w:val="24"/>
          <w:szCs w:val="22"/>
          <w:highlight w:val="none"/>
        </w:rPr>
      </w:pPr>
    </w:p>
    <w:p>
      <w:pPr>
        <w:spacing w:line="360" w:lineRule="auto"/>
        <w:rPr>
          <w:color w:val="auto"/>
          <w:sz w:val="24"/>
          <w:szCs w:val="22"/>
          <w:highlight w:val="none"/>
        </w:rPr>
      </w:pPr>
      <w:r>
        <w:rPr>
          <w:rFonts w:hint="eastAsia"/>
          <w:color w:val="auto"/>
          <w:sz w:val="24"/>
          <w:szCs w:val="22"/>
          <w:highlight w:val="none"/>
        </w:rPr>
        <w:t>磋商响应供应商名称（公章）：</w:t>
      </w: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ind w:right="-1089" w:rightChars="-389"/>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rPr>
          <w:color w:val="auto"/>
          <w:highlight w:val="none"/>
        </w:rPr>
      </w:pPr>
      <w:r>
        <w:rPr>
          <w:rFonts w:hint="eastAsia"/>
          <w:color w:val="auto"/>
          <w:highlight w:val="none"/>
        </w:rPr>
        <w:br w:type="page"/>
      </w:r>
    </w:p>
    <w:p>
      <w:pPr>
        <w:pStyle w:val="4"/>
        <w:jc w:val="center"/>
        <w:rPr>
          <w:color w:val="auto"/>
          <w:highlight w:val="none"/>
        </w:rPr>
      </w:pPr>
      <w:r>
        <w:rPr>
          <w:rFonts w:hint="eastAsia"/>
          <w:color w:val="auto"/>
          <w:highlight w:val="none"/>
        </w:rPr>
        <w:t>磋商响应供应商企业类型声明函</w:t>
      </w:r>
    </w:p>
    <w:p>
      <w:pPr>
        <w:pStyle w:val="13"/>
        <w:spacing w:line="360" w:lineRule="auto"/>
        <w:ind w:left="169" w:hanging="169" w:hangingChars="74"/>
        <w:rPr>
          <w:rFonts w:ascii="宋体" w:hAnsi="宋体"/>
          <w:b/>
          <w:color w:val="auto"/>
          <w:spacing w:val="-6"/>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本公司郑重声明，根据《政府采购促进中小企业发展暂行办法》（财库</w:t>
      </w:r>
      <w:r>
        <w:rPr>
          <w:rFonts w:ascii="宋体" w:hAnsi="宋体"/>
          <w:color w:val="auto"/>
          <w:sz w:val="24"/>
          <w:highlight w:val="none"/>
        </w:rPr>
        <w:t>[</w:t>
      </w:r>
      <w:r>
        <w:rPr>
          <w:rFonts w:hint="eastAsia" w:ascii="宋体" w:hAnsi="宋体"/>
          <w:color w:val="auto"/>
          <w:sz w:val="24"/>
          <w:highlight w:val="none"/>
        </w:rPr>
        <w:t>2011</w:t>
      </w:r>
      <w:r>
        <w:rPr>
          <w:rFonts w:ascii="宋体" w:hAnsi="宋体"/>
          <w:color w:val="auto"/>
          <w:sz w:val="24"/>
          <w:highlight w:val="none"/>
        </w:rPr>
        <w:t>]</w:t>
      </w:r>
      <w:r>
        <w:rPr>
          <w:rFonts w:hint="eastAsia" w:ascii="宋体" w:hAnsi="宋体"/>
          <w:color w:val="auto"/>
          <w:sz w:val="24"/>
          <w:highlight w:val="none"/>
        </w:rPr>
        <w:t>181号）的规定，本公司为______（请填写：大型、中型、小型、微型）企业。即，本公司同时满足以下条件：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本公司参加</w:t>
      </w:r>
      <w:r>
        <w:rPr>
          <w:rFonts w:hint="eastAsia" w:ascii="宋体" w:hAnsi="宋体"/>
          <w:bCs/>
          <w:color w:val="auto"/>
          <w:sz w:val="24"/>
          <w:highlight w:val="none"/>
        </w:rPr>
        <w:t>中国美术学院</w:t>
      </w:r>
      <w:r>
        <w:rPr>
          <w:rFonts w:hint="eastAsia" w:ascii="宋体" w:hAnsi="宋体"/>
          <w:bCs/>
          <w:color w:val="auto"/>
          <w:sz w:val="24"/>
          <w:highlight w:val="none"/>
          <w:u w:val="single"/>
        </w:rPr>
        <w:t>消防系统改造升级  （项目名称）</w:t>
      </w:r>
      <w:r>
        <w:rPr>
          <w:rFonts w:hint="eastAsia" w:ascii="宋体" w:hAnsi="宋体"/>
          <w:color w:val="auto"/>
          <w:sz w:val="24"/>
          <w:highlight w:val="none"/>
        </w:rPr>
        <w:t>采购活动（按响应形式选择填写）：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（1）□本公司为直接磋商</w:t>
      </w:r>
      <w:r>
        <w:rPr>
          <w:rFonts w:ascii="宋体" w:hAnsi="宋体"/>
          <w:color w:val="auto"/>
          <w:sz w:val="24"/>
          <w:highlight w:val="none"/>
        </w:rPr>
        <w:t>响应供应商</w:t>
      </w:r>
      <w:r>
        <w:rPr>
          <w:rFonts w:hint="eastAsia" w:ascii="宋体" w:hAnsi="宋体"/>
          <w:color w:val="auto"/>
          <w:sz w:val="24"/>
          <w:highlight w:val="none"/>
        </w:rPr>
        <w:t>提供本企业制造的货物。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color w:val="auto"/>
          <w:sz w:val="24"/>
          <w:highlight w:val="yellow"/>
        </w:rPr>
      </w:pPr>
      <w:r>
        <w:rPr>
          <w:rFonts w:hint="eastAsia" w:ascii="宋体" w:hAnsi="宋体"/>
          <w:color w:val="auto"/>
          <w:sz w:val="24"/>
          <w:highlight w:val="yellow"/>
        </w:rPr>
        <w:t>本公司对上述声明的真实性负责。如有虚假，将依法承担相应责任。</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ind w:right="-1089" w:rightChars="-389"/>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ind w:right="-1089" w:rightChars="-389"/>
        <w:rPr>
          <w:rFonts w:ascii="宋体" w:hAnsi="宋体"/>
          <w:bCs/>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ind w:right="-1089" w:rightChars="-389"/>
        <w:rPr>
          <w:rFonts w:ascii="宋体" w:hAnsi="宋体"/>
          <w:b/>
          <w:bCs/>
          <w:color w:val="auto"/>
          <w:sz w:val="21"/>
          <w:szCs w:val="21"/>
          <w:highlight w:val="none"/>
        </w:rPr>
      </w:pPr>
      <w:r>
        <w:rPr>
          <w:rFonts w:ascii="宋体" w:hAnsi="宋体"/>
          <w:bCs/>
          <w:color w:val="auto"/>
          <w:spacing w:val="-6"/>
          <w:sz w:val="24"/>
          <w:highlight w:val="none"/>
        </w:rPr>
        <w:br w:type="page"/>
      </w:r>
    </w:p>
    <w:p>
      <w:pPr>
        <w:spacing w:line="360" w:lineRule="auto"/>
        <w:rPr>
          <w:rFonts w:ascii="宋体" w:hAnsi="宋体"/>
          <w:b/>
          <w:bCs/>
          <w:color w:val="auto"/>
          <w:sz w:val="21"/>
          <w:szCs w:val="21"/>
          <w:highlight w:val="none"/>
        </w:rPr>
      </w:pPr>
    </w:p>
    <w:p>
      <w:pPr>
        <w:pStyle w:val="4"/>
        <w:jc w:val="center"/>
        <w:rPr>
          <w:color w:val="auto"/>
          <w:highlight w:val="none"/>
        </w:rPr>
      </w:pPr>
      <w:r>
        <w:rPr>
          <w:rFonts w:hint="eastAsia"/>
          <w:color w:val="auto"/>
          <w:highlight w:val="none"/>
        </w:rPr>
        <w:t>监狱企业资格证明材料</w:t>
      </w:r>
    </w:p>
    <w:p>
      <w:pPr>
        <w:spacing w:line="360" w:lineRule="auto"/>
        <w:jc w:val="center"/>
        <w:rPr>
          <w:rFonts w:ascii="宋体" w:hAnsi="宋体"/>
          <w:b/>
          <w:bCs/>
          <w:color w:val="auto"/>
          <w:sz w:val="21"/>
          <w:szCs w:val="21"/>
          <w:highlight w:val="none"/>
        </w:rPr>
      </w:pPr>
      <w:r>
        <w:rPr>
          <w:rFonts w:hint="eastAsia" w:ascii="宋体" w:hAnsi="宋体"/>
          <w:b/>
          <w:bCs/>
          <w:color w:val="auto"/>
          <w:sz w:val="21"/>
          <w:szCs w:val="21"/>
          <w:highlight w:val="none"/>
        </w:rPr>
        <w:t>（省级以上监狱管理局、戒毒管理局（含新疆生产建设兵团）出具的属于监狱企业的证明文件）</w:t>
      </w: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：监狱企业视同小型、微型企业。</w:t>
      </w:r>
    </w:p>
    <w:p>
      <w:pPr>
        <w:spacing w:line="360" w:lineRule="auto"/>
        <w:rPr>
          <w:rFonts w:ascii="宋体" w:hAnsi="宋体"/>
          <w:b/>
          <w:color w:val="auto"/>
          <w:spacing w:val="-6"/>
          <w:sz w:val="52"/>
          <w:szCs w:val="52"/>
          <w:highlight w:val="none"/>
        </w:rPr>
      </w:pPr>
    </w:p>
    <w:p>
      <w:pPr>
        <w:pStyle w:val="4"/>
        <w:jc w:val="center"/>
        <w:rPr>
          <w:rFonts w:ascii="宋体" w:hAnsi="宋体"/>
          <w:color w:val="auto"/>
          <w:spacing w:val="6"/>
          <w:highlight w:val="none"/>
        </w:rPr>
      </w:pPr>
      <w:r>
        <w:rPr>
          <w:rFonts w:ascii="宋体" w:hAnsi="宋体"/>
          <w:color w:val="auto"/>
          <w:spacing w:val="-6"/>
          <w:sz w:val="52"/>
          <w:szCs w:val="52"/>
          <w:highlight w:val="none"/>
        </w:rPr>
        <w:br w:type="page"/>
      </w:r>
      <w:r>
        <w:rPr>
          <w:rFonts w:hint="eastAsia" w:ascii="宋体" w:hAnsi="宋体"/>
          <w:color w:val="auto"/>
          <w:spacing w:val="6"/>
          <w:highlight w:val="none"/>
        </w:rPr>
        <w:t>残疾人福利性单位声明函</w:t>
      </w:r>
    </w:p>
    <w:p>
      <w:pPr>
        <w:spacing w:line="360" w:lineRule="auto"/>
        <w:jc w:val="center"/>
        <w:rPr>
          <w:rFonts w:ascii="宋体" w:hAnsi="宋体"/>
          <w:b/>
          <w:color w:val="auto"/>
          <w:spacing w:val="6"/>
          <w:sz w:val="24"/>
          <w:highlight w:val="none"/>
        </w:rPr>
      </w:pP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w:t>
      </w:r>
      <w:r>
        <w:rPr>
          <w:rFonts w:hint="eastAsia" w:ascii="宋体" w:hAnsi="宋体"/>
          <w:bCs/>
          <w:color w:val="auto"/>
          <w:sz w:val="24"/>
          <w:highlight w:val="none"/>
          <w:u w:val="single"/>
        </w:rPr>
        <w:t>中国美术学院消防系统改造升级</w:t>
      </w:r>
      <w:r>
        <w:rPr>
          <w:rFonts w:hint="eastAsia" w:ascii="宋体" w:hAnsi="宋体"/>
          <w:color w:val="auto"/>
          <w:spacing w:val="6"/>
          <w:sz w:val="24"/>
          <w:highlight w:val="none"/>
        </w:rPr>
        <w:t>项目采购活动提供本单位制造的货物，或者提供其他残疾人福利性单位制造的货物（不包括使用非残疾人福利性单位注册商标的货物）。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rPr>
          <w:rFonts w:hAnsi="宋体"/>
          <w:color w:val="auto"/>
          <w:spacing w:val="-6"/>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w:t>
      </w:r>
      <w:r>
        <w:rPr>
          <w:rFonts w:hint="eastAsia" w:ascii="宋体" w:hAnsi="宋体"/>
          <w:bCs/>
          <w:color w:val="auto"/>
          <w:spacing w:val="-6"/>
          <w:sz w:val="24"/>
          <w:highlight w:val="none"/>
        </w:rPr>
        <w:t>盖章）</w:t>
      </w:r>
      <w:r>
        <w:rPr>
          <w:rFonts w:hint="eastAsia" w:ascii="宋体" w:hAnsi="宋体"/>
          <w:color w:val="auto"/>
          <w:spacing w:val="-6"/>
          <w:sz w:val="24"/>
          <w:highlight w:val="none"/>
        </w:rPr>
        <w:t>：</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授权代表签字</w:t>
      </w:r>
      <w:r>
        <w:rPr>
          <w:rFonts w:hint="eastAsia" w:ascii="宋体" w:hAnsi="宋体"/>
          <w:bCs/>
          <w:color w:val="auto"/>
          <w:spacing w:val="-6"/>
          <w:sz w:val="24"/>
          <w:highlight w:val="none"/>
        </w:rPr>
        <w:t>：</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p>
      <w:pPr>
        <w:spacing w:line="360" w:lineRule="auto"/>
        <w:ind w:firstLine="506" w:firstLineChars="200"/>
        <w:jc w:val="left"/>
        <w:rPr>
          <w:rFonts w:ascii="宋体" w:hAnsi="宋体"/>
          <w:b/>
          <w:bCs/>
          <w:color w:val="auto"/>
          <w:sz w:val="24"/>
          <w:highlight w:val="none"/>
        </w:rPr>
      </w:pPr>
      <w:r>
        <w:rPr>
          <w:rFonts w:hint="eastAsia" w:ascii="宋体" w:hAnsi="宋体"/>
          <w:b/>
          <w:color w:val="auto"/>
          <w:spacing w:val="6"/>
          <w:sz w:val="24"/>
          <w:highlight w:val="none"/>
        </w:rPr>
        <w:t>磋商响应供应商不属于残疾人福利性单位的，无需提供此声明函，如提供所引起的后果由磋商响应供应商承担。</w:t>
      </w:r>
    </w:p>
    <w:p>
      <w:pPr>
        <w:spacing w:line="360" w:lineRule="auto"/>
        <w:rPr>
          <w:rFonts w:ascii="宋体" w:hAnsi="宋体"/>
          <w:b/>
          <w:bCs/>
          <w:color w:val="auto"/>
          <w:sz w:val="21"/>
          <w:szCs w:val="21"/>
          <w:highlight w:val="none"/>
        </w:rPr>
      </w:pP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说明</w:t>
      </w:r>
      <w:r>
        <w:rPr>
          <w:rFonts w:ascii="宋体" w:hAnsi="宋体"/>
          <w:b/>
          <w:bCs/>
          <w:color w:val="auto"/>
          <w:sz w:val="21"/>
          <w:szCs w:val="21"/>
          <w:highlight w:val="none"/>
        </w:rPr>
        <w:t>：</w:t>
      </w:r>
    </w:p>
    <w:p>
      <w:pPr>
        <w:spacing w:line="360" w:lineRule="auto"/>
        <w:ind w:firstLine="420" w:firstLineChars="200"/>
        <w:jc w:val="left"/>
        <w:rPr>
          <w:rFonts w:ascii="宋体" w:hAnsi="宋体"/>
          <w:color w:val="auto"/>
          <w:spacing w:val="6"/>
          <w:sz w:val="21"/>
          <w:szCs w:val="21"/>
          <w:highlight w:val="none"/>
        </w:rPr>
      </w:pPr>
      <w:r>
        <w:rPr>
          <w:rFonts w:hint="eastAsia" w:ascii="宋体" w:hAnsi="宋体"/>
          <w:bCs/>
          <w:color w:val="auto"/>
          <w:sz w:val="21"/>
          <w:szCs w:val="21"/>
          <w:highlight w:val="none"/>
        </w:rPr>
        <w:t>1、</w:t>
      </w:r>
      <w:r>
        <w:rPr>
          <w:rFonts w:hint="eastAsia" w:ascii="宋体" w:hAnsi="宋体"/>
          <w:color w:val="auto"/>
          <w:spacing w:val="6"/>
          <w:sz w:val="21"/>
          <w:szCs w:val="21"/>
          <w:highlight w:val="none"/>
        </w:rPr>
        <w:t>若磋商响应供应商同时满足以下条件，则属于依法享受政府采购支持政策的残疾人福利性单位，可提供《残疾人福利性单位声明函》，并对声明的真实性负责：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ascii="宋体" w:hAnsi="宋体"/>
          <w:color w:val="auto"/>
          <w:spacing w:val="6"/>
          <w:sz w:val="21"/>
          <w:szCs w:val="21"/>
          <w:highlight w:val="none"/>
        </w:rPr>
      </w:pPr>
      <w:r>
        <w:rPr>
          <w:rFonts w:hint="eastAsia" w:ascii="宋体" w:hAnsi="宋体"/>
          <w:color w:val="auto"/>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hAnsi="宋体"/>
          <w:color w:val="auto"/>
          <w:spacing w:val="-6"/>
          <w:highlight w:val="none"/>
        </w:rPr>
      </w:pPr>
      <w:r>
        <w:rPr>
          <w:rFonts w:hint="eastAsia" w:ascii="宋体" w:hAnsi="宋体"/>
          <w:bCs/>
          <w:color w:val="auto"/>
          <w:sz w:val="21"/>
          <w:szCs w:val="21"/>
          <w:highlight w:val="none"/>
        </w:rPr>
        <w:t>2、成交供应商</w:t>
      </w:r>
      <w:r>
        <w:rPr>
          <w:rFonts w:ascii="宋体" w:hAnsi="宋体"/>
          <w:bCs/>
          <w:color w:val="auto"/>
          <w:sz w:val="21"/>
          <w:szCs w:val="21"/>
          <w:highlight w:val="none"/>
        </w:rPr>
        <w:t>为残疾人福利性单位的，《残疾人福利性单位声明函》随</w:t>
      </w:r>
      <w:r>
        <w:rPr>
          <w:rFonts w:hint="eastAsia" w:ascii="宋体" w:hAnsi="宋体"/>
          <w:bCs/>
          <w:color w:val="auto"/>
          <w:sz w:val="21"/>
          <w:szCs w:val="21"/>
          <w:highlight w:val="none"/>
        </w:rPr>
        <w:t>成交</w:t>
      </w:r>
      <w:r>
        <w:rPr>
          <w:rFonts w:ascii="宋体" w:hAnsi="宋体"/>
          <w:bCs/>
          <w:color w:val="auto"/>
          <w:sz w:val="21"/>
          <w:szCs w:val="21"/>
          <w:highlight w:val="none"/>
        </w:rPr>
        <w:t>结果同时公告</w:t>
      </w:r>
      <w:r>
        <w:rPr>
          <w:rFonts w:hint="eastAsia" w:ascii="宋体" w:hAnsi="宋体"/>
          <w:bCs/>
          <w:color w:val="auto"/>
          <w:sz w:val="21"/>
          <w:szCs w:val="21"/>
          <w:highlight w:val="none"/>
        </w:rPr>
        <w:t>，</w:t>
      </w:r>
      <w:r>
        <w:rPr>
          <w:rFonts w:ascii="宋体" w:hAnsi="宋体"/>
          <w:bCs/>
          <w:color w:val="auto"/>
          <w:sz w:val="21"/>
          <w:szCs w:val="21"/>
          <w:highlight w:val="none"/>
        </w:rPr>
        <w:t>接受社会监督</w:t>
      </w:r>
      <w:r>
        <w:rPr>
          <w:rFonts w:hint="eastAsia" w:ascii="宋体" w:hAnsi="宋体"/>
          <w:bCs/>
          <w:color w:val="auto"/>
          <w:sz w:val="21"/>
          <w:szCs w:val="21"/>
          <w:highlight w:val="none"/>
        </w:rPr>
        <w:t>。</w:t>
      </w:r>
    </w:p>
    <w:p>
      <w:pPr>
        <w:spacing w:line="360" w:lineRule="auto"/>
        <w:jc w:val="center"/>
        <w:rPr>
          <w:rFonts w:ascii="宋体" w:hAnsi="宋体"/>
          <w:b/>
          <w:color w:val="auto"/>
          <w:spacing w:val="-6"/>
          <w:sz w:val="52"/>
          <w:szCs w:val="52"/>
          <w:highlight w:val="none"/>
        </w:rPr>
      </w:pPr>
      <w:r>
        <w:rPr>
          <w:rFonts w:ascii="宋体" w:hAnsi="宋体"/>
          <w:b/>
          <w:color w:val="auto"/>
          <w:spacing w:val="-6"/>
          <w:sz w:val="52"/>
          <w:szCs w:val="52"/>
          <w:highlight w:val="none"/>
        </w:rPr>
        <w:br w:type="page"/>
      </w:r>
    </w:p>
    <w:p>
      <w:pPr>
        <w:spacing w:line="360" w:lineRule="auto"/>
        <w:jc w:val="center"/>
        <w:rPr>
          <w:rFonts w:ascii="宋体" w:hAnsi="宋体"/>
          <w:b/>
          <w:color w:val="auto"/>
          <w:spacing w:val="-6"/>
          <w:sz w:val="24"/>
          <w:highlight w:val="none"/>
        </w:rPr>
      </w:pPr>
    </w:p>
    <w:p>
      <w:pPr>
        <w:pStyle w:val="4"/>
        <w:jc w:val="center"/>
        <w:rPr>
          <w:color w:val="auto"/>
          <w:highlight w:val="none"/>
        </w:rPr>
      </w:pPr>
      <w:r>
        <w:rPr>
          <w:color w:val="auto"/>
          <w:highlight w:val="none"/>
        </w:rPr>
        <w:t>法定代表人资格证明书</w:t>
      </w:r>
    </w:p>
    <w:p>
      <w:pPr>
        <w:rPr>
          <w:color w:val="auto"/>
          <w:highlight w:val="none"/>
        </w:rPr>
      </w:pP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致：中国美术学院、浙江五石工程咨询有限公司：</w:t>
      </w:r>
    </w:p>
    <w:p>
      <w:pPr>
        <w:spacing w:line="360" w:lineRule="auto"/>
        <w:ind w:firstLine="456" w:firstLineChars="200"/>
        <w:rPr>
          <w:rFonts w:ascii="宋体" w:hAnsi="宋体"/>
          <w:bCs/>
          <w:color w:val="auto"/>
          <w:spacing w:val="-6"/>
          <w:sz w:val="24"/>
          <w:highlight w:val="none"/>
        </w:rPr>
      </w:pPr>
      <w:r>
        <w:rPr>
          <w:rFonts w:hint="eastAsia" w:ascii="宋体" w:hAnsi="宋体"/>
          <w:bCs/>
          <w:color w:val="auto"/>
          <w:spacing w:val="-6"/>
          <w:sz w:val="24"/>
          <w:highlight w:val="none"/>
        </w:rPr>
        <w:t>我</w:t>
      </w:r>
      <w:r>
        <w:rPr>
          <w:rFonts w:hint="eastAsia" w:ascii="宋体" w:hAnsi="宋体"/>
          <w:color w:val="auto"/>
          <w:spacing w:val="-6"/>
          <w:sz w:val="24"/>
          <w:highlight w:val="none"/>
          <w:u w:val="single"/>
        </w:rPr>
        <w:t xml:space="preserve">                 </w:t>
      </w:r>
      <w:r>
        <w:rPr>
          <w:rFonts w:ascii="宋体" w:hAnsi="宋体"/>
          <w:bCs/>
          <w:color w:val="auto"/>
          <w:spacing w:val="-6"/>
          <w:sz w:val="24"/>
          <w:highlight w:val="none"/>
        </w:rPr>
        <w:t>（姓名）系</w:t>
      </w:r>
      <w:r>
        <w:rPr>
          <w:rFonts w:hint="eastAsia" w:ascii="宋体" w:hAnsi="宋体"/>
          <w:color w:val="auto"/>
          <w:spacing w:val="-6"/>
          <w:sz w:val="24"/>
          <w:highlight w:val="none"/>
          <w:u w:val="single"/>
        </w:rPr>
        <w:t xml:space="preserve">                            </w:t>
      </w:r>
      <w:r>
        <w:rPr>
          <w:rFonts w:hint="eastAsia" w:ascii="宋体" w:hAnsi="宋体"/>
          <w:bCs/>
          <w:color w:val="auto"/>
          <w:spacing w:val="-6"/>
          <w:sz w:val="24"/>
          <w:highlight w:val="none"/>
        </w:rPr>
        <w:t>（磋商响应供应商名称）</w:t>
      </w:r>
      <w:r>
        <w:rPr>
          <w:rFonts w:ascii="宋体" w:hAnsi="宋体"/>
          <w:bCs/>
          <w:color w:val="auto"/>
          <w:spacing w:val="-6"/>
          <w:sz w:val="24"/>
          <w:highlight w:val="none"/>
        </w:rPr>
        <w:t>的法定代表人，身份证号</w:t>
      </w:r>
      <w:r>
        <w:rPr>
          <w:rFonts w:hint="eastAsia" w:ascii="宋体" w:hAnsi="宋体"/>
          <w:bCs/>
          <w:color w:val="auto"/>
          <w:spacing w:val="-6"/>
          <w:sz w:val="24"/>
          <w:highlight w:val="none"/>
        </w:rPr>
        <w:t>：</w:t>
      </w:r>
      <w:r>
        <w:rPr>
          <w:rFonts w:hint="eastAsia" w:ascii="宋体" w:hAnsi="宋体"/>
          <w:color w:val="auto"/>
          <w:spacing w:val="-6"/>
          <w:sz w:val="24"/>
          <w:highlight w:val="none"/>
          <w:u w:val="single"/>
        </w:rPr>
        <w:t xml:space="preserve">                                     </w:t>
      </w:r>
      <w:r>
        <w:rPr>
          <w:rFonts w:ascii="宋体" w:hAnsi="宋体"/>
          <w:bCs/>
          <w:color w:val="auto"/>
          <w:spacing w:val="-6"/>
          <w:sz w:val="24"/>
          <w:highlight w:val="none"/>
        </w:rPr>
        <w:t>。</w:t>
      </w:r>
    </w:p>
    <w:p>
      <w:pPr>
        <w:spacing w:line="360" w:lineRule="auto"/>
        <w:ind w:firstLine="456" w:firstLineChars="200"/>
        <w:rPr>
          <w:rFonts w:ascii="宋体" w:hAnsi="宋体"/>
          <w:bCs/>
          <w:color w:val="auto"/>
          <w:spacing w:val="-6"/>
          <w:sz w:val="24"/>
          <w:highlight w:val="none"/>
        </w:rPr>
      </w:pPr>
      <w:r>
        <w:rPr>
          <w:rFonts w:ascii="宋体" w:hAnsi="宋体"/>
          <w:bCs/>
          <w:color w:val="auto"/>
          <w:spacing w:val="-6"/>
          <w:sz w:val="24"/>
          <w:highlight w:val="none"/>
        </w:rPr>
        <w:t>特此证明。</w:t>
      </w:r>
    </w:p>
    <w:p>
      <w:pPr>
        <w:spacing w:line="360" w:lineRule="auto"/>
        <w:rPr>
          <w:rFonts w:ascii="宋体" w:hAnsi="宋体"/>
          <w:bCs/>
          <w:color w:val="auto"/>
          <w:spacing w:val="-6"/>
          <w:sz w:val="24"/>
          <w:highlight w:val="none"/>
        </w:rPr>
      </w:pPr>
    </w:p>
    <w:tbl>
      <w:tblPr>
        <w:tblStyle w:val="19"/>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640" w:type="dxa"/>
          </w:tcPr>
          <w:p>
            <w:pPr>
              <w:rPr>
                <w:rFonts w:ascii="宋体" w:hAnsi="宋体"/>
                <w:color w:val="auto"/>
                <w:sz w:val="24"/>
                <w:highlight w:val="none"/>
              </w:rPr>
            </w:pPr>
            <w:r>
              <w:rPr>
                <w:rFonts w:hint="eastAsia" w:ascii="新宋体" w:hAnsi="新宋体" w:eastAsia="新宋体"/>
                <w:color w:val="auto"/>
                <w:sz w:val="24"/>
                <w:highlight w:val="none"/>
              </w:rPr>
              <w:t>法定代表人</w:t>
            </w:r>
            <w:r>
              <w:rPr>
                <w:rFonts w:hint="eastAsia" w:ascii="宋体" w:hAnsi="宋体"/>
                <w:color w:val="auto"/>
                <w:sz w:val="24"/>
                <w:highlight w:val="none"/>
              </w:rPr>
              <w:t>身份证：</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p>
            <w:pPr>
              <w:spacing w:line="360" w:lineRule="auto"/>
              <w:rPr>
                <w:rFonts w:ascii="宋体" w:hAnsi="宋体"/>
                <w:bCs/>
                <w:color w:val="auto"/>
                <w:spacing w:val="-6"/>
                <w:sz w:val="24"/>
                <w:highlight w:val="none"/>
              </w:rPr>
            </w:pPr>
          </w:p>
        </w:tc>
      </w:tr>
    </w:tbl>
    <w:p>
      <w:pPr>
        <w:spacing w:line="360" w:lineRule="auto"/>
        <w:rPr>
          <w:rFonts w:ascii="宋体" w:hAnsi="宋体"/>
          <w:bCs/>
          <w:color w:val="auto"/>
          <w:spacing w:val="-6"/>
          <w:sz w:val="24"/>
          <w:highlight w:val="none"/>
        </w:rPr>
      </w:pPr>
    </w:p>
    <w:p>
      <w:pPr>
        <w:spacing w:line="360" w:lineRule="auto"/>
        <w:rPr>
          <w:rFonts w:ascii="宋体" w:hAnsi="宋体"/>
          <w:b/>
          <w:bCs/>
          <w:color w:val="auto"/>
          <w:spacing w:val="-6"/>
          <w:sz w:val="24"/>
          <w:highlight w:val="none"/>
        </w:rPr>
      </w:pPr>
    </w:p>
    <w:p>
      <w:pPr>
        <w:spacing w:line="360" w:lineRule="auto"/>
        <w:ind w:right="456"/>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p>
    <w:p>
      <w:pPr>
        <w:pStyle w:val="4"/>
        <w:jc w:val="center"/>
        <w:rPr>
          <w:color w:val="auto"/>
          <w:highlight w:val="none"/>
        </w:rPr>
      </w:pPr>
      <w:r>
        <w:rPr>
          <w:rFonts w:hint="eastAsia"/>
          <w:color w:val="auto"/>
          <w:highlight w:val="none"/>
        </w:rPr>
        <w:t>法定代表人授权委托书</w:t>
      </w:r>
    </w:p>
    <w:p>
      <w:pPr>
        <w:rPr>
          <w:color w:val="auto"/>
          <w:highlight w:val="none"/>
        </w:rPr>
      </w:pPr>
    </w:p>
    <w:p>
      <w:pPr>
        <w:spacing w:line="360" w:lineRule="auto"/>
        <w:rPr>
          <w:rFonts w:ascii="宋体" w:hAnsi="宋体"/>
          <w:b/>
          <w:bCs/>
          <w:color w:val="auto"/>
          <w:spacing w:val="-6"/>
          <w:sz w:val="24"/>
          <w:highlight w:val="none"/>
        </w:rPr>
      </w:pPr>
      <w:r>
        <w:rPr>
          <w:rFonts w:hint="eastAsia" w:ascii="宋体" w:hAnsi="宋体"/>
          <w:bCs/>
          <w:color w:val="auto"/>
          <w:spacing w:val="-6"/>
          <w:sz w:val="24"/>
          <w:highlight w:val="none"/>
        </w:rPr>
        <w:t>致：中国美术学院、浙江五石工程咨询有限公司</w:t>
      </w:r>
      <w:r>
        <w:rPr>
          <w:rFonts w:hint="eastAsia" w:ascii="宋体" w:hAnsi="宋体"/>
          <w:color w:val="auto"/>
          <w:spacing w:val="-6"/>
          <w:sz w:val="24"/>
          <w:highlight w:val="none"/>
        </w:rPr>
        <w:t>：</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 xml:space="preserve">我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 xml:space="preserve">（姓名）系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（磋商响应供应商名称）的法定代表人，现授权委托本单位在职职工：</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（姓名），身份证号码：</w:t>
      </w:r>
      <w:r>
        <w:rPr>
          <w:rFonts w:ascii="宋体" w:hAnsi="宋体"/>
          <w:color w:val="auto"/>
          <w:spacing w:val="-6"/>
          <w:sz w:val="24"/>
          <w:highlight w:val="none"/>
        </w:rPr>
        <w:t>____________________</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以我方的名义参加</w:t>
      </w:r>
      <w:r>
        <w:rPr>
          <w:rFonts w:hint="eastAsia" w:ascii="宋体" w:hAnsi="宋体"/>
          <w:bCs/>
          <w:color w:val="auto"/>
          <w:spacing w:val="-6"/>
          <w:sz w:val="24"/>
          <w:highlight w:val="none"/>
          <w:u w:val="single"/>
        </w:rPr>
        <w:t>中国美术学院消防系统改造升级</w:t>
      </w:r>
      <w:r>
        <w:rPr>
          <w:rFonts w:hint="eastAsia" w:ascii="宋体" w:hAnsi="宋体"/>
          <w:bCs/>
          <w:color w:val="auto"/>
          <w:spacing w:val="-6"/>
          <w:sz w:val="24"/>
          <w:highlight w:val="none"/>
        </w:rPr>
        <w:t>项目</w:t>
      </w:r>
      <w:r>
        <w:rPr>
          <w:rFonts w:hint="eastAsia" w:ascii="宋体" w:hAnsi="宋体"/>
          <w:color w:val="auto"/>
          <w:spacing w:val="-6"/>
          <w:sz w:val="24"/>
          <w:highlight w:val="none"/>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我方对被授权人的签名负全部责任。</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被授权人无转委托权，特此委托。</w:t>
      </w:r>
    </w:p>
    <w:p>
      <w:pPr>
        <w:spacing w:line="360" w:lineRule="auto"/>
        <w:ind w:firstLine="424" w:firstLineChars="186"/>
        <w:rPr>
          <w:rFonts w:ascii="宋体" w:hAnsi="宋体"/>
          <w:color w:val="auto"/>
          <w:spacing w:val="-6"/>
          <w:sz w:val="24"/>
          <w:highlight w:val="none"/>
        </w:rPr>
      </w:pPr>
    </w:p>
    <w:p>
      <w:pPr>
        <w:spacing w:line="360" w:lineRule="auto"/>
        <w:ind w:firstLine="424" w:firstLineChars="186"/>
        <w:rPr>
          <w:rFonts w:ascii="宋体" w:hAnsi="宋体"/>
          <w:color w:val="auto"/>
          <w:spacing w:val="-6"/>
          <w:sz w:val="24"/>
          <w:highlight w:val="none"/>
        </w:rPr>
      </w:pPr>
    </w:p>
    <w:p>
      <w:pPr>
        <w:spacing w:line="360" w:lineRule="auto"/>
        <w:ind w:firstLine="424" w:firstLineChars="186"/>
        <w:rPr>
          <w:rFonts w:ascii="宋体" w:hAnsi="宋体"/>
          <w:color w:val="auto"/>
          <w:spacing w:val="-6"/>
          <w:sz w:val="24"/>
          <w:highlight w:val="none"/>
          <w:u w:val="single"/>
        </w:rPr>
      </w:pPr>
      <w:r>
        <w:rPr>
          <w:rFonts w:hint="eastAsia" w:ascii="宋体" w:hAnsi="宋体"/>
          <w:color w:val="auto"/>
          <w:spacing w:val="-6"/>
          <w:sz w:val="24"/>
          <w:highlight w:val="none"/>
        </w:rPr>
        <w:t>法定代表人（签字或盖章）：</w:t>
      </w:r>
      <w:r>
        <w:rPr>
          <w:rFonts w:hint="eastAsia" w:ascii="宋体" w:hAnsi="宋体"/>
          <w:color w:val="auto"/>
          <w:spacing w:val="-6"/>
          <w:sz w:val="24"/>
          <w:highlight w:val="none"/>
          <w:u w:val="single"/>
        </w:rPr>
        <w:t xml:space="preserve">                      </w:t>
      </w:r>
    </w:p>
    <w:p>
      <w:pPr>
        <w:spacing w:line="360" w:lineRule="auto"/>
        <w:ind w:firstLine="424" w:firstLineChars="186"/>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rPr>
          <w:rFonts w:ascii="宋体" w:hAnsi="宋体"/>
          <w:bCs/>
          <w:color w:val="auto"/>
          <w:spacing w:val="-6"/>
          <w:sz w:val="24"/>
          <w:highlight w:val="none"/>
        </w:rPr>
      </w:pPr>
      <w:r>
        <w:rPr>
          <w:rFonts w:hint="eastAsia" w:ascii="宋体" w:hAnsi="宋体"/>
          <w:bCs/>
          <w:color w:val="auto"/>
          <w:spacing w:val="-6"/>
          <w:sz w:val="24"/>
          <w:highlight w:val="none"/>
        </w:rPr>
        <w:t>日期：  年  月  日</w:t>
      </w:r>
    </w:p>
    <w:p>
      <w:pPr>
        <w:spacing w:line="360" w:lineRule="auto"/>
        <w:rPr>
          <w:rFonts w:ascii="宋体" w:hAnsi="宋体"/>
          <w:color w:val="auto"/>
          <w:spacing w:val="-6"/>
          <w:sz w:val="24"/>
          <w:highlight w:val="none"/>
        </w:rPr>
      </w:pPr>
    </w:p>
    <w:tbl>
      <w:tblPr>
        <w:tblStyle w:val="19"/>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trPr>
        <w:tc>
          <w:tcPr>
            <w:tcW w:w="9640" w:type="dxa"/>
          </w:tcPr>
          <w:p>
            <w:pPr>
              <w:rPr>
                <w:rFonts w:ascii="宋体" w:hAnsi="宋体"/>
                <w:color w:val="auto"/>
                <w:sz w:val="24"/>
                <w:highlight w:val="none"/>
              </w:rPr>
            </w:pPr>
            <w:r>
              <w:rPr>
                <w:rFonts w:hint="eastAsia" w:ascii="新宋体" w:hAnsi="新宋体" w:eastAsia="新宋体"/>
                <w:color w:val="auto"/>
                <w:sz w:val="24"/>
                <w:highlight w:val="none"/>
              </w:rPr>
              <w:t>授权代表</w:t>
            </w:r>
            <w:r>
              <w:rPr>
                <w:rFonts w:hint="eastAsia" w:ascii="宋体" w:hAnsi="宋体"/>
                <w:color w:val="auto"/>
                <w:sz w:val="24"/>
                <w:highlight w:val="none"/>
              </w:rPr>
              <w:t>身份证：</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复印件粘贴处</w:t>
            </w:r>
          </w:p>
          <w:p>
            <w:pPr>
              <w:spacing w:line="360" w:lineRule="auto"/>
              <w:rPr>
                <w:rFonts w:ascii="宋体" w:hAnsi="宋体"/>
                <w:color w:val="auto"/>
                <w:spacing w:val="-6"/>
                <w:sz w:val="24"/>
                <w:highlight w:val="none"/>
              </w:rPr>
            </w:pPr>
          </w:p>
        </w:tc>
      </w:tr>
    </w:tbl>
    <w:p>
      <w:pPr>
        <w:pStyle w:val="9"/>
        <w:spacing w:beforeLines="0" w:afterLines="0" w:line="360" w:lineRule="auto"/>
        <w:rPr>
          <w:rFonts w:hAnsi="宋体"/>
          <w:b/>
          <w:color w:val="auto"/>
          <w:spacing w:val="-6"/>
          <w:highlight w:val="none"/>
        </w:rPr>
      </w:pPr>
    </w:p>
    <w:p>
      <w:pPr>
        <w:pStyle w:val="9"/>
        <w:spacing w:beforeLines="0" w:afterLines="0" w:line="360" w:lineRule="auto"/>
        <w:rPr>
          <w:rFonts w:hAnsi="宋体"/>
          <w:b/>
          <w:color w:val="auto"/>
          <w:spacing w:val="-6"/>
          <w:highlight w:val="none"/>
        </w:rPr>
      </w:pPr>
      <w:r>
        <w:rPr>
          <w:rFonts w:hint="eastAsia" w:hAnsi="宋体"/>
          <w:b/>
          <w:color w:val="auto"/>
          <w:spacing w:val="-6"/>
          <w:highlight w:val="none"/>
        </w:rPr>
        <w:t>说明：</w:t>
      </w:r>
    </w:p>
    <w:p>
      <w:pPr>
        <w:pStyle w:val="9"/>
        <w:spacing w:beforeLines="0" w:afterLines="0" w:line="360" w:lineRule="auto"/>
        <w:rPr>
          <w:rFonts w:hAnsi="宋体"/>
          <w:b/>
          <w:color w:val="auto"/>
          <w:spacing w:val="-6"/>
          <w:highlight w:val="none"/>
        </w:rPr>
      </w:pPr>
      <w:r>
        <w:rPr>
          <w:rFonts w:hint="eastAsia" w:hAnsi="宋体"/>
          <w:b/>
          <w:color w:val="auto"/>
          <w:spacing w:val="-6"/>
          <w:highlight w:val="none"/>
        </w:rPr>
        <w:t>1、磋商响应供应商的法定代表人参加磋商，须在响应文件中提供：法定代表人资格证明书；</w:t>
      </w:r>
    </w:p>
    <w:p>
      <w:pPr>
        <w:pStyle w:val="9"/>
        <w:spacing w:beforeLines="0" w:afterLines="0" w:line="360" w:lineRule="auto"/>
        <w:rPr>
          <w:rFonts w:hAnsi="宋体"/>
          <w:b/>
          <w:color w:val="auto"/>
          <w:spacing w:val="-6"/>
          <w:highlight w:val="none"/>
        </w:rPr>
      </w:pPr>
      <w:r>
        <w:rPr>
          <w:rFonts w:hint="eastAsia" w:hAnsi="宋体"/>
          <w:b/>
          <w:color w:val="auto"/>
          <w:spacing w:val="-6"/>
          <w:highlight w:val="none"/>
        </w:rPr>
        <w:t>2、磋商响应供应商的法定代表人委托授权代表参加投标，须在响应文件中提供：法定代表人资格证明书和法定代表人授权委托书。</w:t>
      </w:r>
    </w:p>
    <w:p>
      <w:pPr>
        <w:spacing w:line="360" w:lineRule="auto"/>
        <w:jc w:val="center"/>
        <w:rPr>
          <w:rFonts w:ascii="宋体" w:hAnsi="宋体"/>
          <w:b/>
          <w:color w:val="auto"/>
          <w:spacing w:val="-6"/>
          <w:sz w:val="24"/>
          <w:highlight w:val="none"/>
        </w:rPr>
      </w:pPr>
      <w:r>
        <w:rPr>
          <w:rFonts w:ascii="宋体" w:hAnsi="宋体"/>
          <w:b/>
          <w:color w:val="auto"/>
          <w:spacing w:val="-6"/>
          <w:sz w:val="24"/>
          <w:highlight w:val="none"/>
        </w:rPr>
        <w:br w:type="page"/>
      </w:r>
    </w:p>
    <w:p>
      <w:pPr>
        <w:pStyle w:val="4"/>
        <w:jc w:val="center"/>
        <w:rPr>
          <w:color w:val="auto"/>
          <w:highlight w:val="none"/>
        </w:rPr>
      </w:pPr>
      <w:r>
        <w:rPr>
          <w:rFonts w:hint="eastAsia"/>
          <w:color w:val="auto"/>
          <w:highlight w:val="none"/>
        </w:rPr>
        <w:t>响应声明书</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致：浙江五石工程咨询有限公司：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（磋商响应供应商名称）系中华人民共和国合法企业，经营地址</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我方愿意参加贵方组织的</w:t>
      </w:r>
      <w:r>
        <w:rPr>
          <w:rFonts w:hint="eastAsia" w:ascii="宋体" w:hAnsi="宋体"/>
          <w:bCs/>
          <w:color w:val="auto"/>
          <w:spacing w:val="-6"/>
          <w:sz w:val="24"/>
          <w:highlight w:val="none"/>
          <w:u w:val="single"/>
        </w:rPr>
        <w:t>中国美术学院消防系统改造升级</w:t>
      </w:r>
      <w:r>
        <w:rPr>
          <w:rFonts w:hint="eastAsia" w:ascii="宋体" w:hAnsi="宋体"/>
          <w:bCs/>
          <w:color w:val="auto"/>
          <w:spacing w:val="-6"/>
          <w:sz w:val="24"/>
          <w:highlight w:val="none"/>
        </w:rPr>
        <w:t>项目</w:t>
      </w:r>
      <w:r>
        <w:rPr>
          <w:rFonts w:hint="eastAsia" w:ascii="宋体" w:hAnsi="宋体"/>
          <w:color w:val="auto"/>
          <w:spacing w:val="-6"/>
          <w:sz w:val="24"/>
          <w:highlight w:val="none"/>
        </w:rPr>
        <w:t>的磋商响应，为便于贵方公正、择优地确定成交供应商及其磋商响应产品和服务，我方就本次磋商有关事项郑重声明如下：</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1、我方向贵方提交的所有响应文件、资料都是准确的和真实的；</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2、我方不是采购人的附属机构；在获知本项目采购信息后，与采购人聘请的为此项目提供咨询服务的公司及其附属机构没有任何联系。</w:t>
      </w:r>
    </w:p>
    <w:p>
      <w:pPr>
        <w:pStyle w:val="7"/>
        <w:spacing w:line="360" w:lineRule="auto"/>
        <w:ind w:firstLine="456" w:firstLineChars="200"/>
        <w:rPr>
          <w:rFonts w:hAnsi="宋体"/>
          <w:color w:val="auto"/>
          <w:spacing w:val="-6"/>
          <w:sz w:val="24"/>
          <w:szCs w:val="24"/>
          <w:highlight w:val="none"/>
        </w:rPr>
      </w:pPr>
      <w:r>
        <w:rPr>
          <w:rFonts w:hAnsi="宋体"/>
          <w:color w:val="auto"/>
          <w:spacing w:val="-6"/>
          <w:sz w:val="24"/>
          <w:szCs w:val="24"/>
          <w:highlight w:val="none"/>
        </w:rPr>
        <w:t>3、我方最近三年内的被公开披露或查处的违法违规行为有：</w:t>
      </w:r>
    </w:p>
    <w:p>
      <w:pPr>
        <w:spacing w:line="360" w:lineRule="auto"/>
        <w:ind w:firstLine="456" w:firstLineChars="200"/>
        <w:rPr>
          <w:rFonts w:ascii="宋体" w:hAnsi="宋体"/>
          <w:color w:val="auto"/>
          <w:spacing w:val="-6"/>
          <w:sz w:val="24"/>
          <w:highlight w:val="none"/>
          <w:u w:val="single"/>
        </w:rPr>
      </w:pPr>
      <w:r>
        <w:rPr>
          <w:rFonts w:hint="eastAsia" w:ascii="宋体" w:hAnsi="宋体"/>
          <w:color w:val="auto"/>
          <w:spacing w:val="-6"/>
          <w:sz w:val="24"/>
          <w:highlight w:val="none"/>
          <w:u w:val="single"/>
        </w:rPr>
        <w:t>　　　　　　　　　　　　　　　　　　　　　　　　　　　</w:t>
      </w:r>
    </w:p>
    <w:p>
      <w:pPr>
        <w:spacing w:line="360" w:lineRule="auto"/>
        <w:ind w:firstLine="456" w:firstLineChars="200"/>
        <w:rPr>
          <w:rFonts w:ascii="宋体" w:hAnsi="宋体"/>
          <w:color w:val="auto"/>
          <w:spacing w:val="-6"/>
          <w:sz w:val="24"/>
          <w:highlight w:val="none"/>
          <w:u w:val="single"/>
        </w:rPr>
      </w:pPr>
      <w:r>
        <w:rPr>
          <w:rFonts w:hint="eastAsia" w:ascii="宋体" w:hAnsi="宋体"/>
          <w:color w:val="auto"/>
          <w:spacing w:val="-6"/>
          <w:sz w:val="24"/>
          <w:highlight w:val="none"/>
          <w:u w:val="single"/>
        </w:rPr>
        <w:t>　　　　　　　　　　　　　　　　　　　　　　　　　　　</w:t>
      </w:r>
    </w:p>
    <w:p>
      <w:pPr>
        <w:pStyle w:val="7"/>
        <w:spacing w:line="360" w:lineRule="auto"/>
        <w:ind w:firstLine="456" w:firstLineChars="200"/>
        <w:rPr>
          <w:rFonts w:hAnsi="宋体"/>
          <w:color w:val="auto"/>
          <w:spacing w:val="-6"/>
          <w:sz w:val="24"/>
          <w:szCs w:val="24"/>
          <w:highlight w:val="none"/>
        </w:rPr>
      </w:pPr>
      <w:r>
        <w:rPr>
          <w:rFonts w:hAnsi="宋体"/>
          <w:color w:val="auto"/>
          <w:spacing w:val="-6"/>
          <w:sz w:val="24"/>
          <w:szCs w:val="24"/>
          <w:highlight w:val="none"/>
        </w:rPr>
        <w:t>4、以上事项如有虚假或隐瞒，我方愿意承担一切后果和责任。</w:t>
      </w:r>
    </w:p>
    <w:p>
      <w:pPr>
        <w:pStyle w:val="23"/>
        <w:spacing w:line="360" w:lineRule="auto"/>
        <w:rPr>
          <w:rFonts w:ascii="宋体" w:hAnsi="宋体"/>
          <w:color w:val="auto"/>
          <w:spacing w:val="-6"/>
          <w:szCs w:val="24"/>
          <w:highlight w:val="none"/>
        </w:rPr>
      </w:pPr>
    </w:p>
    <w:p>
      <w:pPr>
        <w:pStyle w:val="23"/>
        <w:spacing w:line="360" w:lineRule="auto"/>
        <w:rPr>
          <w:rFonts w:ascii="宋体" w:hAnsi="宋体"/>
          <w:color w:val="auto"/>
          <w:spacing w:val="-6"/>
          <w:szCs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 xml:space="preserve">日期：  </w:t>
      </w:r>
      <w:r>
        <w:rPr>
          <w:rFonts w:ascii="宋体" w:hAnsi="宋体"/>
          <w:bCs/>
          <w:color w:val="auto"/>
          <w:spacing w:val="-6"/>
          <w:sz w:val="24"/>
          <w:highlight w:val="none"/>
        </w:rPr>
        <w:t xml:space="preserve">  </w:t>
      </w:r>
      <w:r>
        <w:rPr>
          <w:rFonts w:hint="eastAsia" w:ascii="宋体" w:hAnsi="宋体"/>
          <w:bCs/>
          <w:color w:val="auto"/>
          <w:spacing w:val="-6"/>
          <w:sz w:val="24"/>
          <w:highlight w:val="none"/>
        </w:rPr>
        <w:t>年  月  日</w:t>
      </w:r>
    </w:p>
    <w:p>
      <w:pPr>
        <w:pStyle w:val="4"/>
        <w:jc w:val="center"/>
        <w:rPr>
          <w:rFonts w:ascii="宋体" w:hAnsi="宋体"/>
          <w:color w:val="auto"/>
          <w:spacing w:val="-6"/>
          <w:highlight w:val="none"/>
        </w:rPr>
      </w:pPr>
      <w:r>
        <w:rPr>
          <w:rFonts w:ascii="宋体" w:hAnsi="宋体"/>
          <w:color w:val="auto"/>
          <w:spacing w:val="-6"/>
          <w:highlight w:val="none"/>
        </w:rPr>
        <w:br w:type="page"/>
      </w:r>
      <w:r>
        <w:rPr>
          <w:rFonts w:hint="eastAsia" w:ascii="宋体" w:hAnsi="宋体"/>
          <w:color w:val="auto"/>
          <w:spacing w:val="-6"/>
          <w:highlight w:val="none"/>
        </w:rPr>
        <w:t>商务/技术偏离表</w:t>
      </w:r>
    </w:p>
    <w:p>
      <w:pPr>
        <w:rPr>
          <w:color w:val="auto"/>
          <w:highlight w:val="none"/>
        </w:rPr>
      </w:pP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项目名称：中国美术学院消防系统改造升级</w:t>
      </w:r>
    </w:p>
    <w:p>
      <w:pPr>
        <w:spacing w:line="360" w:lineRule="auto"/>
        <w:rPr>
          <w:rFonts w:hint="eastAsia" w:ascii="宋体" w:hAnsi="宋体" w:eastAsiaTheme="minorEastAsia"/>
          <w:bCs/>
          <w:color w:val="auto"/>
          <w:spacing w:val="-6"/>
          <w:sz w:val="24"/>
          <w:highlight w:val="none"/>
          <w:lang w:eastAsia="zh-CN"/>
        </w:rPr>
      </w:pPr>
      <w:r>
        <w:rPr>
          <w:rFonts w:hint="eastAsia" w:ascii="宋体" w:hAnsi="宋体"/>
          <w:bCs/>
          <w:color w:val="auto"/>
          <w:spacing w:val="-6"/>
          <w:sz w:val="24"/>
          <w:highlight w:val="none"/>
        </w:rPr>
        <w:t>项目编号：</w:t>
      </w:r>
      <w:r>
        <w:rPr>
          <w:rFonts w:hint="eastAsia" w:ascii="宋体" w:hAnsi="宋体"/>
          <w:bCs/>
          <w:color w:val="auto"/>
          <w:spacing w:val="-6"/>
          <w:sz w:val="24"/>
          <w:highlight w:val="none"/>
          <w:lang w:eastAsia="zh-CN"/>
        </w:rPr>
        <w:t>ZJWSBJ-MY-201808C-1</w:t>
      </w:r>
    </w:p>
    <w:tbl>
      <w:tblPr>
        <w:tblStyle w:val="19"/>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2126"/>
        <w:gridCol w:w="2127"/>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pacing w:val="-6"/>
                <w:sz w:val="24"/>
                <w:highlight w:val="none"/>
              </w:rPr>
            </w:pPr>
            <w:r>
              <w:rPr>
                <w:rFonts w:hint="eastAsia" w:ascii="宋体" w:hAnsi="宋体"/>
                <w:b/>
                <w:color w:val="auto"/>
                <w:spacing w:val="-6"/>
                <w:sz w:val="24"/>
                <w:highlight w:val="none"/>
              </w:rPr>
              <w:t>项目</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pacing w:val="-6"/>
                <w:sz w:val="24"/>
                <w:highlight w:val="none"/>
              </w:rPr>
            </w:pPr>
            <w:r>
              <w:rPr>
                <w:rFonts w:hint="eastAsia" w:ascii="宋体" w:hAnsi="宋体"/>
                <w:b/>
                <w:color w:val="auto"/>
                <w:spacing w:val="-6"/>
                <w:sz w:val="24"/>
                <w:highlight w:val="none"/>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pacing w:val="-6"/>
                <w:sz w:val="24"/>
                <w:highlight w:val="none"/>
              </w:rPr>
            </w:pPr>
            <w:r>
              <w:rPr>
                <w:rFonts w:hint="eastAsia" w:ascii="宋体" w:hAnsi="宋体"/>
                <w:b/>
                <w:color w:val="auto"/>
                <w:spacing w:val="-6"/>
                <w:sz w:val="24"/>
                <w:highlight w:val="none"/>
              </w:rPr>
              <w:t>响应规格</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pacing w:val="-6"/>
                <w:sz w:val="24"/>
                <w:highlight w:val="none"/>
              </w:rPr>
            </w:pPr>
            <w:r>
              <w:rPr>
                <w:rFonts w:hint="eastAsia" w:ascii="宋体" w:hAnsi="宋体"/>
                <w:b/>
                <w:color w:val="auto"/>
                <w:spacing w:val="-6"/>
                <w:sz w:val="24"/>
                <w:highlight w:val="none"/>
              </w:rPr>
              <w:t>是否偏离</w:t>
            </w:r>
          </w:p>
          <w:p>
            <w:pPr>
              <w:jc w:val="center"/>
              <w:rPr>
                <w:rFonts w:ascii="宋体" w:hAnsi="宋体"/>
                <w:b/>
                <w:color w:val="auto"/>
                <w:spacing w:val="-6"/>
                <w:sz w:val="24"/>
                <w:highlight w:val="none"/>
              </w:rPr>
            </w:pPr>
            <w:r>
              <w:rPr>
                <w:rFonts w:hint="eastAsia" w:ascii="宋体" w:hAnsi="宋体"/>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color w:val="auto"/>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olor w:val="auto"/>
                <w:spacing w:val="-6"/>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pacing w:val="-6"/>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color w:val="auto"/>
                <w:spacing w:val="-6"/>
                <w:sz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color w:val="auto"/>
                <w:spacing w:val="-6"/>
                <w:sz w:val="24"/>
                <w:highlight w:val="none"/>
              </w:rPr>
            </w:pPr>
          </w:p>
        </w:tc>
      </w:tr>
    </w:tbl>
    <w:p>
      <w:pPr>
        <w:spacing w:line="360" w:lineRule="auto"/>
        <w:rPr>
          <w:rFonts w:ascii="宋体" w:hAnsi="宋体"/>
          <w:b/>
          <w:bCs/>
          <w:color w:val="auto"/>
          <w:spacing w:val="-6"/>
          <w:sz w:val="24"/>
          <w:highlight w:val="none"/>
        </w:rPr>
      </w:pP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说明：</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1、逐项按照磋商文件要求填写响应规格。</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2、偏离说明是指对磋商文件要求存在不同之处的解释说明。偏离系指：正偏离（高于招标要求）、负偏离（低于招标要求）、无偏离（满足招标要求）。</w:t>
      </w:r>
    </w:p>
    <w:p>
      <w:pPr>
        <w:spacing w:line="360" w:lineRule="auto"/>
        <w:rPr>
          <w:rFonts w:ascii="宋体" w:hAnsi="宋体"/>
          <w:b/>
          <w:bCs/>
          <w:color w:val="auto"/>
          <w:spacing w:val="-6"/>
          <w:sz w:val="24"/>
          <w:highlight w:val="none"/>
        </w:rPr>
      </w:pPr>
      <w:r>
        <w:rPr>
          <w:rFonts w:hint="eastAsia" w:ascii="宋体" w:hAnsi="宋体"/>
          <w:b/>
          <w:bCs/>
          <w:color w:val="auto"/>
          <w:spacing w:val="-6"/>
          <w:sz w:val="24"/>
          <w:highlight w:val="none"/>
        </w:rPr>
        <w:t>3、如不填写或填写不全或未如实填写，自行承担磋商响应风险。</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rPr>
          <w:rFonts w:ascii="宋体" w:hAnsi="宋体"/>
          <w:color w:val="auto"/>
          <w:spacing w:val="-6"/>
          <w:sz w:val="24"/>
          <w:highlight w:val="none"/>
        </w:rPr>
      </w:pPr>
      <w:r>
        <w:rPr>
          <w:rFonts w:hint="eastAsia" w:ascii="宋体" w:hAnsi="宋体"/>
          <w:bCs/>
          <w:color w:val="auto"/>
          <w:spacing w:val="-6"/>
          <w:sz w:val="24"/>
          <w:highlight w:val="none"/>
        </w:rPr>
        <w:t>日期：  年  月  日</w:t>
      </w:r>
    </w:p>
    <w:p>
      <w:pPr>
        <w:pStyle w:val="4"/>
        <w:jc w:val="center"/>
        <w:rPr>
          <w:rFonts w:ascii="宋体" w:hAnsi="宋体"/>
          <w:color w:val="auto"/>
          <w:spacing w:val="-6"/>
          <w:highlight w:val="none"/>
        </w:rPr>
      </w:pPr>
      <w:r>
        <w:rPr>
          <w:rFonts w:ascii="宋体" w:hAnsi="宋体"/>
          <w:color w:val="auto"/>
          <w:spacing w:val="-6"/>
          <w:highlight w:val="none"/>
        </w:rPr>
        <w:br w:type="page"/>
      </w:r>
      <w:r>
        <w:rPr>
          <w:rFonts w:hint="eastAsia" w:ascii="宋体" w:hAnsi="宋体"/>
          <w:color w:val="auto"/>
          <w:spacing w:val="-6"/>
          <w:highlight w:val="none"/>
        </w:rPr>
        <w:t>磋商响应供应商一般情况</w:t>
      </w:r>
    </w:p>
    <w:p>
      <w:pPr>
        <w:rPr>
          <w:color w:val="auto"/>
          <w:highlight w:val="none"/>
        </w:rPr>
      </w:pPr>
    </w:p>
    <w:tbl>
      <w:tblPr>
        <w:tblStyle w:val="19"/>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1</w:t>
            </w:r>
          </w:p>
        </w:tc>
        <w:tc>
          <w:tcPr>
            <w:tcW w:w="8868"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2</w:t>
            </w:r>
          </w:p>
        </w:tc>
        <w:tc>
          <w:tcPr>
            <w:tcW w:w="8868"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3</w:t>
            </w:r>
          </w:p>
        </w:tc>
        <w:tc>
          <w:tcPr>
            <w:tcW w:w="8868"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4</w:t>
            </w:r>
          </w:p>
        </w:tc>
        <w:tc>
          <w:tcPr>
            <w:tcW w:w="4305" w:type="dxa"/>
            <w:gridSpan w:val="2"/>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电话：</w:t>
            </w:r>
          </w:p>
        </w:tc>
        <w:tc>
          <w:tcPr>
            <w:tcW w:w="4563"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5</w:t>
            </w:r>
          </w:p>
        </w:tc>
        <w:tc>
          <w:tcPr>
            <w:tcW w:w="4305" w:type="dxa"/>
            <w:gridSpan w:val="2"/>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传真：</w:t>
            </w:r>
          </w:p>
        </w:tc>
        <w:tc>
          <w:tcPr>
            <w:tcW w:w="4563"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6</w:t>
            </w:r>
          </w:p>
        </w:tc>
        <w:tc>
          <w:tcPr>
            <w:tcW w:w="4305" w:type="dxa"/>
            <w:gridSpan w:val="2"/>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注册地：</w:t>
            </w:r>
          </w:p>
        </w:tc>
        <w:tc>
          <w:tcPr>
            <w:tcW w:w="4563"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7</w:t>
            </w:r>
          </w:p>
        </w:tc>
        <w:tc>
          <w:tcPr>
            <w:tcW w:w="8868"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8</w:t>
            </w:r>
          </w:p>
        </w:tc>
        <w:tc>
          <w:tcPr>
            <w:tcW w:w="8868" w:type="dxa"/>
            <w:gridSpan w:val="3"/>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9</w:t>
            </w:r>
          </w:p>
        </w:tc>
        <w:tc>
          <w:tcPr>
            <w:tcW w:w="2520"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作为承包人经历年数</w:t>
            </w:r>
          </w:p>
        </w:tc>
        <w:tc>
          <w:tcPr>
            <w:tcW w:w="6348" w:type="dxa"/>
            <w:gridSpan w:val="2"/>
            <w:vAlign w:val="center"/>
          </w:tcPr>
          <w:p>
            <w:pPr>
              <w:spacing w:line="360" w:lineRule="auto"/>
              <w:rPr>
                <w:rFonts w:ascii="宋体" w:hAnsi="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color w:val="auto"/>
                <w:spacing w:val="-6"/>
                <w:sz w:val="24"/>
                <w:highlight w:val="none"/>
              </w:rPr>
            </w:pPr>
            <w:r>
              <w:rPr>
                <w:rFonts w:hint="eastAsia" w:ascii="宋体" w:hAnsi="宋体"/>
                <w:color w:val="auto"/>
                <w:spacing w:val="-6"/>
                <w:sz w:val="24"/>
                <w:highlight w:val="none"/>
              </w:rPr>
              <w:t>10</w:t>
            </w:r>
          </w:p>
        </w:tc>
        <w:tc>
          <w:tcPr>
            <w:tcW w:w="2520" w:type="dxa"/>
            <w:vAlign w:val="center"/>
          </w:tcPr>
          <w:p>
            <w:pPr>
              <w:spacing w:line="360" w:lineRule="auto"/>
              <w:rPr>
                <w:rFonts w:ascii="宋体" w:hAnsi="宋体"/>
                <w:color w:val="auto"/>
                <w:spacing w:val="-6"/>
                <w:sz w:val="24"/>
                <w:highlight w:val="none"/>
              </w:rPr>
            </w:pPr>
            <w:r>
              <w:rPr>
                <w:rFonts w:hint="eastAsia" w:ascii="宋体" w:hAnsi="宋体"/>
                <w:color w:val="auto"/>
                <w:spacing w:val="-6"/>
                <w:sz w:val="24"/>
                <w:highlight w:val="none"/>
              </w:rPr>
              <w:t>其他需要说明的情况</w:t>
            </w:r>
          </w:p>
        </w:tc>
        <w:tc>
          <w:tcPr>
            <w:tcW w:w="6348" w:type="dxa"/>
            <w:gridSpan w:val="2"/>
            <w:vAlign w:val="center"/>
          </w:tcPr>
          <w:p>
            <w:pPr>
              <w:spacing w:line="360" w:lineRule="auto"/>
              <w:rPr>
                <w:rFonts w:ascii="宋体" w:hAnsi="宋体"/>
                <w:color w:val="auto"/>
                <w:spacing w:val="-6"/>
                <w:sz w:val="24"/>
                <w:highlight w:val="none"/>
              </w:rPr>
            </w:pPr>
          </w:p>
        </w:tc>
      </w:tr>
    </w:tbl>
    <w:p>
      <w:pPr>
        <w:spacing w:line="360" w:lineRule="auto"/>
        <w:rPr>
          <w:rFonts w:ascii="宋体" w:hAnsi="宋体"/>
          <w:color w:val="auto"/>
          <w:spacing w:val="-6"/>
          <w:sz w:val="24"/>
          <w:highlight w:val="none"/>
        </w:rPr>
      </w:pP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说明：所有磋商响应供应商都须填写此表。</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pStyle w:val="13"/>
        <w:spacing w:line="360" w:lineRule="auto"/>
        <w:ind w:left="0" w:firstLine="0" w:firstLineChars="0"/>
        <w:rPr>
          <w:rFonts w:ascii="宋体" w:hAnsi="宋体"/>
          <w:b/>
          <w:color w:val="auto"/>
          <w:spacing w:val="-6"/>
          <w:sz w:val="21"/>
          <w:szCs w:val="21"/>
          <w:highlight w:val="none"/>
        </w:rPr>
      </w:pPr>
      <w:r>
        <w:rPr>
          <w:rFonts w:ascii="宋体" w:hAnsi="宋体"/>
          <w:b/>
          <w:color w:val="auto"/>
          <w:spacing w:val="-6"/>
          <w:sz w:val="24"/>
          <w:highlight w:val="none"/>
        </w:rPr>
        <w:br w:type="page"/>
      </w:r>
    </w:p>
    <w:p>
      <w:pPr>
        <w:pStyle w:val="4"/>
        <w:jc w:val="center"/>
        <w:rPr>
          <w:color w:val="auto"/>
          <w:highlight w:val="none"/>
        </w:rPr>
      </w:pPr>
      <w:r>
        <w:rPr>
          <w:rFonts w:hint="eastAsia"/>
          <w:color w:val="auto"/>
          <w:highlight w:val="none"/>
        </w:rPr>
        <w:t>参加政府采购活动前3年内在经营活动中没有重大违法记录的书面声明函</w:t>
      </w:r>
    </w:p>
    <w:p>
      <w:pPr>
        <w:pStyle w:val="13"/>
        <w:spacing w:line="360" w:lineRule="auto"/>
        <w:ind w:left="169" w:hanging="169" w:hangingChars="74"/>
        <w:rPr>
          <w:rFonts w:ascii="宋体" w:hAnsi="宋体"/>
          <w:b/>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致：中国美术学院、浙江五石工程咨询有限公司：</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pPr>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特此声明。</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日期：    年  月  日</w:t>
      </w:r>
    </w:p>
    <w:p>
      <w:pPr>
        <w:pStyle w:val="4"/>
        <w:jc w:val="center"/>
        <w:rPr>
          <w:rFonts w:ascii="宋体" w:hAnsi="宋体"/>
          <w:color w:val="auto"/>
          <w:spacing w:val="-6"/>
          <w:highlight w:val="none"/>
        </w:rPr>
      </w:pPr>
      <w:r>
        <w:rPr>
          <w:rFonts w:ascii="宋体" w:hAnsi="宋体"/>
          <w:color w:val="auto"/>
          <w:spacing w:val="-6"/>
          <w:highlight w:val="none"/>
        </w:rPr>
        <w:br w:type="page"/>
      </w:r>
      <w:r>
        <w:rPr>
          <w:rFonts w:hint="eastAsia" w:ascii="宋体" w:hAnsi="宋体"/>
          <w:color w:val="auto"/>
          <w:spacing w:val="-6"/>
          <w:highlight w:val="none"/>
        </w:rPr>
        <w:t>自2015年6月到现在完成同类项目实施情况一览表</w:t>
      </w:r>
    </w:p>
    <w:p>
      <w:pPr>
        <w:pStyle w:val="13"/>
        <w:spacing w:line="360" w:lineRule="auto"/>
        <w:ind w:left="480" w:hanging="480"/>
        <w:rPr>
          <w:rFonts w:ascii="宋体" w:hAnsi="宋体"/>
          <w:color w:val="auto"/>
          <w:sz w:val="24"/>
          <w:highlight w:val="none"/>
        </w:rPr>
      </w:pPr>
    </w:p>
    <w:tbl>
      <w:tblPr>
        <w:tblStyle w:val="19"/>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ascii="宋体" w:hAnsi="宋体"/>
                <w:b/>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合同金额</w:t>
            </w:r>
          </w:p>
          <w:p>
            <w:pPr>
              <w:jc w:val="center"/>
              <w:rPr>
                <w:rFonts w:ascii="宋体" w:hAnsi="宋体"/>
                <w:b/>
                <w:color w:val="auto"/>
                <w:sz w:val="21"/>
                <w:szCs w:val="21"/>
                <w:highlight w:val="none"/>
              </w:rPr>
            </w:pPr>
            <w:r>
              <w:rPr>
                <w:rFonts w:hint="eastAsia" w:ascii="宋体" w:hAnsi="宋体"/>
                <w:b/>
                <w:color w:val="auto"/>
                <w:sz w:val="21"/>
                <w:szCs w:val="21"/>
                <w:highlight w:val="none"/>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1"/>
                <w:szCs w:val="21"/>
                <w:highlight w:val="none"/>
              </w:rPr>
            </w:pPr>
            <w:r>
              <w:rPr>
                <w:rFonts w:hint="eastAsia" w:ascii="宋体" w:hAnsi="宋体"/>
                <w:b/>
                <w:color w:val="auto"/>
                <w:sz w:val="21"/>
                <w:szCs w:val="21"/>
                <w:highlight w:val="none"/>
              </w:rPr>
              <w:t>采购单位联系人</w:t>
            </w:r>
          </w:p>
          <w:p>
            <w:pPr>
              <w:jc w:val="center"/>
              <w:rPr>
                <w:rFonts w:ascii="宋体" w:hAnsi="宋体"/>
                <w:b/>
                <w:color w:val="auto"/>
                <w:sz w:val="24"/>
                <w:highlight w:val="none"/>
              </w:rPr>
            </w:pPr>
            <w:r>
              <w:rPr>
                <w:rFonts w:hint="eastAsia" w:ascii="宋体" w:hAnsi="宋体"/>
                <w:b/>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0"/>
                <w:highlight w:val="none"/>
              </w:rPr>
            </w:pPr>
          </w:p>
        </w:tc>
        <w:tc>
          <w:tcPr>
            <w:tcW w:w="1985"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 w:val="24"/>
                <w:szCs w:val="20"/>
                <w:highlight w:val="none"/>
              </w:rPr>
            </w:pPr>
          </w:p>
        </w:tc>
      </w:tr>
    </w:tbl>
    <w:p>
      <w:pPr>
        <w:pStyle w:val="13"/>
        <w:spacing w:line="360" w:lineRule="auto"/>
        <w:ind w:left="480" w:hanging="480"/>
        <w:rPr>
          <w:rFonts w:ascii="宋体" w:hAnsi="宋体"/>
          <w:color w:val="auto"/>
          <w:sz w:val="24"/>
          <w:highlight w:val="none"/>
        </w:rPr>
      </w:pP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说明：</w:t>
      </w: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1、磋商响应供应商须提供上述业绩合同复印件；</w:t>
      </w: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2、所有合同复印件应清晰，应能体现合同签订时间、双方签字盖章等内容；</w:t>
      </w:r>
    </w:p>
    <w:p>
      <w:pPr>
        <w:spacing w:line="360" w:lineRule="auto"/>
        <w:rPr>
          <w:rFonts w:ascii="宋体" w:hAnsi="宋体"/>
          <w:b/>
          <w:color w:val="auto"/>
          <w:spacing w:val="-6"/>
          <w:sz w:val="24"/>
          <w:highlight w:val="none"/>
        </w:rPr>
      </w:pPr>
      <w:r>
        <w:rPr>
          <w:rFonts w:hint="eastAsia" w:ascii="宋体" w:hAnsi="宋体"/>
          <w:b/>
          <w:color w:val="auto"/>
          <w:spacing w:val="-6"/>
          <w:sz w:val="24"/>
          <w:highlight w:val="none"/>
        </w:rPr>
        <w:t>3、磋商响应供应商应在不涉及商业秘密的前提下尽可能提供详细的合同复印件内容。</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spacing w:line="360" w:lineRule="auto"/>
        <w:rPr>
          <w:rFonts w:ascii="宋体" w:hAnsi="宋体"/>
          <w:b/>
          <w:color w:val="auto"/>
          <w:sz w:val="52"/>
          <w:szCs w:val="52"/>
          <w:highlight w:val="none"/>
        </w:rPr>
      </w:pPr>
      <w:r>
        <w:rPr>
          <w:rFonts w:ascii="宋体" w:hAnsi="宋体"/>
          <w:color w:val="auto"/>
          <w:sz w:val="24"/>
          <w:highlight w:val="none"/>
        </w:rPr>
        <w:br w:type="page"/>
      </w:r>
    </w:p>
    <w:p>
      <w:pPr>
        <w:pStyle w:val="4"/>
        <w:jc w:val="center"/>
        <w:rPr>
          <w:rFonts w:ascii="宋体" w:hAnsi="宋体"/>
          <w:color w:val="auto"/>
          <w:spacing w:val="-6"/>
          <w:highlight w:val="none"/>
        </w:rPr>
      </w:pPr>
      <w:r>
        <w:rPr>
          <w:rFonts w:hint="eastAsia" w:ascii="宋体" w:hAnsi="宋体"/>
          <w:color w:val="auto"/>
          <w:spacing w:val="-6"/>
          <w:highlight w:val="none"/>
        </w:rPr>
        <w:t>货物配置清单（不含报价）</w:t>
      </w:r>
    </w:p>
    <w:tbl>
      <w:tblPr>
        <w:tblStyle w:val="19"/>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r>
              <w:rPr>
                <w:rFonts w:ascii="宋体" w:eastAsia="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24"/>
              <w:widowControl w:val="0"/>
              <w:spacing w:before="0" w:beforeAutospacing="0" w:after="0" w:afterAutospacing="0"/>
              <w:rPr>
                <w:rFonts w:hint="default" w:ascii="宋体" w:eastAsia="宋体"/>
                <w:b/>
                <w:color w:val="auto"/>
                <w:kern w:val="2"/>
                <w:highlight w:val="none"/>
              </w:rPr>
            </w:pPr>
          </w:p>
        </w:tc>
      </w:tr>
    </w:tbl>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 xml:space="preserve"> 年  月  日</w:t>
      </w:r>
    </w:p>
    <w:p>
      <w:pPr>
        <w:rPr>
          <w:color w:val="auto"/>
          <w:highlight w:val="none"/>
        </w:rPr>
      </w:pPr>
    </w:p>
    <w:p>
      <w:pPr>
        <w:rPr>
          <w:color w:val="auto"/>
          <w:highlight w:val="none"/>
        </w:rPr>
      </w:pPr>
      <w:r>
        <w:rPr>
          <w:rFonts w:hint="eastAsia"/>
          <w:color w:val="auto"/>
          <w:highlight w:val="none"/>
        </w:rPr>
        <w:br w:type="page"/>
      </w:r>
    </w:p>
    <w:p>
      <w:pPr>
        <w:pStyle w:val="4"/>
        <w:jc w:val="center"/>
        <w:rPr>
          <w:color w:val="auto"/>
          <w:highlight w:val="none"/>
        </w:rPr>
      </w:pPr>
      <w:r>
        <w:rPr>
          <w:rFonts w:hint="eastAsia"/>
          <w:color w:val="auto"/>
          <w:highlight w:val="none"/>
        </w:rPr>
        <w:t>备品备件清单</w:t>
      </w:r>
    </w:p>
    <w:tbl>
      <w:tblPr>
        <w:tblStyle w:val="1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jc w:val="center"/>
              <w:rPr>
                <w:rFonts w:ascii="宋体"/>
                <w:color w:val="auto"/>
                <w:spacing w:val="20"/>
                <w:sz w:val="24"/>
                <w:highlight w:val="none"/>
              </w:rPr>
            </w:pPr>
            <w:r>
              <w:rPr>
                <w:rFonts w:hint="eastAsia" w:ascii="宋体" w:hAnsi="宋体"/>
                <w:color w:val="auto"/>
                <w:spacing w:val="20"/>
                <w:sz w:val="24"/>
                <w:highlight w:val="none"/>
              </w:rPr>
              <w:t>名称</w:t>
            </w:r>
          </w:p>
        </w:tc>
        <w:tc>
          <w:tcPr>
            <w:tcW w:w="1281" w:type="dxa"/>
            <w:vAlign w:val="center"/>
          </w:tcPr>
          <w:p>
            <w:pPr>
              <w:jc w:val="center"/>
              <w:rPr>
                <w:rFonts w:ascii="宋体"/>
                <w:color w:val="auto"/>
                <w:spacing w:val="20"/>
                <w:sz w:val="24"/>
                <w:highlight w:val="none"/>
              </w:rPr>
            </w:pPr>
            <w:r>
              <w:rPr>
                <w:rFonts w:hint="eastAsia" w:ascii="宋体" w:hAnsi="宋体"/>
                <w:color w:val="auto"/>
                <w:spacing w:val="20"/>
                <w:sz w:val="24"/>
                <w:highlight w:val="none"/>
              </w:rPr>
              <w:t>品牌</w:t>
            </w:r>
          </w:p>
        </w:tc>
        <w:tc>
          <w:tcPr>
            <w:tcW w:w="3521" w:type="dxa"/>
            <w:vAlign w:val="center"/>
          </w:tcPr>
          <w:p>
            <w:pPr>
              <w:jc w:val="center"/>
              <w:rPr>
                <w:rFonts w:ascii="宋体"/>
                <w:color w:val="auto"/>
                <w:spacing w:val="20"/>
                <w:sz w:val="24"/>
                <w:highlight w:val="none"/>
              </w:rPr>
            </w:pPr>
            <w:r>
              <w:rPr>
                <w:rFonts w:hint="eastAsia" w:ascii="宋体" w:hAnsi="宋体"/>
                <w:color w:val="auto"/>
                <w:spacing w:val="20"/>
                <w:sz w:val="24"/>
                <w:highlight w:val="none"/>
              </w:rPr>
              <w:t>制造厂</w:t>
            </w:r>
            <w:r>
              <w:rPr>
                <w:rFonts w:ascii="宋体" w:hAnsi="宋体"/>
                <w:color w:val="auto"/>
                <w:spacing w:val="20"/>
                <w:sz w:val="24"/>
                <w:highlight w:val="none"/>
              </w:rPr>
              <w:t>/</w:t>
            </w:r>
            <w:r>
              <w:rPr>
                <w:rFonts w:hint="eastAsia" w:ascii="宋体" w:hAnsi="宋体"/>
                <w:color w:val="auto"/>
                <w:spacing w:val="20"/>
                <w:sz w:val="24"/>
                <w:highlight w:val="none"/>
              </w:rPr>
              <w:t>原产地</w:t>
            </w:r>
          </w:p>
        </w:tc>
        <w:tc>
          <w:tcPr>
            <w:tcW w:w="1614" w:type="dxa"/>
            <w:vAlign w:val="center"/>
          </w:tcPr>
          <w:p>
            <w:pPr>
              <w:jc w:val="center"/>
              <w:rPr>
                <w:rFonts w:ascii="宋体"/>
                <w:color w:val="auto"/>
                <w:spacing w:val="20"/>
                <w:sz w:val="24"/>
                <w:highlight w:val="none"/>
              </w:rPr>
            </w:pPr>
            <w:r>
              <w:rPr>
                <w:rFonts w:hint="eastAsia" w:ascii="宋体" w:hAnsi="宋体"/>
                <w:color w:val="auto"/>
                <w:spacing w:val="20"/>
                <w:sz w:val="24"/>
                <w:highlight w:val="none"/>
              </w:rPr>
              <w:t>规格型号</w:t>
            </w:r>
          </w:p>
        </w:tc>
        <w:tc>
          <w:tcPr>
            <w:tcW w:w="1814" w:type="dxa"/>
            <w:vAlign w:val="center"/>
          </w:tcPr>
          <w:p>
            <w:pPr>
              <w:jc w:val="center"/>
              <w:rPr>
                <w:rFonts w:ascii="宋体"/>
                <w:color w:val="auto"/>
                <w:spacing w:val="20"/>
                <w:sz w:val="24"/>
                <w:highlight w:val="none"/>
              </w:rPr>
            </w:pPr>
            <w:r>
              <w:rPr>
                <w:rFonts w:hint="eastAsia" w:ascii="宋体" w:hAnsi="宋体"/>
                <w:color w:val="auto"/>
                <w:spacing w:val="2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jc w:val="center"/>
              <w:rPr>
                <w:rFonts w:ascii="宋体"/>
                <w:color w:val="auto"/>
                <w:spacing w:val="20"/>
                <w:sz w:val="24"/>
                <w:highlight w:val="none"/>
              </w:rPr>
            </w:pPr>
          </w:p>
        </w:tc>
        <w:tc>
          <w:tcPr>
            <w:tcW w:w="1281" w:type="dxa"/>
          </w:tcPr>
          <w:p>
            <w:pPr>
              <w:jc w:val="center"/>
              <w:rPr>
                <w:rFonts w:ascii="宋体"/>
                <w:color w:val="auto"/>
                <w:spacing w:val="20"/>
                <w:sz w:val="24"/>
                <w:highlight w:val="none"/>
              </w:rPr>
            </w:pPr>
          </w:p>
        </w:tc>
        <w:tc>
          <w:tcPr>
            <w:tcW w:w="3521" w:type="dxa"/>
          </w:tcPr>
          <w:p>
            <w:pPr>
              <w:jc w:val="center"/>
              <w:rPr>
                <w:rFonts w:ascii="宋体"/>
                <w:color w:val="auto"/>
                <w:spacing w:val="20"/>
                <w:sz w:val="24"/>
                <w:highlight w:val="none"/>
              </w:rPr>
            </w:pPr>
          </w:p>
        </w:tc>
        <w:tc>
          <w:tcPr>
            <w:tcW w:w="1614" w:type="dxa"/>
          </w:tcPr>
          <w:p>
            <w:pPr>
              <w:jc w:val="center"/>
              <w:rPr>
                <w:rFonts w:ascii="宋体"/>
                <w:color w:val="auto"/>
                <w:spacing w:val="20"/>
                <w:sz w:val="24"/>
                <w:highlight w:val="none"/>
              </w:rPr>
            </w:pPr>
          </w:p>
        </w:tc>
        <w:tc>
          <w:tcPr>
            <w:tcW w:w="1814"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jc w:val="center"/>
              <w:rPr>
                <w:rFonts w:ascii="宋体"/>
                <w:color w:val="auto"/>
                <w:spacing w:val="20"/>
                <w:sz w:val="24"/>
                <w:highlight w:val="none"/>
              </w:rPr>
            </w:pPr>
          </w:p>
        </w:tc>
        <w:tc>
          <w:tcPr>
            <w:tcW w:w="1281" w:type="dxa"/>
          </w:tcPr>
          <w:p>
            <w:pPr>
              <w:jc w:val="center"/>
              <w:rPr>
                <w:rFonts w:ascii="宋体"/>
                <w:color w:val="auto"/>
                <w:spacing w:val="20"/>
                <w:sz w:val="24"/>
                <w:highlight w:val="none"/>
              </w:rPr>
            </w:pPr>
          </w:p>
        </w:tc>
        <w:tc>
          <w:tcPr>
            <w:tcW w:w="3521" w:type="dxa"/>
          </w:tcPr>
          <w:p>
            <w:pPr>
              <w:jc w:val="center"/>
              <w:rPr>
                <w:rFonts w:ascii="宋体"/>
                <w:color w:val="auto"/>
                <w:spacing w:val="20"/>
                <w:sz w:val="24"/>
                <w:highlight w:val="none"/>
              </w:rPr>
            </w:pPr>
          </w:p>
        </w:tc>
        <w:tc>
          <w:tcPr>
            <w:tcW w:w="1614" w:type="dxa"/>
          </w:tcPr>
          <w:p>
            <w:pPr>
              <w:jc w:val="center"/>
              <w:rPr>
                <w:rFonts w:ascii="宋体"/>
                <w:color w:val="auto"/>
                <w:spacing w:val="20"/>
                <w:sz w:val="24"/>
                <w:highlight w:val="none"/>
              </w:rPr>
            </w:pPr>
          </w:p>
        </w:tc>
        <w:tc>
          <w:tcPr>
            <w:tcW w:w="1814"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jc w:val="center"/>
              <w:rPr>
                <w:rFonts w:ascii="宋体"/>
                <w:color w:val="auto"/>
                <w:spacing w:val="20"/>
                <w:sz w:val="24"/>
                <w:highlight w:val="none"/>
              </w:rPr>
            </w:pPr>
          </w:p>
        </w:tc>
        <w:tc>
          <w:tcPr>
            <w:tcW w:w="1281" w:type="dxa"/>
          </w:tcPr>
          <w:p>
            <w:pPr>
              <w:jc w:val="center"/>
              <w:rPr>
                <w:rFonts w:ascii="宋体"/>
                <w:color w:val="auto"/>
                <w:spacing w:val="20"/>
                <w:sz w:val="24"/>
                <w:highlight w:val="none"/>
              </w:rPr>
            </w:pPr>
          </w:p>
        </w:tc>
        <w:tc>
          <w:tcPr>
            <w:tcW w:w="3521" w:type="dxa"/>
          </w:tcPr>
          <w:p>
            <w:pPr>
              <w:jc w:val="center"/>
              <w:rPr>
                <w:rFonts w:ascii="宋体"/>
                <w:color w:val="auto"/>
                <w:spacing w:val="20"/>
                <w:sz w:val="24"/>
                <w:highlight w:val="none"/>
              </w:rPr>
            </w:pPr>
          </w:p>
        </w:tc>
        <w:tc>
          <w:tcPr>
            <w:tcW w:w="1614" w:type="dxa"/>
          </w:tcPr>
          <w:p>
            <w:pPr>
              <w:jc w:val="center"/>
              <w:rPr>
                <w:rFonts w:ascii="宋体"/>
                <w:color w:val="auto"/>
                <w:spacing w:val="20"/>
                <w:sz w:val="24"/>
                <w:highlight w:val="none"/>
              </w:rPr>
            </w:pPr>
          </w:p>
        </w:tc>
        <w:tc>
          <w:tcPr>
            <w:tcW w:w="1814"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jc w:val="center"/>
              <w:rPr>
                <w:rFonts w:ascii="宋体"/>
                <w:color w:val="auto"/>
                <w:spacing w:val="20"/>
                <w:sz w:val="24"/>
                <w:highlight w:val="none"/>
              </w:rPr>
            </w:pPr>
          </w:p>
        </w:tc>
        <w:tc>
          <w:tcPr>
            <w:tcW w:w="1281" w:type="dxa"/>
          </w:tcPr>
          <w:p>
            <w:pPr>
              <w:jc w:val="center"/>
              <w:rPr>
                <w:rFonts w:ascii="宋体"/>
                <w:color w:val="auto"/>
                <w:spacing w:val="20"/>
                <w:sz w:val="24"/>
                <w:highlight w:val="none"/>
              </w:rPr>
            </w:pPr>
          </w:p>
        </w:tc>
        <w:tc>
          <w:tcPr>
            <w:tcW w:w="3521" w:type="dxa"/>
          </w:tcPr>
          <w:p>
            <w:pPr>
              <w:jc w:val="center"/>
              <w:rPr>
                <w:rFonts w:ascii="宋体"/>
                <w:color w:val="auto"/>
                <w:spacing w:val="20"/>
                <w:sz w:val="24"/>
                <w:highlight w:val="none"/>
              </w:rPr>
            </w:pPr>
          </w:p>
        </w:tc>
        <w:tc>
          <w:tcPr>
            <w:tcW w:w="1614" w:type="dxa"/>
          </w:tcPr>
          <w:p>
            <w:pPr>
              <w:jc w:val="center"/>
              <w:rPr>
                <w:rFonts w:ascii="宋体"/>
                <w:color w:val="auto"/>
                <w:spacing w:val="20"/>
                <w:sz w:val="24"/>
                <w:highlight w:val="none"/>
              </w:rPr>
            </w:pPr>
          </w:p>
        </w:tc>
        <w:tc>
          <w:tcPr>
            <w:tcW w:w="1814"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jc w:val="center"/>
              <w:rPr>
                <w:rFonts w:ascii="宋体"/>
                <w:color w:val="auto"/>
                <w:spacing w:val="20"/>
                <w:sz w:val="24"/>
                <w:highlight w:val="none"/>
              </w:rPr>
            </w:pPr>
          </w:p>
        </w:tc>
        <w:tc>
          <w:tcPr>
            <w:tcW w:w="1281" w:type="dxa"/>
          </w:tcPr>
          <w:p>
            <w:pPr>
              <w:jc w:val="center"/>
              <w:rPr>
                <w:rFonts w:ascii="宋体"/>
                <w:color w:val="auto"/>
                <w:spacing w:val="20"/>
                <w:sz w:val="24"/>
                <w:highlight w:val="none"/>
              </w:rPr>
            </w:pPr>
          </w:p>
        </w:tc>
        <w:tc>
          <w:tcPr>
            <w:tcW w:w="3521" w:type="dxa"/>
          </w:tcPr>
          <w:p>
            <w:pPr>
              <w:jc w:val="center"/>
              <w:rPr>
                <w:rFonts w:ascii="宋体"/>
                <w:color w:val="auto"/>
                <w:spacing w:val="20"/>
                <w:sz w:val="24"/>
                <w:highlight w:val="none"/>
              </w:rPr>
            </w:pPr>
          </w:p>
        </w:tc>
        <w:tc>
          <w:tcPr>
            <w:tcW w:w="1614" w:type="dxa"/>
          </w:tcPr>
          <w:p>
            <w:pPr>
              <w:jc w:val="center"/>
              <w:rPr>
                <w:rFonts w:ascii="宋体"/>
                <w:color w:val="auto"/>
                <w:spacing w:val="20"/>
                <w:sz w:val="24"/>
                <w:highlight w:val="none"/>
              </w:rPr>
            </w:pPr>
          </w:p>
        </w:tc>
        <w:tc>
          <w:tcPr>
            <w:tcW w:w="1814"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jc w:val="center"/>
              <w:rPr>
                <w:rFonts w:ascii="宋体"/>
                <w:color w:val="auto"/>
                <w:spacing w:val="20"/>
                <w:sz w:val="24"/>
                <w:highlight w:val="none"/>
              </w:rPr>
            </w:pPr>
          </w:p>
        </w:tc>
        <w:tc>
          <w:tcPr>
            <w:tcW w:w="1281" w:type="dxa"/>
          </w:tcPr>
          <w:p>
            <w:pPr>
              <w:jc w:val="center"/>
              <w:rPr>
                <w:rFonts w:ascii="宋体"/>
                <w:color w:val="auto"/>
                <w:spacing w:val="20"/>
                <w:sz w:val="24"/>
                <w:highlight w:val="none"/>
              </w:rPr>
            </w:pPr>
          </w:p>
        </w:tc>
        <w:tc>
          <w:tcPr>
            <w:tcW w:w="3521" w:type="dxa"/>
          </w:tcPr>
          <w:p>
            <w:pPr>
              <w:jc w:val="center"/>
              <w:rPr>
                <w:rFonts w:ascii="宋体"/>
                <w:color w:val="auto"/>
                <w:spacing w:val="20"/>
                <w:sz w:val="24"/>
                <w:highlight w:val="none"/>
              </w:rPr>
            </w:pPr>
          </w:p>
        </w:tc>
        <w:tc>
          <w:tcPr>
            <w:tcW w:w="1614" w:type="dxa"/>
          </w:tcPr>
          <w:p>
            <w:pPr>
              <w:jc w:val="center"/>
              <w:rPr>
                <w:rFonts w:ascii="宋体"/>
                <w:color w:val="auto"/>
                <w:spacing w:val="20"/>
                <w:sz w:val="24"/>
                <w:highlight w:val="none"/>
              </w:rPr>
            </w:pPr>
          </w:p>
        </w:tc>
        <w:tc>
          <w:tcPr>
            <w:tcW w:w="1814"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jc w:val="center"/>
              <w:rPr>
                <w:rFonts w:ascii="宋体"/>
                <w:color w:val="auto"/>
                <w:spacing w:val="20"/>
                <w:sz w:val="24"/>
                <w:highlight w:val="none"/>
              </w:rPr>
            </w:pPr>
          </w:p>
        </w:tc>
        <w:tc>
          <w:tcPr>
            <w:tcW w:w="1281" w:type="dxa"/>
          </w:tcPr>
          <w:p>
            <w:pPr>
              <w:jc w:val="center"/>
              <w:rPr>
                <w:rFonts w:ascii="宋体"/>
                <w:color w:val="auto"/>
                <w:spacing w:val="20"/>
                <w:sz w:val="24"/>
                <w:highlight w:val="none"/>
              </w:rPr>
            </w:pPr>
          </w:p>
        </w:tc>
        <w:tc>
          <w:tcPr>
            <w:tcW w:w="3521" w:type="dxa"/>
          </w:tcPr>
          <w:p>
            <w:pPr>
              <w:jc w:val="center"/>
              <w:rPr>
                <w:rFonts w:ascii="宋体"/>
                <w:color w:val="auto"/>
                <w:spacing w:val="20"/>
                <w:sz w:val="24"/>
                <w:highlight w:val="none"/>
              </w:rPr>
            </w:pPr>
          </w:p>
        </w:tc>
        <w:tc>
          <w:tcPr>
            <w:tcW w:w="1614" w:type="dxa"/>
          </w:tcPr>
          <w:p>
            <w:pPr>
              <w:jc w:val="center"/>
              <w:rPr>
                <w:rFonts w:ascii="宋体"/>
                <w:color w:val="auto"/>
                <w:spacing w:val="20"/>
                <w:sz w:val="24"/>
                <w:highlight w:val="none"/>
              </w:rPr>
            </w:pPr>
          </w:p>
        </w:tc>
        <w:tc>
          <w:tcPr>
            <w:tcW w:w="1814"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jc w:val="center"/>
              <w:rPr>
                <w:rFonts w:ascii="宋体"/>
                <w:color w:val="auto"/>
                <w:spacing w:val="20"/>
                <w:sz w:val="24"/>
                <w:highlight w:val="none"/>
              </w:rPr>
            </w:pPr>
          </w:p>
        </w:tc>
        <w:tc>
          <w:tcPr>
            <w:tcW w:w="1281" w:type="dxa"/>
          </w:tcPr>
          <w:p>
            <w:pPr>
              <w:jc w:val="center"/>
              <w:rPr>
                <w:rFonts w:ascii="宋体"/>
                <w:color w:val="auto"/>
                <w:spacing w:val="20"/>
                <w:sz w:val="24"/>
                <w:highlight w:val="none"/>
              </w:rPr>
            </w:pPr>
          </w:p>
        </w:tc>
        <w:tc>
          <w:tcPr>
            <w:tcW w:w="3521" w:type="dxa"/>
          </w:tcPr>
          <w:p>
            <w:pPr>
              <w:jc w:val="center"/>
              <w:rPr>
                <w:rFonts w:ascii="宋体"/>
                <w:color w:val="auto"/>
                <w:spacing w:val="20"/>
                <w:sz w:val="24"/>
                <w:highlight w:val="none"/>
              </w:rPr>
            </w:pPr>
          </w:p>
        </w:tc>
        <w:tc>
          <w:tcPr>
            <w:tcW w:w="1614" w:type="dxa"/>
          </w:tcPr>
          <w:p>
            <w:pPr>
              <w:jc w:val="center"/>
              <w:rPr>
                <w:rFonts w:ascii="宋体"/>
                <w:color w:val="auto"/>
                <w:spacing w:val="20"/>
                <w:sz w:val="24"/>
                <w:highlight w:val="none"/>
              </w:rPr>
            </w:pPr>
          </w:p>
        </w:tc>
        <w:tc>
          <w:tcPr>
            <w:tcW w:w="1814"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jc w:val="center"/>
              <w:rPr>
                <w:rFonts w:ascii="宋体"/>
                <w:color w:val="auto"/>
                <w:spacing w:val="20"/>
                <w:sz w:val="24"/>
                <w:highlight w:val="none"/>
              </w:rPr>
            </w:pPr>
          </w:p>
        </w:tc>
        <w:tc>
          <w:tcPr>
            <w:tcW w:w="1281" w:type="dxa"/>
          </w:tcPr>
          <w:p>
            <w:pPr>
              <w:jc w:val="center"/>
              <w:rPr>
                <w:rFonts w:ascii="宋体"/>
                <w:color w:val="auto"/>
                <w:spacing w:val="20"/>
                <w:sz w:val="24"/>
                <w:highlight w:val="none"/>
              </w:rPr>
            </w:pPr>
          </w:p>
        </w:tc>
        <w:tc>
          <w:tcPr>
            <w:tcW w:w="3521" w:type="dxa"/>
          </w:tcPr>
          <w:p>
            <w:pPr>
              <w:jc w:val="center"/>
              <w:rPr>
                <w:rFonts w:ascii="宋体"/>
                <w:color w:val="auto"/>
                <w:spacing w:val="20"/>
                <w:sz w:val="24"/>
                <w:highlight w:val="none"/>
              </w:rPr>
            </w:pPr>
          </w:p>
        </w:tc>
        <w:tc>
          <w:tcPr>
            <w:tcW w:w="1614" w:type="dxa"/>
          </w:tcPr>
          <w:p>
            <w:pPr>
              <w:jc w:val="center"/>
              <w:rPr>
                <w:rFonts w:ascii="宋体"/>
                <w:color w:val="auto"/>
                <w:spacing w:val="20"/>
                <w:sz w:val="24"/>
                <w:highlight w:val="none"/>
              </w:rPr>
            </w:pPr>
          </w:p>
        </w:tc>
        <w:tc>
          <w:tcPr>
            <w:tcW w:w="1814"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jc w:val="center"/>
              <w:rPr>
                <w:rFonts w:ascii="宋体"/>
                <w:color w:val="auto"/>
                <w:spacing w:val="20"/>
                <w:sz w:val="24"/>
                <w:highlight w:val="none"/>
              </w:rPr>
            </w:pPr>
          </w:p>
        </w:tc>
        <w:tc>
          <w:tcPr>
            <w:tcW w:w="1281" w:type="dxa"/>
          </w:tcPr>
          <w:p>
            <w:pPr>
              <w:jc w:val="center"/>
              <w:rPr>
                <w:rFonts w:ascii="宋体"/>
                <w:color w:val="auto"/>
                <w:spacing w:val="20"/>
                <w:sz w:val="24"/>
                <w:highlight w:val="none"/>
              </w:rPr>
            </w:pPr>
          </w:p>
        </w:tc>
        <w:tc>
          <w:tcPr>
            <w:tcW w:w="3521" w:type="dxa"/>
          </w:tcPr>
          <w:p>
            <w:pPr>
              <w:jc w:val="center"/>
              <w:rPr>
                <w:rFonts w:ascii="宋体"/>
                <w:color w:val="auto"/>
                <w:spacing w:val="20"/>
                <w:sz w:val="24"/>
                <w:highlight w:val="none"/>
              </w:rPr>
            </w:pPr>
          </w:p>
        </w:tc>
        <w:tc>
          <w:tcPr>
            <w:tcW w:w="1614" w:type="dxa"/>
          </w:tcPr>
          <w:p>
            <w:pPr>
              <w:jc w:val="center"/>
              <w:rPr>
                <w:rFonts w:ascii="宋体"/>
                <w:color w:val="auto"/>
                <w:spacing w:val="20"/>
                <w:sz w:val="24"/>
                <w:highlight w:val="none"/>
              </w:rPr>
            </w:pPr>
          </w:p>
        </w:tc>
        <w:tc>
          <w:tcPr>
            <w:tcW w:w="1814"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jc w:val="center"/>
              <w:rPr>
                <w:rFonts w:ascii="宋体"/>
                <w:color w:val="auto"/>
                <w:spacing w:val="20"/>
                <w:sz w:val="24"/>
                <w:highlight w:val="none"/>
              </w:rPr>
            </w:pPr>
          </w:p>
        </w:tc>
        <w:tc>
          <w:tcPr>
            <w:tcW w:w="1281" w:type="dxa"/>
          </w:tcPr>
          <w:p>
            <w:pPr>
              <w:jc w:val="center"/>
              <w:rPr>
                <w:rFonts w:ascii="宋体"/>
                <w:color w:val="auto"/>
                <w:spacing w:val="20"/>
                <w:sz w:val="24"/>
                <w:highlight w:val="none"/>
              </w:rPr>
            </w:pPr>
          </w:p>
        </w:tc>
        <w:tc>
          <w:tcPr>
            <w:tcW w:w="3521" w:type="dxa"/>
          </w:tcPr>
          <w:p>
            <w:pPr>
              <w:jc w:val="center"/>
              <w:rPr>
                <w:rFonts w:ascii="宋体"/>
                <w:color w:val="auto"/>
                <w:spacing w:val="20"/>
                <w:sz w:val="24"/>
                <w:highlight w:val="none"/>
              </w:rPr>
            </w:pPr>
          </w:p>
        </w:tc>
        <w:tc>
          <w:tcPr>
            <w:tcW w:w="1614" w:type="dxa"/>
          </w:tcPr>
          <w:p>
            <w:pPr>
              <w:jc w:val="center"/>
              <w:rPr>
                <w:rFonts w:ascii="宋体"/>
                <w:color w:val="auto"/>
                <w:spacing w:val="20"/>
                <w:sz w:val="24"/>
                <w:highlight w:val="none"/>
              </w:rPr>
            </w:pPr>
          </w:p>
        </w:tc>
        <w:tc>
          <w:tcPr>
            <w:tcW w:w="1814"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jc w:val="center"/>
              <w:rPr>
                <w:rFonts w:ascii="宋体"/>
                <w:color w:val="auto"/>
                <w:spacing w:val="20"/>
                <w:sz w:val="24"/>
                <w:highlight w:val="none"/>
              </w:rPr>
            </w:pPr>
          </w:p>
        </w:tc>
        <w:tc>
          <w:tcPr>
            <w:tcW w:w="1281" w:type="dxa"/>
          </w:tcPr>
          <w:p>
            <w:pPr>
              <w:jc w:val="center"/>
              <w:rPr>
                <w:rFonts w:ascii="宋体"/>
                <w:color w:val="auto"/>
                <w:spacing w:val="20"/>
                <w:sz w:val="24"/>
                <w:highlight w:val="none"/>
              </w:rPr>
            </w:pPr>
          </w:p>
        </w:tc>
        <w:tc>
          <w:tcPr>
            <w:tcW w:w="3521" w:type="dxa"/>
          </w:tcPr>
          <w:p>
            <w:pPr>
              <w:jc w:val="center"/>
              <w:rPr>
                <w:rFonts w:ascii="宋体"/>
                <w:color w:val="auto"/>
                <w:spacing w:val="20"/>
                <w:sz w:val="24"/>
                <w:highlight w:val="none"/>
              </w:rPr>
            </w:pPr>
          </w:p>
        </w:tc>
        <w:tc>
          <w:tcPr>
            <w:tcW w:w="1614" w:type="dxa"/>
          </w:tcPr>
          <w:p>
            <w:pPr>
              <w:jc w:val="center"/>
              <w:rPr>
                <w:rFonts w:ascii="宋体"/>
                <w:color w:val="auto"/>
                <w:spacing w:val="20"/>
                <w:sz w:val="24"/>
                <w:highlight w:val="none"/>
              </w:rPr>
            </w:pPr>
          </w:p>
        </w:tc>
        <w:tc>
          <w:tcPr>
            <w:tcW w:w="1814" w:type="dxa"/>
          </w:tcPr>
          <w:p>
            <w:pPr>
              <w:jc w:val="center"/>
              <w:rPr>
                <w:rFonts w:ascii="宋体"/>
                <w:color w:val="auto"/>
                <w:spacing w:val="20"/>
                <w:sz w:val="24"/>
                <w:highlight w:val="none"/>
              </w:rPr>
            </w:pPr>
          </w:p>
        </w:tc>
      </w:tr>
    </w:tbl>
    <w:p>
      <w:pPr>
        <w:rPr>
          <w:rFonts w:ascii="宋体" w:hAnsi="宋体"/>
          <w:color w:val="auto"/>
          <w:spacing w:val="20"/>
          <w:sz w:val="24"/>
          <w:highlight w:val="none"/>
        </w:rPr>
      </w:pPr>
      <w:r>
        <w:rPr>
          <w:rFonts w:hint="eastAsia" w:ascii="宋体" w:hAnsi="宋体"/>
          <w:color w:val="auto"/>
          <w:spacing w:val="20"/>
          <w:sz w:val="24"/>
          <w:highlight w:val="none"/>
        </w:rPr>
        <w:t>注：备品备件是指磋商响应供应商为本次采购服务所准备的备品备件设备，以保证出现故障时，可以在最短的时间内使用备品备件清单中的设备排除故障。备品</w:t>
      </w:r>
      <w:r>
        <w:rPr>
          <w:rFonts w:ascii="宋体" w:hAnsi="宋体"/>
          <w:color w:val="auto"/>
          <w:spacing w:val="20"/>
          <w:sz w:val="24"/>
          <w:highlight w:val="none"/>
        </w:rPr>
        <w:t>备件</w:t>
      </w:r>
      <w:r>
        <w:rPr>
          <w:rFonts w:hint="eastAsia" w:ascii="宋体" w:hAnsi="宋体"/>
          <w:color w:val="auto"/>
          <w:spacing w:val="20"/>
          <w:sz w:val="24"/>
          <w:highlight w:val="none"/>
        </w:rPr>
        <w:t>价格包含</w:t>
      </w:r>
      <w:r>
        <w:rPr>
          <w:rFonts w:ascii="宋体" w:hAnsi="宋体"/>
          <w:color w:val="auto"/>
          <w:spacing w:val="20"/>
          <w:sz w:val="24"/>
          <w:highlight w:val="none"/>
        </w:rPr>
        <w:t>在投标报价中。</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spacing w:line="360" w:lineRule="auto"/>
        <w:rPr>
          <w:rFonts w:ascii="宋体" w:hAnsi="宋体"/>
          <w:b/>
          <w:color w:val="auto"/>
          <w:spacing w:val="-6"/>
          <w:sz w:val="21"/>
          <w:szCs w:val="21"/>
          <w:highlight w:val="none"/>
        </w:rPr>
      </w:pPr>
      <w:r>
        <w:rPr>
          <w:rFonts w:ascii="宋体" w:hAnsi="宋体"/>
          <w:b/>
          <w:color w:val="auto"/>
          <w:spacing w:val="-6"/>
          <w:sz w:val="21"/>
          <w:szCs w:val="21"/>
          <w:highlight w:val="none"/>
        </w:rPr>
        <w:br w:type="page"/>
      </w:r>
    </w:p>
    <w:p>
      <w:pPr>
        <w:pStyle w:val="4"/>
        <w:jc w:val="center"/>
        <w:rPr>
          <w:color w:val="auto"/>
          <w:highlight w:val="none"/>
        </w:rPr>
      </w:pPr>
      <w:r>
        <w:rPr>
          <w:rFonts w:hint="eastAsia"/>
          <w:color w:val="auto"/>
          <w:highlight w:val="none"/>
        </w:rPr>
        <w:t>消耗品购买价格清单</w:t>
      </w:r>
    </w:p>
    <w:tbl>
      <w:tblPr>
        <w:tblStyle w:val="19"/>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972"/>
        <w:gridCol w:w="972"/>
        <w:gridCol w:w="2671"/>
        <w:gridCol w:w="1224"/>
        <w:gridCol w:w="1376"/>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jc w:val="center"/>
              <w:rPr>
                <w:rFonts w:ascii="宋体"/>
                <w:color w:val="auto"/>
                <w:spacing w:val="20"/>
                <w:sz w:val="24"/>
                <w:highlight w:val="none"/>
              </w:rPr>
            </w:pPr>
            <w:r>
              <w:rPr>
                <w:rFonts w:hint="eastAsia" w:ascii="宋体"/>
                <w:color w:val="auto"/>
                <w:spacing w:val="20"/>
                <w:sz w:val="24"/>
                <w:highlight w:val="none"/>
              </w:rPr>
              <w:t>序号</w:t>
            </w:r>
          </w:p>
        </w:tc>
        <w:tc>
          <w:tcPr>
            <w:tcW w:w="972" w:type="dxa"/>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名称</w:t>
            </w:r>
          </w:p>
        </w:tc>
        <w:tc>
          <w:tcPr>
            <w:tcW w:w="972" w:type="dxa"/>
            <w:vAlign w:val="center"/>
          </w:tcPr>
          <w:p>
            <w:pPr>
              <w:jc w:val="center"/>
              <w:rPr>
                <w:rFonts w:ascii="宋体"/>
                <w:color w:val="auto"/>
                <w:spacing w:val="20"/>
                <w:sz w:val="24"/>
                <w:highlight w:val="none"/>
              </w:rPr>
            </w:pPr>
            <w:r>
              <w:rPr>
                <w:rFonts w:hint="eastAsia" w:ascii="宋体" w:hAnsi="宋体"/>
                <w:color w:val="auto"/>
                <w:spacing w:val="20"/>
                <w:sz w:val="24"/>
                <w:highlight w:val="none"/>
              </w:rPr>
              <w:t>品牌</w:t>
            </w:r>
          </w:p>
        </w:tc>
        <w:tc>
          <w:tcPr>
            <w:tcW w:w="2671" w:type="dxa"/>
            <w:vAlign w:val="center"/>
          </w:tcPr>
          <w:p>
            <w:pPr>
              <w:jc w:val="center"/>
              <w:rPr>
                <w:rFonts w:ascii="宋体"/>
                <w:color w:val="auto"/>
                <w:spacing w:val="20"/>
                <w:sz w:val="24"/>
                <w:highlight w:val="none"/>
              </w:rPr>
            </w:pPr>
            <w:r>
              <w:rPr>
                <w:rFonts w:hint="eastAsia" w:ascii="宋体" w:hAnsi="宋体"/>
                <w:color w:val="auto"/>
                <w:spacing w:val="20"/>
                <w:sz w:val="24"/>
                <w:highlight w:val="none"/>
              </w:rPr>
              <w:t>制造厂</w:t>
            </w:r>
            <w:r>
              <w:rPr>
                <w:rFonts w:ascii="宋体" w:hAnsi="宋体"/>
                <w:color w:val="auto"/>
                <w:spacing w:val="20"/>
                <w:sz w:val="24"/>
                <w:highlight w:val="none"/>
              </w:rPr>
              <w:t>/</w:t>
            </w:r>
            <w:r>
              <w:rPr>
                <w:rFonts w:hint="eastAsia" w:ascii="宋体" w:hAnsi="宋体"/>
                <w:color w:val="auto"/>
                <w:spacing w:val="20"/>
                <w:sz w:val="24"/>
                <w:highlight w:val="none"/>
              </w:rPr>
              <w:t>原产地</w:t>
            </w:r>
          </w:p>
        </w:tc>
        <w:tc>
          <w:tcPr>
            <w:tcW w:w="1224" w:type="dxa"/>
            <w:vAlign w:val="center"/>
          </w:tcPr>
          <w:p>
            <w:pPr>
              <w:jc w:val="center"/>
              <w:rPr>
                <w:rFonts w:ascii="宋体"/>
                <w:color w:val="auto"/>
                <w:spacing w:val="20"/>
                <w:sz w:val="24"/>
                <w:highlight w:val="none"/>
              </w:rPr>
            </w:pPr>
            <w:r>
              <w:rPr>
                <w:rFonts w:hint="eastAsia" w:ascii="宋体" w:hAnsi="宋体"/>
                <w:color w:val="auto"/>
                <w:spacing w:val="20"/>
                <w:sz w:val="24"/>
                <w:highlight w:val="none"/>
              </w:rPr>
              <w:t>规格型号</w:t>
            </w:r>
          </w:p>
        </w:tc>
        <w:tc>
          <w:tcPr>
            <w:tcW w:w="1376" w:type="dxa"/>
            <w:vAlign w:val="center"/>
          </w:tcPr>
          <w:p>
            <w:pPr>
              <w:jc w:val="center"/>
              <w:rPr>
                <w:rFonts w:ascii="宋体"/>
                <w:color w:val="auto"/>
                <w:spacing w:val="20"/>
                <w:sz w:val="24"/>
                <w:highlight w:val="none"/>
              </w:rPr>
            </w:pPr>
            <w:r>
              <w:rPr>
                <w:rFonts w:hint="eastAsia" w:ascii="宋体" w:hAnsi="宋体"/>
                <w:color w:val="auto"/>
                <w:spacing w:val="20"/>
                <w:sz w:val="24"/>
                <w:highlight w:val="none"/>
              </w:rPr>
              <w:t>数量</w:t>
            </w:r>
          </w:p>
        </w:tc>
        <w:tc>
          <w:tcPr>
            <w:tcW w:w="1366" w:type="dxa"/>
            <w:vAlign w:val="center"/>
          </w:tcPr>
          <w:p>
            <w:pPr>
              <w:jc w:val="center"/>
              <w:rPr>
                <w:rFonts w:ascii="宋体" w:hAnsi="宋体"/>
                <w:color w:val="auto"/>
                <w:spacing w:val="20"/>
                <w:sz w:val="24"/>
                <w:highlight w:val="none"/>
              </w:rPr>
            </w:pPr>
            <w:r>
              <w:rPr>
                <w:rFonts w:hint="eastAsia" w:ascii="宋体" w:hAnsi="宋体"/>
                <w:color w:val="auto"/>
                <w:spacing w:val="20"/>
                <w:sz w:val="24"/>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vAlign w:val="center"/>
          </w:tcPr>
          <w:p>
            <w:pPr>
              <w:jc w:val="center"/>
              <w:rPr>
                <w:rFonts w:ascii="宋体" w:hAnsi="宋体"/>
                <w:color w:val="auto"/>
                <w:spacing w:val="20"/>
                <w:sz w:val="24"/>
                <w:highlight w:val="none"/>
              </w:rPr>
            </w:pPr>
          </w:p>
        </w:tc>
        <w:tc>
          <w:tcPr>
            <w:tcW w:w="972" w:type="dxa"/>
            <w:vAlign w:val="center"/>
          </w:tcPr>
          <w:p>
            <w:pPr>
              <w:jc w:val="center"/>
              <w:rPr>
                <w:rFonts w:ascii="宋体" w:hAnsi="宋体"/>
                <w:color w:val="auto"/>
                <w:spacing w:val="20"/>
                <w:sz w:val="24"/>
                <w:highlight w:val="none"/>
              </w:rPr>
            </w:pPr>
          </w:p>
        </w:tc>
        <w:tc>
          <w:tcPr>
            <w:tcW w:w="972" w:type="dxa"/>
            <w:vAlign w:val="center"/>
          </w:tcPr>
          <w:p>
            <w:pPr>
              <w:jc w:val="center"/>
              <w:rPr>
                <w:rFonts w:ascii="宋体" w:hAnsi="宋体"/>
                <w:color w:val="auto"/>
                <w:spacing w:val="20"/>
                <w:sz w:val="24"/>
                <w:highlight w:val="none"/>
              </w:rPr>
            </w:pPr>
          </w:p>
        </w:tc>
        <w:tc>
          <w:tcPr>
            <w:tcW w:w="2671" w:type="dxa"/>
            <w:vAlign w:val="center"/>
          </w:tcPr>
          <w:p>
            <w:pPr>
              <w:jc w:val="center"/>
              <w:rPr>
                <w:rFonts w:ascii="宋体" w:hAnsi="宋体"/>
                <w:color w:val="auto"/>
                <w:spacing w:val="20"/>
                <w:sz w:val="24"/>
                <w:highlight w:val="none"/>
              </w:rPr>
            </w:pPr>
          </w:p>
        </w:tc>
        <w:tc>
          <w:tcPr>
            <w:tcW w:w="1224" w:type="dxa"/>
            <w:vAlign w:val="center"/>
          </w:tcPr>
          <w:p>
            <w:pPr>
              <w:jc w:val="center"/>
              <w:rPr>
                <w:rFonts w:ascii="宋体" w:hAnsi="宋体"/>
                <w:color w:val="auto"/>
                <w:spacing w:val="20"/>
                <w:sz w:val="24"/>
                <w:highlight w:val="none"/>
              </w:rPr>
            </w:pPr>
          </w:p>
        </w:tc>
        <w:tc>
          <w:tcPr>
            <w:tcW w:w="1376" w:type="dxa"/>
            <w:vAlign w:val="center"/>
          </w:tcPr>
          <w:p>
            <w:pPr>
              <w:jc w:val="center"/>
              <w:rPr>
                <w:rFonts w:ascii="宋体" w:hAnsi="宋体"/>
                <w:color w:val="auto"/>
                <w:spacing w:val="20"/>
                <w:sz w:val="24"/>
                <w:highlight w:val="none"/>
              </w:rPr>
            </w:pPr>
          </w:p>
        </w:tc>
        <w:tc>
          <w:tcPr>
            <w:tcW w:w="1366" w:type="dxa"/>
            <w:vAlign w:val="center"/>
          </w:tcPr>
          <w:p>
            <w:pPr>
              <w:jc w:val="center"/>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2671" w:type="dxa"/>
          </w:tcPr>
          <w:p>
            <w:pPr>
              <w:jc w:val="center"/>
              <w:rPr>
                <w:rFonts w:ascii="宋体"/>
                <w:color w:val="auto"/>
                <w:spacing w:val="20"/>
                <w:sz w:val="24"/>
                <w:highlight w:val="none"/>
              </w:rPr>
            </w:pPr>
          </w:p>
        </w:tc>
        <w:tc>
          <w:tcPr>
            <w:tcW w:w="1224" w:type="dxa"/>
          </w:tcPr>
          <w:p>
            <w:pPr>
              <w:jc w:val="center"/>
              <w:rPr>
                <w:rFonts w:ascii="宋体"/>
                <w:color w:val="auto"/>
                <w:spacing w:val="20"/>
                <w:sz w:val="24"/>
                <w:highlight w:val="none"/>
              </w:rPr>
            </w:pPr>
          </w:p>
        </w:tc>
        <w:tc>
          <w:tcPr>
            <w:tcW w:w="1376" w:type="dxa"/>
          </w:tcPr>
          <w:p>
            <w:pPr>
              <w:jc w:val="center"/>
              <w:rPr>
                <w:rFonts w:ascii="宋体"/>
                <w:color w:val="auto"/>
                <w:spacing w:val="20"/>
                <w:sz w:val="24"/>
                <w:highlight w:val="none"/>
              </w:rPr>
            </w:pPr>
          </w:p>
        </w:tc>
        <w:tc>
          <w:tcPr>
            <w:tcW w:w="1366"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2671" w:type="dxa"/>
          </w:tcPr>
          <w:p>
            <w:pPr>
              <w:jc w:val="center"/>
              <w:rPr>
                <w:rFonts w:ascii="宋体"/>
                <w:color w:val="auto"/>
                <w:spacing w:val="20"/>
                <w:sz w:val="24"/>
                <w:highlight w:val="none"/>
              </w:rPr>
            </w:pPr>
          </w:p>
        </w:tc>
        <w:tc>
          <w:tcPr>
            <w:tcW w:w="1224" w:type="dxa"/>
          </w:tcPr>
          <w:p>
            <w:pPr>
              <w:jc w:val="center"/>
              <w:rPr>
                <w:rFonts w:ascii="宋体"/>
                <w:color w:val="auto"/>
                <w:spacing w:val="20"/>
                <w:sz w:val="24"/>
                <w:highlight w:val="none"/>
              </w:rPr>
            </w:pPr>
          </w:p>
        </w:tc>
        <w:tc>
          <w:tcPr>
            <w:tcW w:w="1376" w:type="dxa"/>
          </w:tcPr>
          <w:p>
            <w:pPr>
              <w:jc w:val="center"/>
              <w:rPr>
                <w:rFonts w:ascii="宋体"/>
                <w:color w:val="auto"/>
                <w:spacing w:val="20"/>
                <w:sz w:val="24"/>
                <w:highlight w:val="none"/>
              </w:rPr>
            </w:pPr>
          </w:p>
        </w:tc>
        <w:tc>
          <w:tcPr>
            <w:tcW w:w="1366"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2671" w:type="dxa"/>
          </w:tcPr>
          <w:p>
            <w:pPr>
              <w:jc w:val="center"/>
              <w:rPr>
                <w:rFonts w:ascii="宋体"/>
                <w:color w:val="auto"/>
                <w:spacing w:val="20"/>
                <w:sz w:val="24"/>
                <w:highlight w:val="none"/>
              </w:rPr>
            </w:pPr>
          </w:p>
        </w:tc>
        <w:tc>
          <w:tcPr>
            <w:tcW w:w="1224" w:type="dxa"/>
          </w:tcPr>
          <w:p>
            <w:pPr>
              <w:jc w:val="center"/>
              <w:rPr>
                <w:rFonts w:ascii="宋体"/>
                <w:color w:val="auto"/>
                <w:spacing w:val="20"/>
                <w:sz w:val="24"/>
                <w:highlight w:val="none"/>
              </w:rPr>
            </w:pPr>
          </w:p>
        </w:tc>
        <w:tc>
          <w:tcPr>
            <w:tcW w:w="1376" w:type="dxa"/>
          </w:tcPr>
          <w:p>
            <w:pPr>
              <w:jc w:val="center"/>
              <w:rPr>
                <w:rFonts w:ascii="宋体"/>
                <w:color w:val="auto"/>
                <w:spacing w:val="20"/>
                <w:sz w:val="24"/>
                <w:highlight w:val="none"/>
              </w:rPr>
            </w:pPr>
          </w:p>
        </w:tc>
        <w:tc>
          <w:tcPr>
            <w:tcW w:w="1366"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2671" w:type="dxa"/>
          </w:tcPr>
          <w:p>
            <w:pPr>
              <w:jc w:val="center"/>
              <w:rPr>
                <w:rFonts w:ascii="宋体"/>
                <w:color w:val="auto"/>
                <w:spacing w:val="20"/>
                <w:sz w:val="24"/>
                <w:highlight w:val="none"/>
              </w:rPr>
            </w:pPr>
          </w:p>
        </w:tc>
        <w:tc>
          <w:tcPr>
            <w:tcW w:w="1224" w:type="dxa"/>
          </w:tcPr>
          <w:p>
            <w:pPr>
              <w:jc w:val="center"/>
              <w:rPr>
                <w:rFonts w:ascii="宋体"/>
                <w:color w:val="auto"/>
                <w:spacing w:val="20"/>
                <w:sz w:val="24"/>
                <w:highlight w:val="none"/>
              </w:rPr>
            </w:pPr>
          </w:p>
        </w:tc>
        <w:tc>
          <w:tcPr>
            <w:tcW w:w="1376" w:type="dxa"/>
          </w:tcPr>
          <w:p>
            <w:pPr>
              <w:jc w:val="center"/>
              <w:rPr>
                <w:rFonts w:ascii="宋体"/>
                <w:color w:val="auto"/>
                <w:spacing w:val="20"/>
                <w:sz w:val="24"/>
                <w:highlight w:val="none"/>
              </w:rPr>
            </w:pPr>
          </w:p>
        </w:tc>
        <w:tc>
          <w:tcPr>
            <w:tcW w:w="1366"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2671" w:type="dxa"/>
          </w:tcPr>
          <w:p>
            <w:pPr>
              <w:jc w:val="center"/>
              <w:rPr>
                <w:rFonts w:ascii="宋体"/>
                <w:color w:val="auto"/>
                <w:spacing w:val="20"/>
                <w:sz w:val="24"/>
                <w:highlight w:val="none"/>
              </w:rPr>
            </w:pPr>
          </w:p>
        </w:tc>
        <w:tc>
          <w:tcPr>
            <w:tcW w:w="1224" w:type="dxa"/>
          </w:tcPr>
          <w:p>
            <w:pPr>
              <w:jc w:val="center"/>
              <w:rPr>
                <w:rFonts w:ascii="宋体"/>
                <w:color w:val="auto"/>
                <w:spacing w:val="20"/>
                <w:sz w:val="24"/>
                <w:highlight w:val="none"/>
              </w:rPr>
            </w:pPr>
          </w:p>
        </w:tc>
        <w:tc>
          <w:tcPr>
            <w:tcW w:w="1376" w:type="dxa"/>
          </w:tcPr>
          <w:p>
            <w:pPr>
              <w:jc w:val="center"/>
              <w:rPr>
                <w:rFonts w:ascii="宋体"/>
                <w:color w:val="auto"/>
                <w:spacing w:val="20"/>
                <w:sz w:val="24"/>
                <w:highlight w:val="none"/>
              </w:rPr>
            </w:pPr>
          </w:p>
        </w:tc>
        <w:tc>
          <w:tcPr>
            <w:tcW w:w="1366"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2671" w:type="dxa"/>
          </w:tcPr>
          <w:p>
            <w:pPr>
              <w:jc w:val="center"/>
              <w:rPr>
                <w:rFonts w:ascii="宋体"/>
                <w:color w:val="auto"/>
                <w:spacing w:val="20"/>
                <w:sz w:val="24"/>
                <w:highlight w:val="none"/>
              </w:rPr>
            </w:pPr>
          </w:p>
        </w:tc>
        <w:tc>
          <w:tcPr>
            <w:tcW w:w="1224" w:type="dxa"/>
          </w:tcPr>
          <w:p>
            <w:pPr>
              <w:jc w:val="center"/>
              <w:rPr>
                <w:rFonts w:ascii="宋体"/>
                <w:color w:val="auto"/>
                <w:spacing w:val="20"/>
                <w:sz w:val="24"/>
                <w:highlight w:val="none"/>
              </w:rPr>
            </w:pPr>
          </w:p>
        </w:tc>
        <w:tc>
          <w:tcPr>
            <w:tcW w:w="1376" w:type="dxa"/>
          </w:tcPr>
          <w:p>
            <w:pPr>
              <w:jc w:val="center"/>
              <w:rPr>
                <w:rFonts w:ascii="宋体"/>
                <w:color w:val="auto"/>
                <w:spacing w:val="20"/>
                <w:sz w:val="24"/>
                <w:highlight w:val="none"/>
              </w:rPr>
            </w:pPr>
          </w:p>
        </w:tc>
        <w:tc>
          <w:tcPr>
            <w:tcW w:w="1366"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2671" w:type="dxa"/>
          </w:tcPr>
          <w:p>
            <w:pPr>
              <w:jc w:val="center"/>
              <w:rPr>
                <w:rFonts w:ascii="宋体"/>
                <w:color w:val="auto"/>
                <w:spacing w:val="20"/>
                <w:sz w:val="24"/>
                <w:highlight w:val="none"/>
              </w:rPr>
            </w:pPr>
          </w:p>
        </w:tc>
        <w:tc>
          <w:tcPr>
            <w:tcW w:w="1224" w:type="dxa"/>
          </w:tcPr>
          <w:p>
            <w:pPr>
              <w:jc w:val="center"/>
              <w:rPr>
                <w:rFonts w:ascii="宋体"/>
                <w:color w:val="auto"/>
                <w:spacing w:val="20"/>
                <w:sz w:val="24"/>
                <w:highlight w:val="none"/>
              </w:rPr>
            </w:pPr>
          </w:p>
        </w:tc>
        <w:tc>
          <w:tcPr>
            <w:tcW w:w="1376" w:type="dxa"/>
          </w:tcPr>
          <w:p>
            <w:pPr>
              <w:jc w:val="center"/>
              <w:rPr>
                <w:rFonts w:ascii="宋体"/>
                <w:color w:val="auto"/>
                <w:spacing w:val="20"/>
                <w:sz w:val="24"/>
                <w:highlight w:val="none"/>
              </w:rPr>
            </w:pPr>
          </w:p>
        </w:tc>
        <w:tc>
          <w:tcPr>
            <w:tcW w:w="1366"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2671" w:type="dxa"/>
          </w:tcPr>
          <w:p>
            <w:pPr>
              <w:jc w:val="center"/>
              <w:rPr>
                <w:rFonts w:ascii="宋体"/>
                <w:color w:val="auto"/>
                <w:spacing w:val="20"/>
                <w:sz w:val="24"/>
                <w:highlight w:val="none"/>
              </w:rPr>
            </w:pPr>
          </w:p>
        </w:tc>
        <w:tc>
          <w:tcPr>
            <w:tcW w:w="1224" w:type="dxa"/>
          </w:tcPr>
          <w:p>
            <w:pPr>
              <w:jc w:val="center"/>
              <w:rPr>
                <w:rFonts w:ascii="宋体"/>
                <w:color w:val="auto"/>
                <w:spacing w:val="20"/>
                <w:sz w:val="24"/>
                <w:highlight w:val="none"/>
              </w:rPr>
            </w:pPr>
          </w:p>
        </w:tc>
        <w:tc>
          <w:tcPr>
            <w:tcW w:w="1376" w:type="dxa"/>
          </w:tcPr>
          <w:p>
            <w:pPr>
              <w:jc w:val="center"/>
              <w:rPr>
                <w:rFonts w:ascii="宋体"/>
                <w:color w:val="auto"/>
                <w:spacing w:val="20"/>
                <w:sz w:val="24"/>
                <w:highlight w:val="none"/>
              </w:rPr>
            </w:pPr>
          </w:p>
        </w:tc>
        <w:tc>
          <w:tcPr>
            <w:tcW w:w="1366"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2671" w:type="dxa"/>
          </w:tcPr>
          <w:p>
            <w:pPr>
              <w:jc w:val="center"/>
              <w:rPr>
                <w:rFonts w:ascii="宋体"/>
                <w:color w:val="auto"/>
                <w:spacing w:val="20"/>
                <w:sz w:val="24"/>
                <w:highlight w:val="none"/>
              </w:rPr>
            </w:pPr>
          </w:p>
        </w:tc>
        <w:tc>
          <w:tcPr>
            <w:tcW w:w="1224" w:type="dxa"/>
          </w:tcPr>
          <w:p>
            <w:pPr>
              <w:jc w:val="center"/>
              <w:rPr>
                <w:rFonts w:ascii="宋体"/>
                <w:color w:val="auto"/>
                <w:spacing w:val="20"/>
                <w:sz w:val="24"/>
                <w:highlight w:val="none"/>
              </w:rPr>
            </w:pPr>
          </w:p>
        </w:tc>
        <w:tc>
          <w:tcPr>
            <w:tcW w:w="1376" w:type="dxa"/>
          </w:tcPr>
          <w:p>
            <w:pPr>
              <w:jc w:val="center"/>
              <w:rPr>
                <w:rFonts w:ascii="宋体"/>
                <w:color w:val="auto"/>
                <w:spacing w:val="20"/>
                <w:sz w:val="24"/>
                <w:highlight w:val="none"/>
              </w:rPr>
            </w:pPr>
          </w:p>
        </w:tc>
        <w:tc>
          <w:tcPr>
            <w:tcW w:w="1366"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2671" w:type="dxa"/>
          </w:tcPr>
          <w:p>
            <w:pPr>
              <w:jc w:val="center"/>
              <w:rPr>
                <w:rFonts w:ascii="宋体"/>
                <w:color w:val="auto"/>
                <w:spacing w:val="20"/>
                <w:sz w:val="24"/>
                <w:highlight w:val="none"/>
              </w:rPr>
            </w:pPr>
          </w:p>
        </w:tc>
        <w:tc>
          <w:tcPr>
            <w:tcW w:w="1224" w:type="dxa"/>
          </w:tcPr>
          <w:p>
            <w:pPr>
              <w:jc w:val="center"/>
              <w:rPr>
                <w:rFonts w:ascii="宋体"/>
                <w:color w:val="auto"/>
                <w:spacing w:val="20"/>
                <w:sz w:val="24"/>
                <w:highlight w:val="none"/>
              </w:rPr>
            </w:pPr>
          </w:p>
        </w:tc>
        <w:tc>
          <w:tcPr>
            <w:tcW w:w="1376" w:type="dxa"/>
          </w:tcPr>
          <w:p>
            <w:pPr>
              <w:jc w:val="center"/>
              <w:rPr>
                <w:rFonts w:ascii="宋体"/>
                <w:color w:val="auto"/>
                <w:spacing w:val="20"/>
                <w:sz w:val="24"/>
                <w:highlight w:val="none"/>
              </w:rPr>
            </w:pPr>
          </w:p>
        </w:tc>
        <w:tc>
          <w:tcPr>
            <w:tcW w:w="1366"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2671" w:type="dxa"/>
          </w:tcPr>
          <w:p>
            <w:pPr>
              <w:jc w:val="center"/>
              <w:rPr>
                <w:rFonts w:ascii="宋体"/>
                <w:color w:val="auto"/>
                <w:spacing w:val="20"/>
                <w:sz w:val="24"/>
                <w:highlight w:val="none"/>
              </w:rPr>
            </w:pPr>
          </w:p>
        </w:tc>
        <w:tc>
          <w:tcPr>
            <w:tcW w:w="1224" w:type="dxa"/>
          </w:tcPr>
          <w:p>
            <w:pPr>
              <w:jc w:val="center"/>
              <w:rPr>
                <w:rFonts w:ascii="宋体"/>
                <w:color w:val="auto"/>
                <w:spacing w:val="20"/>
                <w:sz w:val="24"/>
                <w:highlight w:val="none"/>
              </w:rPr>
            </w:pPr>
          </w:p>
        </w:tc>
        <w:tc>
          <w:tcPr>
            <w:tcW w:w="1376" w:type="dxa"/>
          </w:tcPr>
          <w:p>
            <w:pPr>
              <w:jc w:val="center"/>
              <w:rPr>
                <w:rFonts w:ascii="宋体"/>
                <w:color w:val="auto"/>
                <w:spacing w:val="20"/>
                <w:sz w:val="24"/>
                <w:highlight w:val="none"/>
              </w:rPr>
            </w:pPr>
          </w:p>
        </w:tc>
        <w:tc>
          <w:tcPr>
            <w:tcW w:w="1366" w:type="dxa"/>
          </w:tcPr>
          <w:p>
            <w:pPr>
              <w:jc w:val="center"/>
              <w:rPr>
                <w:rFonts w:asci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972" w:type="dxa"/>
          </w:tcPr>
          <w:p>
            <w:pPr>
              <w:jc w:val="center"/>
              <w:rPr>
                <w:rFonts w:ascii="宋体"/>
                <w:color w:val="auto"/>
                <w:spacing w:val="20"/>
                <w:sz w:val="24"/>
                <w:highlight w:val="none"/>
              </w:rPr>
            </w:pPr>
          </w:p>
        </w:tc>
        <w:tc>
          <w:tcPr>
            <w:tcW w:w="2671" w:type="dxa"/>
          </w:tcPr>
          <w:p>
            <w:pPr>
              <w:jc w:val="center"/>
              <w:rPr>
                <w:rFonts w:ascii="宋体"/>
                <w:color w:val="auto"/>
                <w:spacing w:val="20"/>
                <w:sz w:val="24"/>
                <w:highlight w:val="none"/>
              </w:rPr>
            </w:pPr>
          </w:p>
        </w:tc>
        <w:tc>
          <w:tcPr>
            <w:tcW w:w="1224" w:type="dxa"/>
          </w:tcPr>
          <w:p>
            <w:pPr>
              <w:jc w:val="center"/>
              <w:rPr>
                <w:rFonts w:ascii="宋体"/>
                <w:color w:val="auto"/>
                <w:spacing w:val="20"/>
                <w:sz w:val="24"/>
                <w:highlight w:val="none"/>
              </w:rPr>
            </w:pPr>
          </w:p>
        </w:tc>
        <w:tc>
          <w:tcPr>
            <w:tcW w:w="1376" w:type="dxa"/>
          </w:tcPr>
          <w:p>
            <w:pPr>
              <w:jc w:val="center"/>
              <w:rPr>
                <w:rFonts w:ascii="宋体"/>
                <w:color w:val="auto"/>
                <w:spacing w:val="20"/>
                <w:sz w:val="24"/>
                <w:highlight w:val="none"/>
              </w:rPr>
            </w:pPr>
          </w:p>
        </w:tc>
        <w:tc>
          <w:tcPr>
            <w:tcW w:w="1366" w:type="dxa"/>
          </w:tcPr>
          <w:p>
            <w:pPr>
              <w:jc w:val="center"/>
              <w:rPr>
                <w:rFonts w:ascii="宋体"/>
                <w:color w:val="auto"/>
                <w:spacing w:val="20"/>
                <w:sz w:val="24"/>
                <w:highlight w:val="none"/>
              </w:rPr>
            </w:pPr>
          </w:p>
        </w:tc>
      </w:tr>
    </w:tbl>
    <w:p>
      <w:pPr>
        <w:rPr>
          <w:rFonts w:ascii="宋体" w:hAnsi="宋体"/>
          <w:color w:val="auto"/>
          <w:spacing w:val="20"/>
          <w:sz w:val="24"/>
          <w:highlight w:val="none"/>
        </w:rPr>
      </w:pPr>
      <w:r>
        <w:rPr>
          <w:rFonts w:hint="eastAsia" w:ascii="宋体" w:hAnsi="宋体"/>
          <w:color w:val="auto"/>
          <w:spacing w:val="20"/>
          <w:sz w:val="24"/>
          <w:highlight w:val="none"/>
        </w:rPr>
        <w:t>注：磋商响应供应商应提供设备质保期外所需消耗品的清单供招标人参考，消耗品价格不包含在投标报价中。</w:t>
      </w:r>
    </w:p>
    <w:p>
      <w:pPr>
        <w:spacing w:line="360" w:lineRule="auto"/>
        <w:rPr>
          <w:rFonts w:ascii="宋体" w:hAnsi="宋体"/>
          <w:color w:val="auto"/>
          <w:spacing w:val="-6"/>
          <w:sz w:val="24"/>
          <w:highlight w:val="none"/>
        </w:rPr>
      </w:pP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磋商响应供应商名称（盖章）：</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授权代表签字：</w:t>
      </w:r>
    </w:p>
    <w:p>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日期：  </w:t>
      </w:r>
      <w:r>
        <w:rPr>
          <w:rFonts w:ascii="宋体" w:hAnsi="宋体"/>
          <w:color w:val="auto"/>
          <w:spacing w:val="-6"/>
          <w:sz w:val="24"/>
          <w:highlight w:val="none"/>
        </w:rPr>
        <w:t xml:space="preserve">  </w:t>
      </w:r>
      <w:r>
        <w:rPr>
          <w:rFonts w:hint="eastAsia" w:ascii="宋体" w:hAnsi="宋体"/>
          <w:color w:val="auto"/>
          <w:spacing w:val="-6"/>
          <w:sz w:val="24"/>
          <w:highlight w:val="none"/>
        </w:rPr>
        <w:t>年  月  日</w:t>
      </w:r>
    </w:p>
    <w:p>
      <w:pPr>
        <w:spacing w:line="360" w:lineRule="auto"/>
        <w:rPr>
          <w:rFonts w:ascii="宋体" w:hAnsi="宋体"/>
          <w:b/>
          <w:color w:val="auto"/>
          <w:spacing w:val="-6"/>
          <w:sz w:val="21"/>
          <w:szCs w:val="21"/>
          <w:highlight w:val="none"/>
        </w:rPr>
      </w:pPr>
    </w:p>
    <w:sectPr>
      <w:headerReference r:id="rId9" w:type="default"/>
      <w:footerReference r:id="rId10" w:type="default"/>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916940" cy="147955"/>
              <wp:effectExtent l="0" t="0" r="7620" b="0"/>
              <wp:wrapNone/>
              <wp:docPr id="9" name="文本框 1026"/>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9525">
                        <a:noFill/>
                      </a:ln>
                    </wps:spPr>
                    <wps:txbx>
                      <w:txbxContent>
                        <w:p>
                          <w:pPr>
                            <w:pStyle w:val="10"/>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1.65pt;width:72.2pt;mso-position-horizontal:right;mso-position-horizontal-relative:margin;mso-wrap-style:none;z-index:251660288;mso-width-relative:page;mso-height-relative:page;" filled="f" stroked="f" coordsize="21600,21600" o:gfxdata="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fH&#10;Z7jSAAAABAEAAA8AAAAAAAAAAQAgAAAAIgAAAGRycy9kb3ducmV2LnhtbFBLAQIUABQAAAAIAIdO&#10;4kCuPqEwtwEAAEkDAAAOAAAAAAAAAAEAIAAAACEBAABkcnMvZTJvRG9jLnhtbFBLBQYAAAAABgAG&#10;AFkBAABKBQAAAAA=&#10;">
              <v:fill on="f" focussize="0,0"/>
              <v:stroke on="f"/>
              <v:imagedata o:title=""/>
              <o:lock v:ext="edit" aspectratio="f"/>
              <v:textbox inset="0mm,0mm,0mm,0mm" style="mso-fit-shape-to-text:t;">
                <w:txbxContent>
                  <w:p>
                    <w:pPr>
                      <w:pStyle w:val="10"/>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560"/>
      <w:jc w:val="center"/>
    </w:pPr>
    <w: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974725" cy="147955"/>
              <wp:effectExtent l="0" t="0" r="10160" b="0"/>
              <wp:wrapNone/>
              <wp:docPr id="21" name="文本框 21"/>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wps:spPr>
                    <wps:txbx>
                      <w:txbxContent>
                        <w:p>
                          <w:pPr>
                            <w:pStyle w:val="10"/>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right;mso-position-horizontal-relative:margin;mso-wrap-style:none;z-index:251677696;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rrD40gAAAAQBAAAPAAAAAAAAAAEA&#10;IAAAACIAAABkcnMvZG93bnJldi54bWxQSwECFAAUAAAACACHTuJAplyhqhUCAAAHBAAADgAAAAAA&#10;AAABACAAAAAhAQAAZHJzL2Uyb0RvYy54bWxQSwUGAAAAAAYABgBZAQAAqAUAAAAA&#10;">
              <v:fill on="f" focussize="0,0"/>
              <v:stroke on="f" weight="0.5pt"/>
              <v:imagedata o:title=""/>
              <o:lock v:ext="edit" aspectratio="f"/>
              <v:textbox inset="0mm,0mm,0mm,0mm" style="mso-fit-shape-to-text:t;">
                <w:txbxContent>
                  <w:p>
                    <w:pPr>
                      <w:pStyle w:val="10"/>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v:textbox>
            </v:shape>
          </w:pict>
        </mc:Fallback>
      </mc:AlternateContent>
    </w:r>
    <w:r>
      <w:drawing>
        <wp:anchor distT="0" distB="0" distL="114300" distR="114300" simplePos="0" relativeHeight="25167155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0"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4" name="图片 1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052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7" name="图片 1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950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257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 name="图片 1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360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6" name="图片 1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462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9" name="图片 1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p>
    <w:pPr>
      <w:pStyle w:val="10"/>
      <w:ind w:right="560"/>
      <w:jc w:val="center"/>
    </w:pPr>
    <w:r>
      <w:drawing>
        <wp:anchor distT="0" distB="0" distL="114300" distR="114300" simplePos="0" relativeHeight="251666432"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2"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18"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144270" cy="147955"/>
              <wp:effectExtent l="0" t="0" r="8890" b="0"/>
              <wp:wrapNone/>
              <wp:docPr id="13" name="文本框 1025"/>
              <wp:cNvGraphicFramePr/>
              <a:graphic xmlns:a="http://schemas.openxmlformats.org/drawingml/2006/main">
                <a:graphicData uri="http://schemas.microsoft.com/office/word/2010/wordprocessingShape">
                  <wps:wsp>
                    <wps:cNvSpPr txBox="1"/>
                    <wps:spPr>
                      <a:xfrm>
                        <a:off x="0" y="0"/>
                        <a:ext cx="1144270" cy="147955"/>
                      </a:xfrm>
                      <a:prstGeom prst="rect">
                        <a:avLst/>
                      </a:prstGeom>
                      <a:noFill/>
                      <a:ln w="9525">
                        <a:noFill/>
                      </a:ln>
                    </wps:spPr>
                    <wps:txbx>
                      <w:txbxContent>
                        <w:p>
                          <w:pPr>
                            <w:pStyle w:val="11"/>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CHINESENUM3 \* MERGEFORMAT </w:instrText>
                          </w:r>
                          <w:r>
                            <w:fldChar w:fldCharType="separate"/>
                          </w:r>
                          <w:r>
                            <w:rPr>
                              <w:rFonts w:hint="eastAsia"/>
                            </w:rPr>
                            <w:t>四十九</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1.65pt;width:90.1pt;mso-position-horizontal:right;mso-position-horizontal-relative:margin;mso-wrap-style:none;z-index:251658240;mso-width-relative:page;mso-height-relative:page;" filled="f" stroked="f" coordsize="21600,21600" o:gfxdata="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8lb&#10;+9EAAAAEAQAADwAAAAAAAAABACAAAAAiAAAAZHJzL2Rvd25yZXYueG1sUEsBAhQAFAAAAAgAh07i&#10;QJxIKDi3AQAASwMAAA4AAAAAAAAAAQAgAAAAIAEAAGRycy9lMm9Eb2MueG1sUEsFBgAAAAAGAAYA&#10;WQEAAEkFAAAAAA==&#10;">
              <v:fill on="f" focussize="0,0"/>
              <v:stroke on="f"/>
              <v:imagedata o:title=""/>
              <o:lock v:ext="edit" aspectratio="f"/>
              <v:textbox inset="0mm,0mm,0mm,0mm" style="mso-fit-shape-to-text:t;">
                <w:txbxContent>
                  <w:p>
                    <w:pPr>
                      <w:pStyle w:val="11"/>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CHINESENUM3 \* MERGEFORMAT </w:instrText>
                    </w:r>
                    <w:r>
                      <w:fldChar w:fldCharType="separate"/>
                    </w:r>
                    <w:r>
                      <w:rPr>
                        <w:rFonts w:hint="eastAsia"/>
                      </w:rPr>
                      <w:t>四十九</w:t>
                    </w:r>
                    <w:r>
                      <w:rPr>
                        <w:rFonts w:hint="eastAsia"/>
                      </w:rPr>
                      <w:fldChar w:fldCharType="end"/>
                    </w:r>
                    <w:r>
                      <w:rPr>
                        <w:rFonts w:hint="eastAsia"/>
                      </w:rPr>
                      <w:t xml:space="preserve"> 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8FCB3"/>
    <w:multiLevelType w:val="singleLevel"/>
    <w:tmpl w:val="A888FCB3"/>
    <w:lvl w:ilvl="0" w:tentative="0">
      <w:start w:val="1"/>
      <w:numFmt w:val="decimal"/>
      <w:lvlText w:val="%1."/>
      <w:lvlJc w:val="left"/>
      <w:pPr>
        <w:tabs>
          <w:tab w:val="left" w:pos="312"/>
        </w:tabs>
      </w:pPr>
    </w:lvl>
  </w:abstractNum>
  <w:abstractNum w:abstractNumId="1">
    <w:nsid w:val="BC5DB8B3"/>
    <w:multiLevelType w:val="singleLevel"/>
    <w:tmpl w:val="BC5DB8B3"/>
    <w:lvl w:ilvl="0" w:tentative="0">
      <w:start w:val="1"/>
      <w:numFmt w:val="decimal"/>
      <w:pStyle w:val="6"/>
      <w:lvlText w:val="%1."/>
      <w:lvlJc w:val="left"/>
      <w:pPr>
        <w:tabs>
          <w:tab w:val="left" w:pos="360"/>
        </w:tabs>
        <w:ind w:left="360" w:hanging="360"/>
      </w:pPr>
    </w:lvl>
  </w:abstractNum>
  <w:abstractNum w:abstractNumId="2">
    <w:nsid w:val="D16056B1"/>
    <w:multiLevelType w:val="singleLevel"/>
    <w:tmpl w:val="D16056B1"/>
    <w:lvl w:ilvl="0" w:tentative="0">
      <w:start w:val="1"/>
      <w:numFmt w:val="decimal"/>
      <w:lvlText w:val="%1."/>
      <w:lvlJc w:val="left"/>
      <w:pPr>
        <w:tabs>
          <w:tab w:val="left" w:pos="312"/>
        </w:tabs>
      </w:pPr>
    </w:lvl>
  </w:abstractNum>
  <w:abstractNum w:abstractNumId="3">
    <w:nsid w:val="59F5CDBD"/>
    <w:multiLevelType w:val="singleLevel"/>
    <w:tmpl w:val="59F5CDBD"/>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20B9B"/>
    <w:rsid w:val="000B1DD6"/>
    <w:rsid w:val="001636D1"/>
    <w:rsid w:val="002C7E10"/>
    <w:rsid w:val="00372F4F"/>
    <w:rsid w:val="00412D19"/>
    <w:rsid w:val="004C7007"/>
    <w:rsid w:val="005A1857"/>
    <w:rsid w:val="00605FD0"/>
    <w:rsid w:val="00775747"/>
    <w:rsid w:val="007831CB"/>
    <w:rsid w:val="008075F5"/>
    <w:rsid w:val="009B21AB"/>
    <w:rsid w:val="00B25FD8"/>
    <w:rsid w:val="00B4697D"/>
    <w:rsid w:val="00E06FE4"/>
    <w:rsid w:val="00FB4F14"/>
    <w:rsid w:val="0177684F"/>
    <w:rsid w:val="05136B1B"/>
    <w:rsid w:val="05791699"/>
    <w:rsid w:val="08435CEB"/>
    <w:rsid w:val="08681DD9"/>
    <w:rsid w:val="098742D0"/>
    <w:rsid w:val="0B35558B"/>
    <w:rsid w:val="0CA71C1D"/>
    <w:rsid w:val="0DF76C0C"/>
    <w:rsid w:val="0F2821C8"/>
    <w:rsid w:val="11220B9B"/>
    <w:rsid w:val="15257EDE"/>
    <w:rsid w:val="153A42FD"/>
    <w:rsid w:val="164D20BD"/>
    <w:rsid w:val="16A822A0"/>
    <w:rsid w:val="172D68B7"/>
    <w:rsid w:val="18CB0D37"/>
    <w:rsid w:val="19136501"/>
    <w:rsid w:val="19BC75FE"/>
    <w:rsid w:val="19E428FD"/>
    <w:rsid w:val="1A94636E"/>
    <w:rsid w:val="1B3F32CB"/>
    <w:rsid w:val="1BCB2E39"/>
    <w:rsid w:val="201566A2"/>
    <w:rsid w:val="203A6DC3"/>
    <w:rsid w:val="213210D5"/>
    <w:rsid w:val="2150435C"/>
    <w:rsid w:val="22D57409"/>
    <w:rsid w:val="22D82C6C"/>
    <w:rsid w:val="26432225"/>
    <w:rsid w:val="27277CAD"/>
    <w:rsid w:val="294318D0"/>
    <w:rsid w:val="2A700AD8"/>
    <w:rsid w:val="2FB70762"/>
    <w:rsid w:val="30970E53"/>
    <w:rsid w:val="32C000D9"/>
    <w:rsid w:val="33384BBD"/>
    <w:rsid w:val="33D55D7F"/>
    <w:rsid w:val="372E18BD"/>
    <w:rsid w:val="3881040D"/>
    <w:rsid w:val="3A4F7EB2"/>
    <w:rsid w:val="3A651B0A"/>
    <w:rsid w:val="3CCE61D6"/>
    <w:rsid w:val="4170165A"/>
    <w:rsid w:val="425216F2"/>
    <w:rsid w:val="43493BC6"/>
    <w:rsid w:val="434F0901"/>
    <w:rsid w:val="44C276B0"/>
    <w:rsid w:val="45CF7BE7"/>
    <w:rsid w:val="48813279"/>
    <w:rsid w:val="4939766B"/>
    <w:rsid w:val="493D6629"/>
    <w:rsid w:val="4A5B0AF2"/>
    <w:rsid w:val="4B7C1075"/>
    <w:rsid w:val="4C6931D5"/>
    <w:rsid w:val="4CB0728F"/>
    <w:rsid w:val="4D0139FA"/>
    <w:rsid w:val="4D614CC7"/>
    <w:rsid w:val="4E760FEF"/>
    <w:rsid w:val="4ECE4B06"/>
    <w:rsid w:val="4F915501"/>
    <w:rsid w:val="55AE732D"/>
    <w:rsid w:val="56663AA9"/>
    <w:rsid w:val="579D5FA7"/>
    <w:rsid w:val="581619CF"/>
    <w:rsid w:val="593607BF"/>
    <w:rsid w:val="59437CAE"/>
    <w:rsid w:val="59DF7AE0"/>
    <w:rsid w:val="5B9B4C0E"/>
    <w:rsid w:val="5E044A1E"/>
    <w:rsid w:val="5EA91EA8"/>
    <w:rsid w:val="615B4615"/>
    <w:rsid w:val="62B54D89"/>
    <w:rsid w:val="64ED1022"/>
    <w:rsid w:val="65AA6BD2"/>
    <w:rsid w:val="6787458F"/>
    <w:rsid w:val="6AE85976"/>
    <w:rsid w:val="6D535020"/>
    <w:rsid w:val="7361513B"/>
    <w:rsid w:val="74F9092E"/>
    <w:rsid w:val="75E40813"/>
    <w:rsid w:val="762719C3"/>
    <w:rsid w:val="76CB6726"/>
    <w:rsid w:val="779E09CB"/>
    <w:rsid w:val="78785CE9"/>
    <w:rsid w:val="79E67EB0"/>
    <w:rsid w:val="7E4A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2">
    <w:name w:val="heading 1"/>
    <w:basedOn w:val="1"/>
    <w:next w:val="1"/>
    <w:qFormat/>
    <w:uiPriority w:val="0"/>
    <w:pPr>
      <w:keepNext/>
      <w:keepLines/>
      <w:spacing w:line="480" w:lineRule="auto"/>
      <w:jc w:val="center"/>
      <w:outlineLvl w:val="0"/>
    </w:pPr>
    <w:rPr>
      <w:rFonts w:ascii="Calibri" w:hAnsi="Calibri" w:eastAsia="宋体"/>
      <w:b/>
      <w:kern w:val="44"/>
      <w:sz w:val="30"/>
    </w:rPr>
  </w:style>
  <w:style w:type="paragraph" w:styleId="3">
    <w:name w:val="heading 2"/>
    <w:basedOn w:val="1"/>
    <w:next w:val="1"/>
    <w:unhideWhenUsed/>
    <w:qFormat/>
    <w:uiPriority w:val="0"/>
    <w:pPr>
      <w:keepNext/>
      <w:keepLines/>
      <w:spacing w:line="360" w:lineRule="auto"/>
      <w:outlineLvl w:val="1"/>
    </w:pPr>
    <w:rPr>
      <w:rFonts w:ascii="Cambria" w:hAnsi="Cambria" w:eastAsia="宋体"/>
      <w:b/>
      <w:bCs/>
      <w:szCs w:val="32"/>
    </w:rPr>
  </w:style>
  <w:style w:type="paragraph" w:styleId="4">
    <w:name w:val="heading 3"/>
    <w:basedOn w:val="1"/>
    <w:next w:val="1"/>
    <w:link w:val="25"/>
    <w:unhideWhenUsed/>
    <w:qFormat/>
    <w:uiPriority w:val="0"/>
    <w:pPr>
      <w:keepNext/>
      <w:keepLines/>
      <w:jc w:val="left"/>
      <w:outlineLvl w:val="2"/>
    </w:pPr>
    <w:rPr>
      <w:rFonts w:ascii="Calibri" w:hAnsi="Calibri" w:eastAsia="宋体"/>
      <w:b/>
      <w:sz w:val="24"/>
    </w:rPr>
  </w:style>
  <w:style w:type="paragraph" w:styleId="5">
    <w:name w:val="heading 4"/>
    <w:basedOn w:val="1"/>
    <w:next w:val="1"/>
    <w:unhideWhenUsed/>
    <w:qFormat/>
    <w:uiPriority w:val="0"/>
    <w:pPr>
      <w:keepNext/>
      <w:keepLines/>
      <w:spacing w:line="372" w:lineRule="auto"/>
      <w:outlineLvl w:val="3"/>
    </w:pPr>
    <w:rPr>
      <w:rFonts w:ascii="Arial" w:hAnsi="Arial" w:eastAsia="黑体"/>
      <w:b/>
    </w:rPr>
  </w:style>
  <w:style w:type="character" w:default="1" w:styleId="15">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Body Text Indent"/>
    <w:basedOn w:val="1"/>
    <w:qFormat/>
    <w:uiPriority w:val="0"/>
    <w:pPr>
      <w:spacing w:line="200" w:lineRule="atLeast"/>
      <w:ind w:firstLine="301"/>
    </w:pPr>
    <w:rPr>
      <w:rFonts w:ascii="宋体" w:hAnsi="Courier New"/>
      <w:spacing w:val="-4"/>
      <w:sz w:val="18"/>
      <w:szCs w:val="20"/>
    </w:rPr>
  </w:style>
  <w:style w:type="paragraph" w:styleId="8">
    <w:name w:val="toc 3"/>
    <w:basedOn w:val="1"/>
    <w:next w:val="1"/>
    <w:qFormat/>
    <w:uiPriority w:val="0"/>
    <w:pPr>
      <w:ind w:left="840" w:leftChars="400"/>
    </w:pPr>
  </w:style>
  <w:style w:type="paragraph" w:styleId="9">
    <w:name w:val="Plain Text"/>
    <w:basedOn w:val="1"/>
    <w:qFormat/>
    <w:uiPriority w:val="0"/>
    <w:pPr>
      <w:spacing w:beforeLines="50" w:afterLines="50" w:line="400" w:lineRule="atLeast"/>
    </w:pPr>
    <w:rPr>
      <w:rFonts w:ascii="宋体" w:hAnsi="Courier New"/>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List"/>
    <w:basedOn w:val="1"/>
    <w:qFormat/>
    <w:uiPriority w:val="0"/>
    <w:pPr>
      <w:ind w:left="200" w:hanging="200" w:hangingChars="200"/>
    </w:pPr>
  </w:style>
  <w:style w:type="paragraph" w:styleId="14">
    <w:name w:val="toc 2"/>
    <w:basedOn w:val="1"/>
    <w:next w:val="1"/>
    <w:qFormat/>
    <w:uiPriority w:val="0"/>
    <w:pPr>
      <w:ind w:left="420" w:leftChars="200"/>
    </w:pPr>
  </w:style>
  <w:style w:type="character" w:styleId="16">
    <w:name w:val="Strong"/>
    <w:qFormat/>
    <w:uiPriority w:val="0"/>
    <w:rPr>
      <w:b/>
    </w:rPr>
  </w:style>
  <w:style w:type="character" w:styleId="17">
    <w:name w:val="page number"/>
    <w:basedOn w:val="15"/>
    <w:qFormat/>
    <w:uiPriority w:val="0"/>
  </w:style>
  <w:style w:type="character" w:styleId="18">
    <w:name w:val="Hyperlink"/>
    <w:qFormat/>
    <w:uiPriority w:val="0"/>
    <w:rPr>
      <w:color w:val="0000FF"/>
      <w:u w:val="single"/>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1">
    <w:name w:val="List Paragraph"/>
    <w:basedOn w:val="1"/>
    <w:qFormat/>
    <w:uiPriority w:val="0"/>
    <w:pPr>
      <w:ind w:firstLine="420" w:firstLineChars="200"/>
    </w:pPr>
    <w:rPr>
      <w:rFonts w:ascii="Calibri" w:hAnsi="Calibri"/>
      <w:sz w:val="21"/>
      <w:szCs w:val="22"/>
    </w:rPr>
  </w:style>
  <w:style w:type="paragraph" w:customStyle="1" w:styleId="2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23">
    <w:name w:val="默认段落字体 Para Char Char Char Char Char Char Char Char Char1 Char Char Char Char"/>
    <w:basedOn w:val="1"/>
    <w:qFormat/>
    <w:uiPriority w:val="0"/>
    <w:rPr>
      <w:rFonts w:ascii="Tahoma" w:hAnsi="Tahoma"/>
      <w:sz w:val="24"/>
      <w:szCs w:val="20"/>
    </w:rPr>
  </w:style>
  <w:style w:type="paragraph" w:customStyle="1" w:styleId="2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25">
    <w:name w:val="标题 3 Char"/>
    <w:link w:val="4"/>
    <w:qFormat/>
    <w:uiPriority w:val="0"/>
    <w:rPr>
      <w:rFonts w:ascii="Calibri" w:hAnsi="Calibri" w:eastAsia="宋体"/>
      <w:b/>
      <w:sz w:val="24"/>
    </w:rPr>
  </w:style>
  <w:style w:type="paragraph" w:customStyle="1" w:styleId="26">
    <w:name w:val="_Style 2"/>
    <w:qFormat/>
    <w:uiPriority w:val="0"/>
    <w:pPr>
      <w:widowControl w:val="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FE65F-579B-40F1-9E4B-F4C2EC55D6C6}">
  <ds:schemaRefs/>
</ds:datastoreItem>
</file>

<file path=docProps/app.xml><?xml version="1.0" encoding="utf-8"?>
<Properties xmlns="http://schemas.openxmlformats.org/officeDocument/2006/extended-properties" xmlns:vt="http://schemas.openxmlformats.org/officeDocument/2006/docPropsVTypes">
  <Template>0</Template>
  <Company>caa</Company>
  <Pages>49</Pages>
  <Words>3894</Words>
  <Characters>22201</Characters>
  <Lines>185</Lines>
  <Paragraphs>52</Paragraphs>
  <TotalTime>56</TotalTime>
  <ScaleCrop>false</ScaleCrop>
  <LinksUpToDate>false</LinksUpToDate>
  <CharactersWithSpaces>26043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2018-07-16T06:17:00Z</dcterms:created>
  <dc:creator>TZ</dc:creator>
  <cp:lastModifiedBy>TZ</cp:lastModifiedBy>
  <cp:lastPrinted>2018-08-02T08:31:00Z</cp:lastPrinted>
  <dcterms:modified xsi:type="dcterms:W3CDTF">2018-08-07T12:26:59Z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