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pacing w:line="460" w:lineRule="exact"/>
        <w:rPr>
          <w:color w:val="auto"/>
          <w:highlight w:val="none"/>
        </w:rPr>
      </w:pPr>
      <w:bookmarkStart w:id="14" w:name="_GoBack"/>
      <w:bookmarkStart w:id="0" w:name="_Toc22076"/>
      <w:r>
        <w:rPr>
          <w:rFonts w:hint="eastAsia"/>
          <w:color w:val="auto"/>
          <w:highlight w:val="none"/>
        </w:rPr>
        <w:t>具体要求</w:t>
      </w:r>
      <w:bookmarkEnd w:id="0"/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1、成型方式；采用喷头喷出光敏树脂材料，经紫外光固化后成型，打印出的零件具有良好的表面质量；</w:t>
      </w:r>
    </w:p>
    <w:p>
      <w:pPr>
        <w:spacing w:line="460" w:lineRule="exact"/>
        <w:ind w:firstLine="456" w:firstLineChars="20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pacing w:val="-6"/>
          <w:sz w:val="24"/>
          <w:highlight w:val="none"/>
        </w:rPr>
        <w:t>★</w:t>
      </w:r>
      <w:r>
        <w:rPr>
          <w:rFonts w:hint="eastAsia"/>
          <w:color w:val="auto"/>
          <w:sz w:val="24"/>
          <w:highlight w:val="none"/>
        </w:rPr>
        <w:t>2、</w:t>
      </w:r>
      <w:r>
        <w:rPr>
          <w:rFonts w:hint="eastAsia"/>
          <w:color w:val="auto"/>
          <w:sz w:val="24"/>
          <w:highlight w:val="none"/>
        </w:rPr>
        <w:t>构建体积；不小于290mm*190mm*145mm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3、XY分辨率</w:t>
      </w:r>
      <w:r>
        <w:rPr>
          <w:rFonts w:hint="eastAsia"/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X 轴; 不小于500 dpi；Y 轴方向：不小于500 dpi，Z轴分辨率不小于800dpi</w:t>
      </w:r>
    </w:p>
    <w:p>
      <w:pPr>
        <w:spacing w:line="460" w:lineRule="exact"/>
        <w:ind w:firstLine="456" w:firstLineChars="20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pacing w:val="-6"/>
          <w:sz w:val="24"/>
          <w:highlight w:val="none"/>
        </w:rPr>
        <w:t>★</w:t>
      </w:r>
      <w:r>
        <w:rPr>
          <w:rFonts w:hint="eastAsia"/>
          <w:color w:val="auto"/>
          <w:sz w:val="24"/>
          <w:highlight w:val="none"/>
        </w:rPr>
        <w:t>4、</w:t>
      </w:r>
      <w:r>
        <w:rPr>
          <w:rFonts w:hint="eastAsia"/>
          <w:color w:val="auto"/>
          <w:sz w:val="24"/>
          <w:highlight w:val="none"/>
        </w:rPr>
        <w:t>使用材料5种以上模型材料；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耐高温材料；用于高级功能测试、热空气和水流测试以及静态应用。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透明材料；用于制作尺寸稳定、表面光滑的透明和有色产品原型。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类聚丙烯材料；坚固耐用，可制造具有活动铰链、灵活闭合装置和卡扣部件的光滑原型。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橡胶材料；适用于多种要求防滑或柔软表面的应用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支撑材料：支撑无毒凝胶光敏树脂支撑材料或者水溶性支撑材料</w:t>
      </w:r>
      <w:r>
        <w:rPr>
          <w:rFonts w:hint="eastAsia"/>
          <w:color w:val="auto"/>
          <w:sz w:val="24"/>
          <w:highlight w:val="none"/>
        </w:rPr>
        <w:t>；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5、光源；</w:t>
      </w:r>
      <w:r>
        <w:rPr>
          <w:rFonts w:hint="eastAsia"/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UV紫外光灯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6、数据格式；</w:t>
      </w:r>
      <w:r>
        <w:rPr>
          <w:rFonts w:hint="eastAsia"/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打印数据格式；STL，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7、分层厚度；</w:t>
      </w:r>
      <w:r>
        <w:rPr>
          <w:rFonts w:hint="eastAsia"/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不大于28µm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8、法律合规；</w:t>
      </w:r>
      <w:r>
        <w:rPr>
          <w:rFonts w:hint="eastAsia"/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CE/FCC/RoHS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9、电源；</w:t>
      </w:r>
      <w:r>
        <w:rPr>
          <w:rFonts w:hint="eastAsia"/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由220V/50Hz/单相 接入或转接</w:t>
      </w:r>
    </w:p>
    <w:p>
      <w:pPr>
        <w:spacing w:line="460" w:lineRule="exact"/>
        <w:ind w:firstLine="456" w:firstLineChars="20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pacing w:val="-6"/>
          <w:sz w:val="24"/>
          <w:highlight w:val="none"/>
        </w:rPr>
        <w:t>★</w:t>
      </w:r>
      <w:r>
        <w:rPr>
          <w:rFonts w:hint="eastAsia"/>
          <w:color w:val="auto"/>
          <w:sz w:val="24"/>
          <w:highlight w:val="none"/>
        </w:rPr>
        <w:t>10、</w:t>
      </w:r>
      <w:r>
        <w:rPr>
          <w:rFonts w:hint="eastAsia"/>
          <w:color w:val="auto"/>
          <w:sz w:val="24"/>
          <w:highlight w:val="none"/>
        </w:rPr>
        <w:t>材料盒</w:t>
      </w:r>
      <w:r>
        <w:rPr>
          <w:rFonts w:hint="eastAsia"/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；材料盒为密封包装，可容纳2组1kg（含）以上的材料盒。设备可同时装载一组模型和一组支撑材料；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11、精确度</w:t>
      </w:r>
      <w:r>
        <w:rPr>
          <w:rFonts w:hint="eastAsia"/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对于小于50mm的模型为20-85μm；对于全尺寸模型不超过200μm；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12、软件操作</w:t>
      </w:r>
      <w:r>
        <w:rPr>
          <w:rFonts w:hint="eastAsia"/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操作软件如下：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a)保证整套系统兼容性，软件与硬件为同一制造厂商；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b)支持快速高效的构建高质量、高详细程度而且精确的模型。支持来自任何三维CAD应用程序的STL文件；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c)提供简单的“点击并构建”准备与制作托盘编辑功能，提供便捷的准确作业评估和完成的作业控制，包括队列管理；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e)自动支撑生成；网络功能支持多个用户；自动布置托盘确保精确一致的定位；直观、向导指引的维护功能延长正常运行时间。自动布置托盘确保精确一致的定位，自动实时支撑结构生成，即时制作功能，智能材料管理系统，支持网络功能。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13、使用环境</w:t>
      </w:r>
      <w:r>
        <w:rPr>
          <w:rFonts w:hint="eastAsia"/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办公环境即可。温度 18 C-25 C (64 F-77 F)；相对湿度 30-70 %（不凝结）</w:t>
      </w:r>
    </w:p>
    <w:p>
      <w:pPr>
        <w:spacing w:line="460" w:lineRule="exact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14、模型后处理</w:t>
      </w:r>
      <w:r>
        <w:rPr>
          <w:rFonts w:hint="eastAsia"/>
          <w:color w:val="auto"/>
          <w:sz w:val="24"/>
          <w:highlight w:val="none"/>
        </w:rPr>
        <w:tab/>
      </w:r>
      <w:r>
        <w:rPr>
          <w:rFonts w:hint="eastAsia"/>
          <w:color w:val="auto"/>
          <w:sz w:val="24"/>
          <w:highlight w:val="none"/>
        </w:rPr>
        <w:t>后处理便捷；无需多次处理，无需多套设备处理</w:t>
      </w:r>
    </w:p>
    <w:p>
      <w:pPr>
        <w:spacing w:line="460" w:lineRule="exact"/>
        <w:ind w:firstLine="480" w:firstLineChars="200"/>
        <w:rPr>
          <w:rFonts w:ascii="Calibri" w:hAnsi="Calibri" w:eastAsia="宋体" w:cs="Times New Roman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15、</w:t>
      </w:r>
      <w:r>
        <w:rPr>
          <w:rFonts w:hint="eastAsia" w:ascii="Calibri" w:hAnsi="Calibri" w:eastAsia="宋体" w:cs="Times New Roman"/>
          <w:color w:val="auto"/>
          <w:sz w:val="24"/>
          <w:highlight w:val="none"/>
        </w:rPr>
        <w:t>提供原厂出具的针对本项目的授权书。</w:t>
      </w:r>
    </w:p>
    <w:p>
      <w:pPr>
        <w:rPr>
          <w:color w:val="auto"/>
          <w:highlight w:val="none"/>
        </w:rPr>
      </w:pPr>
    </w:p>
    <w:p>
      <w:pPr>
        <w:pStyle w:val="2"/>
        <w:spacing w:line="460" w:lineRule="exact"/>
        <w:rPr>
          <w:rFonts w:ascii="宋体" w:hAnsi="宋体"/>
          <w:color w:val="auto"/>
          <w:spacing w:val="-6"/>
          <w:sz w:val="21"/>
          <w:szCs w:val="21"/>
          <w:highlight w:val="none"/>
        </w:rPr>
      </w:pPr>
      <w:bookmarkStart w:id="1" w:name="_Toc19879"/>
      <w:r>
        <w:rPr>
          <w:rFonts w:hint="eastAsia"/>
          <w:color w:val="auto"/>
          <w:highlight w:val="none"/>
        </w:rPr>
        <w:t>三、商务条款</w:t>
      </w:r>
      <w:bookmarkEnd w:id="1"/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color w:val="auto"/>
          <w:highlight w:val="none"/>
        </w:rPr>
      </w:pPr>
      <w:bookmarkStart w:id="2" w:name="_Toc501022786"/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1、供货期</w:t>
      </w:r>
      <w:bookmarkEnd w:id="2"/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合同签订之日起按要求30天内交货。</w:t>
      </w:r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color w:val="auto"/>
          <w:highlight w:val="none"/>
        </w:rPr>
      </w:pPr>
      <w:bookmarkStart w:id="3" w:name="_Toc501022787"/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2、质保期</w:t>
      </w:r>
      <w:bookmarkEnd w:id="3"/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2年。</w:t>
      </w:r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color w:val="auto"/>
          <w:highlight w:val="none"/>
        </w:rPr>
      </w:pPr>
      <w:bookmarkStart w:id="4" w:name="_Toc501022788"/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3、保存和运输要求</w:t>
      </w:r>
      <w:bookmarkEnd w:id="4"/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送货至指定地点</w:t>
      </w:r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color w:val="auto"/>
          <w:highlight w:val="none"/>
        </w:rPr>
      </w:pPr>
      <w:bookmarkStart w:id="5" w:name="_Toc501022789"/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4、验收标准</w:t>
      </w:r>
      <w:bookmarkEnd w:id="5"/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成交人须按国家有关规定及标准完成本次竞争性磋商货物的供货、运输、检验等。如成交，成交人及制造商对成交产品使用的质量、安全性能与检测结果的可靠性负全部责任。按中国美术学院标准验收和确认。</w:t>
      </w:r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color w:val="auto"/>
          <w:highlight w:val="none"/>
        </w:rPr>
      </w:pPr>
      <w:bookmarkStart w:id="6" w:name="_Toc501022790"/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5、售后服务</w:t>
      </w:r>
      <w:bookmarkEnd w:id="6"/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 xml:space="preserve"> 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要求24小时内响应，每个季度提供上门咨询，听取使用意见。</w:t>
      </w:r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color w:val="auto"/>
          <w:highlight w:val="none"/>
        </w:rPr>
      </w:pPr>
      <w:bookmarkStart w:id="7" w:name="_Toc501022791"/>
      <w:bookmarkStart w:id="8" w:name="_Toc462303721"/>
      <w:bookmarkStart w:id="9" w:name="_Toc462392356"/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6、履约保证金及质量保证金</w:t>
      </w:r>
      <w:bookmarkEnd w:id="7"/>
      <w:bookmarkEnd w:id="8"/>
      <w:bookmarkEnd w:id="9"/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6.1成交供应商在合同签订之日起5天内向采购人指定的账户缴纳合同总价5%的履约保证金。履约保证金的交付方式：支票、汇票、本票或保函等非现金方式。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6.2履约保证金在货到安装、调试验收合格后，转为质量保证金。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6.3质量保证金在质保期满，确认成交供应商无违约行为并经审计后一周内无息返还。</w:t>
      </w:r>
    </w:p>
    <w:p>
      <w:pPr>
        <w:pStyle w:val="3"/>
        <w:spacing w:line="440" w:lineRule="exact"/>
        <w:rPr>
          <w:rFonts w:asciiTheme="minorEastAsia" w:hAnsiTheme="minorEastAsia" w:eastAsiaTheme="minorEastAsia" w:cstheme="minorEastAsia"/>
          <w:color w:val="auto"/>
          <w:highlight w:val="none"/>
        </w:rPr>
      </w:pPr>
      <w:bookmarkStart w:id="10" w:name="_Toc501022792"/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7付款方式</w:t>
      </w:r>
      <w:bookmarkEnd w:id="10"/>
    </w:p>
    <w:p>
      <w:pPr>
        <w:spacing w:line="440" w:lineRule="exact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货物最终验收后，甲方支付合同总价款的100%</w:t>
      </w:r>
    </w:p>
    <w:p>
      <w:pPr>
        <w:pStyle w:val="3"/>
        <w:spacing w:line="440" w:lineRule="exact"/>
        <w:rPr>
          <w:color w:val="auto"/>
          <w:highlight w:val="none"/>
        </w:rPr>
      </w:pPr>
      <w:bookmarkStart w:id="11" w:name="_Toc20417"/>
      <w:r>
        <w:rPr>
          <w:rFonts w:hint="eastAsia"/>
          <w:color w:val="auto"/>
          <w:highlight w:val="none"/>
        </w:rPr>
        <w:t>8、合同履行</w:t>
      </w:r>
      <w:bookmarkEnd w:id="11"/>
    </w:p>
    <w:p>
      <w:pPr>
        <w:spacing w:line="440" w:lineRule="exact"/>
        <w:ind w:firstLine="480"/>
        <w:rPr>
          <w:rFonts w:ascii="宋体" w:hAnsi="宋体" w:cs="宋体"/>
          <w:color w:val="auto"/>
          <w:sz w:val="24"/>
          <w:szCs w:val="32"/>
          <w:highlight w:val="none"/>
        </w:rPr>
      </w:pPr>
      <w:r>
        <w:rPr>
          <w:rFonts w:hint="eastAsia" w:ascii="宋体" w:hAnsi="宋体" w:cs="宋体"/>
          <w:color w:val="auto"/>
          <w:sz w:val="24"/>
          <w:szCs w:val="32"/>
          <w:highlight w:val="none"/>
        </w:rPr>
        <w:t>必须由投标主体履行合同。</w:t>
      </w:r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color w:val="auto"/>
          <w:highlight w:val="none"/>
        </w:rPr>
      </w:pPr>
      <w:bookmarkStart w:id="12" w:name="_Toc16554"/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9、培训</w:t>
      </w:r>
      <w:bookmarkEnd w:id="12"/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9.1中标人应对采购人的操作人员、维修人员免费进行培训。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9.2中标人应提供相应的培训计划。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9.3中标人应对上述内容的实现方式、地点、人数、时间在投标文件中详细说明。（请附加培训计划书）提供不少于3人次的现场技术培训。</w:t>
      </w:r>
    </w:p>
    <w:p>
      <w:pPr>
        <w:pStyle w:val="3"/>
        <w:spacing w:line="360" w:lineRule="auto"/>
        <w:rPr>
          <w:rFonts w:asciiTheme="minorEastAsia" w:hAnsiTheme="minorEastAsia" w:eastAsiaTheme="minorEastAsia" w:cstheme="minorEastAsia"/>
          <w:color w:val="auto"/>
          <w:highlight w:val="none"/>
        </w:rPr>
      </w:pPr>
      <w:bookmarkStart w:id="13" w:name="_Toc1878"/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10、安装调试</w:t>
      </w:r>
      <w:bookmarkEnd w:id="13"/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10.1安装地点：采购人指定地点。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10.2安装完成时间：接到用户电话通知后在7日内完成安装和调试（“投标人须知前附表”有规定的除外），如在规定的时间内由于中标人的原因不能完成安装和调试，中标人应承担由此给采购人造成的损失。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10.3安装标准：符合我国国家有关技术规范要求和技术标准，所有的软件和硬件必须保证同时安装到位。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10.4中标人应免费提供合同货物的安装服务。</w:t>
      </w:r>
    </w:p>
    <w:p>
      <w:pPr>
        <w:rPr>
          <w:color w:val="auto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10.5中标人在投标文件中应提供安装调试计划、对安装场地和环境的要求。</w:t>
      </w:r>
    </w:p>
    <w:bookmarkEnd w:id="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5CDBD"/>
    <w:multiLevelType w:val="singleLevel"/>
    <w:tmpl w:val="59F5CD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A2C27"/>
    <w:rsid w:val="052561F7"/>
    <w:rsid w:val="22940D1D"/>
    <w:rsid w:val="281B2447"/>
    <w:rsid w:val="2E9A2C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Cambria" w:hAnsi="Cambria" w:eastAsia="宋体"/>
      <w:b/>
      <w:bCs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ascii="Calibri" w:hAnsi="Calibri" w:eastAsia="宋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2018-07-24T01:20:00Z</dcterms:created>
  <dc:creator>TZ</dc:creator>
  <cp:lastModifiedBy>TZ</cp:lastModifiedBy>
  <dcterms:modified xsi:type="dcterms:W3CDTF">2018-07-24T05:12:01Z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