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 xml:space="preserve"> </w:t>
      </w: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cs="宋体"/>
          <w:b/>
          <w:bCs/>
          <w:color w:val="auto"/>
          <w:sz w:val="48"/>
          <w:szCs w:val="48"/>
        </w:rPr>
        <w:t>庵东镇教育办公室</w:t>
      </w:r>
    </w:p>
    <w:p>
      <w:pPr>
        <w:spacing w:line="600" w:lineRule="auto"/>
        <w:ind w:firstLine="964"/>
        <w:jc w:val="center"/>
        <w:rPr>
          <w:rFonts w:hint="eastAsia" w:ascii="宋体" w:hAnsi="宋体" w:eastAsia="宋体" w:cs="宋体"/>
          <w:b/>
          <w:bCs/>
          <w:color w:val="auto"/>
          <w:sz w:val="48"/>
          <w:szCs w:val="48"/>
          <w:highlight w:val="none"/>
        </w:rPr>
      </w:pPr>
    </w:p>
    <w:p>
      <w:pPr>
        <w:snapToGrid w:val="0"/>
        <w:ind w:firstLine="0" w:firstLineChars="0"/>
        <w:rPr>
          <w:rFonts w:hint="eastAsia" w:ascii="宋体" w:hAnsi="宋体" w:eastAsia="宋体" w:cs="宋体"/>
          <w:b/>
          <w:color w:val="auto"/>
          <w:sz w:val="72"/>
          <w:szCs w:val="72"/>
          <w:highlight w:val="none"/>
        </w:rPr>
      </w:pPr>
    </w:p>
    <w:p>
      <w:pPr>
        <w:pStyle w:val="48"/>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napToGrid w:val="0"/>
        <w:ind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pPr>
        <w:pStyle w:val="11"/>
        <w:rPr>
          <w:rFonts w:hint="eastAsia" w:ascii="宋体" w:hAnsi="宋体" w:eastAsia="宋体" w:cs="宋体"/>
          <w:b/>
          <w:color w:val="auto"/>
          <w:sz w:val="40"/>
          <w:szCs w:val="28"/>
          <w:highlight w:val="none"/>
        </w:rPr>
      </w:pPr>
    </w:p>
    <w:p>
      <w:pPr>
        <w:pStyle w:val="11"/>
        <w:rPr>
          <w:rFonts w:hint="eastAsia" w:ascii="宋体" w:hAnsi="宋体" w:eastAsia="宋体" w:cs="宋体"/>
          <w:b/>
          <w:color w:val="auto"/>
          <w:sz w:val="40"/>
          <w:szCs w:val="28"/>
          <w:highlight w:val="none"/>
        </w:rPr>
      </w:pPr>
    </w:p>
    <w:p>
      <w:pPr>
        <w:pStyle w:val="48"/>
        <w:rPr>
          <w:rFonts w:hint="eastAsia" w:ascii="宋体" w:hAnsi="宋体" w:eastAsia="宋体" w:cs="宋体"/>
          <w:color w:val="auto"/>
          <w:highlight w:val="none"/>
        </w:rPr>
      </w:pPr>
    </w:p>
    <w:p>
      <w:pPr>
        <w:pStyle w:val="49"/>
        <w:rPr>
          <w:rFonts w:hint="eastAsia"/>
          <w:color w:val="auto"/>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firstLine="643"/>
        <w:rPr>
          <w:rFonts w:hint="eastAsia" w:cs="宋体"/>
          <w:b/>
          <w:bCs/>
          <w:color w:val="auto"/>
          <w:sz w:val="32"/>
          <w:szCs w:val="32"/>
          <w:highlight w:val="none"/>
          <w:lang w:val="en-US" w:eastAsia="zh-CN"/>
        </w:rPr>
      </w:pPr>
      <w:r>
        <w:rPr>
          <w:rFonts w:hint="eastAsia" w:cs="宋体"/>
          <w:b/>
          <w:bCs/>
          <w:color w:val="auto"/>
          <w:sz w:val="32"/>
          <w:szCs w:val="32"/>
          <w:highlight w:val="none"/>
          <w:lang w:val="en-US" w:eastAsia="zh-CN"/>
        </w:rPr>
        <w:t>项目名称：庵东实验学校、东一小学、西一小学、中心小学和西二小学智能护眼灯采购项目</w:t>
      </w:r>
    </w:p>
    <w:p>
      <w:pPr>
        <w:snapToGrid w:val="0"/>
        <w:ind w:firstLine="643"/>
        <w:rPr>
          <w:rFonts w:hint="eastAsia" w:cs="宋体"/>
          <w:b/>
          <w:bCs/>
          <w:color w:val="auto"/>
          <w:sz w:val="32"/>
          <w:szCs w:val="32"/>
          <w:highlight w:val="none"/>
          <w:lang w:val="en-US" w:eastAsia="zh-CN"/>
        </w:rPr>
      </w:pPr>
      <w:r>
        <w:rPr>
          <w:rFonts w:hint="eastAsia" w:cs="宋体"/>
          <w:b/>
          <w:bCs/>
          <w:color w:val="auto"/>
          <w:sz w:val="32"/>
          <w:szCs w:val="32"/>
          <w:highlight w:val="none"/>
          <w:lang w:val="en-US" w:eastAsia="zh-CN"/>
        </w:rPr>
        <w:t>招标编号：庵采2108</w:t>
      </w:r>
    </w:p>
    <w:p>
      <w:pPr>
        <w:snapToGrid w:val="0"/>
        <w:ind w:firstLine="643"/>
        <w:rPr>
          <w:rFonts w:hint="eastAsia" w:cs="宋体"/>
          <w:b/>
          <w:bCs/>
          <w:color w:val="auto"/>
          <w:sz w:val="32"/>
          <w:szCs w:val="32"/>
          <w:highlight w:val="none"/>
          <w:lang w:val="en-US" w:eastAsia="zh-CN"/>
        </w:rPr>
      </w:pPr>
      <w:r>
        <w:rPr>
          <w:rFonts w:hint="eastAsia" w:cs="宋体"/>
          <w:b/>
          <w:bCs/>
          <w:color w:val="auto"/>
          <w:sz w:val="32"/>
          <w:szCs w:val="32"/>
          <w:highlight w:val="none"/>
          <w:lang w:val="en-US" w:eastAsia="zh-CN"/>
        </w:rPr>
        <w:t>采 购 人：庵东镇教育办公室</w:t>
      </w:r>
    </w:p>
    <w:p>
      <w:pPr>
        <w:snapToGrid w:val="0"/>
        <w:ind w:firstLine="643"/>
        <w:rPr>
          <w:rFonts w:hint="eastAsia" w:cs="宋体"/>
          <w:b/>
          <w:bCs/>
          <w:color w:val="auto"/>
          <w:sz w:val="32"/>
          <w:szCs w:val="32"/>
          <w:highlight w:val="none"/>
          <w:lang w:val="en-US" w:eastAsia="zh-CN"/>
        </w:rPr>
      </w:pPr>
      <w:r>
        <w:rPr>
          <w:rFonts w:hint="eastAsia" w:cs="宋体"/>
          <w:b/>
          <w:bCs/>
          <w:color w:val="auto"/>
          <w:sz w:val="32"/>
          <w:szCs w:val="32"/>
          <w:highlight w:val="none"/>
          <w:lang w:val="en-US" w:eastAsia="zh-CN"/>
        </w:rPr>
        <w:t>代理机构：浙江五石工程咨询有限公司</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时    间：二〇二一年</w:t>
      </w:r>
      <w:r>
        <w:rPr>
          <w:rFonts w:hint="eastAsia" w:cs="宋体"/>
          <w:b/>
          <w:bCs/>
          <w:color w:val="auto"/>
          <w:sz w:val="32"/>
          <w:szCs w:val="32"/>
          <w:highlight w:val="none"/>
          <w:lang w:eastAsia="zh-CN"/>
        </w:rPr>
        <w:t>七</w:t>
      </w:r>
      <w:r>
        <w:rPr>
          <w:rFonts w:hint="eastAsia" w:ascii="宋体" w:hAnsi="宋体" w:eastAsia="宋体" w:cs="宋体"/>
          <w:b/>
          <w:bCs/>
          <w:color w:val="auto"/>
          <w:sz w:val="32"/>
          <w:szCs w:val="32"/>
          <w:highlight w:val="none"/>
        </w:rPr>
        <w:t>月</w:t>
      </w:r>
    </w:p>
    <w:p>
      <w:pPr>
        <w:pStyle w:val="48"/>
        <w:rPr>
          <w:rFonts w:hint="eastAsia" w:ascii="宋体" w:hAnsi="宋体" w:eastAsia="宋体" w:cs="宋体"/>
          <w:color w:val="auto"/>
          <w:highlight w:val="none"/>
        </w:rPr>
      </w:pPr>
    </w:p>
    <w:p>
      <w:pPr>
        <w:snapToGrid w:val="0"/>
        <w:ind w:firstLine="643"/>
        <w:rPr>
          <w:rFonts w:hint="eastAsia" w:ascii="宋体" w:hAnsi="宋体" w:eastAsia="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pPr>
    </w:p>
    <w:p>
      <w:pPr>
        <w:pStyle w:val="34"/>
        <w:tabs>
          <w:tab w:val="right" w:leader="dot" w:pos="8306"/>
          <w:tab w:val="clear" w:pos="8296"/>
        </w:tabs>
        <w:ind w:left="480"/>
        <w:jc w:val="center"/>
        <w:rPr>
          <w:rFonts w:hint="eastAsia" w:ascii="宋体" w:hAnsi="宋体" w:eastAsia="宋体" w:cs="宋体"/>
          <w:b/>
          <w:bCs/>
          <w:color w:val="auto"/>
          <w:sz w:val="36"/>
          <w:szCs w:val="36"/>
          <w:highlight w:val="none"/>
          <w:lang w:val="zh-CN"/>
        </w:rPr>
      </w:pPr>
      <w:bookmarkStart w:id="0" w:name="_Toc32639"/>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bookmarkEnd w:id="0"/>
    </w:p>
    <w:p>
      <w:pPr>
        <w:bidi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"1-2" \h \z \u </w:instrText>
      </w:r>
      <w:r>
        <w:rPr>
          <w:rFonts w:hint="eastAsia" w:ascii="宋体" w:hAnsi="宋体" w:eastAsia="宋体" w:cs="宋体"/>
          <w:color w:val="auto"/>
          <w:highlight w:val="none"/>
        </w:rPr>
        <w:fldChar w:fldCharType="separate"/>
      </w:r>
    </w:p>
    <w:p>
      <w:pPr>
        <w:pStyle w:val="29"/>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_Toc19596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_Toc19596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项目需求说明</w:t>
      </w:r>
      <w:r>
        <w:rPr>
          <w:color w:val="auto"/>
          <w:highlight w:val="none"/>
        </w:rPr>
        <w:tab/>
      </w:r>
      <w:r>
        <w:rPr>
          <w:color w:val="auto"/>
          <w:highlight w:val="none"/>
        </w:rPr>
        <w:fldChar w:fldCharType="begin"/>
      </w:r>
      <w:r>
        <w:rPr>
          <w:color w:val="auto"/>
          <w:highlight w:val="none"/>
        </w:rPr>
        <w:instrText xml:space="preserve"> PAGEREF _Toc6146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_Toc5760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_Toc5760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_Toc8778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前 附 表</w:t>
      </w:r>
      <w:r>
        <w:rPr>
          <w:color w:val="auto"/>
          <w:highlight w:val="none"/>
        </w:rPr>
        <w:tab/>
      </w:r>
      <w:r>
        <w:rPr>
          <w:color w:val="auto"/>
          <w:highlight w:val="none"/>
        </w:rPr>
        <w:fldChar w:fldCharType="begin"/>
      </w:r>
      <w:r>
        <w:rPr>
          <w:color w:val="auto"/>
          <w:highlight w:val="none"/>
        </w:rPr>
        <w:instrText xml:space="preserve"> PAGEREF _Toc8778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总 则</w:t>
      </w:r>
      <w:r>
        <w:rPr>
          <w:color w:val="auto"/>
          <w:highlight w:val="none"/>
        </w:rPr>
        <w:tab/>
      </w:r>
      <w:r>
        <w:rPr>
          <w:color w:val="auto"/>
          <w:highlight w:val="none"/>
        </w:rPr>
        <w:fldChar w:fldCharType="begin"/>
      </w:r>
      <w:r>
        <w:rPr>
          <w:color w:val="auto"/>
          <w:highlight w:val="none"/>
        </w:rPr>
        <w:instrText xml:space="preserve"> PAGEREF _Toc14541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_Toc27084 </w:instrText>
      </w:r>
      <w:r>
        <w:rPr>
          <w:rFonts w:hint="eastAsia" w:ascii="宋体" w:hAnsi="宋体" w:eastAsia="宋体" w:cs="宋体"/>
          <w:color w:val="auto"/>
          <w:highlight w:val="none"/>
        </w:rPr>
        <w:fldChar w:fldCharType="separate"/>
      </w:r>
      <w:r>
        <w:rPr>
          <w:rFonts w:hint="eastAsia"/>
          <w:color w:val="auto"/>
          <w:highlight w:val="none"/>
        </w:rPr>
        <w:t>第二节 招标文件的构成、澄清、修改</w:t>
      </w:r>
      <w:r>
        <w:rPr>
          <w:color w:val="auto"/>
          <w:highlight w:val="none"/>
        </w:rPr>
        <w:tab/>
      </w:r>
      <w:r>
        <w:rPr>
          <w:color w:val="auto"/>
          <w:highlight w:val="none"/>
        </w:rPr>
        <w:fldChar w:fldCharType="begin"/>
      </w:r>
      <w:r>
        <w:rPr>
          <w:color w:val="auto"/>
          <w:highlight w:val="none"/>
        </w:rPr>
        <w:instrText xml:space="preserve"> PAGEREF _Toc27084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_Toc21160 </w:instrText>
      </w:r>
      <w:r>
        <w:rPr>
          <w:rFonts w:hint="eastAsia" w:ascii="宋体" w:hAnsi="宋体" w:eastAsia="宋体" w:cs="宋体"/>
          <w:color w:val="auto"/>
          <w:highlight w:val="none"/>
        </w:rPr>
        <w:fldChar w:fldCharType="separate"/>
      </w:r>
      <w:r>
        <w:rPr>
          <w:rFonts w:hint="eastAsia"/>
          <w:color w:val="auto"/>
          <w:highlight w:val="none"/>
        </w:rPr>
        <w:t>第三节 投标文件</w:t>
      </w:r>
      <w:r>
        <w:rPr>
          <w:color w:val="auto"/>
          <w:highlight w:val="none"/>
        </w:rPr>
        <w:tab/>
      </w:r>
      <w:r>
        <w:rPr>
          <w:color w:val="auto"/>
          <w:highlight w:val="none"/>
        </w:rPr>
        <w:fldChar w:fldCharType="begin"/>
      </w:r>
      <w:r>
        <w:rPr>
          <w:color w:val="auto"/>
          <w:highlight w:val="none"/>
        </w:rPr>
        <w:instrText xml:space="preserve"> PAGEREF _Toc21160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_Toc22584 </w:instrText>
      </w:r>
      <w:r>
        <w:rPr>
          <w:rFonts w:hint="eastAsia" w:ascii="宋体" w:hAnsi="宋体" w:eastAsia="宋体" w:cs="宋体"/>
          <w:color w:val="auto"/>
          <w:highlight w:val="none"/>
        </w:rPr>
        <w:fldChar w:fldCharType="separate"/>
      </w:r>
      <w:r>
        <w:rPr>
          <w:rFonts w:hint="eastAsia" w:ascii="宋体" w:hAnsi="宋体" w:eastAsia="宋体"/>
          <w:color w:val="auto"/>
          <w:highlight w:val="none"/>
        </w:rPr>
        <w:t>第四节 投标文件的递交</w:t>
      </w:r>
      <w:r>
        <w:rPr>
          <w:color w:val="auto"/>
          <w:highlight w:val="none"/>
        </w:rPr>
        <w:tab/>
      </w:r>
      <w:r>
        <w:rPr>
          <w:color w:val="auto"/>
          <w:highlight w:val="none"/>
        </w:rPr>
        <w:fldChar w:fldCharType="begin"/>
      </w:r>
      <w:r>
        <w:rPr>
          <w:color w:val="auto"/>
          <w:highlight w:val="none"/>
        </w:rPr>
        <w:instrText xml:space="preserve"> PAGEREF _Toc22584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_Toc11276 </w:instrText>
      </w:r>
      <w:r>
        <w:rPr>
          <w:rFonts w:hint="eastAsia" w:ascii="宋体" w:hAnsi="宋体" w:eastAsia="宋体" w:cs="宋体"/>
          <w:color w:val="auto"/>
          <w:highlight w:val="none"/>
        </w:rPr>
        <w:fldChar w:fldCharType="separate"/>
      </w:r>
      <w:r>
        <w:rPr>
          <w:rFonts w:hint="eastAsia"/>
          <w:color w:val="auto"/>
          <w:highlight w:val="none"/>
        </w:rPr>
        <w:t>第五节 开标</w:t>
      </w:r>
      <w:r>
        <w:rPr>
          <w:color w:val="auto"/>
          <w:highlight w:val="none"/>
        </w:rPr>
        <w:tab/>
      </w:r>
      <w:r>
        <w:rPr>
          <w:color w:val="auto"/>
          <w:highlight w:val="none"/>
        </w:rPr>
        <w:fldChar w:fldCharType="begin"/>
      </w:r>
      <w:r>
        <w:rPr>
          <w:color w:val="auto"/>
          <w:highlight w:val="none"/>
        </w:rPr>
        <w:instrText xml:space="preserve"> PAGEREF _Toc11276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_Toc21559 </w:instrText>
      </w:r>
      <w:r>
        <w:rPr>
          <w:rFonts w:hint="eastAsia" w:ascii="宋体" w:hAnsi="宋体" w:eastAsia="宋体" w:cs="宋体"/>
          <w:color w:val="auto"/>
          <w:highlight w:val="none"/>
        </w:rPr>
        <w:fldChar w:fldCharType="separate"/>
      </w:r>
      <w:r>
        <w:rPr>
          <w:rFonts w:hint="eastAsia"/>
          <w:color w:val="auto"/>
          <w:highlight w:val="none"/>
        </w:rPr>
        <w:t>第六节 评标</w:t>
      </w:r>
      <w:r>
        <w:rPr>
          <w:color w:val="auto"/>
          <w:highlight w:val="none"/>
        </w:rPr>
        <w:tab/>
      </w:r>
      <w:r>
        <w:rPr>
          <w:color w:val="auto"/>
          <w:highlight w:val="none"/>
        </w:rPr>
        <w:fldChar w:fldCharType="begin"/>
      </w:r>
      <w:r>
        <w:rPr>
          <w:color w:val="auto"/>
          <w:highlight w:val="none"/>
        </w:rPr>
        <w:instrText xml:space="preserve"> PAGEREF _Toc21559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_Toc15663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第七节 授予合同</w:t>
      </w:r>
      <w:r>
        <w:rPr>
          <w:color w:val="auto"/>
          <w:highlight w:val="none"/>
        </w:rPr>
        <w:tab/>
      </w:r>
      <w:r>
        <w:rPr>
          <w:color w:val="auto"/>
          <w:highlight w:val="none"/>
        </w:rPr>
        <w:fldChar w:fldCharType="begin"/>
      </w:r>
      <w:r>
        <w:rPr>
          <w:color w:val="auto"/>
          <w:highlight w:val="none"/>
        </w:rPr>
        <w:instrText xml:space="preserve"> PAGEREF _Toc15663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_Toc14481 </w:instrText>
      </w:r>
      <w:r>
        <w:rPr>
          <w:rFonts w:hint="eastAsia" w:ascii="宋体" w:hAnsi="宋体" w:eastAsia="宋体" w:cs="宋体"/>
          <w:color w:val="auto"/>
          <w:highlight w:val="none"/>
        </w:rPr>
        <w:fldChar w:fldCharType="separate"/>
      </w:r>
      <w:r>
        <w:rPr>
          <w:rFonts w:hint="eastAsia"/>
          <w:color w:val="auto"/>
          <w:highlight w:val="none"/>
        </w:rPr>
        <w:t>第八节 例外处理</w:t>
      </w:r>
      <w:r>
        <w:rPr>
          <w:color w:val="auto"/>
          <w:highlight w:val="none"/>
        </w:rPr>
        <w:tab/>
      </w:r>
      <w:r>
        <w:rPr>
          <w:color w:val="auto"/>
          <w:highlight w:val="none"/>
        </w:rPr>
        <w:fldChar w:fldCharType="begin"/>
      </w:r>
      <w:r>
        <w:rPr>
          <w:color w:val="auto"/>
          <w:highlight w:val="none"/>
        </w:rPr>
        <w:instrText xml:space="preserve"> PAGEREF _Toc14481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_Toc21368 </w:instrText>
      </w:r>
      <w:r>
        <w:rPr>
          <w:rFonts w:hint="eastAsia" w:ascii="宋体" w:hAnsi="宋体" w:eastAsia="宋体" w:cs="宋体"/>
          <w:color w:val="auto"/>
          <w:highlight w:val="none"/>
        </w:rPr>
        <w:fldChar w:fldCharType="separate"/>
      </w:r>
      <w:r>
        <w:rPr>
          <w:rFonts w:hint="eastAsia"/>
          <w:color w:val="auto"/>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_Toc21368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_Toc3017 </w:instrText>
      </w:r>
      <w:r>
        <w:rPr>
          <w:rFonts w:hint="eastAsia" w:ascii="宋体" w:hAnsi="宋体" w:eastAsia="宋体" w:cs="宋体"/>
          <w:color w:val="auto"/>
          <w:highlight w:val="none"/>
        </w:rPr>
        <w:fldChar w:fldCharType="separate"/>
      </w:r>
      <w:r>
        <w:rPr>
          <w:rFonts w:hint="eastAsia"/>
          <w:color w:val="auto"/>
          <w:highlight w:val="none"/>
        </w:rPr>
        <w:t>一、评分总则</w:t>
      </w:r>
      <w:r>
        <w:rPr>
          <w:color w:val="auto"/>
          <w:highlight w:val="none"/>
        </w:rPr>
        <w:tab/>
      </w:r>
      <w:r>
        <w:rPr>
          <w:color w:val="auto"/>
          <w:highlight w:val="none"/>
        </w:rPr>
        <w:fldChar w:fldCharType="begin"/>
      </w:r>
      <w:r>
        <w:rPr>
          <w:color w:val="auto"/>
          <w:highlight w:val="none"/>
        </w:rPr>
        <w:instrText xml:space="preserve"> PAGEREF _Toc3017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_Toc30520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二、评分内容及标准</w:t>
      </w:r>
      <w:r>
        <w:rPr>
          <w:color w:val="auto"/>
          <w:highlight w:val="none"/>
        </w:rPr>
        <w:tab/>
      </w:r>
      <w:r>
        <w:rPr>
          <w:color w:val="auto"/>
          <w:highlight w:val="none"/>
        </w:rPr>
        <w:fldChar w:fldCharType="begin"/>
      </w:r>
      <w:r>
        <w:rPr>
          <w:color w:val="auto"/>
          <w:highlight w:val="none"/>
        </w:rPr>
        <w:instrText xml:space="preserve"> PAGEREF _Toc30520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_Toc10616 </w:instrText>
      </w:r>
      <w:r>
        <w:rPr>
          <w:rFonts w:hint="eastAsia" w:ascii="宋体" w:hAnsi="宋体" w:eastAsia="宋体" w:cs="宋体"/>
          <w:color w:val="auto"/>
          <w:highlight w:val="none"/>
        </w:rPr>
        <w:fldChar w:fldCharType="separate"/>
      </w:r>
      <w:r>
        <w:rPr>
          <w:rFonts w:hint="eastAsia"/>
          <w:color w:val="auto"/>
          <w:highlight w:val="none"/>
        </w:rPr>
        <w:t>第五章 合同格式</w:t>
      </w:r>
      <w:r>
        <w:rPr>
          <w:color w:val="auto"/>
          <w:highlight w:val="none"/>
        </w:rPr>
        <w:tab/>
      </w:r>
      <w:r>
        <w:rPr>
          <w:color w:val="auto"/>
          <w:highlight w:val="none"/>
        </w:rPr>
        <w:fldChar w:fldCharType="begin"/>
      </w:r>
      <w:r>
        <w:rPr>
          <w:color w:val="auto"/>
          <w:highlight w:val="none"/>
        </w:rPr>
        <w:instrText xml:space="preserve"> PAGEREF _Toc10616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_Toc24575 </w:instrText>
      </w:r>
      <w:r>
        <w:rPr>
          <w:rFonts w:hint="eastAsia" w:ascii="宋体" w:hAnsi="宋体" w:eastAsia="宋体" w:cs="宋体"/>
          <w:color w:val="auto"/>
          <w:highlight w:val="none"/>
        </w:rPr>
        <w:fldChar w:fldCharType="separate"/>
      </w:r>
      <w:r>
        <w:rPr>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_Toc24575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8306"/>
          <w:tab w:val="clear" w:pos="8296"/>
        </w:tabs>
        <w:ind w:left="480"/>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pPr>
        <w:rPr>
          <w:rFonts w:hint="eastAsia" w:ascii="宋体" w:hAnsi="宋体" w:eastAsia="宋体" w:cs="宋体"/>
          <w:color w:val="auto"/>
          <w:highlight w:val="none"/>
        </w:rPr>
      </w:pPr>
    </w:p>
    <w:p>
      <w:pPr>
        <w:pStyle w:val="11"/>
        <w:rPr>
          <w:rFonts w:hint="eastAsia"/>
          <w:color w:val="auto"/>
          <w:highlight w:val="none"/>
        </w:rPr>
        <w:sectPr>
          <w:footerReference r:id="rId10" w:type="default"/>
          <w:headerReference r:id="rId9" w:type="even"/>
          <w:footerReference r:id="rId11" w:type="even"/>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3"/>
        <w:bidi w:val="0"/>
        <w:rPr>
          <w:rFonts w:hint="eastAsia" w:ascii="宋体" w:hAnsi="宋体" w:eastAsia="宋体" w:cs="宋体"/>
          <w:color w:val="auto"/>
          <w:highlight w:val="none"/>
        </w:rPr>
      </w:pPr>
      <w:bookmarkStart w:id="1" w:name="_Toc24232"/>
      <w:bookmarkStart w:id="2" w:name="_Toc19596"/>
      <w:bookmarkStart w:id="3" w:name="_Toc12653"/>
      <w:bookmarkStart w:id="4" w:name="_Toc452457411"/>
      <w:r>
        <w:rPr>
          <w:rFonts w:hint="eastAsia" w:ascii="宋体" w:hAnsi="宋体" w:eastAsia="宋体" w:cs="宋体"/>
          <w:color w:val="auto"/>
          <w:highlight w:val="none"/>
        </w:rPr>
        <w:t>第一章 招标公告</w:t>
      </w:r>
      <w:bookmarkEnd w:id="1"/>
      <w:bookmarkEnd w:id="2"/>
      <w:bookmarkEnd w:id="3"/>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bCs/>
          <w:sz w:val="24"/>
          <w:szCs w:val="24"/>
        </w:rPr>
      </w:pPr>
      <w:r>
        <w:rPr>
          <w:rFonts w:hint="eastAsia" w:cs="宋体"/>
          <w:sz w:val="24"/>
          <w:szCs w:val="24"/>
          <w:u w:val="single"/>
          <w:lang w:eastAsia="zh-CN"/>
        </w:rPr>
        <w:t>庵东实验学校、东一小学、西一小学、中心小学和西二小学</w:t>
      </w:r>
      <w:r>
        <w:rPr>
          <w:rFonts w:hint="eastAsia" w:ascii="宋体" w:hAnsi="宋体" w:cs="宋体"/>
          <w:sz w:val="24"/>
          <w:szCs w:val="24"/>
          <w:u w:val="single"/>
          <w:lang w:eastAsia="zh-CN"/>
        </w:rPr>
        <w:t>智能护眼灯</w:t>
      </w:r>
      <w:r>
        <w:rPr>
          <w:rFonts w:hint="eastAsia" w:ascii="宋体" w:hAnsi="宋体" w:cs="宋体"/>
          <w:sz w:val="24"/>
          <w:szCs w:val="24"/>
        </w:rPr>
        <w:t>招标项目的潜在投标人应在</w:t>
      </w:r>
      <w:r>
        <w:rPr>
          <w:rFonts w:hint="eastAsia" w:ascii="宋体" w:hAnsi="宋体" w:cs="宋体"/>
          <w:sz w:val="24"/>
          <w:szCs w:val="24"/>
          <w:u w:val="single"/>
        </w:rPr>
        <w:t>政采云平台（http://zfcg.czt.zj.gov.cn）</w:t>
      </w:r>
      <w:r>
        <w:rPr>
          <w:rFonts w:hint="eastAsia" w:ascii="宋体" w:hAnsi="宋体" w:cs="宋体"/>
          <w:sz w:val="24"/>
          <w:szCs w:val="24"/>
        </w:rPr>
        <w:t>获取招标文件，并于</w:t>
      </w:r>
      <w:r>
        <w:rPr>
          <w:rFonts w:hint="eastAsia" w:ascii="宋体" w:hAnsi="宋体" w:cs="宋体"/>
          <w:sz w:val="24"/>
          <w:szCs w:val="24"/>
          <w:u w:val="single"/>
        </w:rPr>
        <w:t>2021</w:t>
      </w:r>
      <w:r>
        <w:rPr>
          <w:rFonts w:hint="eastAsia" w:ascii="宋体" w:hAnsi="宋体" w:cs="宋体"/>
          <w:bCs/>
          <w:sz w:val="24"/>
          <w:szCs w:val="24"/>
          <w:u w:val="single"/>
        </w:rPr>
        <w:t>年</w:t>
      </w:r>
      <w:r>
        <w:rPr>
          <w:rFonts w:hint="eastAsia" w:cs="宋体"/>
          <w:bCs/>
          <w:sz w:val="24"/>
          <w:szCs w:val="24"/>
          <w:u w:val="single"/>
          <w:lang w:val="en-US" w:eastAsia="zh-CN"/>
        </w:rPr>
        <w:t>8</w:t>
      </w:r>
      <w:r>
        <w:rPr>
          <w:rFonts w:hint="eastAsia" w:ascii="宋体" w:hAnsi="宋体" w:cs="宋体"/>
          <w:bCs/>
          <w:sz w:val="24"/>
          <w:szCs w:val="24"/>
          <w:u w:val="single"/>
        </w:rPr>
        <w:t>月</w:t>
      </w:r>
      <w:r>
        <w:rPr>
          <w:rFonts w:hint="eastAsia" w:cs="宋体"/>
          <w:bCs/>
          <w:sz w:val="24"/>
          <w:szCs w:val="24"/>
          <w:u w:val="single"/>
          <w:lang w:val="en-US" w:eastAsia="zh-CN"/>
        </w:rPr>
        <w:t>25</w:t>
      </w:r>
      <w:r>
        <w:rPr>
          <w:rFonts w:hint="eastAsia" w:ascii="宋体" w:hAnsi="宋体" w:cs="宋体"/>
          <w:bCs/>
          <w:sz w:val="24"/>
          <w:szCs w:val="24"/>
          <w:u w:val="single"/>
        </w:rPr>
        <w:t>日14点</w:t>
      </w:r>
      <w:r>
        <w:rPr>
          <w:rFonts w:hint="eastAsia" w:cs="宋体"/>
          <w:bCs/>
          <w:sz w:val="24"/>
          <w:szCs w:val="24"/>
          <w:u w:val="single"/>
          <w:lang w:val="en-US" w:eastAsia="zh-CN"/>
        </w:rPr>
        <w:t>3</w:t>
      </w:r>
      <w:r>
        <w:rPr>
          <w:rFonts w:hint="eastAsia" w:ascii="宋体" w:hAnsi="宋体" w:cs="宋体"/>
          <w:bCs/>
          <w:sz w:val="24"/>
          <w:szCs w:val="24"/>
          <w:u w:val="single"/>
        </w:rPr>
        <w:t>0分（</w:t>
      </w:r>
      <w:r>
        <w:rPr>
          <w:rFonts w:hint="eastAsia" w:ascii="宋体" w:hAnsi="宋体" w:cs="宋体"/>
          <w:bCs/>
          <w:sz w:val="24"/>
          <w:szCs w:val="24"/>
        </w:rPr>
        <w:t>北京时间）前递交投标文件。</w:t>
      </w:r>
    </w:p>
    <w:p>
      <w:pPr>
        <w:pStyle w:val="4"/>
        <w:spacing w:before="0" w:after="0"/>
        <w:rPr>
          <w:rFonts w:hint="eastAsia" w:ascii="宋体" w:hAnsi="宋体" w:eastAsia="宋体" w:cs="宋体"/>
          <w:sz w:val="24"/>
          <w:szCs w:val="24"/>
        </w:rPr>
      </w:pPr>
      <w:bookmarkStart w:id="5" w:name="_Toc35393621"/>
      <w:bookmarkStart w:id="6" w:name="_Toc25244"/>
      <w:bookmarkStart w:id="7" w:name="_Toc35393790"/>
      <w:bookmarkStart w:id="8" w:name="_Toc28359002"/>
      <w:bookmarkStart w:id="9" w:name="_Toc28359079"/>
      <w:r>
        <w:rPr>
          <w:rFonts w:hint="eastAsia" w:ascii="宋体" w:hAnsi="宋体" w:eastAsia="宋体" w:cs="宋体"/>
          <w:sz w:val="24"/>
          <w:szCs w:val="24"/>
        </w:rPr>
        <w:t>一、项目基本情况</w:t>
      </w:r>
      <w:bookmarkEnd w:id="5"/>
      <w:bookmarkEnd w:id="6"/>
      <w:bookmarkEnd w:id="7"/>
      <w:bookmarkEnd w:id="8"/>
      <w:bookmarkEnd w:id="9"/>
    </w:p>
    <w:p>
      <w:pPr>
        <w:spacing w:line="360" w:lineRule="auto"/>
        <w:ind w:firstLine="480" w:firstLineChars="200"/>
        <w:rPr>
          <w:rFonts w:hint="eastAsia" w:ascii="宋体" w:hAnsi="宋体" w:cs="宋体"/>
          <w:sz w:val="24"/>
          <w:szCs w:val="24"/>
        </w:rPr>
      </w:pPr>
      <w:r>
        <w:rPr>
          <w:rFonts w:hint="eastAsia" w:ascii="宋体" w:hAnsi="宋体" w:cs="宋体"/>
          <w:sz w:val="24"/>
          <w:szCs w:val="24"/>
        </w:rPr>
        <w:t>项目编号：</w:t>
      </w:r>
      <w:r>
        <w:rPr>
          <w:rFonts w:hint="eastAsia" w:cs="宋体"/>
          <w:sz w:val="24"/>
          <w:szCs w:val="24"/>
          <w:lang w:eastAsia="zh-CN"/>
        </w:rPr>
        <w:t>庵采2108</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项目名称：</w:t>
      </w:r>
      <w:r>
        <w:rPr>
          <w:rFonts w:hint="eastAsia" w:cs="宋体"/>
          <w:sz w:val="24"/>
          <w:szCs w:val="24"/>
          <w:lang w:eastAsia="zh-CN"/>
        </w:rPr>
        <w:t>庵东实验学校、东一小学、西一小学、中心小学和西二小学智能护眼灯采购项</w:t>
      </w:r>
      <w:r>
        <w:rPr>
          <w:rFonts w:hint="eastAsia" w:ascii="宋体" w:hAnsi="宋体" w:cs="宋体"/>
          <w:sz w:val="24"/>
          <w:szCs w:val="24"/>
          <w:lang w:eastAsia="zh-CN"/>
        </w:rPr>
        <w:t>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12</w:t>
      </w:r>
      <w:r>
        <w:rPr>
          <w:rFonts w:hint="eastAsia" w:ascii="宋体" w:hAnsi="宋体" w:cs="宋体"/>
          <w:sz w:val="24"/>
          <w:szCs w:val="24"/>
          <w:lang w:val="en-US" w:eastAsia="zh-CN"/>
        </w:rPr>
        <w:t>8</w:t>
      </w:r>
      <w:r>
        <w:rPr>
          <w:rFonts w:hint="eastAsia" w:ascii="宋体" w:hAnsi="宋体" w:cs="宋体"/>
          <w:sz w:val="24"/>
          <w:szCs w:val="24"/>
        </w:rPr>
        <w:t>万元</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最高限价：</w:t>
      </w:r>
      <w:r>
        <w:rPr>
          <w:rFonts w:hint="eastAsia" w:ascii="宋体" w:hAnsi="宋体" w:cs="宋体"/>
          <w:sz w:val="24"/>
          <w:szCs w:val="24"/>
          <w:lang w:val="en-US" w:eastAsia="zh-CN"/>
        </w:rPr>
        <w:t>89.6万元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采购需求：</w:t>
      </w:r>
    </w:p>
    <w:tbl>
      <w:tblPr>
        <w:tblStyle w:val="46"/>
        <w:tblW w:w="9781" w:type="dxa"/>
        <w:tblInd w:w="9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2"/>
        <w:gridCol w:w="3938"/>
        <w:gridCol w:w="1725"/>
        <w:gridCol w:w="855"/>
        <w:gridCol w:w="25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3" w:hRule="exact"/>
        </w:trPr>
        <w:tc>
          <w:tcPr>
            <w:tcW w:w="682" w:type="dxa"/>
            <w:shd w:val="clear" w:color="000000" w:fill="auto"/>
            <w:vAlign w:val="center"/>
          </w:tcPr>
          <w:p>
            <w:pPr>
              <w:ind w:left="0" w:leftChars="0" w:firstLine="0" w:firstLineChars="0"/>
              <w:jc w:val="center"/>
              <w:rPr>
                <w:rFonts w:hint="eastAsia" w:ascii="宋体" w:hAnsi="宋体" w:cs="宋体"/>
                <w:sz w:val="21"/>
                <w:szCs w:val="21"/>
              </w:rPr>
            </w:pPr>
            <w:r>
              <w:rPr>
                <w:rFonts w:hint="eastAsia" w:ascii="宋体" w:hAnsi="宋体" w:cs="宋体"/>
                <w:sz w:val="21"/>
                <w:szCs w:val="21"/>
              </w:rPr>
              <w:t>标项</w:t>
            </w:r>
          </w:p>
        </w:tc>
        <w:tc>
          <w:tcPr>
            <w:tcW w:w="3938" w:type="dxa"/>
            <w:shd w:val="clear" w:color="000000" w:fill="auto"/>
            <w:vAlign w:val="center"/>
          </w:tcPr>
          <w:p>
            <w:pPr>
              <w:ind w:left="0" w:leftChars="0" w:firstLine="0" w:firstLineChars="0"/>
              <w:jc w:val="center"/>
              <w:rPr>
                <w:rFonts w:hint="eastAsia" w:ascii="宋体" w:hAnsi="宋体" w:cs="宋体"/>
                <w:sz w:val="21"/>
                <w:szCs w:val="21"/>
              </w:rPr>
            </w:pPr>
            <w:r>
              <w:rPr>
                <w:rFonts w:hint="eastAsia" w:ascii="宋体" w:hAnsi="宋体" w:cs="宋体"/>
                <w:sz w:val="21"/>
                <w:szCs w:val="21"/>
              </w:rPr>
              <w:t>采购内容</w:t>
            </w:r>
          </w:p>
        </w:tc>
        <w:tc>
          <w:tcPr>
            <w:tcW w:w="1725" w:type="dxa"/>
            <w:shd w:val="clear" w:color="000000" w:fill="auto"/>
            <w:vAlign w:val="center"/>
          </w:tcPr>
          <w:p>
            <w:pPr>
              <w:ind w:left="0" w:leftChars="0" w:firstLine="0" w:firstLineChars="0"/>
              <w:jc w:val="center"/>
              <w:rPr>
                <w:rFonts w:hint="eastAsia" w:ascii="宋体" w:hAnsi="宋体" w:cs="宋体"/>
                <w:sz w:val="21"/>
                <w:szCs w:val="21"/>
              </w:rPr>
            </w:pPr>
            <w:r>
              <w:rPr>
                <w:rFonts w:hint="eastAsia" w:ascii="宋体" w:hAnsi="宋体" w:cs="宋体"/>
                <w:sz w:val="21"/>
                <w:szCs w:val="21"/>
              </w:rPr>
              <w:t>技术要求</w:t>
            </w:r>
          </w:p>
        </w:tc>
        <w:tc>
          <w:tcPr>
            <w:tcW w:w="855" w:type="dxa"/>
            <w:shd w:val="clear" w:color="000000" w:fill="auto"/>
            <w:vAlign w:val="center"/>
          </w:tcPr>
          <w:p>
            <w:pPr>
              <w:ind w:left="0" w:leftChars="0" w:firstLine="0" w:firstLineChars="0"/>
              <w:jc w:val="center"/>
              <w:rPr>
                <w:rFonts w:hint="eastAsia" w:ascii="宋体" w:hAnsi="宋体" w:cs="宋体"/>
                <w:sz w:val="21"/>
                <w:szCs w:val="21"/>
              </w:rPr>
            </w:pPr>
            <w:r>
              <w:rPr>
                <w:rFonts w:hint="eastAsia" w:ascii="宋体" w:hAnsi="宋体" w:cs="宋体"/>
                <w:sz w:val="21"/>
                <w:szCs w:val="21"/>
              </w:rPr>
              <w:t>数量</w:t>
            </w:r>
          </w:p>
        </w:tc>
        <w:tc>
          <w:tcPr>
            <w:tcW w:w="2581" w:type="dxa"/>
            <w:shd w:val="clear" w:color="000000" w:fill="auto"/>
            <w:vAlign w:val="center"/>
          </w:tcPr>
          <w:p>
            <w:pPr>
              <w:ind w:left="0" w:leftChars="0" w:firstLine="0" w:firstLineChars="0"/>
              <w:jc w:val="center"/>
              <w:rPr>
                <w:rFonts w:hint="eastAsia" w:ascii="宋体" w:hAnsi="宋体" w:cs="宋体"/>
                <w:sz w:val="21"/>
                <w:szCs w:val="21"/>
              </w:rPr>
            </w:pPr>
            <w:r>
              <w:rPr>
                <w:rFonts w:hint="eastAsia" w:ascii="宋体" w:hAnsi="宋体" w:cs="宋体"/>
                <w:sz w:val="21"/>
                <w:szCs w:val="21"/>
              </w:rPr>
              <w:t>合同履行期限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6" w:hRule="exact"/>
        </w:trPr>
        <w:tc>
          <w:tcPr>
            <w:tcW w:w="682" w:type="dxa"/>
            <w:vAlign w:val="center"/>
          </w:tcPr>
          <w:p>
            <w:pPr>
              <w:ind w:left="0" w:leftChars="0" w:firstLine="0" w:firstLineChars="0"/>
              <w:jc w:val="center"/>
              <w:rPr>
                <w:rFonts w:hint="eastAsia" w:ascii="宋体" w:hAnsi="宋体" w:cs="宋体"/>
                <w:sz w:val="21"/>
                <w:szCs w:val="21"/>
              </w:rPr>
            </w:pPr>
            <w:r>
              <w:rPr>
                <w:rFonts w:hint="eastAsia" w:ascii="宋体" w:hAnsi="宋体" w:cs="宋体"/>
                <w:sz w:val="21"/>
                <w:szCs w:val="21"/>
              </w:rPr>
              <w:t>一</w:t>
            </w:r>
          </w:p>
        </w:tc>
        <w:tc>
          <w:tcPr>
            <w:tcW w:w="3938" w:type="dxa"/>
            <w:vAlign w:val="center"/>
          </w:tcPr>
          <w:p>
            <w:pPr>
              <w:ind w:left="0" w:leftChars="0" w:firstLine="0" w:firstLineChars="0"/>
              <w:jc w:val="center"/>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"https://www.zcygov.cn/bidding-entrust/" \l "/order/orderDetail/6684269099491124685/look" \t "https://www.zcygov.cn/bidding-entrust/" \l "/order/_blank" </w:instrText>
            </w:r>
            <w:r>
              <w:rPr>
                <w:rFonts w:hint="eastAsia" w:ascii="宋体" w:hAnsi="宋体" w:cs="宋体"/>
                <w:sz w:val="21"/>
                <w:szCs w:val="21"/>
              </w:rPr>
              <w:fldChar w:fldCharType="separate"/>
            </w:r>
            <w:r>
              <w:rPr>
                <w:rFonts w:hint="eastAsia" w:cs="宋体"/>
                <w:sz w:val="21"/>
                <w:szCs w:val="21"/>
                <w:lang w:eastAsia="zh-CN"/>
              </w:rPr>
              <w:t>庵东实验学校、东一小学、西一小学、中心小学和西二小学</w:t>
            </w:r>
            <w:r>
              <w:rPr>
                <w:rFonts w:hint="eastAsia" w:ascii="宋体" w:hAnsi="宋体" w:cs="宋体"/>
                <w:sz w:val="21"/>
                <w:szCs w:val="21"/>
                <w:lang w:eastAsia="zh-CN"/>
              </w:rPr>
              <w:t>智能护眼灯</w:t>
            </w:r>
            <w:r>
              <w:rPr>
                <w:rFonts w:hint="eastAsia" w:ascii="宋体" w:hAnsi="宋体" w:cs="宋体"/>
                <w:sz w:val="21"/>
                <w:szCs w:val="21"/>
              </w:rPr>
              <w:fldChar w:fldCharType="end"/>
            </w:r>
          </w:p>
        </w:tc>
        <w:tc>
          <w:tcPr>
            <w:tcW w:w="1725" w:type="dxa"/>
            <w:vAlign w:val="center"/>
          </w:tcPr>
          <w:p>
            <w:pPr>
              <w:ind w:left="0" w:leftChars="0" w:firstLine="0" w:firstLineChars="0"/>
              <w:jc w:val="center"/>
              <w:rPr>
                <w:rFonts w:hint="eastAsia" w:ascii="宋体" w:hAnsi="宋体" w:eastAsia="宋体" w:cs="宋体"/>
                <w:sz w:val="21"/>
                <w:szCs w:val="21"/>
                <w:lang w:eastAsia="zh-CN"/>
              </w:rPr>
            </w:pPr>
            <w:r>
              <w:rPr>
                <w:rFonts w:hint="eastAsia" w:cs="宋体"/>
                <w:sz w:val="21"/>
                <w:szCs w:val="21"/>
                <w:lang w:eastAsia="zh-CN"/>
              </w:rPr>
              <w:t>详见采购文件</w:t>
            </w:r>
          </w:p>
        </w:tc>
        <w:tc>
          <w:tcPr>
            <w:tcW w:w="855" w:type="dxa"/>
            <w:vAlign w:val="center"/>
          </w:tcPr>
          <w:p>
            <w:pPr>
              <w:ind w:left="0" w:leftChars="0" w:firstLine="0" w:firstLineChars="0"/>
              <w:jc w:val="center"/>
              <w:rPr>
                <w:rFonts w:hint="eastAsia" w:ascii="宋体" w:hAnsi="宋体" w:eastAsia="宋体" w:cs="宋体"/>
                <w:sz w:val="21"/>
                <w:szCs w:val="21"/>
                <w:lang w:eastAsia="zh-CN"/>
              </w:rPr>
            </w:pPr>
            <w:r>
              <w:rPr>
                <w:rFonts w:hint="eastAsia" w:cs="宋体"/>
                <w:sz w:val="21"/>
                <w:szCs w:val="21"/>
                <w:lang w:val="en-US" w:eastAsia="zh-CN"/>
              </w:rPr>
              <w:t>128间</w:t>
            </w:r>
          </w:p>
        </w:tc>
        <w:tc>
          <w:tcPr>
            <w:tcW w:w="2581" w:type="dxa"/>
            <w:vAlign w:val="center"/>
          </w:tcPr>
          <w:p>
            <w:pPr>
              <w:ind w:left="0" w:leftChars="0" w:firstLine="0" w:firstLineChars="0"/>
              <w:jc w:val="center"/>
              <w:rPr>
                <w:rFonts w:hint="eastAsia" w:ascii="宋体" w:hAnsi="宋体" w:cs="宋体"/>
                <w:sz w:val="21"/>
                <w:szCs w:val="21"/>
              </w:rPr>
            </w:pPr>
            <w:r>
              <w:rPr>
                <w:rFonts w:hint="eastAsia" w:ascii="宋体" w:hAnsi="宋体" w:cs="宋体"/>
                <w:sz w:val="21"/>
                <w:szCs w:val="21"/>
              </w:rPr>
              <w:t>自合同签订生效后</w:t>
            </w:r>
            <w:r>
              <w:rPr>
                <w:rFonts w:hint="eastAsia" w:cs="宋体"/>
                <w:sz w:val="21"/>
                <w:szCs w:val="21"/>
                <w:lang w:val="en-US" w:eastAsia="zh-CN"/>
              </w:rPr>
              <w:t>2</w:t>
            </w:r>
            <w:r>
              <w:rPr>
                <w:rFonts w:hint="eastAsia" w:ascii="宋体" w:hAnsi="宋体" w:cs="宋体"/>
                <w:sz w:val="21"/>
                <w:szCs w:val="21"/>
              </w:rPr>
              <w:t>0天内完成交货安装</w:t>
            </w:r>
          </w:p>
        </w:tc>
      </w:tr>
    </w:tbl>
    <w:p>
      <w:pPr>
        <w:spacing w:line="360" w:lineRule="auto"/>
        <w:ind w:firstLine="480" w:firstLineChars="200"/>
        <w:rPr>
          <w:rFonts w:hint="eastAsia" w:ascii="宋体" w:hAnsi="宋体" w:cs="宋体"/>
          <w:sz w:val="24"/>
          <w:szCs w:val="24"/>
        </w:rPr>
      </w:pPr>
      <w:r>
        <w:rPr>
          <w:rFonts w:hint="eastAsia" w:ascii="宋体" w:hAnsi="宋体" w:cs="宋体"/>
          <w:sz w:val="24"/>
          <w:szCs w:val="24"/>
        </w:rPr>
        <w:t>本项目不接受联合体投标。</w:t>
      </w:r>
    </w:p>
    <w:p>
      <w:pPr>
        <w:pStyle w:val="4"/>
        <w:spacing w:before="0" w:after="0"/>
        <w:rPr>
          <w:rFonts w:hint="eastAsia" w:ascii="宋体" w:hAnsi="宋体" w:eastAsia="宋体" w:cs="宋体"/>
          <w:sz w:val="24"/>
          <w:szCs w:val="24"/>
        </w:rPr>
      </w:pPr>
      <w:bookmarkStart w:id="10" w:name="_Toc3134"/>
      <w:bookmarkStart w:id="11" w:name="_Toc28359003"/>
      <w:bookmarkStart w:id="12" w:name="_Toc35393791"/>
      <w:bookmarkStart w:id="13" w:name="_Toc28359080"/>
      <w:bookmarkStart w:id="14" w:name="_Toc35393622"/>
      <w:r>
        <w:rPr>
          <w:rFonts w:hint="eastAsia" w:ascii="宋体" w:hAnsi="宋体" w:eastAsia="宋体" w:cs="宋体"/>
          <w:sz w:val="24"/>
          <w:szCs w:val="24"/>
        </w:rPr>
        <w:t>二、申请人的资格要求：</w:t>
      </w:r>
      <w:bookmarkEnd w:id="10"/>
      <w:bookmarkEnd w:id="11"/>
      <w:bookmarkEnd w:id="12"/>
      <w:bookmarkEnd w:id="13"/>
      <w:bookmarkEnd w:id="14"/>
    </w:p>
    <w:p>
      <w:pPr>
        <w:pStyle w:val="21"/>
        <w:spacing w:line="360" w:lineRule="auto"/>
        <w:ind w:firstLine="360" w:firstLineChars="150"/>
        <w:rPr>
          <w:rFonts w:hint="eastAsia" w:hAnsi="宋体" w:cs="宋体"/>
          <w:sz w:val="24"/>
          <w:szCs w:val="24"/>
        </w:rPr>
      </w:pPr>
      <w:r>
        <w:rPr>
          <w:rFonts w:hint="eastAsia" w:hAnsi="宋体" w:cs="宋体"/>
          <w:sz w:val="24"/>
          <w:szCs w:val="24"/>
        </w:rPr>
        <w:t>1.满足《中华人民共和国政府采购法》第二十二条规定且未列入“www.creditchina.gov.cn、www.ccgp.gov.cn”网站失信被执行人、重大税收违法案件当事人名单、政府采购严重违法失信记录名单在禁止参加采购期限的供应商；</w:t>
      </w:r>
    </w:p>
    <w:p>
      <w:pPr>
        <w:spacing w:line="360" w:lineRule="auto"/>
        <w:ind w:firstLine="480" w:firstLineChars="200"/>
        <w:rPr>
          <w:rFonts w:hint="eastAsia" w:ascii="宋体" w:hAnsi="宋体" w:cs="宋体"/>
          <w:sz w:val="24"/>
          <w:szCs w:val="24"/>
        </w:rPr>
      </w:pPr>
      <w:bookmarkStart w:id="15" w:name="_Toc28359004"/>
      <w:bookmarkStart w:id="16" w:name="_Toc28359081"/>
      <w:r>
        <w:rPr>
          <w:rFonts w:hint="eastAsia" w:ascii="宋体" w:hAnsi="宋体" w:cs="宋体"/>
          <w:sz w:val="24"/>
          <w:szCs w:val="24"/>
        </w:rPr>
        <w:t>2.落实政府采购政策需满足的资格要求：</w:t>
      </w:r>
      <w:r>
        <w:rPr>
          <w:rFonts w:hint="eastAsia" w:ascii="宋体" w:hAnsi="宋体" w:cs="宋体"/>
          <w:sz w:val="24"/>
          <w:szCs w:val="24"/>
          <w:u w:val="single"/>
        </w:rPr>
        <w:t>无</w:t>
      </w:r>
    </w:p>
    <w:p>
      <w:pPr>
        <w:spacing w:line="360" w:lineRule="auto"/>
        <w:ind w:firstLine="480" w:firstLineChars="200"/>
        <w:rPr>
          <w:rFonts w:hint="eastAsia" w:ascii="宋体" w:hAnsi="宋体" w:cs="宋体"/>
          <w:i/>
          <w:iCs/>
          <w:sz w:val="24"/>
          <w:szCs w:val="24"/>
          <w:u w:val="single"/>
        </w:rPr>
      </w:pPr>
      <w:r>
        <w:rPr>
          <w:rFonts w:hint="eastAsia" w:ascii="宋体" w:hAnsi="宋体" w:cs="宋体"/>
          <w:sz w:val="24"/>
          <w:szCs w:val="24"/>
        </w:rPr>
        <w:t>3.本项目的特定资格要求：</w:t>
      </w:r>
      <w:r>
        <w:rPr>
          <w:rFonts w:hint="eastAsia" w:ascii="宋体" w:hAnsi="宋体" w:cs="宋体"/>
          <w:sz w:val="24"/>
          <w:szCs w:val="24"/>
          <w:u w:val="single"/>
        </w:rPr>
        <w:t>无</w:t>
      </w:r>
    </w:p>
    <w:p>
      <w:pPr>
        <w:pStyle w:val="4"/>
        <w:spacing w:before="0" w:after="0"/>
        <w:rPr>
          <w:rFonts w:hint="eastAsia" w:ascii="宋体" w:hAnsi="宋体" w:eastAsia="宋体" w:cs="宋体"/>
          <w:bCs w:val="0"/>
          <w:sz w:val="24"/>
          <w:szCs w:val="24"/>
        </w:rPr>
      </w:pPr>
      <w:bookmarkStart w:id="17" w:name="_Toc29705"/>
      <w:bookmarkStart w:id="18" w:name="_Toc35393792"/>
      <w:bookmarkStart w:id="19" w:name="_Toc35393623"/>
      <w:r>
        <w:rPr>
          <w:rFonts w:hint="eastAsia" w:ascii="宋体" w:hAnsi="宋体" w:eastAsia="宋体" w:cs="宋体"/>
          <w:bCs w:val="0"/>
          <w:sz w:val="24"/>
          <w:szCs w:val="24"/>
        </w:rPr>
        <w:t>三、获取招标文件</w:t>
      </w:r>
      <w:bookmarkEnd w:id="15"/>
      <w:bookmarkEnd w:id="16"/>
      <w:bookmarkEnd w:id="17"/>
      <w:bookmarkEnd w:id="18"/>
      <w:bookmarkEnd w:id="19"/>
    </w:p>
    <w:p>
      <w:pPr>
        <w:spacing w:line="360" w:lineRule="auto"/>
        <w:ind w:firstLine="540"/>
        <w:rPr>
          <w:rFonts w:hint="eastAsia"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lang w:eastAsia="zh-CN"/>
        </w:rPr>
        <w:t>2021</w:t>
      </w:r>
      <w:r>
        <w:rPr>
          <w:rFonts w:hint="eastAsia" w:ascii="宋体" w:hAnsi="宋体" w:cs="宋体"/>
          <w:sz w:val="24"/>
          <w:szCs w:val="24"/>
          <w:u w:val="single"/>
        </w:rPr>
        <w:t>年</w:t>
      </w:r>
      <w:r>
        <w:rPr>
          <w:rFonts w:hint="eastAsia" w:cs="宋体"/>
          <w:sz w:val="24"/>
          <w:szCs w:val="24"/>
          <w:u w:val="single"/>
          <w:lang w:val="en-US" w:eastAsia="zh-CN"/>
        </w:rPr>
        <w:t>7</w:t>
      </w:r>
      <w:r>
        <w:rPr>
          <w:rFonts w:hint="eastAsia" w:ascii="宋体" w:hAnsi="宋体" w:cs="宋体"/>
          <w:sz w:val="24"/>
          <w:szCs w:val="24"/>
          <w:u w:val="single"/>
        </w:rPr>
        <w:t>月</w:t>
      </w:r>
      <w:r>
        <w:rPr>
          <w:rFonts w:hint="eastAsia" w:cs="宋体"/>
          <w:sz w:val="24"/>
          <w:szCs w:val="24"/>
          <w:u w:val="single"/>
          <w:lang w:val="en-US" w:eastAsia="zh-CN"/>
        </w:rPr>
        <w:t>22</w:t>
      </w:r>
      <w:r>
        <w:rPr>
          <w:rFonts w:hint="eastAsia" w:ascii="宋体" w:hAnsi="宋体" w:cs="宋体"/>
          <w:sz w:val="24"/>
          <w:szCs w:val="24"/>
          <w:u w:val="single"/>
        </w:rPr>
        <w:t>日</w:t>
      </w:r>
      <w:r>
        <w:rPr>
          <w:rFonts w:hint="eastAsia" w:ascii="宋体" w:hAnsi="宋体" w:cs="宋体"/>
          <w:sz w:val="24"/>
          <w:szCs w:val="24"/>
        </w:rPr>
        <w:t>至</w:t>
      </w:r>
      <w:r>
        <w:rPr>
          <w:rFonts w:hint="eastAsia" w:ascii="宋体" w:hAnsi="宋体" w:cs="宋体"/>
          <w:sz w:val="24"/>
          <w:szCs w:val="24"/>
          <w:u w:val="single"/>
        </w:rPr>
        <w:t xml:space="preserve"> 2021年</w:t>
      </w:r>
      <w:r>
        <w:rPr>
          <w:rFonts w:hint="eastAsia" w:cs="宋体"/>
          <w:sz w:val="24"/>
          <w:szCs w:val="24"/>
          <w:u w:val="single"/>
          <w:lang w:val="en-US" w:eastAsia="zh-CN"/>
        </w:rPr>
        <w:t>8</w:t>
      </w:r>
      <w:r>
        <w:rPr>
          <w:rFonts w:hint="eastAsia" w:ascii="宋体" w:hAnsi="宋体" w:cs="宋体"/>
          <w:sz w:val="24"/>
          <w:szCs w:val="24"/>
          <w:u w:val="single"/>
        </w:rPr>
        <w:t>月</w:t>
      </w:r>
      <w:r>
        <w:rPr>
          <w:rFonts w:hint="eastAsia" w:cs="宋体"/>
          <w:sz w:val="24"/>
          <w:szCs w:val="24"/>
          <w:u w:val="single"/>
          <w:lang w:val="en-US" w:eastAsia="zh-CN"/>
        </w:rPr>
        <w:t>18</w:t>
      </w:r>
      <w:r>
        <w:rPr>
          <w:rFonts w:hint="eastAsia" w:ascii="宋体" w:hAnsi="宋体" w:cs="宋体"/>
          <w:sz w:val="24"/>
          <w:szCs w:val="24"/>
          <w:u w:val="single"/>
        </w:rPr>
        <w:t>日</w:t>
      </w:r>
      <w:r>
        <w:rPr>
          <w:rFonts w:hint="eastAsia" w:ascii="宋体" w:hAnsi="宋体" w:cs="宋体"/>
          <w:sz w:val="24"/>
          <w:szCs w:val="24"/>
        </w:rPr>
        <w:t>（北京时间，法定节假日除外）</w:t>
      </w:r>
    </w:p>
    <w:p>
      <w:pPr>
        <w:spacing w:line="360" w:lineRule="auto"/>
        <w:ind w:firstLine="480"/>
        <w:rPr>
          <w:rFonts w:hint="eastAsia" w:ascii="宋体" w:hAnsi="宋体" w:cs="宋体"/>
          <w:sz w:val="24"/>
          <w:szCs w:val="24"/>
        </w:rPr>
      </w:pPr>
      <w:r>
        <w:rPr>
          <w:rFonts w:hint="eastAsia" w:ascii="宋体" w:hAnsi="宋体" w:cs="宋体"/>
          <w:sz w:val="24"/>
          <w:szCs w:val="24"/>
        </w:rPr>
        <w:t>地点：政采云平台（http://zfcg.czt.zj.gov.cn）；</w:t>
      </w:r>
    </w:p>
    <w:p>
      <w:pPr>
        <w:spacing w:line="360" w:lineRule="auto"/>
        <w:ind w:firstLine="480"/>
        <w:rPr>
          <w:rFonts w:hint="eastAsia" w:ascii="宋体" w:hAnsi="宋体" w:cs="宋体"/>
          <w:sz w:val="24"/>
          <w:szCs w:val="24"/>
        </w:rPr>
      </w:pPr>
      <w:r>
        <w:rPr>
          <w:rFonts w:hint="eastAsia" w:ascii="宋体" w:hAnsi="宋体" w:cs="宋体"/>
          <w:sz w:val="24"/>
          <w:szCs w:val="24"/>
        </w:rPr>
        <w:t>方式：</w:t>
      </w:r>
    </w:p>
    <w:p>
      <w:pPr>
        <w:spacing w:line="360" w:lineRule="auto"/>
        <w:ind w:firstLine="420"/>
        <w:rPr>
          <w:rFonts w:hint="eastAsia" w:ascii="宋体" w:hAnsi="宋体" w:cs="宋体"/>
          <w:sz w:val="24"/>
          <w:szCs w:val="24"/>
        </w:rPr>
      </w:pPr>
      <w:r>
        <w:rPr>
          <w:rFonts w:hint="eastAsia" w:ascii="宋体" w:hAnsi="宋体" w:cs="宋体"/>
          <w:sz w:val="24"/>
          <w:szCs w:val="24"/>
        </w:rPr>
        <w:t>1、本项目招标文件实行“政府采购云平台”在线获取，不提供招标文件纸质版。供应商获取招标文件前应先完成“政府采购云平台”的账号注册；</w:t>
      </w:r>
    </w:p>
    <w:p>
      <w:pPr>
        <w:spacing w:line="360" w:lineRule="auto"/>
        <w:ind w:firstLine="480"/>
        <w:rPr>
          <w:rFonts w:hint="eastAsia" w:ascii="宋体" w:hAnsi="宋体" w:cs="宋体"/>
          <w:sz w:val="24"/>
          <w:szCs w:val="24"/>
        </w:rPr>
      </w:pPr>
      <w:r>
        <w:rPr>
          <w:rFonts w:hint="eastAsia" w:ascii="宋体" w:hAnsi="宋体" w:cs="宋体"/>
          <w:sz w:val="24"/>
          <w:szCs w:val="24"/>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rPr>
          <w:rFonts w:hint="eastAsia" w:ascii="宋体" w:hAnsi="宋体" w:cs="宋体"/>
          <w:sz w:val="24"/>
          <w:szCs w:val="24"/>
        </w:rPr>
      </w:pPr>
      <w:r>
        <w:rPr>
          <w:rFonts w:hint="eastAsia" w:ascii="宋体" w:hAnsi="宋体" w:cs="宋体"/>
          <w:sz w:val="24"/>
          <w:szCs w:val="24"/>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0"/>
        <w:rPr>
          <w:rFonts w:hint="eastAsia" w:ascii="宋体" w:hAnsi="宋体" w:cs="宋体"/>
          <w:sz w:val="24"/>
          <w:szCs w:val="24"/>
        </w:rPr>
      </w:pPr>
      <w:r>
        <w:rPr>
          <w:rFonts w:hint="eastAsia" w:ascii="宋体" w:hAnsi="宋体" w:cs="宋体"/>
          <w:sz w:val="24"/>
          <w:szCs w:val="24"/>
        </w:rPr>
        <w:t>注：请投标人按上述要求获取招标文件，如未在“政采云”系统内完成相关流程，引起的投标无效责任自负。</w:t>
      </w:r>
    </w:p>
    <w:p>
      <w:pPr>
        <w:pStyle w:val="4"/>
        <w:spacing w:before="0" w:after="0"/>
        <w:rPr>
          <w:rFonts w:hint="eastAsia" w:ascii="宋体" w:hAnsi="宋体" w:eastAsia="宋体" w:cs="宋体"/>
          <w:sz w:val="24"/>
          <w:szCs w:val="24"/>
        </w:rPr>
      </w:pPr>
      <w:bookmarkStart w:id="20" w:name="_Toc28359082"/>
      <w:bookmarkStart w:id="21" w:name="_Toc28359005"/>
      <w:bookmarkStart w:id="22" w:name="_Toc35393793"/>
      <w:bookmarkStart w:id="23" w:name="_Toc35393624"/>
      <w:bookmarkStart w:id="24" w:name="_Toc24835"/>
      <w:r>
        <w:rPr>
          <w:rFonts w:hint="eastAsia" w:ascii="宋体" w:hAnsi="宋体" w:eastAsia="宋体" w:cs="宋体"/>
          <w:sz w:val="24"/>
          <w:szCs w:val="24"/>
        </w:rPr>
        <w:t>四、提交投标文件</w:t>
      </w:r>
      <w:bookmarkEnd w:id="20"/>
      <w:bookmarkEnd w:id="21"/>
      <w:r>
        <w:rPr>
          <w:rFonts w:hint="eastAsia" w:ascii="宋体" w:hAnsi="宋体" w:eastAsia="宋体" w:cs="宋体"/>
          <w:sz w:val="24"/>
          <w:szCs w:val="24"/>
        </w:rPr>
        <w:t>截止时间、开标时间和地点</w:t>
      </w:r>
      <w:bookmarkEnd w:id="22"/>
      <w:bookmarkEnd w:id="23"/>
      <w:bookmarkEnd w:id="24"/>
    </w:p>
    <w:p>
      <w:pPr>
        <w:spacing w:line="360" w:lineRule="auto"/>
        <w:ind w:firstLine="480"/>
        <w:rPr>
          <w:rFonts w:hint="eastAsia" w:ascii="宋体" w:hAnsi="宋体" w:cs="宋体"/>
          <w:sz w:val="24"/>
          <w:szCs w:val="24"/>
        </w:rPr>
      </w:pPr>
      <w:bookmarkStart w:id="25" w:name="_Toc35393625"/>
      <w:bookmarkStart w:id="26" w:name="_Toc28359007"/>
      <w:bookmarkStart w:id="27" w:name="_Toc35393794"/>
      <w:bookmarkStart w:id="28" w:name="_Toc28359084"/>
      <w:r>
        <w:rPr>
          <w:rFonts w:hint="eastAsia" w:ascii="宋体" w:hAnsi="宋体" w:cs="宋体"/>
          <w:sz w:val="24"/>
          <w:szCs w:val="24"/>
        </w:rPr>
        <w:t>1、投标文件递交截止时间：2021年</w:t>
      </w:r>
      <w:r>
        <w:rPr>
          <w:rFonts w:hint="eastAsia" w:cs="宋体"/>
          <w:sz w:val="24"/>
          <w:szCs w:val="24"/>
          <w:lang w:val="en-US" w:eastAsia="zh-CN"/>
        </w:rPr>
        <w:t>8</w:t>
      </w:r>
      <w:r>
        <w:rPr>
          <w:rFonts w:hint="eastAsia" w:ascii="宋体" w:hAnsi="宋体" w:cs="宋体"/>
          <w:sz w:val="24"/>
          <w:szCs w:val="24"/>
        </w:rPr>
        <w:t>月</w:t>
      </w:r>
      <w:r>
        <w:rPr>
          <w:rFonts w:hint="eastAsia" w:cs="宋体"/>
          <w:sz w:val="24"/>
          <w:szCs w:val="24"/>
          <w:lang w:val="en-US" w:eastAsia="zh-CN"/>
        </w:rPr>
        <w:t>25</w:t>
      </w:r>
      <w:r>
        <w:rPr>
          <w:rFonts w:hint="eastAsia" w:ascii="宋体" w:hAnsi="宋体" w:cs="宋体"/>
          <w:sz w:val="24"/>
          <w:szCs w:val="24"/>
        </w:rPr>
        <w:t>日14时</w:t>
      </w:r>
      <w:r>
        <w:rPr>
          <w:rFonts w:hint="eastAsia" w:cs="宋体"/>
          <w:sz w:val="24"/>
          <w:szCs w:val="24"/>
          <w:lang w:val="en-US" w:eastAsia="zh-CN"/>
        </w:rPr>
        <w:t>3</w:t>
      </w:r>
      <w:r>
        <w:rPr>
          <w:rFonts w:hint="eastAsia" w:ascii="宋体" w:hAnsi="宋体" w:cs="宋体"/>
          <w:sz w:val="24"/>
          <w:szCs w:val="24"/>
        </w:rPr>
        <w:t>0分（北京时间）</w:t>
      </w:r>
    </w:p>
    <w:p>
      <w:pPr>
        <w:spacing w:line="360" w:lineRule="auto"/>
        <w:ind w:firstLine="480"/>
        <w:rPr>
          <w:rFonts w:hint="eastAsia" w:ascii="宋体" w:hAnsi="宋体" w:cs="宋体"/>
          <w:sz w:val="24"/>
          <w:szCs w:val="24"/>
        </w:rPr>
      </w:pPr>
      <w:r>
        <w:rPr>
          <w:rFonts w:hint="eastAsia" w:ascii="宋体" w:hAnsi="宋体" w:cs="宋体"/>
          <w:sz w:val="24"/>
          <w:szCs w:val="24"/>
        </w:rPr>
        <w:t>2、投标地点：庵东镇公共资源交易中心（庵东镇文体中心北四楼）开标室。</w:t>
      </w:r>
    </w:p>
    <w:p>
      <w:pPr>
        <w:spacing w:line="360" w:lineRule="auto"/>
        <w:ind w:firstLine="480"/>
        <w:rPr>
          <w:rFonts w:hint="eastAsia" w:ascii="宋体" w:hAnsi="宋体" w:cs="宋体"/>
          <w:sz w:val="24"/>
          <w:szCs w:val="24"/>
        </w:rPr>
      </w:pPr>
      <w:r>
        <w:rPr>
          <w:rFonts w:hint="eastAsia" w:ascii="宋体" w:hAnsi="宋体" w:cs="宋体"/>
          <w:sz w:val="24"/>
          <w:szCs w:val="24"/>
        </w:rPr>
        <w:t>3、开标时间： 2021年</w:t>
      </w:r>
      <w:r>
        <w:rPr>
          <w:rFonts w:hint="eastAsia" w:cs="宋体"/>
          <w:sz w:val="24"/>
          <w:szCs w:val="24"/>
          <w:lang w:val="en-US" w:eastAsia="zh-CN"/>
        </w:rPr>
        <w:t>8</w:t>
      </w:r>
      <w:r>
        <w:rPr>
          <w:rFonts w:hint="eastAsia" w:ascii="宋体" w:hAnsi="宋体" w:cs="宋体"/>
          <w:sz w:val="24"/>
          <w:szCs w:val="24"/>
        </w:rPr>
        <w:t>月</w:t>
      </w:r>
      <w:r>
        <w:rPr>
          <w:rFonts w:hint="eastAsia" w:cs="宋体"/>
          <w:sz w:val="24"/>
          <w:szCs w:val="24"/>
          <w:lang w:val="en-US" w:eastAsia="zh-CN"/>
        </w:rPr>
        <w:t>25</w:t>
      </w:r>
      <w:r>
        <w:rPr>
          <w:rFonts w:hint="eastAsia" w:ascii="宋体" w:hAnsi="宋体" w:cs="宋体"/>
          <w:sz w:val="24"/>
          <w:szCs w:val="24"/>
        </w:rPr>
        <w:t>日14时</w:t>
      </w:r>
      <w:r>
        <w:rPr>
          <w:rFonts w:hint="eastAsia" w:cs="宋体"/>
          <w:sz w:val="24"/>
          <w:szCs w:val="24"/>
          <w:lang w:val="en-US" w:eastAsia="zh-CN"/>
        </w:rPr>
        <w:t>3</w:t>
      </w:r>
      <w:r>
        <w:rPr>
          <w:rFonts w:hint="eastAsia" w:ascii="宋体" w:hAnsi="宋体" w:cs="宋体"/>
          <w:sz w:val="24"/>
          <w:szCs w:val="24"/>
        </w:rPr>
        <w:t>0分（北京时间）</w:t>
      </w:r>
    </w:p>
    <w:p>
      <w:pPr>
        <w:spacing w:line="360" w:lineRule="auto"/>
        <w:ind w:firstLine="480"/>
        <w:rPr>
          <w:rFonts w:hint="eastAsia" w:ascii="宋体" w:hAnsi="宋体" w:cs="宋体"/>
          <w:sz w:val="24"/>
          <w:szCs w:val="24"/>
        </w:rPr>
      </w:pPr>
      <w:r>
        <w:rPr>
          <w:rFonts w:hint="eastAsia" w:ascii="宋体" w:hAnsi="宋体" w:cs="宋体"/>
          <w:sz w:val="24"/>
          <w:szCs w:val="24"/>
        </w:rPr>
        <w:t>4、开标地点：庵东镇公共资源交易中心（庵东镇文体中心北四楼）开标室。</w:t>
      </w:r>
    </w:p>
    <w:p>
      <w:pPr>
        <w:spacing w:line="360" w:lineRule="auto"/>
        <w:rPr>
          <w:rFonts w:hint="eastAsia" w:ascii="宋体" w:hAnsi="宋体" w:cs="宋体"/>
          <w:sz w:val="24"/>
          <w:szCs w:val="24"/>
        </w:rPr>
      </w:pPr>
      <w:r>
        <w:rPr>
          <w:rFonts w:hint="eastAsia" w:ascii="宋体" w:hAnsi="宋体" w:cs="宋体"/>
          <w:sz w:val="24"/>
          <w:szCs w:val="24"/>
        </w:rPr>
        <w:t>五、公告期限</w:t>
      </w:r>
      <w:bookmarkEnd w:id="25"/>
      <w:bookmarkEnd w:id="26"/>
      <w:bookmarkEnd w:id="27"/>
      <w:bookmarkEnd w:id="28"/>
      <w:r>
        <w:rPr>
          <w:rFonts w:hint="eastAsia" w:ascii="宋体" w:hAnsi="宋体" w:cs="宋体"/>
          <w:sz w:val="24"/>
          <w:szCs w:val="24"/>
        </w:rPr>
        <w:t>(招标文件公告期限)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自本公告发布之日起5个工作日。</w:t>
      </w:r>
    </w:p>
    <w:p>
      <w:pPr>
        <w:pStyle w:val="4"/>
        <w:spacing w:before="0" w:after="0"/>
        <w:rPr>
          <w:rFonts w:hint="eastAsia" w:ascii="宋体" w:hAnsi="宋体" w:eastAsia="宋体" w:cs="宋体"/>
          <w:sz w:val="24"/>
          <w:szCs w:val="24"/>
        </w:rPr>
      </w:pPr>
      <w:bookmarkStart w:id="29" w:name="_Toc35393626"/>
      <w:bookmarkStart w:id="30" w:name="_Toc35393795"/>
      <w:bookmarkStart w:id="31" w:name="_Toc30132"/>
      <w:r>
        <w:rPr>
          <w:rFonts w:hint="eastAsia" w:ascii="宋体" w:hAnsi="宋体" w:eastAsia="宋体" w:cs="宋体"/>
          <w:sz w:val="24"/>
          <w:szCs w:val="24"/>
        </w:rPr>
        <w:t>六、其他补充事宜</w:t>
      </w:r>
      <w:bookmarkEnd w:id="29"/>
      <w:bookmarkEnd w:id="30"/>
      <w:bookmarkEnd w:id="31"/>
    </w:p>
    <w:p>
      <w:pPr>
        <w:spacing w:line="360" w:lineRule="auto"/>
        <w:ind w:firstLine="480"/>
        <w:rPr>
          <w:rFonts w:hint="eastAsia" w:ascii="宋体" w:hAnsi="宋体" w:cs="宋体"/>
          <w:sz w:val="24"/>
          <w:szCs w:val="24"/>
        </w:rPr>
      </w:pPr>
      <w:r>
        <w:rPr>
          <w:rFonts w:hint="eastAsia" w:ascii="宋体" w:hAnsi="宋体" w:cs="宋体"/>
          <w:sz w:val="24"/>
          <w:szCs w:val="24"/>
        </w:rPr>
        <w:t>1、本次政府采购活动有关信息在浙江政府采购网、宁波政府采购网</w:t>
      </w:r>
      <w:r>
        <w:rPr>
          <w:rFonts w:hint="eastAsia" w:cs="宋体"/>
          <w:sz w:val="24"/>
          <w:szCs w:val="24"/>
          <w:lang w:eastAsia="zh-CN"/>
        </w:rPr>
        <w:t>、</w:t>
      </w:r>
      <w:r>
        <w:rPr>
          <w:rFonts w:ascii="宋体" w:hAnsi="宋体" w:cs="宋体"/>
          <w:sz w:val="24"/>
          <w:szCs w:val="24"/>
        </w:rPr>
        <w:t>宁波市公共资源交易网杭州湾新区分网</w:t>
      </w:r>
      <w:r>
        <w:rPr>
          <w:rFonts w:hint="eastAsia" w:ascii="宋体" w:hAnsi="宋体" w:cs="宋体"/>
          <w:sz w:val="24"/>
          <w:szCs w:val="24"/>
        </w:rPr>
        <w:t>公布，视同送达所有潜在投标人。</w:t>
      </w:r>
    </w:p>
    <w:p>
      <w:pPr>
        <w:pStyle w:val="4"/>
        <w:spacing w:before="0" w:after="0"/>
        <w:rPr>
          <w:rFonts w:hint="eastAsia" w:ascii="宋体" w:hAnsi="宋体" w:eastAsia="宋体" w:cs="宋体"/>
          <w:sz w:val="24"/>
          <w:szCs w:val="24"/>
        </w:rPr>
      </w:pPr>
      <w:bookmarkStart w:id="32" w:name="_Toc28359008"/>
      <w:bookmarkStart w:id="33" w:name="_Toc35393627"/>
      <w:bookmarkStart w:id="34" w:name="_Toc2735"/>
      <w:bookmarkStart w:id="35" w:name="_Toc35393796"/>
      <w:bookmarkStart w:id="36" w:name="_Toc28359085"/>
      <w:r>
        <w:rPr>
          <w:rFonts w:hint="eastAsia" w:ascii="宋体" w:hAnsi="宋体" w:eastAsia="宋体" w:cs="宋体"/>
          <w:sz w:val="24"/>
          <w:szCs w:val="24"/>
        </w:rPr>
        <w:t>七、对本次招标提出询问，请按以下方式联系。</w:t>
      </w:r>
      <w:bookmarkEnd w:id="32"/>
      <w:bookmarkEnd w:id="33"/>
      <w:bookmarkEnd w:id="34"/>
      <w:bookmarkEnd w:id="35"/>
      <w:bookmarkEnd w:id="36"/>
    </w:p>
    <w:p>
      <w:pPr>
        <w:ind w:firstLine="480"/>
        <w:rPr>
          <w:rFonts w:cs="宋体"/>
          <w:color w:val="auto"/>
        </w:rPr>
      </w:pPr>
      <w:r>
        <w:rPr>
          <w:rFonts w:hint="eastAsia" w:cs="宋体"/>
          <w:color w:val="auto"/>
        </w:rPr>
        <w:t>1.采购人：庵东镇教育办公室</w:t>
      </w:r>
    </w:p>
    <w:p>
      <w:pPr>
        <w:ind w:firstLine="480"/>
        <w:rPr>
          <w:rFonts w:cs="宋体"/>
          <w:color w:val="auto"/>
        </w:rPr>
      </w:pPr>
      <w:r>
        <w:rPr>
          <w:rFonts w:hint="eastAsia" w:cs="宋体"/>
          <w:color w:val="auto"/>
        </w:rPr>
        <w:t>地    址：宁波市</w:t>
      </w:r>
      <w:r>
        <w:rPr>
          <w:rFonts w:hint="eastAsia" w:cs="宋体"/>
          <w:color w:val="auto"/>
          <w:lang w:eastAsia="zh-CN"/>
        </w:rPr>
        <w:t>杭州湾新区</w:t>
      </w:r>
      <w:r>
        <w:rPr>
          <w:rFonts w:hint="eastAsia" w:cs="宋体"/>
          <w:color w:val="auto"/>
        </w:rPr>
        <w:t>庵东镇</w:t>
      </w:r>
      <w:r>
        <w:rPr>
          <w:rFonts w:hint="eastAsia" w:cs="宋体"/>
          <w:color w:val="auto"/>
          <w:lang w:eastAsia="zh-CN"/>
        </w:rPr>
        <w:t>盐车路</w:t>
      </w:r>
      <w:r>
        <w:rPr>
          <w:rFonts w:hint="eastAsia" w:cs="宋体"/>
          <w:color w:val="auto"/>
          <w:lang w:val="en-US" w:eastAsia="zh-CN"/>
        </w:rPr>
        <w:t>206</w:t>
      </w:r>
      <w:r>
        <w:rPr>
          <w:rFonts w:hint="eastAsia" w:cs="宋体"/>
          <w:color w:val="auto"/>
        </w:rPr>
        <w:t>号</w:t>
      </w:r>
    </w:p>
    <w:p>
      <w:pPr>
        <w:ind w:firstLine="480"/>
        <w:rPr>
          <w:rFonts w:cs="宋体"/>
          <w:color w:val="auto"/>
        </w:rPr>
      </w:pPr>
      <w:r>
        <w:rPr>
          <w:rFonts w:hint="eastAsia" w:cs="宋体"/>
          <w:color w:val="auto"/>
        </w:rPr>
        <w:t>传 真：0574-63479155</w:t>
      </w:r>
    </w:p>
    <w:p>
      <w:pPr>
        <w:ind w:firstLine="480"/>
        <w:rPr>
          <w:rFonts w:cs="宋体"/>
          <w:color w:val="auto"/>
        </w:rPr>
      </w:pPr>
      <w:r>
        <w:rPr>
          <w:rFonts w:hint="eastAsia" w:cs="宋体"/>
          <w:color w:val="auto"/>
        </w:rPr>
        <w:t xml:space="preserve">项目联系人（询问）：陈欢军 </w:t>
      </w:r>
    </w:p>
    <w:p>
      <w:pPr>
        <w:ind w:firstLine="480"/>
        <w:rPr>
          <w:rFonts w:cs="宋体"/>
          <w:color w:val="auto"/>
        </w:rPr>
      </w:pPr>
      <w:r>
        <w:rPr>
          <w:rFonts w:hint="eastAsia" w:cs="宋体"/>
          <w:color w:val="auto"/>
        </w:rPr>
        <w:t xml:space="preserve">项目联系方式（询问）：0574-63479155 </w:t>
      </w:r>
    </w:p>
    <w:p>
      <w:pPr>
        <w:ind w:firstLine="480"/>
        <w:rPr>
          <w:rFonts w:cs="宋体"/>
          <w:color w:val="auto"/>
        </w:rPr>
      </w:pPr>
      <w:r>
        <w:rPr>
          <w:rFonts w:hint="eastAsia" w:cs="宋体"/>
          <w:color w:val="auto"/>
        </w:rPr>
        <w:t>质疑联系人：陈老师</w:t>
      </w:r>
    </w:p>
    <w:p>
      <w:pPr>
        <w:ind w:firstLine="480"/>
        <w:rPr>
          <w:rFonts w:cs="宋体"/>
          <w:color w:val="auto"/>
        </w:rPr>
      </w:pPr>
      <w:r>
        <w:rPr>
          <w:rFonts w:hint="eastAsia" w:cs="宋体"/>
          <w:color w:val="auto"/>
        </w:rPr>
        <w:t>质疑联系方式：0574-63479155</w:t>
      </w:r>
    </w:p>
    <w:p>
      <w:pPr>
        <w:spacing w:line="360" w:lineRule="auto"/>
        <w:rPr>
          <w:rFonts w:hint="eastAsia" w:ascii="宋体" w:hAnsi="宋体" w:cs="宋体"/>
          <w:sz w:val="24"/>
          <w:szCs w:val="24"/>
        </w:rPr>
      </w:pPr>
      <w:r>
        <w:rPr>
          <w:rFonts w:hint="eastAsia" w:ascii="宋体" w:hAnsi="宋体" w:cs="宋体"/>
          <w:sz w:val="24"/>
          <w:szCs w:val="24"/>
        </w:rPr>
        <w:t>2.招标代理机构名称：浙江五石工程咨询有限公司</w:t>
      </w:r>
    </w:p>
    <w:p>
      <w:pPr>
        <w:spacing w:line="360" w:lineRule="auto"/>
        <w:rPr>
          <w:rFonts w:hint="eastAsia" w:ascii="宋体" w:hAnsi="宋体" w:cs="宋体"/>
          <w:color w:val="auto"/>
          <w:sz w:val="24"/>
          <w:szCs w:val="24"/>
        </w:rPr>
      </w:pPr>
      <w:r>
        <w:rPr>
          <w:rFonts w:hint="eastAsia" w:ascii="宋体" w:hAnsi="宋体" w:cs="宋体"/>
          <w:color w:val="auto"/>
          <w:sz w:val="24"/>
          <w:szCs w:val="24"/>
        </w:rPr>
        <w:t>地    址：宁波市鄞州区宁穿路1679号金融硅谷9号楼1402室。</w:t>
      </w:r>
    </w:p>
    <w:p>
      <w:pPr>
        <w:spacing w:line="360" w:lineRule="auto"/>
        <w:rPr>
          <w:rFonts w:hint="eastAsia" w:ascii="宋体" w:hAnsi="宋体" w:cs="宋体"/>
          <w:color w:val="auto"/>
          <w:sz w:val="24"/>
          <w:szCs w:val="24"/>
        </w:rPr>
      </w:pPr>
      <w:r>
        <w:rPr>
          <w:rFonts w:hint="eastAsia" w:ascii="宋体" w:hAnsi="宋体" w:cs="宋体"/>
          <w:color w:val="auto"/>
          <w:sz w:val="24"/>
          <w:szCs w:val="24"/>
        </w:rPr>
        <w:t>业务联系人：毛</w:t>
      </w:r>
      <w:r>
        <w:rPr>
          <w:rFonts w:hint="eastAsia" w:cs="宋体"/>
          <w:color w:val="auto"/>
          <w:sz w:val="24"/>
          <w:szCs w:val="24"/>
          <w:lang w:eastAsia="zh-CN"/>
        </w:rPr>
        <w:t>建华</w:t>
      </w:r>
      <w:r>
        <w:rPr>
          <w:rFonts w:hint="eastAsia" w:ascii="宋体" w:hAnsi="宋体" w:cs="宋体"/>
          <w:color w:val="auto"/>
          <w:sz w:val="24"/>
          <w:szCs w:val="24"/>
        </w:rPr>
        <w:t>、毕</w:t>
      </w:r>
      <w:r>
        <w:rPr>
          <w:rFonts w:hint="eastAsia" w:cs="宋体"/>
          <w:color w:val="auto"/>
          <w:sz w:val="24"/>
          <w:szCs w:val="24"/>
          <w:lang w:eastAsia="zh-CN"/>
        </w:rPr>
        <w:t>夏凤</w:t>
      </w:r>
      <w:r>
        <w:rPr>
          <w:rFonts w:hint="eastAsia" w:ascii="宋体" w:hAnsi="宋体" w:cs="宋体"/>
          <w:color w:val="auto"/>
          <w:sz w:val="24"/>
          <w:szCs w:val="24"/>
        </w:rPr>
        <w:t>、章</w:t>
      </w:r>
      <w:r>
        <w:rPr>
          <w:rFonts w:hint="eastAsia" w:cs="宋体"/>
          <w:color w:val="auto"/>
          <w:sz w:val="24"/>
          <w:szCs w:val="24"/>
          <w:lang w:eastAsia="zh-CN"/>
        </w:rPr>
        <w:t>小丽</w:t>
      </w:r>
      <w:r>
        <w:rPr>
          <w:rFonts w:hint="eastAsia" w:ascii="宋体" w:hAnsi="宋体" w:cs="宋体"/>
          <w:color w:val="auto"/>
          <w:sz w:val="24"/>
          <w:szCs w:val="24"/>
        </w:rPr>
        <w:br w:type="textWrapping"/>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联系电话：0574-83896188、87645885      传    真：0574-87520151</w:t>
      </w:r>
    </w:p>
    <w:p>
      <w:pPr>
        <w:spacing w:line="360" w:lineRule="auto"/>
        <w:rPr>
          <w:rFonts w:hint="eastAsia" w:ascii="宋体" w:hAnsi="宋体" w:cs="宋体"/>
          <w:color w:val="auto"/>
          <w:sz w:val="24"/>
          <w:szCs w:val="24"/>
        </w:rPr>
      </w:pPr>
      <w:r>
        <w:rPr>
          <w:rFonts w:hint="eastAsia" w:ascii="宋体" w:hAnsi="宋体" w:cs="宋体"/>
          <w:color w:val="auto"/>
          <w:sz w:val="24"/>
          <w:szCs w:val="24"/>
        </w:rPr>
        <w:t>质疑联系人：毛先生          联系电话：0574-87208097</w:t>
      </w:r>
    </w:p>
    <w:p>
      <w:pPr>
        <w:spacing w:line="360" w:lineRule="auto"/>
        <w:rPr>
          <w:rFonts w:hint="eastAsia" w:ascii="宋体" w:hAnsi="宋体" w:cs="宋体"/>
          <w:color w:val="auto"/>
          <w:sz w:val="24"/>
          <w:szCs w:val="24"/>
        </w:rPr>
      </w:pPr>
      <w:r>
        <w:rPr>
          <w:rFonts w:hint="eastAsia" w:ascii="宋体" w:hAnsi="宋体" w:cs="宋体"/>
          <w:color w:val="auto"/>
          <w:sz w:val="24"/>
          <w:szCs w:val="24"/>
        </w:rPr>
        <w:t>邮箱：</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"mailto:hzwsgc@163.com" </w:instrText>
      </w:r>
      <w:r>
        <w:rPr>
          <w:rFonts w:hint="eastAsia" w:ascii="宋体" w:hAnsi="宋体" w:cs="宋体"/>
          <w:color w:val="auto"/>
          <w:sz w:val="24"/>
          <w:szCs w:val="24"/>
        </w:rPr>
        <w:fldChar w:fldCharType="separate"/>
      </w:r>
      <w:r>
        <w:rPr>
          <w:rFonts w:hint="eastAsia" w:ascii="宋体" w:hAnsi="宋体" w:cs="宋体"/>
          <w:color w:val="auto"/>
          <w:sz w:val="24"/>
          <w:szCs w:val="24"/>
        </w:rPr>
        <w:t>hzwsgc@163.com</w:t>
      </w:r>
      <w:r>
        <w:rPr>
          <w:rFonts w:hint="eastAsia" w:ascii="宋体" w:hAnsi="宋体" w:cs="宋体"/>
          <w:color w:val="auto"/>
          <w:sz w:val="24"/>
          <w:szCs w:val="24"/>
        </w:rPr>
        <w:fldChar w:fldCharType="end"/>
      </w:r>
    </w:p>
    <w:p>
      <w:pPr>
        <w:spacing w:line="360" w:lineRule="auto"/>
        <w:rPr>
          <w:rFonts w:hint="eastAsia" w:ascii="宋体" w:hAnsi="宋体" w:cs="宋体"/>
          <w:color w:val="auto"/>
          <w:sz w:val="24"/>
          <w:szCs w:val="24"/>
        </w:rPr>
      </w:pPr>
      <w:r>
        <w:rPr>
          <w:rFonts w:hint="eastAsia" w:ascii="宋体" w:hAnsi="宋体" w:cs="宋体"/>
          <w:color w:val="auto"/>
          <w:sz w:val="24"/>
          <w:szCs w:val="24"/>
        </w:rPr>
        <w:t>网站系统问题咨询：注册、账号等， 4008817190</w:t>
      </w:r>
      <w:r>
        <w:rPr>
          <w:rFonts w:hint="eastAsia" w:ascii="宋体" w:hAnsi="宋体" w:cs="宋体"/>
          <w:color w:val="auto"/>
          <w:sz w:val="24"/>
          <w:szCs w:val="24"/>
        </w:rPr>
        <w:tab/>
      </w:r>
      <w:r>
        <w:rPr>
          <w:rFonts w:hint="eastAsia" w:ascii="宋体" w:hAnsi="宋体" w:cs="宋体"/>
          <w:color w:val="auto"/>
          <w:sz w:val="24"/>
          <w:szCs w:val="24"/>
        </w:rPr>
        <w:t>；其它，4008371020。</w:t>
      </w:r>
    </w:p>
    <w:p>
      <w:pPr>
        <w:spacing w:line="360" w:lineRule="auto"/>
        <w:rPr>
          <w:rFonts w:hint="eastAsia" w:ascii="宋体" w:hAnsi="宋体" w:cs="宋体"/>
          <w:sz w:val="24"/>
          <w:szCs w:val="24"/>
        </w:rPr>
      </w:pPr>
      <w:r>
        <w:rPr>
          <w:rFonts w:hint="eastAsia" w:ascii="宋体" w:hAnsi="宋体" w:cs="宋体"/>
          <w:sz w:val="24"/>
          <w:szCs w:val="24"/>
        </w:rPr>
        <w:t xml:space="preserve">3.同级政府采购监督管理部门 </w:t>
      </w:r>
    </w:p>
    <w:p>
      <w:pPr>
        <w:spacing w:line="360" w:lineRule="auto"/>
        <w:rPr>
          <w:rFonts w:hint="eastAsia" w:ascii="宋体" w:hAnsi="宋体" w:cs="宋体"/>
          <w:sz w:val="24"/>
          <w:szCs w:val="24"/>
        </w:rPr>
      </w:pPr>
      <w:r>
        <w:rPr>
          <w:rFonts w:hint="eastAsia" w:ascii="宋体" w:hAnsi="宋体" w:cs="宋体"/>
          <w:sz w:val="24"/>
          <w:szCs w:val="24"/>
        </w:rPr>
        <w:t xml:space="preserve">名 称：庵东镇公共资源交易管理办公室 </w:t>
      </w:r>
    </w:p>
    <w:p>
      <w:pPr>
        <w:ind w:firstLine="480"/>
        <w:rPr>
          <w:rFonts w:cs="宋体"/>
          <w:color w:val="auto"/>
        </w:rPr>
      </w:pPr>
      <w:r>
        <w:rPr>
          <w:rFonts w:hint="eastAsia" w:cs="宋体"/>
          <w:color w:val="auto"/>
        </w:rPr>
        <w:t xml:space="preserve">地 址：宁波杭州湾新区庵东镇邮电路427号 </w:t>
      </w:r>
    </w:p>
    <w:p>
      <w:pPr>
        <w:ind w:firstLine="480"/>
        <w:rPr>
          <w:rFonts w:cs="宋体"/>
          <w:color w:val="auto"/>
        </w:rPr>
      </w:pPr>
      <w:r>
        <w:rPr>
          <w:rFonts w:hint="eastAsia" w:cs="宋体"/>
          <w:color w:val="auto"/>
        </w:rPr>
        <w:t>传 真：0574-63078935</w:t>
      </w:r>
    </w:p>
    <w:p>
      <w:pPr>
        <w:ind w:firstLine="480"/>
        <w:rPr>
          <w:rFonts w:cs="宋体"/>
          <w:color w:val="auto"/>
        </w:rPr>
      </w:pPr>
      <w:r>
        <w:rPr>
          <w:rFonts w:hint="eastAsia" w:cs="宋体"/>
          <w:color w:val="auto"/>
        </w:rPr>
        <w:t xml:space="preserve">联系人 ：单老师 </w:t>
      </w:r>
    </w:p>
    <w:p>
      <w:pPr>
        <w:ind w:firstLine="480"/>
        <w:rPr>
          <w:rFonts w:cs="宋体"/>
          <w:color w:val="auto"/>
        </w:rPr>
      </w:pPr>
      <w:r>
        <w:rPr>
          <w:rFonts w:hint="eastAsia" w:cs="宋体"/>
          <w:color w:val="auto"/>
        </w:rPr>
        <w:t xml:space="preserve">监督投诉电话：0574-63478242 </w:t>
      </w:r>
    </w:p>
    <w:p>
      <w:pPr>
        <w:bidi w:val="0"/>
        <w:rPr>
          <w:rFonts w:hint="eastAsia" w:ascii="宋体" w:hAnsi="宋体" w:eastAsia="宋体" w:cs="宋体"/>
          <w:color w:val="auto"/>
          <w:highlight w:val="none"/>
        </w:rPr>
      </w:pPr>
    </w:p>
    <w:p>
      <w:pPr>
        <w:pStyle w:val="48"/>
        <w:rPr>
          <w:rFonts w:hint="eastAsia" w:ascii="宋体" w:hAnsi="宋体" w:eastAsia="宋体" w:cs="宋体"/>
          <w:color w:val="auto"/>
          <w:highlight w:val="none"/>
        </w:rPr>
      </w:pPr>
    </w:p>
    <w:p>
      <w:pPr>
        <w:pStyle w:val="48"/>
        <w:rPr>
          <w:rFonts w:hint="eastAsia" w:ascii="宋体" w:hAnsi="宋体" w:eastAsia="宋体" w:cs="宋体"/>
          <w:color w:val="auto"/>
          <w:highlight w:val="none"/>
        </w:rPr>
        <w:sectPr>
          <w:footerReference r:id="rId12" w:type="default"/>
          <w:pgSz w:w="11906" w:h="16838"/>
          <w:pgMar w:top="1440" w:right="1080" w:bottom="1440" w:left="1080" w:header="850" w:footer="992" w:gutter="0"/>
          <w:pgBorders>
            <w:top w:val="none" w:color="auto" w:sz="0" w:space="0"/>
            <w:left w:val="none" w:color="auto" w:sz="0" w:space="0"/>
            <w:bottom w:val="none" w:color="auto" w:sz="0" w:space="0"/>
            <w:right w:val="none" w:color="auto" w:sz="0" w:space="0"/>
          </w:pgBorders>
          <w:pgNumType w:start="1"/>
          <w:cols w:space="720" w:num="1"/>
          <w:docGrid w:linePitch="381" w:charSpace="0"/>
        </w:sectPr>
      </w:pPr>
    </w:p>
    <w:bookmarkEnd w:id="4"/>
    <w:p>
      <w:pPr>
        <w:pStyle w:val="3"/>
        <w:numPr>
          <w:ilvl w:val="0"/>
          <w:numId w:val="4"/>
        </w:numPr>
        <w:bidi w:val="0"/>
        <w:ind w:left="0" w:leftChars="0" w:right="0" w:rightChars="0" w:firstLine="0" w:firstLineChars="0"/>
        <w:jc w:val="center"/>
        <w:rPr>
          <w:rFonts w:hint="eastAsia" w:ascii="宋体" w:hAnsi="宋体" w:eastAsia="宋体" w:cs="宋体"/>
          <w:color w:val="auto"/>
          <w:highlight w:val="none"/>
        </w:rPr>
      </w:pPr>
      <w:bookmarkStart w:id="37" w:name="_Toc6146"/>
      <w:bookmarkStart w:id="38" w:name="_Toc26040"/>
      <w:r>
        <w:rPr>
          <w:rFonts w:hint="eastAsia" w:ascii="宋体" w:hAnsi="宋体" w:eastAsia="宋体" w:cs="宋体"/>
          <w:color w:val="auto"/>
          <w:highlight w:val="none"/>
        </w:rPr>
        <w:t>项目需求说明</w:t>
      </w:r>
      <w:bookmarkEnd w:id="37"/>
      <w:bookmarkEnd w:id="38"/>
    </w:p>
    <w:p>
      <w:pPr>
        <w:keepNext w:val="0"/>
        <w:keepLines w:val="0"/>
        <w:pageBreakBefore w:val="0"/>
        <w:widowControl w:val="0"/>
        <w:numPr>
          <w:ilvl w:val="0"/>
          <w:numId w:val="0"/>
        </w:numPr>
        <w:tabs>
          <w:tab w:val="clear" w:pos="360"/>
        </w:tabs>
        <w:kinsoku/>
        <w:wordWrap/>
        <w:overflowPunct/>
        <w:topLinePunct w:val="0"/>
        <w:autoSpaceDE/>
        <w:autoSpaceDN/>
        <w:bidi w:val="0"/>
        <w:adjustRightInd/>
        <w:spacing w:line="360" w:lineRule="auto"/>
        <w:ind w:left="0" w:leftChars="0" w:right="0" w:rightChars="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一、采购需求及技术要求</w:t>
      </w:r>
    </w:p>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一、项目背景</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近些年来，由于中小学生课内外负担加重，手机、电脑等带电子屏幕产品（以下简称电子产品）的普及，用眼过度、用眼不卫生、缺乏体育锻炼和户外活动等因素，中国儿童青少年近视率居高不下、不断攀升，近视低龄化、重度化日益严重，已成为一个关系国家和民族未来的大问题。教室是中小学生学习生活的重要场所，教室的照明状况直接影响学生的用眼疲劳程度。因此，教室的照明条件对于防控学生视力不良的发生与发展非常重要，照明系统改造可显著提升教室的照明条件。</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依据教育部等八部门联合发布的《综合防控儿童青少年近视实施方案》【教体艺〔2018〕3号】文件要求，响应浙江省教育厅办公室关于《中小学校护眼灯光改造工程技术规范》的通知，为改善学生教室灯光环境、做好儿童青少年近视防控工作，宁波市杭州湾新区</w:t>
      </w:r>
      <w:r>
        <w:rPr>
          <w:rFonts w:hint="eastAsia" w:ascii="宋体" w:hAnsi="宋体" w:eastAsia="宋体" w:cs="宋体"/>
          <w:sz w:val="24"/>
          <w:szCs w:val="24"/>
          <w:lang w:eastAsia="zh-CN"/>
        </w:rPr>
        <w:t>庵东镇</w:t>
      </w:r>
      <w:r>
        <w:rPr>
          <w:rFonts w:hint="eastAsia" w:ascii="宋体" w:hAnsi="宋体" w:eastAsia="宋体" w:cs="宋体"/>
          <w:sz w:val="24"/>
          <w:szCs w:val="24"/>
        </w:rPr>
        <w:t>部分学校需进行智慧护眼照明系统改造，使用利于视力健康的照明设备。改造后的照明系统能根据不同自然环境和教学场景调节教室内的光环境，实现智能健康照明。</w:t>
      </w:r>
    </w:p>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二、采购要求</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供应商需按本章的要求完成宁波杭州湾新区</w:t>
      </w:r>
      <w:r>
        <w:rPr>
          <w:rFonts w:hint="eastAsia" w:ascii="宋体" w:hAnsi="宋体" w:eastAsia="宋体" w:cs="宋体"/>
          <w:sz w:val="24"/>
          <w:szCs w:val="24"/>
          <w:lang w:eastAsia="zh-CN"/>
        </w:rPr>
        <w:t>庵东镇</w:t>
      </w:r>
      <w:r>
        <w:rPr>
          <w:rFonts w:hint="eastAsia" w:ascii="宋体" w:hAnsi="宋体" w:eastAsia="宋体" w:cs="宋体"/>
          <w:sz w:val="24"/>
          <w:szCs w:val="24"/>
        </w:rPr>
        <w:t>部分学校智慧护眼照明系统建设，包括但不限于灯具及各类配件、备品备件及专用工具的供货、运输、保险、装卸、安装、调试、试运行、检测、验收等交付使用前发生的所有工作，以及培训、技术服务（包括技术资料、图纸的提供）、质量保证期内售后服务等工作。按工作顺序提交所需的无论是否被明细列在合同文件中的所有资料。</w:t>
      </w:r>
    </w:p>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三、供应商工作范围</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1、须完成下列项目：</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（1）协助使用单位进行图纸的交底；</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（2）提供设备相关的各类必要配件；</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（3）设备的就位和安装；</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（4）设备的检查、检验及测试；</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（5）设备线路的连接和检查；</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（6）总体调试及验收（包括整体验收）；</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（7）整改；</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（8）设备及相关部分的维护、维修；</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（9）售后服务，包括对各学校工作人员的使用及维护培训；</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（10）项目实施过程中与各学校及其它协作方的协调和配合。</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2、本章内容只是对招标设备的一些基本的原则性规定，并不是详尽的要求，供应商有责任对设备的设计符合技术规格要求负责，并向采购人提供使其满意的产品。</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3、供应商须对招标文件中涉及到的专利负责，并保证不伤害招标人的利益。在法律范围内，所有文字、商标和技术侵权造成的相关费用，采购人概不负责。</w:t>
      </w:r>
    </w:p>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四、设备类型及装配量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1、各类教室具体装配量</w:t>
      </w:r>
    </w:p>
    <w:tbl>
      <w:tblPr>
        <w:tblStyle w:val="46"/>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025"/>
        <w:gridCol w:w="2025"/>
        <w:gridCol w:w="175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82"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202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教室类型</w:t>
            </w:r>
          </w:p>
        </w:tc>
        <w:tc>
          <w:tcPr>
            <w:tcW w:w="202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lang w:eastAsia="zh-CN"/>
              </w:rPr>
            </w:pPr>
            <w:r>
              <w:rPr>
                <w:rFonts w:hint="eastAsia" w:cs="宋体"/>
                <w:b w:val="0"/>
                <w:bCs/>
                <w:sz w:val="24"/>
                <w:szCs w:val="24"/>
                <w:lang w:eastAsia="zh-CN"/>
              </w:rPr>
              <w:t>学校</w:t>
            </w:r>
          </w:p>
        </w:tc>
        <w:tc>
          <w:tcPr>
            <w:tcW w:w="175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数量（间）</w:t>
            </w:r>
          </w:p>
        </w:tc>
        <w:tc>
          <w:tcPr>
            <w:tcW w:w="280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装配量（每间）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02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中小学普通教室</w:t>
            </w:r>
          </w:p>
        </w:tc>
        <w:tc>
          <w:tcPr>
            <w:tcW w:w="202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lang w:eastAsia="zh-CN"/>
              </w:rPr>
            </w:pPr>
            <w:r>
              <w:rPr>
                <w:rFonts w:hint="eastAsia" w:cs="宋体"/>
                <w:b w:val="0"/>
                <w:bCs/>
                <w:sz w:val="24"/>
                <w:szCs w:val="24"/>
                <w:lang w:eastAsia="zh-CN"/>
              </w:rPr>
              <w:t>庵东实验学校</w:t>
            </w:r>
          </w:p>
        </w:tc>
        <w:tc>
          <w:tcPr>
            <w:tcW w:w="175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lang w:eastAsia="zh-CN"/>
              </w:rPr>
            </w:pPr>
            <w:r>
              <w:rPr>
                <w:rFonts w:hint="eastAsia" w:cs="宋体"/>
                <w:b w:val="0"/>
                <w:bCs/>
                <w:sz w:val="24"/>
                <w:szCs w:val="24"/>
                <w:lang w:val="en-US" w:eastAsia="zh-CN"/>
              </w:rPr>
              <w:t>50</w:t>
            </w:r>
          </w:p>
        </w:tc>
        <w:tc>
          <w:tcPr>
            <w:tcW w:w="28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智能LED面板灯×9</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智能LED黑板灯×2</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光环境触摸控制器×1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lang w:val="en-US" w:eastAsia="zh-CN"/>
              </w:rPr>
            </w:pPr>
            <w:r>
              <w:rPr>
                <w:rFonts w:hint="eastAsia" w:cs="宋体"/>
                <w:b w:val="0"/>
                <w:bCs/>
                <w:sz w:val="24"/>
                <w:szCs w:val="24"/>
                <w:lang w:val="en-US" w:eastAsia="zh-CN"/>
              </w:rPr>
              <w:t>2</w:t>
            </w:r>
          </w:p>
        </w:tc>
        <w:tc>
          <w:tcPr>
            <w:tcW w:w="202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中小学普通教室</w:t>
            </w:r>
          </w:p>
        </w:tc>
        <w:tc>
          <w:tcPr>
            <w:tcW w:w="202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lang w:eastAsia="zh-CN"/>
              </w:rPr>
            </w:pPr>
            <w:r>
              <w:rPr>
                <w:rFonts w:hint="eastAsia" w:cs="宋体"/>
                <w:b w:val="0"/>
                <w:bCs/>
                <w:sz w:val="24"/>
                <w:szCs w:val="24"/>
                <w:lang w:eastAsia="zh-CN"/>
              </w:rPr>
              <w:t>东一小学</w:t>
            </w:r>
          </w:p>
        </w:tc>
        <w:tc>
          <w:tcPr>
            <w:tcW w:w="175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cs="宋体"/>
                <w:b w:val="0"/>
                <w:bCs/>
                <w:sz w:val="24"/>
                <w:szCs w:val="24"/>
                <w:lang w:val="en-US" w:eastAsia="zh-CN"/>
              </w:rPr>
            </w:pPr>
            <w:r>
              <w:rPr>
                <w:rFonts w:hint="eastAsia" w:cs="宋体"/>
                <w:b w:val="0"/>
                <w:bCs/>
                <w:sz w:val="24"/>
                <w:szCs w:val="24"/>
                <w:lang w:val="en-US" w:eastAsia="zh-CN"/>
              </w:rPr>
              <w:t>14</w:t>
            </w:r>
          </w:p>
        </w:tc>
        <w:tc>
          <w:tcPr>
            <w:tcW w:w="28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lang w:val="en-US" w:eastAsia="zh-CN"/>
              </w:rPr>
            </w:pPr>
            <w:r>
              <w:rPr>
                <w:rFonts w:hint="eastAsia" w:cs="宋体"/>
                <w:b w:val="0"/>
                <w:bCs/>
                <w:sz w:val="24"/>
                <w:szCs w:val="24"/>
                <w:lang w:val="en-US" w:eastAsia="zh-CN"/>
              </w:rPr>
              <w:t>3</w:t>
            </w:r>
          </w:p>
        </w:tc>
        <w:tc>
          <w:tcPr>
            <w:tcW w:w="202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中小学普通教室</w:t>
            </w:r>
          </w:p>
        </w:tc>
        <w:tc>
          <w:tcPr>
            <w:tcW w:w="202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lang w:eastAsia="zh-CN"/>
              </w:rPr>
            </w:pPr>
            <w:r>
              <w:rPr>
                <w:rFonts w:hint="eastAsia" w:cs="宋体"/>
                <w:b w:val="0"/>
                <w:bCs/>
                <w:sz w:val="24"/>
                <w:szCs w:val="24"/>
                <w:lang w:eastAsia="zh-CN"/>
              </w:rPr>
              <w:t>西一小学</w:t>
            </w:r>
          </w:p>
        </w:tc>
        <w:tc>
          <w:tcPr>
            <w:tcW w:w="175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cs="宋体"/>
                <w:b w:val="0"/>
                <w:bCs/>
                <w:sz w:val="24"/>
                <w:szCs w:val="24"/>
                <w:lang w:val="en-US" w:eastAsia="zh-CN"/>
              </w:rPr>
            </w:pPr>
            <w:r>
              <w:rPr>
                <w:rFonts w:hint="eastAsia" w:cs="宋体"/>
                <w:b w:val="0"/>
                <w:bCs/>
                <w:sz w:val="24"/>
                <w:szCs w:val="24"/>
                <w:lang w:val="en-US" w:eastAsia="zh-CN"/>
              </w:rPr>
              <w:t>16</w:t>
            </w:r>
          </w:p>
        </w:tc>
        <w:tc>
          <w:tcPr>
            <w:tcW w:w="28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lang w:val="en-US" w:eastAsia="zh-CN"/>
              </w:rPr>
            </w:pPr>
            <w:r>
              <w:rPr>
                <w:rFonts w:hint="eastAsia" w:cs="宋体"/>
                <w:b w:val="0"/>
                <w:bCs/>
                <w:sz w:val="24"/>
                <w:szCs w:val="24"/>
                <w:lang w:val="en-US" w:eastAsia="zh-CN"/>
              </w:rPr>
              <w:t>4</w:t>
            </w:r>
          </w:p>
        </w:tc>
        <w:tc>
          <w:tcPr>
            <w:tcW w:w="202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中小学普通教室</w:t>
            </w:r>
          </w:p>
        </w:tc>
        <w:tc>
          <w:tcPr>
            <w:tcW w:w="202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庵东镇中心小学</w:t>
            </w:r>
          </w:p>
        </w:tc>
        <w:tc>
          <w:tcPr>
            <w:tcW w:w="175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cs="宋体"/>
                <w:b w:val="0"/>
                <w:bCs/>
                <w:sz w:val="24"/>
                <w:szCs w:val="24"/>
                <w:lang w:val="en-US" w:eastAsia="zh-CN"/>
              </w:rPr>
            </w:pPr>
            <w:r>
              <w:rPr>
                <w:rFonts w:hint="eastAsia" w:cs="宋体"/>
                <w:b w:val="0"/>
                <w:bCs/>
                <w:sz w:val="24"/>
                <w:szCs w:val="24"/>
                <w:lang w:val="en-US" w:eastAsia="zh-CN"/>
              </w:rPr>
              <w:t>33</w:t>
            </w:r>
          </w:p>
        </w:tc>
        <w:tc>
          <w:tcPr>
            <w:tcW w:w="28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lang w:val="en-US" w:eastAsia="zh-CN"/>
              </w:rPr>
            </w:pPr>
            <w:r>
              <w:rPr>
                <w:rFonts w:hint="eastAsia" w:cs="宋体"/>
                <w:b w:val="0"/>
                <w:bCs/>
                <w:sz w:val="24"/>
                <w:szCs w:val="24"/>
                <w:lang w:val="en-US" w:eastAsia="zh-CN"/>
              </w:rPr>
              <w:t>5</w:t>
            </w:r>
          </w:p>
        </w:tc>
        <w:tc>
          <w:tcPr>
            <w:tcW w:w="202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中小学普通教室</w:t>
            </w:r>
          </w:p>
        </w:tc>
        <w:tc>
          <w:tcPr>
            <w:tcW w:w="202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西二小学</w:t>
            </w:r>
          </w:p>
        </w:tc>
        <w:tc>
          <w:tcPr>
            <w:tcW w:w="175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cs="宋体"/>
                <w:b w:val="0"/>
                <w:bCs/>
                <w:sz w:val="24"/>
                <w:szCs w:val="24"/>
                <w:lang w:val="en-US" w:eastAsia="zh-CN"/>
              </w:rPr>
            </w:pPr>
            <w:r>
              <w:rPr>
                <w:rFonts w:hint="eastAsia" w:cs="宋体"/>
                <w:b w:val="0"/>
                <w:bCs/>
                <w:sz w:val="24"/>
                <w:szCs w:val="24"/>
                <w:lang w:val="en-US" w:eastAsia="zh-CN"/>
              </w:rPr>
              <w:t>15</w:t>
            </w:r>
          </w:p>
        </w:tc>
        <w:tc>
          <w:tcPr>
            <w:tcW w:w="28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r>
    </w:tbl>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outlineLvl w:val="9"/>
        <w:rPr>
          <w:rFonts w:hint="eastAsia" w:ascii="宋体" w:hAnsi="宋体" w:eastAsia="宋体" w:cs="宋体"/>
          <w:b/>
          <w:sz w:val="24"/>
          <w:szCs w:val="24"/>
        </w:rPr>
        <w:sectPr>
          <w:pgSz w:w="11907" w:h="16840"/>
          <w:pgMar w:top="851" w:right="1588" w:bottom="851" w:left="1545" w:header="285" w:footer="418" w:gutter="0"/>
          <w:cols w:space="720" w:num="1"/>
          <w:docGrid w:linePitch="286" w:charSpace="0"/>
        </w:sectPr>
      </w:pPr>
    </w:p>
    <w:p>
      <w:pPr>
        <w:spacing w:line="400" w:lineRule="exact"/>
        <w:rPr>
          <w:rFonts w:hint="eastAsia" w:ascii="宋体" w:hAnsi="宋体"/>
          <w:b/>
          <w:szCs w:val="21"/>
        </w:rPr>
      </w:pPr>
      <w:r>
        <w:rPr>
          <w:rFonts w:hint="eastAsia" w:ascii="宋体" w:hAnsi="宋体"/>
          <w:b/>
          <w:szCs w:val="21"/>
        </w:rPr>
        <w:t>五、设备详细技术参数</w:t>
      </w:r>
    </w:p>
    <w:tbl>
      <w:tblPr>
        <w:tblStyle w:val="46"/>
        <w:tblW w:w="149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1"/>
        <w:gridCol w:w="850"/>
        <w:gridCol w:w="9072"/>
        <w:gridCol w:w="258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jc w:val="center"/>
        </w:trPr>
        <w:tc>
          <w:tcPr>
            <w:tcW w:w="1341"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货物名称</w:t>
            </w: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序号</w:t>
            </w:r>
          </w:p>
        </w:tc>
        <w:tc>
          <w:tcPr>
            <w:tcW w:w="9072"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技术要求</w:t>
            </w:r>
          </w:p>
        </w:tc>
        <w:tc>
          <w:tcPr>
            <w:tcW w:w="2586" w:type="dxa"/>
            <w:vAlign w:val="top"/>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参考图片</w:t>
            </w: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投标响应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1341" w:type="dxa"/>
            <w:vMerge w:val="restart"/>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智能LED面板灯</w:t>
            </w: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1.1</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一体式LED微晶防眩面板灯，额定功率30-50W，长度≥1000mm。</w:t>
            </w:r>
          </w:p>
        </w:tc>
        <w:tc>
          <w:tcPr>
            <w:tcW w:w="2586" w:type="dxa"/>
            <w:vMerge w:val="restart"/>
            <w:vAlign w:val="top"/>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drawing>
                <wp:anchor distT="0" distB="0" distL="114300" distR="114300" simplePos="0" relativeHeight="251665408" behindDoc="0" locked="0" layoutInCell="1" allowOverlap="1">
                  <wp:simplePos x="0" y="0"/>
                  <wp:positionH relativeFrom="column">
                    <wp:posOffset>19050</wp:posOffset>
                  </wp:positionH>
                  <wp:positionV relativeFrom="paragraph">
                    <wp:posOffset>692150</wp:posOffset>
                  </wp:positionV>
                  <wp:extent cx="1381760" cy="762635"/>
                  <wp:effectExtent l="0" t="0" r="8890" b="18415"/>
                  <wp:wrapNone/>
                  <wp:docPr id="13" name="图片 4" descr="67a6c2ee7eada88fb92fbc5e6a4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67a6c2ee7eada88fb92fbc5e6a43816"/>
                          <pic:cNvPicPr>
                            <a:picLocks noChangeAspect="1"/>
                          </pic:cNvPicPr>
                        </pic:nvPicPr>
                        <pic:blipFill>
                          <a:blip r:embed="rId20"/>
                          <a:stretch>
                            <a:fillRect/>
                          </a:stretch>
                        </pic:blipFill>
                        <pic:spPr>
                          <a:xfrm>
                            <a:off x="0" y="0"/>
                            <a:ext cx="1381760" cy="762635"/>
                          </a:xfrm>
                          <a:prstGeom prst="rect">
                            <a:avLst/>
                          </a:prstGeom>
                          <a:noFill/>
                          <a:ln w="9525">
                            <a:noFill/>
                            <a:miter/>
                          </a:ln>
                        </pic:spPr>
                      </pic:pic>
                    </a:graphicData>
                  </a:graphic>
                </wp:anchor>
              </w:drawing>
            </w: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1.2</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色容差（色品容差）在初始测试（0或1000小时）及工作时长超过15000小时的情况下，均满足≤6 SDCM。</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1.3</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黑体" w:hAnsi="黑体" w:eastAsia="黑体" w:cs="黑体"/>
                <w:b w:val="0"/>
                <w:bCs/>
                <w:kern w:val="0"/>
                <w:szCs w:val="21"/>
                <w:lang w:eastAsia="zh-CN"/>
              </w:rPr>
              <w:t>▲</w:t>
            </w:r>
            <w:r>
              <w:rPr>
                <w:rFonts w:hint="eastAsia" w:ascii="宋体" w:hAnsi="宋体" w:cs="宋体"/>
                <w:b w:val="0"/>
                <w:bCs/>
                <w:kern w:val="0"/>
                <w:szCs w:val="21"/>
              </w:rPr>
              <w:t>工作时长不低于15000小时的情况下，光通维持率≥90%（即工作时长不低于15000小时的情况下，光通量与0或1000小时工作时长的光通量之比≥90%）。提供获得CMA认证的依据《GB/T9468-2008 灯具分布光度测量的一般要求》或《CQC3155-2016 中小学校及幼儿园教室照明产品节能认证技术规范》出具的检测报告复印件加盖供应商公章，未提供的本项视为负偏离。</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1.4</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黑体" w:hAnsi="黑体" w:eastAsia="黑体" w:cs="黑体"/>
                <w:b w:val="0"/>
                <w:bCs/>
                <w:kern w:val="0"/>
                <w:szCs w:val="21"/>
                <w:lang w:eastAsia="zh-CN"/>
              </w:rPr>
              <w:t>▲</w:t>
            </w:r>
            <w:r>
              <w:rPr>
                <w:rFonts w:hint="eastAsia" w:ascii="宋体" w:hAnsi="宋体" w:cs="宋体"/>
                <w:b w:val="0"/>
                <w:bCs/>
                <w:kern w:val="0"/>
                <w:szCs w:val="21"/>
              </w:rPr>
              <w:t>色温（或相关色温）在初始测试（0或1000小时）及工作时长超过15000小时的情况下，均满足3300-5500K。提供通过CMA认证的检测报告复印件加盖供应商公章，未提供的本项视为负偏离。</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1.5</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显色指数在初始测试（0或1000小时）及工作时长超过15000小时的情况下，均满足Ra≥90、R9≥50。</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1.6</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黑体" w:hAnsi="黑体" w:eastAsia="黑体" w:cs="黑体"/>
                <w:b w:val="0"/>
                <w:bCs/>
                <w:kern w:val="0"/>
                <w:szCs w:val="21"/>
                <w:lang w:eastAsia="zh-CN"/>
              </w:rPr>
              <w:t>▲</w:t>
            </w:r>
            <w:r>
              <w:rPr>
                <w:rFonts w:hint="eastAsia" w:ascii="宋体" w:hAnsi="宋体" w:cs="宋体"/>
                <w:b w:val="0"/>
                <w:bCs/>
                <w:kern w:val="0"/>
                <w:szCs w:val="21"/>
              </w:rPr>
              <w:t>光束角（或半峰光束角）在C0-C180面及C90-C270面，工作时长超过15000小时与初始测试（0或1000小时）的差值（绝对值）均≤5°。提供获得CMA认证的依据《GB/T9468-2008 灯具分布光度测量的一般要求》或《CQC3155-2016 中小学校及幼儿园教室照明产品节能认证技术规范》出具的检测报告复印件加盖供应商公章，未提供的本项视为负偏离。</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1.7</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人体电磁辐射测试满足20kHz-10MHz感应电流密度系数≤0.85。</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1.8</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电器电子产品认证结果符合《GB/T 26572-2011》及《GB/T 26125-2011》标准要求。</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1.9</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频闪质量特征认证结果为无危害频闪或无频闪危害。</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1.10</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蓝光危害等级为RG0（0类危险），且蓝光质量特征为低蓝光。</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1.11</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护眼质量特征认证结果为眼舒适。</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1.12</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产品灯具与场景控制器等经智能网关组成独立局域网，不受外界干扰。</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1.13</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可通过场景控制器等实现开关控制、智能控制。</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1.14</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灯光控制采用平滑渐变调节技术，调节过程柔和舒适。</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1.15</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根据教学场景配置≥4种默认场景模式，支持快速配置；场景快速切换，根据使用需求能够快速切换整体灯光照明状态。</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1.16</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依据《GB 7793-2010》《GB 50034-2013》《GB/T 5700-2008》及《GB 7000.1-2015》，通过光环境认证。</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1.17</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cs="宋体"/>
                <w:b w:val="0"/>
                <w:bCs/>
                <w:kern w:val="0"/>
                <w:szCs w:val="21"/>
                <w:lang w:eastAsia="zh-CN"/>
              </w:rPr>
              <w:t>★</w:t>
            </w:r>
            <w:r>
              <w:rPr>
                <w:rFonts w:hint="eastAsia" w:ascii="宋体" w:hAnsi="宋体" w:cs="宋体"/>
                <w:b w:val="0"/>
                <w:bCs/>
                <w:kern w:val="0"/>
                <w:szCs w:val="21"/>
              </w:rPr>
              <w:t>各灯型均通过国家强制性CCC认证，提供认证证书复印件加盖供应商公章。</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restart"/>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智能LED黑板灯</w:t>
            </w: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2.1</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一体式LED防眩灯具，额定功率30-50W，建议尺寸长度≥1800mm。</w:t>
            </w:r>
          </w:p>
        </w:tc>
        <w:tc>
          <w:tcPr>
            <w:tcW w:w="2586" w:type="dxa"/>
            <w:vMerge w:val="restart"/>
            <w:vAlign w:val="top"/>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drawing>
                <wp:anchor distT="0" distB="0" distL="114300" distR="114300" simplePos="0" relativeHeight="251666432" behindDoc="0" locked="0" layoutInCell="1" allowOverlap="1">
                  <wp:simplePos x="0" y="0"/>
                  <wp:positionH relativeFrom="column">
                    <wp:posOffset>-38100</wp:posOffset>
                  </wp:positionH>
                  <wp:positionV relativeFrom="paragraph">
                    <wp:posOffset>873125</wp:posOffset>
                  </wp:positionV>
                  <wp:extent cx="1534160" cy="1377950"/>
                  <wp:effectExtent l="0" t="0" r="8890" b="12700"/>
                  <wp:wrapNone/>
                  <wp:docPr id="8" name="图片 7" descr="89f61976c0367d55e5f2ce674f7f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89f61976c0367d55e5f2ce674f7f214"/>
                          <pic:cNvPicPr>
                            <a:picLocks noChangeAspect="1"/>
                          </pic:cNvPicPr>
                        </pic:nvPicPr>
                        <pic:blipFill>
                          <a:blip r:embed="rId21"/>
                          <a:stretch>
                            <a:fillRect/>
                          </a:stretch>
                        </pic:blipFill>
                        <pic:spPr>
                          <a:xfrm>
                            <a:off x="0" y="0"/>
                            <a:ext cx="1534160" cy="1377950"/>
                          </a:xfrm>
                          <a:prstGeom prst="rect">
                            <a:avLst/>
                          </a:prstGeom>
                          <a:noFill/>
                          <a:ln w="9525">
                            <a:noFill/>
                            <a:miter/>
                          </a:ln>
                        </pic:spPr>
                      </pic:pic>
                    </a:graphicData>
                  </a:graphic>
                </wp:anchor>
              </w:drawing>
            </w: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2.2</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黑体" w:hAnsi="黑体" w:eastAsia="黑体" w:cs="黑体"/>
                <w:b w:val="0"/>
                <w:bCs/>
                <w:kern w:val="0"/>
                <w:szCs w:val="21"/>
                <w:lang w:eastAsia="zh-CN"/>
              </w:rPr>
              <w:t>▲</w:t>
            </w:r>
            <w:r>
              <w:rPr>
                <w:rFonts w:hint="eastAsia" w:ascii="宋体" w:hAnsi="宋体" w:cs="宋体"/>
                <w:b w:val="0"/>
                <w:bCs/>
                <w:kern w:val="0"/>
                <w:szCs w:val="21"/>
              </w:rPr>
              <w:t>工作时长不低于15000小时的情况下，光通维持率≥90%（即工作时长不低于15000小时的情况下，光通量与0或1000小时工作时长的光通量之比≥90%）。提供获得CMA认证的依据《GB/T9468-2008 灯具分布光度测量的一般要求》或《CQC3155-2016 中小学校及幼儿园教室照明产品节能认证技术规范》出具的检测报告复印件加盖供应商公章，未提供的本项视为负偏离。</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2.3</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黑体" w:hAnsi="黑体" w:eastAsia="黑体" w:cs="黑体"/>
                <w:b w:val="0"/>
                <w:bCs/>
                <w:kern w:val="0"/>
                <w:szCs w:val="21"/>
                <w:lang w:eastAsia="zh-CN"/>
              </w:rPr>
              <w:t>▲</w:t>
            </w:r>
            <w:r>
              <w:rPr>
                <w:rFonts w:hint="eastAsia" w:ascii="宋体" w:hAnsi="宋体" w:cs="宋体"/>
                <w:b w:val="0"/>
                <w:bCs/>
                <w:kern w:val="0"/>
                <w:szCs w:val="21"/>
              </w:rPr>
              <w:t>色温（或相关色温）在初始测试（0或1000小时）及工作时长超过15000小时的情况下，均满足3300-5500K。提供通过CMA认证的检测报告复印件加盖供应商公章，未提供的本项视为负偏离。</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2.4</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显色指数在初始测试（0或1000小时）及15000小时或以上均满足Ra≥90、R9≥50。</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2.5</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eastAsia="宋体" w:cs="宋体"/>
                <w:b w:val="0"/>
                <w:bCs/>
                <w:kern w:val="0"/>
                <w:szCs w:val="21"/>
              </w:rPr>
              <w:t>▲</w:t>
            </w:r>
            <w:r>
              <w:rPr>
                <w:rFonts w:hint="eastAsia" w:ascii="宋体" w:hAnsi="宋体" w:cs="宋体"/>
                <w:b w:val="0"/>
                <w:bCs/>
                <w:kern w:val="0"/>
                <w:szCs w:val="21"/>
              </w:rPr>
              <w:t>光束角（或半峰光束角）在C0-C180面及C90-C270面，工作时长超过15000小时与初始测试（0或1000小时）的差值（绝对值）均≤5°。提供获得CMA认证的依据《GB/T9468-2008 灯具分布光度测量的一般要求》或《CQC3155-2016 中小学校及幼儿园教室照明产品节能认证技术规范》出具的检测报告复印件加盖供应商公章，未提供的本项视为负偏离。</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2.6</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人体电磁辐射测试满足20kHz-10MHz感应电流密度系数≤0.85。</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2.7</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电器电子产品认证结果符合《GB/T 26572-2011》及《GB/T 26125-2011》标准要求。</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2.8</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频闪质量特征认证结果为无危害频闪或无频闪危害。</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2.9</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蓝光危害等级为RG0或0类危险，且蓝光质量特征为低蓝光。</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2.10</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护眼质量特征认证结果为眼舒适。</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2.11</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依据《GB 7793-2010》《GB 50034-2013》《GB/T 5700-2008 》及《GB 7000.1-2015》，通过光环境认证。</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2.12</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产品灯具与场景控制器等经智能网关组成独立局域网，不受外界干扰；</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2.13</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可通过场景控制器等实现开关控制、智能控制；</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2.14</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灯光控制采用平滑渐变调节技术，调节过程柔和舒适；</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2.15</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根据教学场景配置≥4种默认场景模式，支持快速配置；场景快速切换，根据使用需求能够快速切换整体灯光照明状态。</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2.16</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cs="宋体"/>
                <w:b w:val="0"/>
                <w:bCs/>
                <w:kern w:val="0"/>
                <w:szCs w:val="21"/>
                <w:lang w:eastAsia="zh-CN"/>
              </w:rPr>
              <w:t>★</w:t>
            </w:r>
            <w:r>
              <w:rPr>
                <w:rFonts w:hint="eastAsia" w:ascii="宋体" w:hAnsi="宋体" w:cs="宋体"/>
                <w:b w:val="0"/>
                <w:bCs/>
                <w:kern w:val="0"/>
                <w:szCs w:val="21"/>
              </w:rPr>
              <w:t>通过国家强制性CCC认证，提供认证证书复印件加盖供应商公章。</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1341" w:type="dxa"/>
            <w:vMerge w:val="restart"/>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光环境触摸控制器</w:t>
            </w: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3.1</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工作电压：220V·AC 50Hz。</w:t>
            </w:r>
          </w:p>
        </w:tc>
        <w:tc>
          <w:tcPr>
            <w:tcW w:w="2586" w:type="dxa"/>
            <w:vMerge w:val="restart"/>
            <w:vAlign w:val="top"/>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drawing>
                <wp:anchor distT="0" distB="0" distL="114300" distR="114300" simplePos="0" relativeHeight="251667456" behindDoc="0" locked="0" layoutInCell="1" allowOverlap="1">
                  <wp:simplePos x="0" y="0"/>
                  <wp:positionH relativeFrom="column">
                    <wp:posOffset>447675</wp:posOffset>
                  </wp:positionH>
                  <wp:positionV relativeFrom="paragraph">
                    <wp:posOffset>661670</wp:posOffset>
                  </wp:positionV>
                  <wp:extent cx="600075" cy="684530"/>
                  <wp:effectExtent l="0" t="0" r="9525" b="1270"/>
                  <wp:wrapNone/>
                  <wp:docPr id="15" name="图片 6" descr="C:\Users\zhuangweibin\Desktop\产品资料\产品图片\模式墙控开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C:\Users\zhuangweibin\Desktop\产品资料\产品图片\模式墙控开关.png"/>
                          <pic:cNvPicPr>
                            <a:picLocks noChangeAspect="1"/>
                          </pic:cNvPicPr>
                        </pic:nvPicPr>
                        <pic:blipFill>
                          <a:blip r:embed="rId22"/>
                          <a:srcRect l="47256" t="14175" r="6223" b="8675"/>
                          <a:stretch>
                            <a:fillRect/>
                          </a:stretch>
                        </pic:blipFill>
                        <pic:spPr>
                          <a:xfrm>
                            <a:off x="0" y="0"/>
                            <a:ext cx="600075" cy="684530"/>
                          </a:xfrm>
                          <a:prstGeom prst="rect">
                            <a:avLst/>
                          </a:prstGeom>
                          <a:noFill/>
                          <a:ln w="9525">
                            <a:noFill/>
                            <a:miter/>
                          </a:ln>
                        </pic:spPr>
                      </pic:pic>
                    </a:graphicData>
                  </a:graphic>
                </wp:anchor>
              </w:drawing>
            </w: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3.2</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安装方式：86暗盒/明盒安装。</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3.3</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按键布局/数量：2行X3列，6按键。</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3.4</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通讯协议：Zigbee3.0。</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3.5</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通讯频率：2.4GHz。</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3.6</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最大通讯距离：30m。</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3.7</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场景一键切换功能，默认4场景/6场景模式。</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3.8</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Zigbee无线组网功能，能够与Zigbee智能灯具以及其他智能设备进行现场控制。</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341" w:type="dxa"/>
            <w:vMerge w:val="continue"/>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850"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r>
              <w:rPr>
                <w:rFonts w:hint="eastAsia" w:ascii="宋体" w:hAnsi="宋体" w:cs="宋体"/>
                <w:b w:val="0"/>
                <w:bCs/>
                <w:kern w:val="0"/>
                <w:szCs w:val="21"/>
              </w:rPr>
              <w:t>3.9</w:t>
            </w:r>
          </w:p>
        </w:tc>
        <w:tc>
          <w:tcPr>
            <w:tcW w:w="9072" w:type="dxa"/>
            <w:vAlign w:val="top"/>
          </w:tcPr>
          <w:p>
            <w:pPr>
              <w:widowControl/>
              <w:snapToGrid w:val="0"/>
              <w:spacing w:line="400" w:lineRule="exact"/>
              <w:ind w:left="0" w:leftChars="0" w:firstLine="0" w:firstLineChars="0"/>
              <w:jc w:val="left"/>
              <w:rPr>
                <w:rFonts w:hint="eastAsia" w:ascii="宋体" w:hAnsi="宋体" w:cs="宋体"/>
                <w:b w:val="0"/>
                <w:bCs/>
                <w:kern w:val="0"/>
                <w:szCs w:val="21"/>
              </w:rPr>
            </w:pPr>
            <w:r>
              <w:rPr>
                <w:rFonts w:hint="eastAsia" w:ascii="宋体" w:hAnsi="宋体" w:cs="宋体"/>
                <w:b w:val="0"/>
                <w:bCs/>
                <w:kern w:val="0"/>
                <w:szCs w:val="21"/>
              </w:rPr>
              <w:t>动态指示灯功能，实时显示当前操作，提升交互反馈。</w:t>
            </w:r>
          </w:p>
        </w:tc>
        <w:tc>
          <w:tcPr>
            <w:tcW w:w="2586" w:type="dxa"/>
            <w:vMerge w:val="continue"/>
            <w:vAlign w:val="top"/>
          </w:tcPr>
          <w:p>
            <w:pPr>
              <w:widowControl/>
              <w:snapToGrid w:val="0"/>
              <w:spacing w:line="400" w:lineRule="exact"/>
              <w:ind w:left="0" w:leftChars="0" w:firstLine="0" w:firstLineChars="0"/>
              <w:jc w:val="center"/>
              <w:rPr>
                <w:rFonts w:hint="eastAsia" w:ascii="宋体" w:hAnsi="宋体" w:cs="宋体"/>
                <w:b w:val="0"/>
                <w:bCs/>
                <w:kern w:val="0"/>
                <w:szCs w:val="21"/>
              </w:rPr>
            </w:pPr>
          </w:p>
        </w:tc>
        <w:tc>
          <w:tcPr>
            <w:tcW w:w="1134" w:type="dxa"/>
            <w:vAlign w:val="center"/>
          </w:tcPr>
          <w:p>
            <w:pPr>
              <w:widowControl/>
              <w:snapToGrid w:val="0"/>
              <w:spacing w:line="400" w:lineRule="exact"/>
              <w:ind w:left="0" w:leftChars="0" w:firstLine="0" w:firstLineChars="0"/>
              <w:jc w:val="center"/>
              <w:rPr>
                <w:rFonts w:hint="eastAsia" w:ascii="宋体" w:hAnsi="宋体" w:cs="宋体"/>
                <w:b w:val="0"/>
                <w:bCs/>
                <w:kern w:val="0"/>
                <w:szCs w:val="21"/>
              </w:rPr>
            </w:pPr>
          </w:p>
        </w:tc>
      </w:tr>
    </w:tbl>
    <w:p>
      <w:pPr>
        <w:spacing w:line="440" w:lineRule="exact"/>
        <w:ind w:firstLine="0" w:firstLineChars="0"/>
        <w:rPr>
          <w:rFonts w:hint="eastAsia" w:ascii="宋体" w:hAnsi="宋体" w:eastAsia="宋体" w:cs="宋体"/>
          <w:b/>
          <w:bCs/>
          <w:color w:val="auto"/>
          <w:highlight w:val="none"/>
        </w:rPr>
        <w:sectPr>
          <w:pgSz w:w="16838" w:h="11906" w:orient="landscape"/>
          <w:pgMar w:top="1083" w:right="1440" w:bottom="1083" w:left="1440" w:header="850" w:footer="992" w:gutter="0"/>
          <w:pgBorders>
            <w:top w:val="none" w:color="auto" w:sz="0" w:space="0"/>
            <w:left w:val="none" w:color="auto" w:sz="0" w:space="0"/>
            <w:bottom w:val="none" w:color="auto" w:sz="0" w:space="0"/>
            <w:right w:val="none" w:color="auto" w:sz="0" w:space="0"/>
          </w:pgBorders>
          <w:cols w:space="0" w:num="1"/>
          <w:rtlGutter w:val="0"/>
          <w:docGrid w:linePitch="381" w:charSpace="0"/>
        </w:sectPr>
      </w:pPr>
    </w:p>
    <w:p>
      <w:pPr>
        <w:pStyle w:val="2"/>
        <w:rPr>
          <w:rFonts w:hint="eastAsia"/>
        </w:rPr>
      </w:pPr>
    </w:p>
    <w:p>
      <w:pPr>
        <w:spacing w:line="360" w:lineRule="auto"/>
        <w:ind w:left="0" w:leftChars="0" w:firstLine="0" w:firstLineChars="0"/>
        <w:rPr>
          <w:rFonts w:hint="eastAsia" w:ascii="宋体" w:hAnsi="宋体" w:cs="宋体"/>
          <w:b/>
          <w:bCs/>
          <w:color w:val="auto"/>
          <w:sz w:val="24"/>
          <w:szCs w:val="24"/>
        </w:rPr>
      </w:pPr>
      <w:bookmarkStart w:id="39" w:name="_Toc450840086"/>
      <w:bookmarkStart w:id="40" w:name="_Toc23621"/>
      <w:bookmarkStart w:id="41" w:name="_Toc3325"/>
      <w:bookmarkStart w:id="42" w:name="_Toc24825"/>
      <w:r>
        <w:rPr>
          <w:rFonts w:hint="eastAsia" w:ascii="宋体" w:hAnsi="宋体" w:cs="宋体"/>
          <w:b/>
          <w:bCs/>
          <w:color w:val="auto"/>
          <w:sz w:val="24"/>
          <w:szCs w:val="24"/>
          <w:lang w:eastAsia="zh-CN"/>
        </w:rPr>
        <w:t>二</w:t>
      </w:r>
      <w:r>
        <w:rPr>
          <w:rFonts w:hint="eastAsia" w:ascii="宋体" w:hAnsi="宋体" w:cs="宋体"/>
          <w:b/>
          <w:bCs/>
          <w:color w:val="auto"/>
          <w:sz w:val="24"/>
          <w:szCs w:val="24"/>
        </w:rPr>
        <w:t>、商务</w:t>
      </w:r>
      <w:bookmarkEnd w:id="39"/>
      <w:r>
        <w:rPr>
          <w:rFonts w:hint="eastAsia" w:ascii="宋体" w:hAnsi="宋体" w:cs="宋体"/>
          <w:b/>
          <w:bCs/>
          <w:color w:val="auto"/>
          <w:sz w:val="24"/>
          <w:szCs w:val="24"/>
        </w:rPr>
        <w:t>要求</w:t>
      </w:r>
      <w:bookmarkEnd w:id="40"/>
      <w:bookmarkEnd w:id="41"/>
    </w:p>
    <w:p>
      <w:pPr>
        <w:pStyle w:val="5"/>
        <w:rPr>
          <w:rFonts w:hint="eastAsia" w:ascii="宋体" w:hAnsi="宋体" w:eastAsia="宋体" w:cs="宋体"/>
          <w:color w:val="auto"/>
          <w:highlight w:val="none"/>
        </w:rPr>
      </w:pPr>
      <w:bookmarkStart w:id="43" w:name="_Toc501022792"/>
      <w:bookmarkStart w:id="44" w:name="_Toc3405"/>
      <w:r>
        <w:rPr>
          <w:rFonts w:hint="eastAsia" w:ascii="宋体" w:hAnsi="宋体" w:eastAsia="宋体" w:cs="宋体"/>
          <w:color w:val="auto"/>
          <w:highlight w:val="none"/>
        </w:rPr>
        <w:t>（一）交货期限：签订合同后20天内完成交货安装。</w:t>
      </w:r>
      <w:r>
        <w:rPr>
          <w:rFonts w:hint="eastAsia" w:ascii="宋体" w:hAnsi="宋体" w:eastAsia="宋体" w:cs="宋体"/>
          <w:color w:val="auto"/>
          <w:highlight w:val="none"/>
          <w:lang w:val="en-US" w:eastAsia="zh-CN"/>
        </w:rPr>
        <w:t>签订合同后中标人先安装一间教室，一周内完工，安装完成的教室经第三方检测符合CQC3155-2016 中小学校及幼儿园教室照明产品节能认证技术规范要求的（检测不合格的允许整改一次，三天内整改完成，再次检测不合格的，采购人有权无条件解除合同）</w:t>
      </w:r>
      <w:r>
        <w:rPr>
          <w:rFonts w:hint="eastAsia" w:ascii="宋体" w:hAnsi="宋体" w:cs="宋体"/>
          <w:color w:val="auto"/>
          <w:highlight w:val="none"/>
          <w:lang w:val="en-US" w:eastAsia="zh-CN"/>
        </w:rPr>
        <w:t>。检测费用由中标单位承担。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（二）交货地点/货物安装及送达现场：业主指定地点；</w:t>
      </w:r>
    </w:p>
    <w:bookmarkEnd w:id="43"/>
    <w:bookmarkEnd w:id="44"/>
    <w:p>
      <w:pPr>
        <w:ind w:left="0" w:leftChars="0" w:firstLine="0" w:firstLineChars="0"/>
        <w:rPr>
          <w:rFonts w:hint="eastAsia"/>
          <w:color w:val="auto"/>
        </w:rPr>
      </w:pPr>
      <w:bookmarkStart w:id="45" w:name="_Toc23976"/>
      <w:bookmarkStart w:id="46" w:name="_Toc9530"/>
      <w:r>
        <w:rPr>
          <w:rFonts w:hint="eastAsia" w:ascii="宋体" w:hAnsi="宋体" w:eastAsia="宋体" w:cs="宋体"/>
          <w:b/>
          <w:bCs/>
          <w:color w:val="auto"/>
          <w:kern w:val="2"/>
          <w:sz w:val="24"/>
          <w:szCs w:val="32"/>
          <w:highlight w:val="none"/>
          <w:lang w:val="en-US" w:eastAsia="zh-CN" w:bidi="ar-SA"/>
        </w:rPr>
        <w:t>（三）履约保证金：</w:t>
      </w:r>
      <w:r>
        <w:rPr>
          <w:rFonts w:hint="eastAsia" w:ascii="宋体" w:hAnsi="宋体" w:cs="宋体"/>
          <w:color w:val="auto"/>
          <w:sz w:val="24"/>
          <w:szCs w:val="24"/>
        </w:rPr>
        <w:t>中标人提交合同总价</w:t>
      </w:r>
      <w:r>
        <w:rPr>
          <w:rFonts w:hint="eastAsia" w:ascii="宋体" w:hAnsi="宋体" w:cs="宋体"/>
          <w:color w:val="auto"/>
          <w:sz w:val="24"/>
          <w:szCs w:val="24"/>
          <w:u w:val="single"/>
        </w:rPr>
        <w:t xml:space="preserve"> 5%</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的履约保证金，在签订合同时支付给采购人。待中标人完成合同履约后无息返还（如在合同履约期间未完全履行投标文件的承诺内容的，采购人将视其情节严重程度给予相应处罚，直至没收其履约保证金，甲方保留终止合同的权利）。</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四</w:t>
      </w:r>
      <w:r>
        <w:rPr>
          <w:rFonts w:hint="eastAsia" w:ascii="宋体" w:hAnsi="宋体" w:eastAsia="宋体" w:cs="宋体"/>
          <w:color w:val="auto"/>
          <w:highlight w:val="none"/>
        </w:rPr>
        <w:t>）付款方式</w:t>
      </w:r>
      <w:r>
        <w:rPr>
          <w:rFonts w:hint="eastAsia" w:ascii="宋体" w:hAnsi="宋体" w:cs="宋体"/>
          <w:color w:val="auto"/>
          <w:highlight w:val="none"/>
          <w:lang w:eastAsia="zh-CN"/>
        </w:rPr>
        <w:t>：</w:t>
      </w:r>
    </w:p>
    <w:p>
      <w:pPr>
        <w:widowControl w:val="0"/>
        <w:numPr>
          <w:ilvl w:val="0"/>
          <w:numId w:val="0"/>
        </w:numPr>
        <w:tabs>
          <w:tab w:val="left" w:pos="0"/>
          <w:tab w:val="left" w:pos="522"/>
          <w:tab w:val="clear" w:pos="360"/>
        </w:tabs>
        <w:spacing w:line="360" w:lineRule="auto"/>
        <w:jc w:val="both"/>
        <w:rPr>
          <w:rFonts w:hint="eastAsia" w:ascii="宋体" w:hAnsi="宋体"/>
          <w:b w:val="0"/>
          <w:bCs/>
          <w:color w:val="auto"/>
          <w:sz w:val="24"/>
          <w:szCs w:val="24"/>
        </w:rPr>
      </w:pPr>
      <w:r>
        <w:rPr>
          <w:rFonts w:hint="eastAsia" w:ascii="宋体" w:hAnsi="宋体"/>
          <w:b w:val="0"/>
          <w:bCs/>
          <w:color w:val="auto"/>
          <w:sz w:val="24"/>
          <w:szCs w:val="24"/>
          <w:lang w:val="en-US" w:eastAsia="zh-CN"/>
        </w:rPr>
        <w:t xml:space="preserve">    </w:t>
      </w:r>
      <w:r>
        <w:rPr>
          <w:rFonts w:hint="eastAsia" w:ascii="宋体" w:hAnsi="宋体"/>
          <w:b w:val="0"/>
          <w:bCs/>
          <w:color w:val="auto"/>
          <w:sz w:val="24"/>
          <w:szCs w:val="24"/>
        </w:rPr>
        <w:t>在合同生效以及具备实施条件后15日内甲方向乙方支付合同金额的30%作为预付款，所有货物交付验收合格并正常运行两周后，甲方向乙方支付</w:t>
      </w:r>
      <w:r>
        <w:rPr>
          <w:rFonts w:hint="eastAsia" w:ascii="宋体" w:hAnsi="宋体"/>
          <w:b w:val="0"/>
          <w:bCs/>
          <w:color w:val="auto"/>
          <w:sz w:val="24"/>
          <w:szCs w:val="24"/>
          <w:lang w:val="en-US" w:eastAsia="zh-CN"/>
        </w:rPr>
        <w:t>70</w:t>
      </w:r>
      <w:r>
        <w:rPr>
          <w:rFonts w:hint="eastAsia" w:ascii="宋体" w:hAnsi="宋体"/>
          <w:b w:val="0"/>
          <w:bCs/>
          <w:color w:val="auto"/>
          <w:sz w:val="24"/>
          <w:szCs w:val="24"/>
        </w:rPr>
        <w:t>%货款（凭货物发票）。</w:t>
      </w:r>
    </w:p>
    <w:p>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（五）验收标准：</w:t>
      </w:r>
    </w:p>
    <w:p>
      <w:pPr>
        <w:widowControl w:val="0"/>
        <w:numPr>
          <w:ilvl w:val="0"/>
          <w:numId w:val="0"/>
        </w:numPr>
        <w:tabs>
          <w:tab w:val="left" w:pos="0"/>
          <w:tab w:val="left" w:pos="522"/>
          <w:tab w:val="clear" w:pos="360"/>
        </w:tabs>
        <w:spacing w:line="360" w:lineRule="auto"/>
        <w:jc w:val="both"/>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 xml:space="preserve">    按国家有关规定以及招标文件的质量要求和技术指标、中标人投标文件及承诺与合同约定标准进行验收；如对质量要求和技术指标的约定标准有相互抵触或异议的事项，由用户在招标与投标文件中按质量要求和技术指标比较优胜的原则确定该项的约定标准进行验收。</w:t>
      </w:r>
    </w:p>
    <w:p>
      <w:pPr>
        <w:pStyle w:val="5"/>
        <w:numPr>
          <w:ilvl w:val="0"/>
          <w:numId w:val="0"/>
        </w:numPr>
        <w:tabs>
          <w:tab w:val="clear" w:pos="360"/>
        </w:tabs>
        <w:rPr>
          <w:rFonts w:hint="eastAsia" w:ascii="宋体" w:hAnsi="宋体" w:eastAsia="宋体" w:cs="宋体"/>
          <w:color w:val="auto"/>
          <w:highlight w:val="none"/>
        </w:rPr>
      </w:pP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其他技术、</w:t>
      </w:r>
      <w:r>
        <w:rPr>
          <w:rFonts w:hint="eastAsia" w:ascii="宋体" w:hAnsi="宋体" w:cs="宋体"/>
          <w:color w:val="auto"/>
          <w:highlight w:val="none"/>
          <w:lang w:eastAsia="zh-CN"/>
        </w:rPr>
        <w:t>售后</w:t>
      </w:r>
      <w:r>
        <w:rPr>
          <w:rFonts w:hint="eastAsia" w:ascii="宋体" w:hAnsi="宋体" w:eastAsia="宋体" w:cs="宋体"/>
          <w:color w:val="auto"/>
          <w:highlight w:val="none"/>
        </w:rPr>
        <w:t>服务要求：</w:t>
      </w:r>
    </w:p>
    <w:p>
      <w:pPr>
        <w:rPr>
          <w:rFonts w:hint="eastAsia"/>
          <w:color w:val="auto"/>
        </w:rPr>
      </w:pPr>
      <w:r>
        <w:rPr>
          <w:rFonts w:hint="eastAsia" w:ascii="宋体" w:hAnsi="宋体" w:cs="宋体"/>
          <w:color w:val="auto"/>
          <w:sz w:val="24"/>
          <w:szCs w:val="24"/>
        </w:rPr>
        <w:t>★</w:t>
      </w:r>
      <w:r>
        <w:rPr>
          <w:rFonts w:hint="eastAsia" w:ascii="宋体" w:hAnsi="宋体"/>
          <w:b/>
          <w:color w:val="auto"/>
          <w:sz w:val="24"/>
          <w:szCs w:val="24"/>
        </w:rPr>
        <w:t>售后服务：质保期从合同商品验收合格之日算起≥</w:t>
      </w:r>
      <w:r>
        <w:rPr>
          <w:rFonts w:hint="eastAsia" w:ascii="宋体" w:hAnsi="宋体"/>
          <w:b/>
          <w:color w:val="auto"/>
          <w:sz w:val="24"/>
          <w:szCs w:val="24"/>
          <w:lang w:val="en-US" w:eastAsia="zh-CN"/>
        </w:rPr>
        <w:t>5</w:t>
      </w:r>
      <w:r>
        <w:rPr>
          <w:rFonts w:hint="eastAsia" w:ascii="宋体" w:hAnsi="宋体"/>
          <w:b/>
          <w:color w:val="auto"/>
          <w:sz w:val="24"/>
          <w:szCs w:val="24"/>
        </w:rPr>
        <w:t>年。</w:t>
      </w:r>
    </w:p>
    <w:p>
      <w:pPr>
        <w:widowControl w:val="0"/>
        <w:numPr>
          <w:ilvl w:val="0"/>
          <w:numId w:val="0"/>
        </w:numPr>
        <w:tabs>
          <w:tab w:val="left" w:pos="0"/>
          <w:tab w:val="left" w:pos="522"/>
          <w:tab w:val="clear" w:pos="360"/>
        </w:tabs>
        <w:spacing w:line="360" w:lineRule="auto"/>
        <w:jc w:val="both"/>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 xml:space="preserve">    合同商品出现故障后，中标人接到需方通知后,最迟于2小时内做出响应，12小时内解决故障。合同商品到达后,中标人提供安装调试，培训服务，帮助需方用户尽快熟悉使用。</w:t>
      </w:r>
      <w:bookmarkEnd w:id="45"/>
      <w:bookmarkEnd w:id="46"/>
    </w:p>
    <w:p>
      <w:pPr>
        <w:pStyle w:val="5"/>
        <w:numPr>
          <w:ilvl w:val="0"/>
          <w:numId w:val="0"/>
        </w:numPr>
        <w:tabs>
          <w:tab w:val="clear" w:pos="360"/>
        </w:tabs>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（七）违约责任：</w:t>
      </w:r>
    </w:p>
    <w:p>
      <w:pPr>
        <w:spacing w:line="360" w:lineRule="auto"/>
        <w:ind w:firstLine="480" w:firstLineChars="200"/>
        <w:rPr>
          <w:rFonts w:hint="eastAsia" w:ascii="宋体" w:hAnsi="宋体"/>
          <w:color w:val="auto"/>
          <w:sz w:val="24"/>
          <w:szCs w:val="24"/>
        </w:rPr>
      </w:pPr>
      <w:r>
        <w:rPr>
          <w:rFonts w:hint="eastAsia" w:ascii="宋体" w:hAnsi="宋体"/>
          <w:b w:val="0"/>
          <w:bCs/>
          <w:color w:val="auto"/>
          <w:sz w:val="24"/>
          <w:szCs w:val="24"/>
          <w:lang w:val="en-US" w:eastAsia="zh-CN"/>
        </w:rPr>
        <w:t>1.签订合同后中标人先安装一间教室，一周内完工，安装完成的教室经第三方检测符合</w:t>
      </w:r>
      <w:r>
        <w:rPr>
          <w:rFonts w:hint="eastAsia" w:ascii="宋体" w:hAnsi="宋体" w:cs="宋体"/>
          <w:b w:val="0"/>
          <w:bCs/>
          <w:kern w:val="0"/>
          <w:szCs w:val="21"/>
        </w:rPr>
        <w:t>CQC3155-2016 中小学校及幼儿园教室照明产品节能认证技术规范</w:t>
      </w:r>
      <w:r>
        <w:rPr>
          <w:rFonts w:hint="eastAsia" w:ascii="宋体" w:hAnsi="宋体"/>
          <w:b w:val="0"/>
          <w:bCs/>
          <w:color w:val="auto"/>
          <w:sz w:val="24"/>
          <w:szCs w:val="24"/>
          <w:lang w:val="en-US" w:eastAsia="zh-CN"/>
        </w:rPr>
        <w:t>要求的（检测不合格的允许整改一次，三天内整改完成，再次检测不合格的，采购人有权无条件解除合同）。</w:t>
      </w:r>
      <w:r>
        <w:rPr>
          <w:rFonts w:hint="eastAsia" w:ascii="宋体" w:hAnsi="宋体"/>
          <w:color w:val="auto"/>
          <w:sz w:val="24"/>
          <w:szCs w:val="24"/>
          <w:lang w:eastAsia="zh-CN"/>
        </w:rPr>
        <w:t>所有教室安装完毕，将由第三方检测机构随机抽取</w:t>
      </w:r>
      <w:r>
        <w:rPr>
          <w:rFonts w:hint="eastAsia" w:ascii="宋体" w:hAnsi="宋体"/>
          <w:color w:val="auto"/>
          <w:sz w:val="24"/>
          <w:szCs w:val="24"/>
          <w:lang w:val="en-US" w:eastAsia="zh-CN"/>
        </w:rPr>
        <w:t>2-3间教室进行检测，</w:t>
      </w:r>
      <w:r>
        <w:rPr>
          <w:rFonts w:hint="eastAsia" w:ascii="宋体" w:hAnsi="宋体"/>
          <w:color w:val="auto"/>
          <w:sz w:val="24"/>
          <w:szCs w:val="24"/>
        </w:rPr>
        <w:t>符合</w:t>
      </w:r>
      <w:r>
        <w:rPr>
          <w:rFonts w:hint="eastAsia" w:ascii="宋体" w:hAnsi="宋体" w:cs="宋体"/>
          <w:b w:val="0"/>
          <w:bCs/>
          <w:kern w:val="0"/>
          <w:szCs w:val="21"/>
        </w:rPr>
        <w:t>CQC3155-2016 中小学校及幼儿园教室照明产品节能认证技术规范</w:t>
      </w:r>
      <w:r>
        <w:rPr>
          <w:rFonts w:hint="eastAsia" w:ascii="宋体" w:hAnsi="宋体"/>
          <w:color w:val="auto"/>
          <w:sz w:val="24"/>
          <w:szCs w:val="24"/>
        </w:rPr>
        <w:t>要求的</w:t>
      </w:r>
      <w:r>
        <w:rPr>
          <w:rFonts w:hint="eastAsia" w:ascii="宋体" w:hAnsi="宋体"/>
          <w:color w:val="auto"/>
          <w:sz w:val="24"/>
          <w:szCs w:val="24"/>
          <w:lang w:eastAsia="zh-CN"/>
        </w:rPr>
        <w:t>验收合格，若第一次</w:t>
      </w:r>
      <w:r>
        <w:rPr>
          <w:rFonts w:hint="eastAsia" w:ascii="宋体" w:hAnsi="宋体"/>
          <w:color w:val="auto"/>
          <w:sz w:val="24"/>
          <w:szCs w:val="24"/>
        </w:rPr>
        <w:t>检测不合格的</w:t>
      </w:r>
      <w:r>
        <w:rPr>
          <w:rFonts w:hint="eastAsia" w:ascii="宋体" w:hAnsi="宋体"/>
          <w:color w:val="auto"/>
          <w:sz w:val="24"/>
          <w:szCs w:val="24"/>
          <w:lang w:eastAsia="zh-CN"/>
        </w:rPr>
        <w:t>，将对所有教室进行检测（检测费用由中标人承担），超过</w:t>
      </w:r>
      <w:r>
        <w:rPr>
          <w:rFonts w:hint="eastAsia" w:ascii="宋体" w:hAnsi="宋体"/>
          <w:color w:val="auto"/>
          <w:sz w:val="24"/>
          <w:szCs w:val="24"/>
          <w:lang w:val="en-US" w:eastAsia="zh-CN"/>
        </w:rPr>
        <w:t>30%教室检测不合格的，</w:t>
      </w:r>
      <w:r>
        <w:rPr>
          <w:rFonts w:hint="eastAsia" w:ascii="宋体" w:hAnsi="宋体"/>
          <w:color w:val="auto"/>
          <w:sz w:val="24"/>
          <w:szCs w:val="24"/>
          <w:lang w:eastAsia="zh-CN"/>
        </w:rPr>
        <w:t>采购人</w:t>
      </w:r>
      <w:r>
        <w:rPr>
          <w:rFonts w:hint="eastAsia" w:ascii="宋体" w:hAnsi="宋体"/>
          <w:color w:val="auto"/>
          <w:sz w:val="24"/>
          <w:szCs w:val="24"/>
        </w:rPr>
        <w:t>有权无条件解除合同</w:t>
      </w:r>
      <w:r>
        <w:rPr>
          <w:rFonts w:hint="eastAsia" w:ascii="宋体" w:hAnsi="宋体"/>
          <w:color w:val="auto"/>
          <w:sz w:val="24"/>
          <w:szCs w:val="24"/>
          <w:lang w:eastAsia="zh-CN"/>
        </w:rPr>
        <w:t>。不足</w:t>
      </w:r>
      <w:r>
        <w:rPr>
          <w:rFonts w:hint="eastAsia" w:ascii="宋体" w:hAnsi="宋体"/>
          <w:color w:val="auto"/>
          <w:sz w:val="24"/>
          <w:szCs w:val="24"/>
          <w:lang w:val="en-US" w:eastAsia="zh-CN"/>
        </w:rPr>
        <w:t>30%教室检测不合格的，允许</w:t>
      </w:r>
      <w:r>
        <w:rPr>
          <w:rFonts w:hint="eastAsia" w:ascii="宋体" w:hAnsi="宋体"/>
          <w:color w:val="auto"/>
          <w:sz w:val="24"/>
          <w:szCs w:val="24"/>
        </w:rPr>
        <w:t>整改一次，</w:t>
      </w:r>
      <w:r>
        <w:rPr>
          <w:rFonts w:hint="eastAsia" w:ascii="宋体" w:hAnsi="宋体"/>
          <w:color w:val="auto"/>
          <w:sz w:val="24"/>
          <w:szCs w:val="24"/>
          <w:lang w:eastAsia="zh-CN"/>
        </w:rPr>
        <w:t>整改后一次性检测合格的验收合格，否则采购人</w:t>
      </w:r>
      <w:r>
        <w:rPr>
          <w:rFonts w:hint="eastAsia" w:ascii="宋体" w:hAnsi="宋体"/>
          <w:color w:val="auto"/>
          <w:sz w:val="24"/>
          <w:szCs w:val="24"/>
        </w:rPr>
        <w:t>有权无条件解除合同</w:t>
      </w:r>
      <w:r>
        <w:rPr>
          <w:rFonts w:hint="eastAsia" w:ascii="宋体" w:hAnsi="宋体"/>
          <w:color w:val="auto"/>
          <w:sz w:val="24"/>
          <w:szCs w:val="24"/>
          <w:lang w:eastAsia="zh-CN"/>
        </w:rPr>
        <w:t>。因上述原因导致解除合同的，采购人除解除合同外将收回已支付的预付款，以及采购人造成的损失由中标人承担，中标人必须无条件接受。</w:t>
      </w:r>
    </w:p>
    <w:p>
      <w:pPr>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2.中标人逾期履行合同的，采购人有权没收履约保证金，并自逾期之日起，向采购人每日偿付合同总价千分之二的滞纳金；中标人逾期20日不能交货的，视为中标人不能交货，采购人有权解除合同，中标人应承担违约责任，应向采购人支付合同总价百分之五的违约金。</w:t>
      </w:r>
    </w:p>
    <w:p>
      <w:pPr>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3.若中标人存在撤销响应文件和无正当理由放弃成交、不与采购人签订书面合同等情形或被行政部门查实存在违法违规行为，导致采购人重新采购的，除中标人按预算金额的2%向采购人偿付违约金（赔偿金额不足以弥补采购人损失的，中标人应继续承担超过部分的损失）外，采购人将拒绝该中标人再次响应本项目。</w:t>
      </w:r>
    </w:p>
    <w:p>
      <w:pPr>
        <w:spacing w:line="360" w:lineRule="auto"/>
        <w:ind w:firstLine="480" w:firstLineChars="200"/>
        <w:rPr>
          <w:rFonts w:hint="eastAsia" w:ascii="宋体" w:hAnsi="宋体"/>
          <w:b w:val="0"/>
          <w:bCs/>
          <w:color w:val="auto"/>
          <w:sz w:val="24"/>
          <w:szCs w:val="24"/>
          <w:lang w:val="en-US" w:eastAsia="zh-CN"/>
        </w:rPr>
        <w:sectPr>
          <w:pgSz w:w="11906" w:h="16838"/>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381" w:charSpace="0"/>
        </w:sectPr>
      </w:pPr>
      <w:r>
        <w:rPr>
          <w:rFonts w:hint="eastAsia" w:ascii="宋体" w:hAnsi="宋体"/>
          <w:b w:val="0"/>
          <w:bCs/>
          <w:color w:val="auto"/>
          <w:sz w:val="24"/>
          <w:szCs w:val="24"/>
          <w:lang w:val="en-US" w:eastAsia="zh-CN"/>
        </w:rPr>
        <w:t>4.中标人在采购过程中或合同履行过程中存在其他违法行为的，且违法行为严重的，中标人在承担相应的民事责任以外，采购人将有权向相关行政管理部门建议给予中标人限制本项目内容所涉及的市场响应采购的处罚。</w:t>
      </w:r>
    </w:p>
    <w:p>
      <w:pPr>
        <w:pStyle w:val="3"/>
        <w:bidi w:val="0"/>
        <w:rPr>
          <w:rFonts w:hint="eastAsia" w:ascii="宋体" w:hAnsi="宋体" w:eastAsia="宋体" w:cs="宋体"/>
          <w:color w:val="auto"/>
          <w:sz w:val="36"/>
          <w:szCs w:val="36"/>
          <w:highlight w:val="none"/>
        </w:rPr>
      </w:pPr>
      <w:bookmarkStart w:id="47" w:name="_Toc5760"/>
      <w:r>
        <w:rPr>
          <w:rFonts w:hint="eastAsia" w:ascii="宋体" w:hAnsi="宋体" w:eastAsia="宋体" w:cs="宋体"/>
          <w:color w:val="auto"/>
          <w:sz w:val="36"/>
          <w:szCs w:val="36"/>
          <w:highlight w:val="none"/>
        </w:rPr>
        <w:t>第三章 投标人须知</w:t>
      </w:r>
      <w:bookmarkEnd w:id="42"/>
      <w:bookmarkEnd w:id="47"/>
    </w:p>
    <w:p>
      <w:pPr>
        <w:pStyle w:val="4"/>
        <w:bidi w:val="0"/>
        <w:ind w:left="0" w:leftChars="0" w:right="0" w:rightChars="0" w:firstLine="0" w:firstLineChars="0"/>
        <w:jc w:val="center"/>
        <w:rPr>
          <w:rFonts w:hint="eastAsia" w:ascii="宋体" w:hAnsi="宋体" w:eastAsia="宋体" w:cs="宋体"/>
          <w:color w:val="auto"/>
          <w:highlight w:val="none"/>
        </w:rPr>
      </w:pPr>
      <w:bookmarkStart w:id="48" w:name="_Toc12845"/>
      <w:bookmarkStart w:id="49" w:name="_Toc21699"/>
      <w:bookmarkStart w:id="50" w:name="_Toc8778"/>
      <w:bookmarkStart w:id="51" w:name="_Toc452457413"/>
      <w:bookmarkStart w:id="52" w:name="_Toc2290"/>
      <w:r>
        <w:rPr>
          <w:rFonts w:hint="eastAsia" w:ascii="宋体" w:hAnsi="宋体" w:eastAsia="宋体" w:cs="宋体"/>
          <w:color w:val="auto"/>
          <w:highlight w:val="none"/>
        </w:rPr>
        <w:t>前 附 表</w:t>
      </w:r>
      <w:bookmarkEnd w:id="48"/>
      <w:bookmarkEnd w:id="49"/>
      <w:bookmarkEnd w:id="50"/>
      <w:bookmarkEnd w:id="51"/>
      <w:bookmarkEnd w:id="52"/>
    </w:p>
    <w:p>
      <w:pPr>
        <w:pStyle w:val="11"/>
        <w:ind w:left="0" w:leftChars="0" w:firstLine="0" w:firstLineChars="0"/>
        <w:rPr>
          <w:rFonts w:hint="eastAsia"/>
          <w:color w:val="auto"/>
          <w:highlight w:val="none"/>
        </w:rPr>
      </w:pPr>
    </w:p>
    <w:tbl>
      <w:tblPr>
        <w:tblStyle w:val="46"/>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事项</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项目概况</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采购人</w:t>
            </w:r>
            <w:r>
              <w:rPr>
                <w:rFonts w:hint="eastAsia" w:ascii="宋体" w:hAnsi="宋体" w:eastAsia="宋体" w:cs="宋体"/>
                <w:color w:val="auto"/>
                <w:highlight w:val="none"/>
                <w:lang w:val="en-US" w:eastAsia="zh-CN"/>
              </w:rPr>
              <w:t>：</w:t>
            </w:r>
            <w:r>
              <w:rPr>
                <w:rFonts w:hint="eastAsia" w:cs="宋体"/>
                <w:color w:val="auto"/>
                <w:highlight w:val="none"/>
                <w:lang w:val="en-US" w:eastAsia="zh-CN"/>
              </w:rPr>
              <w:t>庵东镇教育办公室</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w:t>
            </w:r>
            <w:r>
              <w:rPr>
                <w:rFonts w:hint="eastAsia" w:cs="宋体"/>
                <w:color w:val="auto"/>
                <w:highlight w:val="none"/>
                <w:lang w:val="en-US" w:eastAsia="zh-CN"/>
              </w:rPr>
              <w:t>庵东实验学校、东一小学、西一小学、中心小学和西二小学智能护眼灯采购项目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招标编号：</w:t>
            </w:r>
            <w:r>
              <w:rPr>
                <w:rFonts w:hint="eastAsia" w:cs="宋体"/>
                <w:color w:val="auto"/>
                <w:highlight w:val="none"/>
                <w:lang w:val="en-US" w:eastAsia="zh-CN"/>
              </w:rPr>
              <w:t>庵采2108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采购方式及评标办法</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经批准或确认的本次采购方式：公开招标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bidi w:val="0"/>
              <w:spacing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rPr>
              <w:t>投标文件</w:t>
            </w:r>
            <w:r>
              <w:rPr>
                <w:rFonts w:hint="eastAsia" w:ascii="宋体" w:hAnsi="宋体" w:cs="宋体"/>
                <w:b w:val="0"/>
                <w:bCs w:val="0"/>
                <w:color w:val="auto"/>
                <w:sz w:val="24"/>
                <w:szCs w:val="24"/>
                <w:highlight w:val="none"/>
                <w:lang w:val="en-US" w:eastAsia="zh-CN"/>
              </w:rPr>
              <w:t>编制</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rPr>
              <w:t>资格证明文件和报价文件、商务技术文件</w:t>
            </w:r>
            <w:r>
              <w:rPr>
                <w:rFonts w:hint="eastAsia" w:ascii="宋体" w:hAnsi="宋体" w:cs="宋体"/>
                <w:color w:val="auto"/>
                <w:highlight w:val="none"/>
                <w:lang w:val="en-US" w:eastAsia="zh-CN"/>
              </w:rPr>
              <w:t>分别</w:t>
            </w:r>
            <w:r>
              <w:rPr>
                <w:rFonts w:hint="eastAsia" w:ascii="宋体" w:hAnsi="宋体" w:cs="宋体"/>
                <w:color w:val="auto"/>
                <w:highlight w:val="none"/>
              </w:rPr>
              <w:t>单独装订成册</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rPr>
              <w:t>投标文件份数</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纸质版：正本一份，副本四份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cs="宋体"/>
                <w:color w:val="auto"/>
                <w:highlight w:val="none"/>
                <w:lang w:eastAsia="zh-CN"/>
              </w:rPr>
              <w:t>★</w:t>
            </w:r>
            <w:r>
              <w:rPr>
                <w:rFonts w:hint="eastAsia" w:ascii="宋体" w:hAnsi="宋体" w:eastAsia="宋体" w:cs="宋体"/>
                <w:color w:val="auto"/>
                <w:highlight w:val="none"/>
              </w:rPr>
              <w:t xml:space="preserve"> 投标有效期</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现场踏勘</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现场踏勘：□ </w:t>
            </w:r>
            <w:r>
              <w:rPr>
                <w:rFonts w:hint="eastAsia" w:ascii="宋体" w:hAnsi="宋体" w:eastAsia="宋体" w:cs="宋体"/>
                <w:color w:val="auto"/>
                <w:highlight w:val="none"/>
                <w:lang w:val="en-US" w:eastAsia="zh-CN"/>
              </w:rPr>
              <w:t>组织；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b/>
                <w:szCs w:val="21"/>
              </w:rPr>
              <w:t>样品及演示</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cs="宋体"/>
                <w:color w:val="auto"/>
                <w:highlight w:val="none"/>
                <w:lang w:val="en-US" w:eastAsia="zh-CN"/>
              </w:rPr>
              <w:t>.</w:t>
            </w:r>
            <w:r>
              <w:rPr>
                <w:rFonts w:hint="eastAsia" w:ascii="宋体" w:hAnsi="宋体" w:eastAsia="宋体" w:cs="宋体"/>
                <w:color w:val="auto"/>
                <w:highlight w:val="none"/>
              </w:rPr>
              <w:t>供应商应提供以下样品，用于演示设备运行及各场景模式切换情况：智能LED面板灯2盏、智能LED黑板灯1盏、光环境触摸控制器1套。</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投标样品及演示情况仅作为评分项，评标委员会按照招标文件规定的评分办法和评分标准对样品及演示情况进行评价，未提供样品的设备演示分得0分。投标样品及演示情况不符合招标文件要求的，按评标办法酌情扣分，投标样品及演示情况不影响其投标文件的有效性。</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样品必须于开标时间前提供，开标结束后，采购人将对中标候选人的所有样品进行封存，作为验收的依据。其他供应商的样品在开标结束后自行领回。</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递交样品的时间：开标时间前。递交样品的地点：</w:t>
            </w:r>
            <w:r>
              <w:rPr>
                <w:rFonts w:hint="eastAsia" w:cs="宋体"/>
                <w:color w:val="auto"/>
                <w:highlight w:val="none"/>
                <w:lang w:eastAsia="zh-CN"/>
              </w:rPr>
              <w:t>同投标地点</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5.</w:t>
            </w:r>
            <w:r>
              <w:rPr>
                <w:rFonts w:hint="eastAsia" w:ascii="宋体" w:hAnsi="宋体" w:eastAsia="宋体" w:cs="宋体"/>
                <w:color w:val="auto"/>
                <w:highlight w:val="none"/>
              </w:rPr>
              <w:t>演示现场有220V交流电源，其他演示需要的设备由供应商自行准备。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信息公告及评标结果公告媒体</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cs="宋体"/>
                <w:sz w:val="24"/>
                <w:szCs w:val="24"/>
              </w:rPr>
              <w:t>宁波政府采购网（http://www.nbzfcg.cn）、浙江政府采购网（http://zfcg.czt.zj.gov.cn）、</w:t>
            </w:r>
            <w:r>
              <w:rPr>
                <w:rFonts w:ascii="宋体" w:hAnsi="宋体" w:cs="宋体"/>
                <w:sz w:val="24"/>
                <w:szCs w:val="24"/>
              </w:rPr>
              <w:t>宁波市公共资源交易网杭州湾新区分网</w:t>
            </w:r>
            <w:r>
              <w:rPr>
                <w:rFonts w:hint="eastAsia" w:cs="宋体"/>
                <w:color w:val="auto"/>
              </w:rPr>
              <w:t>（http://bidding.ningbo.gov.cn/hangzw/）</w:t>
            </w:r>
            <w:r>
              <w:rPr>
                <w:rFonts w:hint="eastAsia" w:ascii="宋体" w:hAnsi="宋体" w:cs="宋体"/>
                <w:sz w:val="24"/>
                <w:szCs w:val="24"/>
              </w:rPr>
              <w:t>、浙江五石工程咨询有限公司官网：（http://zjwsbidding.com/）上发布。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报价要求</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1.人民币报价；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sz w:val="24"/>
                <w:szCs w:val="24"/>
              </w:rPr>
              <w:t>报价内容：本项目为交钥匙价，报价应包含按要求完成本项目的所有费用，包含但不仅限于项目实施所需的软件、硬件、附件、备品备件等费用，以及本项目在实施过程中涉及的专用工具、安装、调试、检验、培训、技术服务、运杂、保险费、税金、验收检定、首次第三方计量/验收的费用、软件升级及供应商认为需要的所有费用。中标价格一经确定，除采购单位要求的追加或变动项目外，不再另行支付任何费用。</w:t>
            </w:r>
            <w:r>
              <w:rPr>
                <w:rFonts w:hint="eastAsia" w:ascii="宋体" w:hAnsi="宋体" w:eastAsia="宋体" w:cs="宋体"/>
                <w:color w:val="auto"/>
                <w:highlight w:val="none"/>
              </w:rPr>
              <w:t>采购文件未列明，而投标人认为必需的费用也需列入报价。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合同签订</w:t>
            </w:r>
          </w:p>
        </w:tc>
        <w:tc>
          <w:tcPr>
            <w:tcW w:w="6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中标通知书发出后30日内，中标供应商持中标通知书与采购人签订合同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采购机构代理费用</w:t>
            </w:r>
          </w:p>
        </w:tc>
        <w:tc>
          <w:tcPr>
            <w:tcW w:w="667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cs="宋体"/>
              </w:rPr>
              <w:t>中标供应商向招标代理机构交纳</w:t>
            </w:r>
            <w:r>
              <w:rPr>
                <w:rFonts w:hint="eastAsia" w:cs="宋体"/>
                <w:lang w:val="en-US" w:eastAsia="zh-CN"/>
              </w:rPr>
              <w:t>1.5%</w:t>
            </w:r>
            <w:r>
              <w:rPr>
                <w:rFonts w:hint="eastAsia" w:cs="宋体"/>
              </w:rPr>
              <w:t>招标服务费</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2.中标人在领取中标通知书后应向招标代理机构交纳招标代理服务费。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3.招标代理服务费以现金或电汇方式支付。</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户名：浙江五石工程咨询有限公司宁波分公司</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开户银行：中国建设银行宁波市段塘支行</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账号：33101984336050506455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中标后注意事项</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1.若中标人未在约定时间内支付招标代理服务费，从逾期之日起按日利率千分之一承担违约金。</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ind w:firstLine="0" w:firstLineChars="0"/>
              <w:jc w:val="center"/>
              <w:rPr>
                <w:rFonts w:hint="eastAsia" w:ascii="宋体" w:hAnsi="宋体" w:eastAsia="宋体" w:cs="宋体"/>
                <w:color w:val="auto"/>
                <w:highlight w:val="none"/>
              </w:rPr>
            </w:pPr>
            <w:r>
              <w:rPr>
                <w:rFonts w:hint="eastAsia" w:ascii="宋体" w:hAnsi="宋体" w:cs="宋体"/>
                <w:b w:val="0"/>
                <w:bCs w:val="0"/>
                <w:color w:val="auto"/>
                <w:sz w:val="24"/>
                <w:szCs w:val="24"/>
                <w:highlight w:val="none"/>
              </w:rPr>
              <w:t>投标保证金</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eastAsia="zh-CN"/>
              </w:rPr>
            </w:pPr>
            <w:r>
              <w:rPr>
                <w:rFonts w:hint="eastAsia" w:cs="宋体"/>
                <w:color w:val="auto"/>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textDirection w:val="lrTb"/>
            <w:vAlign w:val="center"/>
          </w:tcPr>
          <w:p>
            <w:pPr>
              <w:adjustRightInd w:val="0"/>
              <w:snapToGrid w:val="0"/>
              <w:spacing w:line="240" w:lineRule="auto"/>
              <w:ind w:firstLine="0" w:firstLineChars="0"/>
              <w:jc w:val="center"/>
              <w:rPr>
                <w:rFonts w:hint="eastAsia" w:ascii="宋体" w:hAnsi="宋体" w:cs="宋体"/>
                <w:b w:val="0"/>
                <w:bCs w:val="0"/>
                <w:color w:val="auto"/>
                <w:sz w:val="24"/>
                <w:szCs w:val="24"/>
                <w:highlight w:val="none"/>
              </w:rPr>
            </w:pPr>
            <w:r>
              <w:rPr>
                <w:rFonts w:hint="eastAsia" w:cs="宋体"/>
                <w:color w:val="auto"/>
              </w:rPr>
              <w:t>其他说明</w:t>
            </w:r>
          </w:p>
        </w:tc>
        <w:tc>
          <w:tcPr>
            <w:tcW w:w="6670" w:type="dxa"/>
            <w:textDirection w:val="lrTb"/>
            <w:vAlign w:val="center"/>
          </w:tcPr>
          <w:p>
            <w:pPr>
              <w:adjustRightInd w:val="0"/>
              <w:snapToGrid w:val="0"/>
              <w:spacing w:line="240" w:lineRule="auto"/>
              <w:ind w:firstLine="0" w:firstLineChars="0"/>
              <w:rPr>
                <w:rFonts w:cs="宋体"/>
                <w:color w:val="auto"/>
              </w:rPr>
            </w:pPr>
            <w:r>
              <w:rPr>
                <w:rFonts w:hint="eastAsia" w:cs="宋体"/>
                <w:color w:val="auto"/>
                <w:lang w:val="zh-CN"/>
              </w:rPr>
              <w:t>带“</w:t>
            </w:r>
            <w:r>
              <w:rPr>
                <w:rFonts w:hint="eastAsia" w:cs="宋体"/>
                <w:color w:val="auto"/>
                <w:lang w:eastAsia="zh-CN"/>
              </w:rPr>
              <w:t>★</w:t>
            </w:r>
            <w:r>
              <w:rPr>
                <w:rFonts w:hint="eastAsia" w:cs="宋体"/>
                <w:color w:val="auto"/>
              </w:rPr>
              <w:t>”的条款是实质性条款，投标文件须作出实质性响应，否则作无效投标处理。</w:t>
            </w:r>
          </w:p>
          <w:p>
            <w:pPr>
              <w:adjustRightInd w:val="0"/>
              <w:snapToGrid w:val="0"/>
              <w:spacing w:line="240" w:lineRule="auto"/>
              <w:ind w:firstLine="0" w:firstLineChars="0"/>
              <w:rPr>
                <w:rFonts w:cs="宋体"/>
                <w:color w:val="auto"/>
              </w:rPr>
            </w:pPr>
            <w:r>
              <w:rPr>
                <w:rFonts w:hint="eastAsia" w:cs="宋体"/>
                <w:color w:val="auto"/>
              </w:rPr>
              <w:t>本招标文件解释权属于采购人和采购代理机构。</w:t>
            </w:r>
          </w:p>
          <w:p>
            <w:pPr>
              <w:adjustRightInd w:val="0"/>
              <w:snapToGrid w:val="0"/>
              <w:spacing w:line="240" w:lineRule="auto"/>
              <w:ind w:firstLine="0" w:firstLineChars="0"/>
              <w:rPr>
                <w:rFonts w:cs="宋体"/>
                <w:color w:val="auto"/>
              </w:rPr>
            </w:pPr>
            <w:r>
              <w:rPr>
                <w:rFonts w:hint="eastAsia" w:cs="宋体"/>
                <w:color w:val="auto"/>
              </w:rPr>
              <w:t>中标后，供应商拒绝签订合同的，采购人可以按照评审报告推荐的中标候选人名单排序，确定下一候选人为中标供应商，也可以重新开展政府采购活动。</w:t>
            </w:r>
          </w:p>
          <w:p>
            <w:pPr>
              <w:adjustRightInd w:val="0"/>
              <w:snapToGrid w:val="0"/>
              <w:spacing w:line="240" w:lineRule="auto"/>
              <w:ind w:firstLine="0" w:firstLineChars="0"/>
              <w:rPr>
                <w:rFonts w:cs="宋体"/>
                <w:color w:val="auto"/>
              </w:rPr>
            </w:pPr>
            <w:r>
              <w:rPr>
                <w:rFonts w:hint="eastAsia" w:cs="宋体"/>
                <w:color w:val="auto"/>
              </w:rPr>
              <w:t>存在下列行为的，招标代理机构将其失信行为上报政府采购主管部门，由主管部门按有关规定对其违法失信行为记录进行公开：</w:t>
            </w:r>
          </w:p>
          <w:p>
            <w:pPr>
              <w:adjustRightInd w:val="0"/>
              <w:snapToGrid w:val="0"/>
              <w:spacing w:line="240" w:lineRule="auto"/>
              <w:ind w:firstLine="0" w:firstLineChars="0"/>
              <w:rPr>
                <w:rFonts w:cs="宋体"/>
                <w:color w:val="auto"/>
              </w:rPr>
            </w:pPr>
            <w:r>
              <w:rPr>
                <w:rFonts w:hint="eastAsia" w:cs="宋体"/>
                <w:color w:val="auto"/>
              </w:rPr>
              <w:t>（1）中标或者成交后，拒绝签订政府采购合同的；</w:t>
            </w:r>
          </w:p>
          <w:p>
            <w:pPr>
              <w:adjustRightInd w:val="0"/>
              <w:snapToGrid w:val="0"/>
              <w:spacing w:line="240" w:lineRule="auto"/>
              <w:ind w:firstLine="0" w:firstLineChars="0"/>
              <w:rPr>
                <w:rFonts w:hint="eastAsia" w:cs="宋体"/>
                <w:color w:val="auto"/>
                <w:highlight w:val="none"/>
                <w:lang w:eastAsia="zh-CN"/>
              </w:rPr>
            </w:pPr>
            <w:r>
              <w:rPr>
                <w:rFonts w:hint="eastAsia" w:cs="宋体"/>
                <w:color w:val="auto"/>
              </w:rPr>
              <w:t>（2）投标有效期内撤销投标文件的。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质疑与投诉：</w:t>
            </w:r>
          </w:p>
        </w:tc>
        <w:tc>
          <w:tcPr>
            <w:tcW w:w="667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采购人、招标代理机构提出质疑（格式详见附件）。联系人：毛先生0574-87208097</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根据《政府采购法》第五十五条的规定，质疑投标人对采购人、招标代理机构的答复不满意或者采购人、招标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落实的政策</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p>
        </w:tc>
        <w:tc>
          <w:tcPr>
            <w:tcW w:w="667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促进残疾人就业政府采购政策的通知》（财库[2017]141号）、《政府采购促进中小企业发展暂行办法》（财库[2011]181号）、《关于政府采购支持监狱企业发展有关问题的通知》(财库[2014]68号)、《关于环境标志产品政府采购实施的意见》（财库〔2006〕90号、《节能产品政府采购实施意见》的通知（财库〔2004〕185号）。</w:t>
            </w:r>
          </w:p>
        </w:tc>
      </w:tr>
    </w:tbl>
    <w:p>
      <w:pPr>
        <w:pStyle w:val="4"/>
        <w:bidi w:val="0"/>
        <w:ind w:left="0" w:leftChars="0" w:right="0" w:rightChars="0" w:firstLine="0" w:firstLineChars="0"/>
        <w:jc w:val="center"/>
        <w:rPr>
          <w:rFonts w:hint="eastAsia" w:ascii="宋体" w:hAnsi="宋体" w:eastAsia="宋体" w:cs="宋体"/>
          <w:color w:val="auto"/>
          <w:highlight w:val="none"/>
        </w:rPr>
        <w:sectPr>
          <w:pgSz w:w="11906" w:h="16838"/>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381" w:charSpace="0"/>
        </w:sectPr>
      </w:pPr>
      <w:bookmarkStart w:id="53" w:name="_Toc22147"/>
      <w:bookmarkStart w:id="54" w:name="_Toc2440"/>
      <w:bookmarkStart w:id="55" w:name="_Toc6777"/>
      <w:bookmarkStart w:id="56" w:name="_Toc247085690"/>
      <w:bookmarkStart w:id="57" w:name="_Toc144974498"/>
      <w:bookmarkStart w:id="58" w:name="_Toc296602421"/>
      <w:bookmarkStart w:id="59" w:name="_Toc152042306"/>
      <w:bookmarkStart w:id="60" w:name="_Toc179632547"/>
      <w:bookmarkStart w:id="61" w:name="_Toc152045530"/>
      <w:bookmarkStart w:id="62" w:name="_Toc246996919"/>
      <w:bookmarkStart w:id="63" w:name="_Toc246996176"/>
    </w:p>
    <w:p>
      <w:pPr>
        <w:pStyle w:val="4"/>
        <w:bidi w:val="0"/>
        <w:ind w:left="0" w:leftChars="0" w:right="0" w:rightChars="0" w:firstLine="0" w:firstLineChars="0"/>
        <w:jc w:val="center"/>
        <w:rPr>
          <w:rFonts w:hint="eastAsia" w:ascii="宋体" w:hAnsi="宋体" w:eastAsia="宋体" w:cs="宋体"/>
          <w:color w:val="auto"/>
          <w:highlight w:val="none"/>
        </w:rPr>
      </w:pPr>
      <w:bookmarkStart w:id="64" w:name="_Toc14541"/>
      <w:r>
        <w:rPr>
          <w:rFonts w:hint="eastAsia" w:ascii="宋体" w:hAnsi="宋体" w:eastAsia="宋体" w:cs="宋体"/>
          <w:color w:val="auto"/>
          <w:highlight w:val="none"/>
        </w:rPr>
        <w:t>第一节 总 则</w:t>
      </w:r>
      <w:bookmarkEnd w:id="53"/>
      <w:bookmarkEnd w:id="54"/>
      <w:bookmarkEnd w:id="55"/>
      <w:bookmarkEnd w:id="64"/>
    </w:p>
    <w:p>
      <w:pPr>
        <w:pStyle w:val="5"/>
        <w:bidi w:val="0"/>
        <w:rPr>
          <w:rFonts w:hint="eastAsia" w:ascii="宋体" w:hAnsi="宋体" w:eastAsia="宋体" w:cs="宋体"/>
          <w:color w:val="auto"/>
          <w:highlight w:val="none"/>
        </w:rPr>
      </w:pPr>
      <w:bookmarkStart w:id="65" w:name="_Toc29454"/>
      <w:r>
        <w:rPr>
          <w:rFonts w:hint="eastAsia" w:ascii="宋体" w:hAnsi="宋体" w:eastAsia="宋体" w:cs="宋体"/>
          <w:color w:val="auto"/>
          <w:highlight w:val="none"/>
        </w:rPr>
        <w:t>一、适用范围</w:t>
      </w:r>
      <w:bookmarkEnd w:id="65"/>
    </w:p>
    <w:p>
      <w:pPr>
        <w:bidi w:val="0"/>
        <w:rPr>
          <w:rFonts w:hint="eastAsia" w:ascii="宋体" w:hAnsi="宋体" w:eastAsia="宋体" w:cs="宋体"/>
          <w:color w:val="auto"/>
          <w:highlight w:val="none"/>
        </w:rPr>
      </w:pPr>
      <w:r>
        <w:rPr>
          <w:rFonts w:hint="eastAsia" w:ascii="宋体" w:hAnsi="宋体" w:eastAsia="宋体" w:cs="宋体"/>
          <w:color w:val="auto"/>
          <w:highlight w:val="none"/>
        </w:rPr>
        <w:t>本招标文件适用于该项目的招标、投标、开标、资格审查及信用信息查询、评标、定标、合同、验收等行为（法律、法规另有规定的，从其规定）。</w:t>
      </w:r>
    </w:p>
    <w:p>
      <w:pPr>
        <w:pStyle w:val="5"/>
        <w:bidi w:val="0"/>
        <w:rPr>
          <w:rFonts w:hint="eastAsia" w:ascii="宋体" w:hAnsi="宋体" w:eastAsia="宋体" w:cs="宋体"/>
          <w:color w:val="auto"/>
          <w:highlight w:val="none"/>
        </w:rPr>
      </w:pPr>
      <w:bookmarkStart w:id="66" w:name="_Toc1362"/>
      <w:r>
        <w:rPr>
          <w:rFonts w:hint="eastAsia" w:ascii="宋体" w:hAnsi="宋体" w:eastAsia="宋体" w:cs="宋体"/>
          <w:color w:val="auto"/>
          <w:highlight w:val="none"/>
        </w:rPr>
        <w:t>二、定义</w:t>
      </w:r>
      <w:bookmarkEnd w:id="66"/>
    </w:p>
    <w:p>
      <w:pPr>
        <w:bidi w:val="0"/>
        <w:rPr>
          <w:rFonts w:hint="eastAsia"/>
          <w:color w:val="auto"/>
          <w:highlight w:val="none"/>
        </w:rPr>
      </w:pPr>
      <w:r>
        <w:rPr>
          <w:rFonts w:hint="eastAsia"/>
          <w:color w:val="auto"/>
          <w:highlight w:val="none"/>
        </w:rPr>
        <w:t>（一）“采购人”系指</w:t>
      </w:r>
      <w:r>
        <w:rPr>
          <w:rFonts w:hint="eastAsia"/>
          <w:color w:val="auto"/>
          <w:highlight w:val="none"/>
          <w:lang w:eastAsia="zh-CN"/>
        </w:rPr>
        <w:t>庵东镇教育办公室</w:t>
      </w:r>
      <w:r>
        <w:rPr>
          <w:rFonts w:hint="eastAsia"/>
          <w:color w:val="auto"/>
          <w:highlight w:val="none"/>
        </w:rPr>
        <w:t>。</w:t>
      </w:r>
    </w:p>
    <w:p>
      <w:pPr>
        <w:bidi w:val="0"/>
        <w:rPr>
          <w:rFonts w:hint="eastAsia"/>
          <w:color w:val="auto"/>
          <w:highlight w:val="none"/>
        </w:rPr>
      </w:pPr>
      <w:r>
        <w:rPr>
          <w:rFonts w:hint="eastAsia"/>
          <w:color w:val="auto"/>
          <w:highlight w:val="none"/>
        </w:rPr>
        <w:t>（二）“采购代理机构”系组织本次招标的浙江五石工程咨询有限公司。</w:t>
      </w:r>
    </w:p>
    <w:p>
      <w:pPr>
        <w:bidi w:val="0"/>
        <w:rPr>
          <w:rFonts w:hint="eastAsia"/>
          <w:color w:val="auto"/>
          <w:highlight w:val="none"/>
        </w:rPr>
      </w:pPr>
      <w:r>
        <w:rPr>
          <w:rFonts w:hint="eastAsia"/>
          <w:color w:val="auto"/>
          <w:highlight w:val="none"/>
        </w:rPr>
        <w:t>（三）“投标人”和“投标方”系指参加本次招标活动符合资格条件的供应商。</w:t>
      </w:r>
    </w:p>
    <w:p>
      <w:pPr>
        <w:bidi w:val="0"/>
        <w:rPr>
          <w:rFonts w:hint="eastAsia"/>
          <w:color w:val="auto"/>
          <w:highlight w:val="none"/>
        </w:rPr>
      </w:pPr>
      <w:r>
        <w:rPr>
          <w:rFonts w:hint="eastAsia"/>
          <w:color w:val="auto"/>
          <w:highlight w:val="none"/>
        </w:rPr>
        <w:t>（四）“全权代表”系指参加本次招标活动的授权代表。</w:t>
      </w:r>
    </w:p>
    <w:p>
      <w:pPr>
        <w:bidi w:val="0"/>
        <w:rPr>
          <w:rFonts w:hint="eastAsia"/>
          <w:color w:val="auto"/>
          <w:highlight w:val="none"/>
        </w:rPr>
      </w:pPr>
      <w:r>
        <w:rPr>
          <w:rFonts w:hint="eastAsia"/>
          <w:color w:val="auto"/>
          <w:highlight w:val="none"/>
        </w:rPr>
        <w:t>（五）“</w:t>
      </w:r>
      <w:r>
        <w:rPr>
          <w:rFonts w:hint="eastAsia"/>
          <w:color w:val="auto"/>
          <w:highlight w:val="none"/>
          <w:lang w:eastAsia="zh-CN"/>
        </w:rPr>
        <w:t>★</w:t>
      </w:r>
      <w:r>
        <w:rPr>
          <w:rFonts w:hint="eastAsia"/>
          <w:color w:val="auto"/>
          <w:highlight w:val="none"/>
        </w:rPr>
        <w:t>”系指实质性要求条款，投标人应做出实质性响应；“</w:t>
      </w:r>
      <w:r>
        <w:rPr>
          <w:rFonts w:hint="eastAsia" w:ascii="宋体" w:hAnsi="宋体" w:eastAsia="宋体" w:cs="宋体"/>
          <w:color w:val="auto"/>
          <w:highlight w:val="none"/>
        </w:rPr>
        <w:t>▲</w:t>
      </w:r>
      <w:r>
        <w:rPr>
          <w:rFonts w:hint="eastAsia"/>
          <w:color w:val="auto"/>
          <w:highlight w:val="none"/>
        </w:rPr>
        <w:t>”系指重要条款。</w:t>
      </w:r>
    </w:p>
    <w:p>
      <w:pPr>
        <w:bidi w:val="0"/>
        <w:rPr>
          <w:rFonts w:hint="eastAsia"/>
          <w:color w:val="auto"/>
          <w:highlight w:val="none"/>
        </w:rPr>
      </w:pPr>
      <w:r>
        <w:rPr>
          <w:rFonts w:hint="eastAsia"/>
          <w:color w:val="auto"/>
          <w:highlight w:val="none"/>
        </w:rPr>
        <w:t>（六）联合体：</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联合体投标的，应遵守以下规定：</w:t>
      </w:r>
    </w:p>
    <w:p>
      <w:pPr>
        <w:numPr>
          <w:ilvl w:val="0"/>
          <w:numId w:val="6"/>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两个以上供应商可以组成一个联合体，以一个供应商的身份共同参加政府采购；</w:t>
      </w:r>
    </w:p>
    <w:p>
      <w:pPr>
        <w:numPr>
          <w:ilvl w:val="0"/>
          <w:numId w:val="6"/>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组成联合体参加本项目的，须在购买招标文件时做出相关声明，否则不予接受。</w:t>
      </w:r>
    </w:p>
    <w:p>
      <w:pPr>
        <w:numPr>
          <w:ilvl w:val="0"/>
          <w:numId w:val="6"/>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numPr>
          <w:ilvl w:val="0"/>
          <w:numId w:val="6"/>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numPr>
          <w:ilvl w:val="0"/>
          <w:numId w:val="6"/>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联合体各方签订联合协议后，不得再以自己名义单独在同一项目中参加投标，也不得组成新的联合体参加同一项目投标；</w:t>
      </w:r>
    </w:p>
    <w:p>
      <w:pPr>
        <w:numPr>
          <w:ilvl w:val="0"/>
          <w:numId w:val="6"/>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联合体各方应当共同与采购人签订采购合同，就采购合同约定的事项对采购人承担连带责任；</w:t>
      </w:r>
    </w:p>
    <w:p>
      <w:pPr>
        <w:numPr>
          <w:ilvl w:val="0"/>
          <w:numId w:val="6"/>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投标文件须由主办人盖章及其代表签署。</w:t>
      </w:r>
    </w:p>
    <w:p>
      <w:pPr>
        <w:numPr>
          <w:ilvl w:val="0"/>
          <w:numId w:val="6"/>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联合体投标，投标文件中供应商名称应注明“成员单位名称1和成员单位名称2的联合体”。</w:t>
      </w:r>
    </w:p>
    <w:p>
      <w:pPr>
        <w:pStyle w:val="5"/>
        <w:bidi w:val="0"/>
        <w:rPr>
          <w:rFonts w:hint="eastAsia" w:ascii="宋体" w:hAnsi="宋体" w:eastAsia="宋体" w:cs="宋体"/>
          <w:color w:val="auto"/>
          <w:highlight w:val="none"/>
        </w:rPr>
      </w:pPr>
      <w:bookmarkStart w:id="67" w:name="_Toc18732"/>
      <w:r>
        <w:rPr>
          <w:rFonts w:hint="eastAsia" w:ascii="宋体" w:hAnsi="宋体" w:eastAsia="宋体" w:cs="宋体"/>
          <w:color w:val="auto"/>
          <w:highlight w:val="none"/>
        </w:rPr>
        <w:t>三、合格的投标人</w:t>
      </w:r>
      <w:bookmarkEnd w:id="67"/>
    </w:p>
    <w:p>
      <w:pPr>
        <w:bidi w:val="0"/>
        <w:rPr>
          <w:rFonts w:hint="eastAsia" w:ascii="宋体" w:hAnsi="宋体" w:eastAsia="宋体" w:cs="宋体"/>
          <w:color w:val="auto"/>
          <w:highlight w:val="none"/>
        </w:rPr>
      </w:pPr>
      <w:r>
        <w:rPr>
          <w:rFonts w:hint="eastAsia" w:ascii="宋体" w:hAnsi="宋体" w:eastAsia="宋体" w:cs="宋体"/>
          <w:color w:val="auto"/>
          <w:highlight w:val="none"/>
        </w:rPr>
        <w:t>详见招标公告“投标人资格要求”。</w:t>
      </w:r>
    </w:p>
    <w:p>
      <w:pPr>
        <w:pStyle w:val="5"/>
        <w:bidi w:val="0"/>
        <w:rPr>
          <w:rFonts w:hint="eastAsia" w:ascii="宋体" w:hAnsi="宋体" w:eastAsia="宋体" w:cs="宋体"/>
          <w:color w:val="auto"/>
          <w:highlight w:val="none"/>
        </w:rPr>
      </w:pPr>
      <w:bookmarkStart w:id="68" w:name="_Toc24994"/>
      <w:r>
        <w:rPr>
          <w:rFonts w:hint="eastAsia" w:ascii="宋体" w:hAnsi="宋体" w:eastAsia="宋体" w:cs="宋体"/>
          <w:color w:val="auto"/>
          <w:highlight w:val="none"/>
        </w:rPr>
        <w:t>四、投标费用</w:t>
      </w:r>
      <w:bookmarkEnd w:id="68"/>
    </w:p>
    <w:p>
      <w:pPr>
        <w:bidi w:val="0"/>
        <w:rPr>
          <w:rFonts w:hint="eastAsia" w:ascii="宋体" w:hAnsi="宋体" w:eastAsia="宋体" w:cs="宋体"/>
          <w:color w:val="auto"/>
          <w:highlight w:val="none"/>
        </w:rPr>
      </w:pPr>
      <w:r>
        <w:rPr>
          <w:rFonts w:hint="eastAsia" w:ascii="宋体" w:hAnsi="宋体" w:eastAsia="宋体" w:cs="宋体"/>
          <w:color w:val="auto"/>
          <w:highlight w:val="none"/>
        </w:rPr>
        <w:t>无论投标结果如何，投标人自行承担所有与参加投标有关的全部费用。</w:t>
      </w:r>
    </w:p>
    <w:p>
      <w:pPr>
        <w:pStyle w:val="5"/>
        <w:bidi w:val="0"/>
        <w:rPr>
          <w:rFonts w:hint="default" w:ascii="宋体" w:hAnsi="宋体" w:eastAsia="宋体" w:cs="宋体"/>
          <w:color w:val="auto"/>
          <w:highlight w:val="none"/>
          <w:lang w:val="en-US" w:eastAsia="zh-CN"/>
        </w:rPr>
      </w:pPr>
      <w:bookmarkStart w:id="69" w:name="_Toc12389"/>
      <w:r>
        <w:rPr>
          <w:rFonts w:hint="eastAsia" w:ascii="宋体" w:hAnsi="宋体" w:eastAsia="宋体" w:cs="宋体"/>
          <w:color w:val="auto"/>
          <w:highlight w:val="none"/>
        </w:rPr>
        <w:t>五、</w:t>
      </w:r>
      <w:bookmarkEnd w:id="69"/>
      <w:r>
        <w:rPr>
          <w:rFonts w:hint="eastAsia" w:cs="宋体"/>
          <w:color w:val="auto"/>
          <w:highlight w:val="none"/>
          <w:lang w:val="en-US" w:eastAsia="zh-CN"/>
        </w:rPr>
        <w:t>分包与转包</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本项目不允许转包</w:t>
      </w:r>
      <w:r>
        <w:rPr>
          <w:rFonts w:hint="eastAsia" w:cs="宋体"/>
          <w:color w:val="auto"/>
          <w:highlight w:val="none"/>
          <w:lang w:eastAsia="zh-CN"/>
        </w:rPr>
        <w:t>、分包</w:t>
      </w:r>
      <w:r>
        <w:rPr>
          <w:rFonts w:hint="eastAsia" w:ascii="宋体" w:hAnsi="宋体" w:eastAsia="宋体" w:cs="宋体"/>
          <w:color w:val="auto"/>
          <w:highlight w:val="none"/>
        </w:rPr>
        <w:t>；</w:t>
      </w:r>
    </w:p>
    <w:p>
      <w:pPr>
        <w:pStyle w:val="5"/>
        <w:bidi w:val="0"/>
        <w:rPr>
          <w:rFonts w:hint="eastAsia" w:ascii="宋体" w:hAnsi="宋体" w:eastAsia="宋体" w:cs="宋体"/>
          <w:color w:val="auto"/>
          <w:highlight w:val="none"/>
        </w:rPr>
      </w:pPr>
      <w:r>
        <w:rPr>
          <w:rFonts w:hint="eastAsia" w:cs="宋体"/>
          <w:color w:val="auto"/>
          <w:highlight w:val="none"/>
          <w:lang w:eastAsia="zh-CN"/>
        </w:rPr>
        <w:t>六</w:t>
      </w:r>
      <w:r>
        <w:rPr>
          <w:rFonts w:hint="eastAsia" w:ascii="宋体" w:hAnsi="宋体" w:eastAsia="宋体" w:cs="宋体"/>
          <w:color w:val="auto"/>
          <w:highlight w:val="none"/>
        </w:rPr>
        <w:t>、采购项目需要落实的政府采购政策</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一）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（二）小型、微型企业价格扣除。</w:t>
      </w:r>
    </w:p>
    <w:p>
      <w:pPr>
        <w:numPr>
          <w:ilvl w:val="0"/>
          <w:numId w:val="7"/>
        </w:numPr>
        <w:ind w:left="0" w:leftChars="0" w:firstLine="482" w:firstLineChars="200"/>
        <w:rPr>
          <w:rFonts w:hint="eastAsia" w:ascii="宋体" w:hAnsi="宋体" w:eastAsia="宋体" w:cs="宋体"/>
          <w:b/>
          <w:bCs/>
          <w:color w:val="auto"/>
          <w:highlight w:val="none"/>
        </w:rPr>
      </w:pPr>
      <w:r>
        <w:rPr>
          <w:rFonts w:hint="eastAsia" w:ascii="宋体" w:hAnsi="宋体" w:eastAsia="宋体"/>
          <w:b/>
          <w:bCs/>
          <w:color w:val="auto"/>
          <w:highlight w:val="none"/>
        </w:rPr>
        <w:t>本次</w:t>
      </w:r>
      <w:r>
        <w:rPr>
          <w:rFonts w:hint="eastAsia" w:ascii="宋体" w:hAnsi="宋体" w:eastAsia="宋体" w:cs="宋体"/>
          <w:b/>
          <w:bCs/>
          <w:color w:val="auto"/>
          <w:highlight w:val="none"/>
        </w:rPr>
        <w:t>采购为非专门面向中小企业预留采购份额的采购项目。</w:t>
      </w:r>
    </w:p>
    <w:p>
      <w:pPr>
        <w:numPr>
          <w:ilvl w:val="0"/>
          <w:numId w:val="7"/>
        </w:numPr>
        <w:ind w:left="0" w:leftChars="0" w:firstLine="480" w:firstLineChars="200"/>
        <w:rPr>
          <w:rFonts w:hint="eastAsia"/>
          <w:color w:val="auto"/>
          <w:highlight w:val="none"/>
        </w:rPr>
      </w:pPr>
      <w:r>
        <w:rPr>
          <w:rFonts w:hint="eastAsia"/>
          <w:color w:val="auto"/>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numPr>
          <w:ilvl w:val="0"/>
          <w:numId w:val="7"/>
        </w:numPr>
        <w:ind w:left="0" w:leftChars="0"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本次采购标的为</w:t>
      </w:r>
      <w:r>
        <w:rPr>
          <w:rFonts w:hint="eastAsia" w:cs="宋体"/>
          <w:color w:val="auto"/>
          <w:kern w:val="0"/>
          <w:highlight w:val="none"/>
          <w:lang w:val="en-US" w:eastAsia="zh-CN"/>
        </w:rPr>
        <w:t>货物</w:t>
      </w:r>
      <w:r>
        <w:rPr>
          <w:rFonts w:hint="eastAsia" w:ascii="宋体" w:hAnsi="宋体" w:eastAsia="宋体" w:cs="宋体"/>
          <w:color w:val="auto"/>
          <w:kern w:val="0"/>
          <w:highlight w:val="none"/>
        </w:rPr>
        <w:t>，对应的中小企业划分标准所属行业是：</w:t>
      </w:r>
      <w:r>
        <w:rPr>
          <w:rFonts w:hint="eastAsia" w:cs="宋体"/>
          <w:color w:val="auto"/>
          <w:kern w:val="0"/>
          <w:highlight w:val="none"/>
          <w:u w:val="single"/>
          <w:lang w:val="en-US" w:eastAsia="zh-CN"/>
        </w:rPr>
        <w:t>工业</w:t>
      </w:r>
    </w:p>
    <w:p>
      <w:pPr>
        <w:numPr>
          <w:ilvl w:val="0"/>
          <w:numId w:val="7"/>
        </w:numPr>
        <w:ind w:left="0" w:leftChars="0" w:firstLine="480" w:firstLineChars="200"/>
        <w:rPr>
          <w:rFonts w:hint="eastAsia"/>
          <w:color w:val="auto"/>
          <w:highlight w:val="none"/>
        </w:rPr>
      </w:pPr>
      <w:r>
        <w:rPr>
          <w:rFonts w:hint="eastAsia"/>
          <w:color w:val="auto"/>
          <w:highlight w:val="none"/>
        </w:rPr>
        <w:t>以</w:t>
      </w:r>
      <w:r>
        <w:rPr>
          <w:rFonts w:hint="eastAsia" w:ascii="宋体" w:hAnsi="宋体" w:eastAsia="宋体" w:cs="宋体"/>
          <w:color w:val="auto"/>
          <w:highlight w:val="none"/>
        </w:rPr>
        <w:t>联合体</w:t>
      </w:r>
      <w:r>
        <w:rPr>
          <w:rFonts w:hint="eastAsia"/>
          <w:color w:val="auto"/>
          <w:highlight w:val="none"/>
        </w:rPr>
        <w:t>形式参加政府采购活动，联合体各方均为小微企业的，联合体视同小微企业。</w:t>
      </w:r>
      <w:r>
        <w:rPr>
          <w:rFonts w:hint="eastAsia"/>
          <w:b/>
          <w:bCs/>
          <w:color w:val="auto"/>
          <w:highlight w:val="none"/>
        </w:rPr>
        <w:t>（本项目不适用）</w:t>
      </w:r>
    </w:p>
    <w:p>
      <w:pPr>
        <w:numPr>
          <w:ilvl w:val="0"/>
          <w:numId w:val="7"/>
        </w:numPr>
        <w:ind w:left="0" w:leftChars="0" w:firstLine="48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参加</w:t>
      </w:r>
      <w:r>
        <w:rPr>
          <w:rFonts w:hint="eastAsia" w:ascii="宋体" w:hAnsi="宋体" w:eastAsia="宋体" w:cs="宋体"/>
          <w:color w:val="auto"/>
          <w:kern w:val="0"/>
          <w:highlight w:val="none"/>
        </w:rPr>
        <w:t>本次采购活动的供应商</w:t>
      </w:r>
      <w:r>
        <w:rPr>
          <w:rFonts w:hint="eastAsia" w:ascii="宋体" w:hAnsi="宋体" w:eastAsia="宋体" w:cs="宋体"/>
          <w:b/>
          <w:color w:val="auto"/>
          <w:kern w:val="0"/>
          <w:highlight w:val="none"/>
          <w:u w:val="single"/>
        </w:rPr>
        <w:t>提供的</w:t>
      </w:r>
      <w:r>
        <w:rPr>
          <w:rFonts w:hint="eastAsia" w:cs="宋体"/>
          <w:b/>
          <w:color w:val="auto"/>
          <w:kern w:val="0"/>
          <w:highlight w:val="none"/>
          <w:u w:val="single"/>
          <w:lang w:val="en-US" w:eastAsia="zh-CN"/>
        </w:rPr>
        <w:t>货物</w:t>
      </w:r>
      <w:r>
        <w:rPr>
          <w:rFonts w:hint="eastAsia" w:ascii="宋体" w:hAnsi="宋体" w:eastAsia="宋体" w:cs="宋体"/>
          <w:b/>
          <w:color w:val="auto"/>
          <w:kern w:val="0"/>
          <w:highlight w:val="none"/>
          <w:u w:val="single"/>
        </w:rPr>
        <w:t>全部由小微企业</w:t>
      </w:r>
      <w:r>
        <w:rPr>
          <w:rFonts w:hint="eastAsia" w:cs="宋体"/>
          <w:b/>
          <w:color w:val="auto"/>
          <w:kern w:val="0"/>
          <w:highlight w:val="none"/>
          <w:u w:val="single"/>
          <w:lang w:val="en-US" w:eastAsia="zh-CN"/>
        </w:rPr>
        <w:t>生产制造</w:t>
      </w:r>
      <w:r>
        <w:rPr>
          <w:rFonts w:hint="eastAsia" w:ascii="宋体" w:hAnsi="宋体" w:eastAsia="宋体" w:cs="宋体"/>
          <w:color w:val="auto"/>
          <w:kern w:val="0"/>
          <w:highlight w:val="none"/>
        </w:rPr>
        <w:t>的，其报价给予</w:t>
      </w:r>
      <w:r>
        <w:rPr>
          <w:rFonts w:hint="eastAsia" w:ascii="宋体" w:hAnsi="宋体" w:eastAsia="宋体" w:cs="宋体"/>
          <w:b/>
          <w:color w:val="auto"/>
          <w:kern w:val="0"/>
          <w:highlight w:val="none"/>
          <w:u w:val="single"/>
        </w:rPr>
        <w:t>6%</w:t>
      </w:r>
      <w:r>
        <w:rPr>
          <w:rFonts w:hint="eastAsia" w:ascii="宋体" w:hAnsi="宋体" w:eastAsia="宋体" w:cs="宋体"/>
          <w:color w:val="auto"/>
          <w:kern w:val="0"/>
          <w:highlight w:val="none"/>
        </w:rPr>
        <w:t>的扣除，用扣除后的价格参加评审。</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符合小微企业划分标准的个体工商户，视同小微企业。</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本项目不接受大中型企业与小微企业组成联合体。</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本项目不允许大中型企业向一家或者多家小微企业分包。</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小微企业参加政府采购活动，应当出具《中小企业声明函》，否则其报价不予扣除。</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pPr>
        <w:numPr>
          <w:ilvl w:val="0"/>
          <w:numId w:val="8"/>
        </w:numPr>
        <w:bidi w:val="0"/>
        <w:rPr>
          <w:rFonts w:hint="eastAsia" w:cs="宋体"/>
          <w:color w:val="auto"/>
          <w:highlight w:val="none"/>
          <w:lang w:val="en-US" w:eastAsia="zh-CN"/>
        </w:rPr>
      </w:pPr>
      <w:r>
        <w:rPr>
          <w:rFonts w:hint="eastAsia" w:cs="宋体"/>
          <w:color w:val="auto"/>
          <w:highlight w:val="none"/>
          <w:lang w:val="en-US" w:eastAsia="zh-CN"/>
        </w:rPr>
        <w:t>节能环保要求</w:t>
      </w:r>
    </w:p>
    <w:p>
      <w:pPr>
        <w:numPr>
          <w:ilvl w:val="0"/>
          <w:numId w:val="9"/>
        </w:numPr>
        <w:ind w:left="0" w:leftChars="0" w:firstLine="403" w:firstLineChars="0"/>
        <w:rPr>
          <w:rFonts w:hint="eastAsia" w:ascii="宋体" w:hAnsi="宋体" w:eastAsia="宋体"/>
          <w:b/>
          <w:bCs/>
          <w:color w:val="auto"/>
          <w:highlight w:val="none"/>
        </w:rPr>
      </w:pPr>
      <w:r>
        <w:rPr>
          <w:rFonts w:hint="eastAsia" w:ascii="宋体" w:hAnsi="宋体" w:eastAsia="宋体"/>
          <w:b/>
          <w:bCs/>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numPr>
          <w:ilvl w:val="0"/>
          <w:numId w:val="9"/>
        </w:numPr>
        <w:ind w:left="0" w:leftChars="0" w:firstLine="403" w:firstLineChars="0"/>
        <w:rPr>
          <w:rFonts w:hint="eastAsia"/>
        </w:rPr>
      </w:pPr>
      <w:r>
        <w:rPr>
          <w:rFonts w:hint="eastAsia"/>
          <w:color w:val="auto"/>
          <w:highlight w:val="none"/>
          <w:lang w:eastAsia="zh-CN"/>
        </w:rPr>
        <w:t>★</w:t>
      </w:r>
      <w:r>
        <w:rPr>
          <w:rFonts w:hint="eastAsia" w:ascii="宋体" w:hAnsi="宋体" w:eastAsia="宋体"/>
          <w:b/>
          <w:bCs/>
          <w:color w:val="auto"/>
          <w:highlight w:val="none"/>
        </w:rPr>
        <w:t>采购人拟采购的产品属于政府强制采购的节能产品品目清单范围的，投标人未按招标文件要求提供国家确定的认证机构出具的、处于有效期之内的节能产品认证证书，投标无效。</w:t>
      </w:r>
    </w:p>
    <w:p>
      <w:pPr>
        <w:pStyle w:val="5"/>
        <w:bidi w:val="0"/>
        <w:rPr>
          <w:rFonts w:hint="eastAsia"/>
          <w:color w:val="auto"/>
          <w:highlight w:val="none"/>
        </w:rPr>
      </w:pPr>
      <w:bookmarkStart w:id="70" w:name="_Toc28441"/>
      <w:r>
        <w:rPr>
          <w:rFonts w:hint="eastAsia"/>
          <w:color w:val="auto"/>
          <w:highlight w:val="none"/>
          <w:lang w:eastAsia="zh-CN"/>
        </w:rPr>
        <w:t>七</w:t>
      </w:r>
      <w:r>
        <w:rPr>
          <w:rFonts w:hint="eastAsia"/>
          <w:color w:val="auto"/>
          <w:highlight w:val="none"/>
        </w:rPr>
        <w:t>、询问、质疑、投诉</w:t>
      </w:r>
      <w:bookmarkEnd w:id="70"/>
    </w:p>
    <w:p>
      <w:pPr>
        <w:bidi w:val="0"/>
        <w:rPr>
          <w:rFonts w:hint="eastAsia"/>
          <w:color w:val="auto"/>
          <w:highlight w:val="none"/>
          <w:lang w:val="zh-CN"/>
        </w:rPr>
      </w:pPr>
      <w:r>
        <w:rPr>
          <w:rFonts w:hint="eastAsia"/>
          <w:color w:val="auto"/>
          <w:highlight w:val="none"/>
          <w:lang w:val="zh-CN"/>
        </w:rPr>
        <w:t>（</w:t>
      </w:r>
      <w:r>
        <w:rPr>
          <w:rFonts w:hint="eastAsia"/>
          <w:color w:val="auto"/>
          <w:highlight w:val="none"/>
        </w:rPr>
        <w:t>一</w:t>
      </w:r>
      <w:r>
        <w:rPr>
          <w:rFonts w:hint="eastAsia"/>
          <w:color w:val="auto"/>
          <w:highlight w:val="none"/>
          <w:lang w:val="zh-CN"/>
        </w:rPr>
        <w:t>）供应商询问</w:t>
      </w:r>
    </w:p>
    <w:p>
      <w:pPr>
        <w:bidi w:val="0"/>
        <w:rPr>
          <w:rFonts w:hint="eastAsia"/>
          <w:color w:val="auto"/>
          <w:highlight w:val="none"/>
        </w:rPr>
      </w:pPr>
      <w:r>
        <w:rPr>
          <w:rFonts w:hint="eastAsia"/>
          <w:color w:val="auto"/>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bidi w:val="0"/>
        <w:rPr>
          <w:rFonts w:hint="eastAsia"/>
          <w:color w:val="auto"/>
          <w:highlight w:val="none"/>
          <w:lang w:val="zh-CN"/>
        </w:rPr>
      </w:pPr>
      <w:r>
        <w:rPr>
          <w:rFonts w:hint="eastAsia"/>
          <w:color w:val="auto"/>
          <w:highlight w:val="none"/>
          <w:lang w:val="zh-CN"/>
        </w:rPr>
        <w:t>（</w:t>
      </w:r>
      <w:r>
        <w:rPr>
          <w:rFonts w:hint="eastAsia"/>
          <w:color w:val="auto"/>
          <w:highlight w:val="none"/>
        </w:rPr>
        <w:t>二</w:t>
      </w:r>
      <w:r>
        <w:rPr>
          <w:rFonts w:hint="eastAsia"/>
          <w:color w:val="auto"/>
          <w:highlight w:val="none"/>
          <w:lang w:val="zh-CN"/>
        </w:rPr>
        <w:t>）供应商质疑</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提出质疑的供应商应当是参与所质疑项目采购活动的供应商。潜在供应商已依法获取其可质疑的采购文件的，可以对该文件提出质疑。</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供应商提出质疑应当提交质疑函和必要的证明材料。质疑函应当包括下列内容：</w:t>
      </w:r>
    </w:p>
    <w:p>
      <w:pPr>
        <w:numPr>
          <w:ilvl w:val="0"/>
          <w:numId w:val="11"/>
        </w:numPr>
        <w:tabs>
          <w:tab w:val="left" w:pos="420"/>
        </w:tabs>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供应商的姓名或者名称、地址、邮编、联系人及联系电话；</w:t>
      </w:r>
    </w:p>
    <w:p>
      <w:pPr>
        <w:numPr>
          <w:ilvl w:val="0"/>
          <w:numId w:val="11"/>
        </w:numPr>
        <w:tabs>
          <w:tab w:val="left" w:pos="420"/>
        </w:tabs>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质疑项目的名称、编号；</w:t>
      </w:r>
    </w:p>
    <w:p>
      <w:pPr>
        <w:numPr>
          <w:ilvl w:val="0"/>
          <w:numId w:val="11"/>
        </w:numPr>
        <w:tabs>
          <w:tab w:val="left" w:pos="420"/>
        </w:tabs>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具体、明确的质疑事项和与质疑事项相关的请求；</w:t>
      </w:r>
    </w:p>
    <w:p>
      <w:pPr>
        <w:numPr>
          <w:ilvl w:val="0"/>
          <w:numId w:val="11"/>
        </w:numPr>
        <w:tabs>
          <w:tab w:val="left" w:pos="420"/>
        </w:tabs>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事实依据；</w:t>
      </w:r>
    </w:p>
    <w:p>
      <w:pPr>
        <w:numPr>
          <w:ilvl w:val="0"/>
          <w:numId w:val="11"/>
        </w:numPr>
        <w:tabs>
          <w:tab w:val="left" w:pos="420"/>
        </w:tabs>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必要的法律依据；</w:t>
      </w:r>
    </w:p>
    <w:p>
      <w:pPr>
        <w:numPr>
          <w:ilvl w:val="0"/>
          <w:numId w:val="11"/>
        </w:numPr>
        <w:tabs>
          <w:tab w:val="left" w:pos="420"/>
        </w:tabs>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提出质疑的日期。</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询问或者质疑事项可能影响采购结果的，采购人应当暂停签订合同，已经签订合同的，应当中止履行合同。</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质疑接收人：</w:t>
      </w:r>
    </w:p>
    <w:p>
      <w:pPr>
        <w:keepNext w:val="0"/>
        <w:keepLines w:val="0"/>
        <w:pageBreakBefore w:val="0"/>
        <w:widowControl w:val="0"/>
        <w:numPr>
          <w:ilvl w:val="0"/>
          <w:numId w:val="0"/>
        </w:numPr>
        <w:tabs>
          <w:tab w:val="clear" w:pos="360"/>
          <w:tab w:val="clear" w:pos="420"/>
        </w:tabs>
        <w:kinsoku/>
        <w:wordWrap/>
        <w:overflowPunct/>
        <w:topLinePunct w:val="0"/>
        <w:autoSpaceDE/>
        <w:autoSpaceDN/>
        <w:bidi w:val="0"/>
        <w:adjustRightInd/>
        <w:snapToGrid/>
        <w:ind w:left="567" w:leftChars="0" w:firstLine="240" w:firstLineChars="100"/>
        <w:textAlignment w:val="auto"/>
        <w:rPr>
          <w:rFonts w:hint="eastAsia" w:ascii="宋体" w:hAnsi="宋体" w:eastAsia="宋体"/>
          <w:color w:val="auto"/>
          <w:highlight w:val="none"/>
        </w:rPr>
      </w:pPr>
      <w:r>
        <w:rPr>
          <w:rFonts w:hint="eastAsia" w:ascii="宋体" w:hAnsi="宋体" w:eastAsia="宋体"/>
          <w:color w:val="auto"/>
          <w:highlight w:val="none"/>
          <w:lang w:eastAsia="zh-CN"/>
        </w:rPr>
        <w:t>姓</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名：</w:t>
      </w:r>
      <w:r>
        <w:rPr>
          <w:rFonts w:hint="eastAsia" w:ascii="宋体" w:hAnsi="宋体" w:eastAsia="宋体"/>
          <w:color w:val="auto"/>
          <w:highlight w:val="none"/>
        </w:rPr>
        <w:t>毛</w:t>
      </w:r>
      <w:r>
        <w:rPr>
          <w:rFonts w:hint="eastAsia" w:ascii="宋体" w:hAnsi="宋体" w:eastAsia="宋体"/>
          <w:color w:val="auto"/>
          <w:highlight w:val="none"/>
          <w:lang w:eastAsia="zh-CN"/>
        </w:rPr>
        <w:t>工</w:t>
      </w:r>
    </w:p>
    <w:p>
      <w:pPr>
        <w:keepNext w:val="0"/>
        <w:keepLines w:val="0"/>
        <w:pageBreakBefore w:val="0"/>
        <w:widowControl w:val="0"/>
        <w:numPr>
          <w:ilvl w:val="0"/>
          <w:numId w:val="0"/>
        </w:numPr>
        <w:tabs>
          <w:tab w:val="clear" w:pos="360"/>
          <w:tab w:val="clear" w:pos="420"/>
        </w:tabs>
        <w:kinsoku/>
        <w:wordWrap/>
        <w:overflowPunct/>
        <w:topLinePunct w:val="0"/>
        <w:autoSpaceDE/>
        <w:autoSpaceDN/>
        <w:bidi w:val="0"/>
        <w:adjustRightInd/>
        <w:snapToGrid/>
        <w:ind w:left="567" w:leftChars="0" w:firstLine="240" w:firstLineChars="100"/>
        <w:textAlignment w:val="auto"/>
        <w:rPr>
          <w:rFonts w:hint="eastAsia" w:ascii="宋体" w:hAnsi="宋体" w:eastAsia="宋体"/>
          <w:color w:val="auto"/>
          <w:highlight w:val="none"/>
        </w:rPr>
      </w:pPr>
      <w:r>
        <w:rPr>
          <w:rFonts w:hint="eastAsia" w:ascii="宋体" w:hAnsi="宋体" w:eastAsia="宋体"/>
          <w:color w:val="auto"/>
          <w:highlight w:val="none"/>
        </w:rPr>
        <w:t>联系电话：057</w:t>
      </w:r>
      <w:r>
        <w:rPr>
          <w:rFonts w:hint="eastAsia"/>
          <w:color w:val="auto"/>
          <w:highlight w:val="none"/>
          <w:lang w:val="en-US" w:eastAsia="zh-CN"/>
        </w:rPr>
        <w:t>4-80728097</w:t>
      </w:r>
    </w:p>
    <w:p>
      <w:pPr>
        <w:keepNext w:val="0"/>
        <w:keepLines w:val="0"/>
        <w:pageBreakBefore w:val="0"/>
        <w:widowControl w:val="0"/>
        <w:numPr>
          <w:ilvl w:val="0"/>
          <w:numId w:val="0"/>
        </w:numPr>
        <w:tabs>
          <w:tab w:val="clear" w:pos="360"/>
          <w:tab w:val="clear" w:pos="420"/>
        </w:tabs>
        <w:kinsoku/>
        <w:wordWrap/>
        <w:overflowPunct/>
        <w:topLinePunct w:val="0"/>
        <w:autoSpaceDE/>
        <w:autoSpaceDN/>
        <w:bidi w:val="0"/>
        <w:adjustRightInd/>
        <w:snapToGrid/>
        <w:ind w:left="567"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址：</w:t>
      </w:r>
      <w:r>
        <w:rPr>
          <w:rFonts w:hint="eastAsia" w:ascii="宋体" w:hAnsi="宋体" w:cs="宋体"/>
          <w:color w:val="auto"/>
          <w:sz w:val="24"/>
          <w:szCs w:val="24"/>
        </w:rPr>
        <w:t>宁波市鄞州区宁穿路1679号金融硅谷9号楼1402室</w:t>
      </w:r>
    </w:p>
    <w:p>
      <w:pPr>
        <w:bidi w:val="0"/>
        <w:rPr>
          <w:rFonts w:hint="eastAsia"/>
          <w:color w:val="auto"/>
          <w:highlight w:val="none"/>
        </w:rPr>
      </w:pPr>
      <w:r>
        <w:rPr>
          <w:rFonts w:hint="eastAsia"/>
          <w:color w:val="auto"/>
          <w:highlight w:val="none"/>
          <w:lang w:val="zh-CN"/>
        </w:rPr>
        <w:t>（</w:t>
      </w:r>
      <w:r>
        <w:rPr>
          <w:rFonts w:hint="eastAsia"/>
          <w:color w:val="auto"/>
          <w:highlight w:val="none"/>
        </w:rPr>
        <w:t>三</w:t>
      </w:r>
      <w:r>
        <w:rPr>
          <w:rFonts w:hint="eastAsia"/>
          <w:color w:val="auto"/>
          <w:highlight w:val="none"/>
          <w:lang w:val="zh-CN"/>
        </w:rPr>
        <w:t>）供应商投诉</w:t>
      </w:r>
    </w:p>
    <w:p>
      <w:pPr>
        <w:numPr>
          <w:ilvl w:val="0"/>
          <w:numId w:val="1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质疑供应商对采购人、采购代理机构的答复不满意或者采购人、采购代理机构未在规定的时间内作出答复的，可以在答复期满后十五个工作日内向同级采购监督管理部门提出投诉。</w:t>
      </w:r>
    </w:p>
    <w:p>
      <w:pPr>
        <w:numPr>
          <w:ilvl w:val="0"/>
          <w:numId w:val="1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供应商投诉的事项不得超出已质疑事项的范围，基于质疑答复内容提出的投诉事项除外。</w:t>
      </w:r>
    </w:p>
    <w:p>
      <w:pPr>
        <w:numPr>
          <w:ilvl w:val="0"/>
          <w:numId w:val="1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供应商投诉应当有明确的请求和必要的证明材料。</w:t>
      </w:r>
    </w:p>
    <w:p>
      <w:pPr>
        <w:numPr>
          <w:ilvl w:val="0"/>
          <w:numId w:val="1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以联合体形式参加政府采购活动的，其投诉应当由组成联合体的所有供应商共同提出。</w:t>
      </w:r>
    </w:p>
    <w:p>
      <w:pPr>
        <w:pStyle w:val="5"/>
        <w:bidi w:val="0"/>
        <w:rPr>
          <w:rFonts w:hint="eastAsia"/>
          <w:color w:val="auto"/>
          <w:highlight w:val="none"/>
        </w:rPr>
      </w:pPr>
      <w:bookmarkStart w:id="71" w:name="_Toc6069"/>
      <w:r>
        <w:rPr>
          <w:rFonts w:hint="eastAsia"/>
          <w:color w:val="auto"/>
          <w:highlight w:val="none"/>
          <w:lang w:eastAsia="zh-CN"/>
        </w:rPr>
        <w:t>八</w:t>
      </w:r>
      <w:r>
        <w:rPr>
          <w:rFonts w:hint="eastAsia"/>
          <w:color w:val="auto"/>
          <w:highlight w:val="none"/>
        </w:rPr>
        <w:t>、特别说明</w:t>
      </w:r>
      <w:bookmarkEnd w:id="71"/>
    </w:p>
    <w:p>
      <w:pPr>
        <w:numPr>
          <w:ilvl w:val="0"/>
          <w:numId w:val="1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投标人投标所使用的资格、信誉、荣誉、业绩与企业认证必须为本法人所拥有。投标人投标所使用的采购项目实施人员必须为本法人员工（指本法人或控股公司正式员工）。</w:t>
      </w:r>
    </w:p>
    <w:p>
      <w:pPr>
        <w:numPr>
          <w:ilvl w:val="0"/>
          <w:numId w:val="1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highlight w:val="none"/>
        </w:rPr>
        <w:tab/>
      </w:r>
    </w:p>
    <w:p>
      <w:pPr>
        <w:numPr>
          <w:ilvl w:val="0"/>
          <w:numId w:val="1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单位负责人为同一人或者存在直接控股、管理关系的不同供应商，不得参加同一合同项下的政府采购活动。</w:t>
      </w:r>
    </w:p>
    <w:p>
      <w:pPr>
        <w:numPr>
          <w:ilvl w:val="0"/>
          <w:numId w:val="1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为采购项目提供整体设计、规范编制或者项目管理、监理、检测等服务的供应商，不得再参加该采购项目的其他采购活动。</w:t>
      </w:r>
    </w:p>
    <w:p>
      <w:pPr>
        <w:numPr>
          <w:ilvl w:val="0"/>
          <w:numId w:val="1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合同履行期内，任何一方因不可抗力事件不能履行合同的，合同履行期限可相应顺延。不可抗力事件发生后，应立即通知对方，并邮寄或送达有关权威机构出具的证明。</w:t>
      </w:r>
    </w:p>
    <w:p>
      <w:pPr>
        <w:ind w:firstLine="480"/>
        <w:rPr>
          <w:rFonts w:hint="eastAsia" w:ascii="宋体" w:hAnsi="宋体" w:eastAsia="宋体" w:cs="宋体"/>
          <w:color w:val="auto"/>
          <w:highlight w:val="none"/>
        </w:rPr>
      </w:pPr>
      <w:r>
        <w:rPr>
          <w:rFonts w:hint="eastAsia" w:cs="宋体"/>
          <w:color w:val="auto"/>
          <w:highlight w:val="none"/>
          <w:lang w:val="en-US" w:eastAsia="zh-CN"/>
        </w:rPr>
        <w:t>8.</w:t>
      </w:r>
      <w:r>
        <w:rPr>
          <w:rFonts w:hint="eastAsia" w:ascii="宋体" w:hAnsi="宋体" w:eastAsia="宋体" w:cs="宋体"/>
          <w:color w:val="auto"/>
          <w:highlight w:val="none"/>
        </w:rPr>
        <w:t>供应商在采购过程中或合同履行过程中存在其他违法行为的，且违法行为严重的，供应商在承担相应的民事责任以外，采购人将有权向相关行政管理部门建议给予供应商限制本项目内容所涉及的市场响应采购的处罚。</w:t>
      </w:r>
    </w:p>
    <w:p>
      <w:pPr>
        <w:pStyle w:val="4"/>
        <w:bidi w:val="0"/>
        <w:ind w:left="0" w:leftChars="0" w:right="0" w:rightChars="0" w:firstLine="0" w:firstLineChars="0"/>
        <w:jc w:val="center"/>
        <w:rPr>
          <w:rFonts w:hint="eastAsia"/>
          <w:color w:val="auto"/>
          <w:highlight w:val="none"/>
        </w:rPr>
      </w:pPr>
      <w:bookmarkStart w:id="72" w:name="_Toc91899879"/>
      <w:bookmarkStart w:id="73" w:name="_Toc27084"/>
      <w:bookmarkStart w:id="74" w:name="_Toc16985"/>
      <w:bookmarkStart w:id="75" w:name="_Toc32426"/>
      <w:r>
        <w:rPr>
          <w:rFonts w:hint="eastAsia"/>
          <w:color w:val="auto"/>
          <w:highlight w:val="none"/>
        </w:rPr>
        <w:t>第二节 招标文件</w:t>
      </w:r>
      <w:bookmarkEnd w:id="72"/>
      <w:r>
        <w:rPr>
          <w:rFonts w:hint="eastAsia"/>
          <w:color w:val="auto"/>
          <w:highlight w:val="none"/>
        </w:rPr>
        <w:t>的构成、澄清、修改</w:t>
      </w:r>
      <w:bookmarkEnd w:id="73"/>
      <w:bookmarkEnd w:id="74"/>
      <w:bookmarkEnd w:id="75"/>
    </w:p>
    <w:p>
      <w:pPr>
        <w:pStyle w:val="5"/>
        <w:rPr>
          <w:rFonts w:hint="eastAsia" w:ascii="宋体" w:hAnsi="宋体" w:eastAsia="宋体" w:cs="宋体"/>
          <w:color w:val="auto"/>
          <w:sz w:val="24"/>
          <w:szCs w:val="24"/>
          <w:highlight w:val="none"/>
        </w:rPr>
      </w:pPr>
      <w:bookmarkStart w:id="76" w:name="_Toc91899880"/>
      <w:bookmarkStart w:id="77" w:name="_Toc15003"/>
      <w:bookmarkStart w:id="78" w:name="_Hlt74730307"/>
      <w:r>
        <w:rPr>
          <w:rFonts w:hint="eastAsia" w:ascii="宋体" w:hAnsi="宋体" w:eastAsia="宋体" w:cs="宋体"/>
          <w:color w:val="auto"/>
          <w:sz w:val="24"/>
          <w:szCs w:val="24"/>
          <w:highlight w:val="none"/>
        </w:rPr>
        <w:t>一、招标文件的构成</w:t>
      </w:r>
      <w:bookmarkEnd w:id="76"/>
      <w:bookmarkEnd w:id="77"/>
    </w:p>
    <w:bookmarkEnd w:id="78"/>
    <w:p>
      <w:pPr>
        <w:numPr>
          <w:ilvl w:val="0"/>
          <w:numId w:val="1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招标文件包括下列文件及附件</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567" w:firstLineChars="0"/>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"_Toc32332" </w:instrText>
      </w:r>
      <w:r>
        <w:rPr>
          <w:rFonts w:hint="eastAsia"/>
          <w:color w:val="auto"/>
          <w:highlight w:val="none"/>
        </w:rPr>
        <w:fldChar w:fldCharType="separate"/>
      </w:r>
      <w:r>
        <w:rPr>
          <w:rFonts w:hint="eastAsia"/>
          <w:color w:val="auto"/>
          <w:highlight w:val="none"/>
        </w:rPr>
        <w:t>第一章 招标公告</w:t>
      </w:r>
      <w:r>
        <w:rPr>
          <w:rFonts w:hint="eastAsia"/>
          <w:color w:val="auto"/>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567" w:firstLineChars="0"/>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"_Toc24282" </w:instrText>
      </w:r>
      <w:r>
        <w:rPr>
          <w:rFonts w:hint="eastAsia"/>
          <w:color w:val="auto"/>
          <w:highlight w:val="none"/>
        </w:rPr>
        <w:fldChar w:fldCharType="separate"/>
      </w:r>
      <w:r>
        <w:rPr>
          <w:rFonts w:hint="eastAsia"/>
          <w:color w:val="auto"/>
          <w:highlight w:val="none"/>
        </w:rPr>
        <w:t>第二章 项目需求说明</w:t>
      </w:r>
      <w:r>
        <w:rPr>
          <w:rFonts w:hint="eastAsia"/>
          <w:color w:val="auto"/>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567" w:firstLineChars="0"/>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"_Toc7338" </w:instrText>
      </w:r>
      <w:r>
        <w:rPr>
          <w:rFonts w:hint="eastAsia"/>
          <w:color w:val="auto"/>
          <w:highlight w:val="none"/>
        </w:rPr>
        <w:fldChar w:fldCharType="separate"/>
      </w:r>
      <w:r>
        <w:rPr>
          <w:rFonts w:hint="eastAsia"/>
          <w:color w:val="auto"/>
          <w:highlight w:val="none"/>
        </w:rPr>
        <w:t>第三章 投标人须知</w:t>
      </w:r>
      <w:r>
        <w:rPr>
          <w:rFonts w:hint="eastAsia"/>
          <w:color w:val="auto"/>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567" w:firstLineChars="0"/>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"_Toc22869" </w:instrText>
      </w:r>
      <w:r>
        <w:rPr>
          <w:rFonts w:hint="eastAsia"/>
          <w:color w:val="auto"/>
          <w:highlight w:val="none"/>
        </w:rPr>
        <w:fldChar w:fldCharType="separate"/>
      </w:r>
      <w:r>
        <w:rPr>
          <w:rFonts w:hint="eastAsia"/>
          <w:color w:val="auto"/>
          <w:highlight w:val="none"/>
        </w:rPr>
        <w:t>第四章 评标办法及评分标准</w:t>
      </w:r>
      <w:r>
        <w:rPr>
          <w:rFonts w:hint="eastAsia"/>
          <w:color w:val="auto"/>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567" w:firstLineChars="0"/>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"_Toc7087" </w:instrText>
      </w:r>
      <w:r>
        <w:rPr>
          <w:rFonts w:hint="eastAsia"/>
          <w:color w:val="auto"/>
          <w:highlight w:val="none"/>
        </w:rPr>
        <w:fldChar w:fldCharType="separate"/>
      </w:r>
      <w:r>
        <w:rPr>
          <w:rFonts w:hint="eastAsia"/>
          <w:color w:val="auto"/>
          <w:highlight w:val="none"/>
        </w:rPr>
        <w:t>第五章 合同格式</w:t>
      </w:r>
      <w:r>
        <w:rPr>
          <w:rFonts w:hint="eastAsia"/>
          <w:color w:val="auto"/>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567" w:firstLineChars="0"/>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"_Toc29638" </w:instrText>
      </w:r>
      <w:r>
        <w:rPr>
          <w:rFonts w:hint="eastAsia"/>
          <w:color w:val="auto"/>
          <w:highlight w:val="none"/>
        </w:rPr>
        <w:fldChar w:fldCharType="separate"/>
      </w:r>
      <w:r>
        <w:rPr>
          <w:rFonts w:hint="eastAsia"/>
          <w:color w:val="auto"/>
          <w:highlight w:val="none"/>
        </w:rPr>
        <w:t>第六章 投标文件格式</w:t>
      </w:r>
      <w:r>
        <w:rPr>
          <w:rFonts w:hint="eastAsia"/>
          <w:color w:val="auto"/>
          <w:highlight w:val="none"/>
        </w:rPr>
        <w:fldChar w:fldCharType="end"/>
      </w:r>
    </w:p>
    <w:p>
      <w:pPr>
        <w:numPr>
          <w:ilvl w:val="0"/>
          <w:numId w:val="1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与本项目有关的澄清或者修改的内容为招标文件的组成部分。</w:t>
      </w:r>
    </w:p>
    <w:p>
      <w:pPr>
        <w:pStyle w:val="5"/>
        <w:rPr>
          <w:rFonts w:hint="eastAsia" w:ascii="宋体" w:hAnsi="宋体" w:eastAsia="宋体" w:cs="宋体"/>
          <w:color w:val="auto"/>
          <w:sz w:val="24"/>
          <w:szCs w:val="24"/>
          <w:highlight w:val="none"/>
        </w:rPr>
      </w:pPr>
      <w:bookmarkStart w:id="79" w:name="_Toc15053"/>
      <w:r>
        <w:rPr>
          <w:rFonts w:hint="eastAsia" w:ascii="宋体" w:hAnsi="宋体" w:eastAsia="宋体" w:cs="宋体"/>
          <w:color w:val="auto"/>
          <w:sz w:val="24"/>
          <w:szCs w:val="24"/>
          <w:highlight w:val="none"/>
        </w:rPr>
        <w:t>二、招标文件的澄清、修改</w:t>
      </w:r>
      <w:bookmarkEnd w:id="79"/>
    </w:p>
    <w:p>
      <w:pPr>
        <w:numPr>
          <w:ilvl w:val="0"/>
          <w:numId w:val="1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已获取招标文件的潜在投标人，若有问题需要澄清，应于投标截止时间前，以书面形式向采购代理机构提出，采购代理机构与采购人研究后，对认为有必要回答的问题，将以书面解答形式</w:t>
      </w:r>
      <w:r>
        <w:rPr>
          <w:rFonts w:hint="eastAsia" w:cs="宋体"/>
          <w:color w:val="auto"/>
          <w:highlight w:val="none"/>
          <w:lang w:eastAsia="zh-CN"/>
        </w:rPr>
        <w:t>答复</w:t>
      </w:r>
      <w:r>
        <w:rPr>
          <w:rFonts w:hint="eastAsia" w:ascii="宋体" w:hAnsi="宋体" w:eastAsia="宋体" w:cs="宋体"/>
          <w:color w:val="auto"/>
          <w:highlight w:val="none"/>
        </w:rPr>
        <w:t>。</w:t>
      </w:r>
    </w:p>
    <w:p>
      <w:pPr>
        <w:numPr>
          <w:ilvl w:val="0"/>
          <w:numId w:val="1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采购人或者采购代理机构可以对已发出的招标文件进行必要的澄清或者修改，澄清或者修改会在原公告发布媒体上发布澄清公告，澄清或者修改的内容为招标文件的组成部分。</w:t>
      </w:r>
    </w:p>
    <w:p>
      <w:pPr>
        <w:numPr>
          <w:ilvl w:val="0"/>
          <w:numId w:val="1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澄清或者修改的内容可能影响投标文件编制的，采购人或者采购代理机构会在投标截止时间至少15日前，以</w:t>
      </w:r>
      <w:r>
        <w:rPr>
          <w:rFonts w:hint="eastAsia" w:cs="宋体"/>
          <w:color w:val="auto"/>
          <w:highlight w:val="none"/>
          <w:lang w:eastAsia="zh-CN"/>
        </w:rPr>
        <w:t>公告</w:t>
      </w:r>
      <w:r>
        <w:rPr>
          <w:rFonts w:hint="eastAsia" w:ascii="宋体" w:hAnsi="宋体" w:eastAsia="宋体" w:cs="宋体"/>
          <w:color w:val="auto"/>
          <w:highlight w:val="none"/>
        </w:rPr>
        <w:t>形式通知所有获取招标文件的潜在投标人；不足15日的，采购人或者采购代理机构会顺延提交投标文件的截止时间。</w:t>
      </w:r>
    </w:p>
    <w:p>
      <w:pPr>
        <w:numPr>
          <w:ilvl w:val="0"/>
          <w:numId w:val="1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招标文件的修改将以</w:t>
      </w:r>
      <w:r>
        <w:rPr>
          <w:rFonts w:hint="eastAsia" w:cs="宋体"/>
          <w:color w:val="auto"/>
          <w:highlight w:val="none"/>
          <w:lang w:eastAsia="zh-CN"/>
        </w:rPr>
        <w:t>公告</w:t>
      </w:r>
      <w:r>
        <w:rPr>
          <w:rFonts w:hint="eastAsia" w:ascii="宋体" w:hAnsi="宋体" w:eastAsia="宋体" w:cs="宋体"/>
          <w:color w:val="auto"/>
          <w:highlight w:val="none"/>
        </w:rPr>
        <w:t>形式通知所有购买招标文件的投标人，并对其具有约束力。若</w:t>
      </w:r>
      <w:r>
        <w:rPr>
          <w:rFonts w:hint="eastAsia" w:cs="宋体"/>
          <w:color w:val="auto"/>
          <w:highlight w:val="none"/>
          <w:lang w:eastAsia="zh-CN"/>
        </w:rPr>
        <w:t>发布更正公告后</w:t>
      </w:r>
      <w:r>
        <w:rPr>
          <w:rFonts w:hint="eastAsia" w:ascii="宋体" w:hAnsi="宋体" w:eastAsia="宋体" w:cs="宋体"/>
          <w:color w:val="auto"/>
          <w:highlight w:val="none"/>
        </w:rPr>
        <w:t>，视同投标人已收到招标文件修改的通知，并受其约束。</w:t>
      </w:r>
    </w:p>
    <w:p>
      <w:pPr>
        <w:bidi w:val="0"/>
        <w:rPr>
          <w:rFonts w:hint="eastAsia"/>
          <w:b/>
          <w:bCs/>
          <w:color w:val="auto"/>
          <w:highlight w:val="none"/>
        </w:rPr>
      </w:pPr>
      <w:r>
        <w:rPr>
          <w:rFonts w:hint="eastAsia"/>
          <w:b/>
          <w:bCs/>
          <w:color w:val="auto"/>
          <w:highlight w:val="none"/>
          <w:lang w:eastAsia="zh-CN"/>
        </w:rPr>
        <w:t>★</w:t>
      </w:r>
      <w:r>
        <w:rPr>
          <w:rFonts w:hint="eastAsia"/>
          <w:b/>
          <w:bCs/>
          <w:color w:val="auto"/>
          <w:highlight w:val="none"/>
        </w:rPr>
        <w:t>投标文件未按招标文件的澄清、修改的内容编制，又不符合实质性要求的，投标无效。</w:t>
      </w:r>
    </w:p>
    <w:p>
      <w:pPr>
        <w:pStyle w:val="4"/>
        <w:bidi w:val="0"/>
        <w:ind w:left="0" w:leftChars="0" w:right="0" w:rightChars="0" w:firstLine="0" w:firstLineChars="0"/>
        <w:jc w:val="center"/>
        <w:rPr>
          <w:rFonts w:hint="eastAsia"/>
          <w:color w:val="auto"/>
          <w:highlight w:val="none"/>
        </w:rPr>
      </w:pPr>
      <w:bookmarkStart w:id="80" w:name="_Toc82873324"/>
      <w:bookmarkStart w:id="81" w:name="_Toc1096"/>
      <w:bookmarkStart w:id="82" w:name="_Toc204"/>
      <w:bookmarkStart w:id="83" w:name="_Toc82338241"/>
      <w:bookmarkStart w:id="84" w:name="_Toc450840075"/>
      <w:bookmarkStart w:id="85" w:name="_Toc19164"/>
      <w:bookmarkStart w:id="86" w:name="_Toc21160"/>
      <w:r>
        <w:rPr>
          <w:rFonts w:hint="eastAsia"/>
          <w:color w:val="auto"/>
          <w:highlight w:val="none"/>
        </w:rPr>
        <w:t>第三节 投标文件</w:t>
      </w:r>
      <w:bookmarkEnd w:id="80"/>
      <w:bookmarkEnd w:id="81"/>
      <w:bookmarkEnd w:id="82"/>
      <w:bookmarkEnd w:id="83"/>
      <w:bookmarkEnd w:id="84"/>
      <w:bookmarkEnd w:id="85"/>
      <w:bookmarkEnd w:id="86"/>
    </w:p>
    <w:p>
      <w:pPr>
        <w:pStyle w:val="5"/>
        <w:bidi w:val="0"/>
        <w:rPr>
          <w:rFonts w:hint="eastAsia"/>
          <w:color w:val="auto"/>
          <w:highlight w:val="none"/>
        </w:rPr>
      </w:pPr>
      <w:bookmarkStart w:id="87" w:name="_Toc8877"/>
      <w:r>
        <w:rPr>
          <w:rFonts w:hint="eastAsia"/>
          <w:color w:val="auto"/>
          <w:highlight w:val="none"/>
        </w:rPr>
        <w:t>一、投标文件语言和计量单位</w:t>
      </w:r>
      <w:bookmarkEnd w:id="87"/>
    </w:p>
    <w:p>
      <w:pPr>
        <w:numPr>
          <w:ilvl w:val="0"/>
          <w:numId w:val="1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投标文件应用中文书写。投标文件中所附或所引用的原件不是中文时，应附中文译本。</w:t>
      </w:r>
    </w:p>
    <w:p>
      <w:pPr>
        <w:numPr>
          <w:ilvl w:val="0"/>
          <w:numId w:val="1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投标文件中所使用的计量单位，除招标文件中有特殊要求外，应采用国家法定计量单位。</w:t>
      </w:r>
    </w:p>
    <w:p>
      <w:pPr>
        <w:pStyle w:val="5"/>
        <w:bidi w:val="0"/>
        <w:rPr>
          <w:rFonts w:hint="eastAsia"/>
          <w:color w:val="auto"/>
          <w:highlight w:val="none"/>
        </w:rPr>
      </w:pPr>
      <w:bookmarkStart w:id="88" w:name="_Toc5487"/>
      <w:r>
        <w:rPr>
          <w:rFonts w:hint="eastAsia"/>
          <w:color w:val="auto"/>
          <w:highlight w:val="none"/>
        </w:rPr>
        <w:t>二、投标文件的组成</w:t>
      </w:r>
      <w:bookmarkEnd w:id="88"/>
      <w:r>
        <w:rPr>
          <w:rFonts w:hint="eastAsia" w:ascii="宋体" w:hAnsi="宋体" w:cs="宋体"/>
          <w:color w:val="auto"/>
          <w:highlight w:val="none"/>
        </w:rPr>
        <w:t>（资格证明文件、报价文件和商务技术文件三部分组成）</w:t>
      </w:r>
    </w:p>
    <w:p>
      <w:pPr>
        <w:ind w:firstLine="0" w:firstLineChars="0"/>
        <w:rPr>
          <w:rFonts w:hint="eastAsia" w:ascii="宋体" w:hAnsi="宋体" w:eastAsia="宋体" w:cs="宋体"/>
          <w:b/>
          <w:bCs/>
          <w:color w:val="auto"/>
          <w:highlight w:val="none"/>
          <w:lang w:eastAsia="zh-CN"/>
        </w:rPr>
      </w:pPr>
      <w:bookmarkStart w:id="89" w:name="_Toc22525"/>
      <w:r>
        <w:rPr>
          <w:rFonts w:hint="eastAsia" w:ascii="宋体" w:hAnsi="宋体" w:eastAsia="宋体" w:cs="宋体"/>
          <w:b/>
          <w:bCs/>
          <w:color w:val="auto"/>
          <w:highlight w:val="none"/>
        </w:rPr>
        <w:t>（一）资格证明文件：</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均须加盖公章</w:t>
      </w:r>
      <w:r>
        <w:rPr>
          <w:rFonts w:hint="eastAsia" w:ascii="宋体" w:hAnsi="宋体" w:eastAsia="宋体" w:cs="宋体"/>
          <w:b/>
          <w:bCs/>
          <w:color w:val="auto"/>
          <w:highlight w:val="none"/>
          <w:lang w:eastAsia="zh-CN"/>
        </w:rPr>
        <w:t>）</w:t>
      </w:r>
    </w:p>
    <w:p>
      <w:pPr>
        <w:numPr>
          <w:ilvl w:val="0"/>
          <w:numId w:val="1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提供有效的经营执照复印件；事业单位的，则提供有效的《事业单位法人证书》副本复印件章；自然人的，则提供有效的身份证复印件并签字；</w:t>
      </w:r>
    </w:p>
    <w:p>
      <w:pPr>
        <w:numPr>
          <w:ilvl w:val="0"/>
          <w:numId w:val="18"/>
        </w:numPr>
        <w:ind w:left="0" w:leftChars="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w:t>
      </w:r>
      <w:r>
        <w:rPr>
          <w:rFonts w:hint="eastAsia" w:cs="宋体"/>
          <w:color w:val="auto"/>
          <w:highlight w:val="none"/>
          <w:lang w:val="en-US" w:eastAsia="zh-CN"/>
        </w:rPr>
        <w:t>2020</w:t>
      </w:r>
      <w:r>
        <w:rPr>
          <w:rFonts w:hint="eastAsia" w:ascii="宋体" w:hAnsi="宋体" w:eastAsia="宋体" w:cs="宋体"/>
          <w:color w:val="auto"/>
          <w:highlight w:val="none"/>
          <w:lang w:val="en-US" w:eastAsia="zh-CN"/>
        </w:rPr>
        <w:t>年</w:t>
      </w:r>
      <w:r>
        <w:rPr>
          <w:rFonts w:hint="eastAsia" w:cs="宋体"/>
          <w:color w:val="auto"/>
          <w:highlight w:val="none"/>
          <w:lang w:val="en-US" w:eastAsia="zh-CN"/>
        </w:rPr>
        <w:t>度</w:t>
      </w:r>
      <w:r>
        <w:rPr>
          <w:rFonts w:hint="eastAsia" w:ascii="宋体" w:hAnsi="宋体" w:eastAsia="宋体" w:cs="宋体"/>
          <w:color w:val="auto"/>
          <w:highlight w:val="none"/>
          <w:lang w:val="en-US" w:eastAsia="zh-CN"/>
        </w:rPr>
        <w:t>财务报告</w:t>
      </w:r>
      <w:r>
        <w:rPr>
          <w:rFonts w:hint="eastAsia" w:cs="宋体"/>
          <w:color w:val="auto"/>
          <w:highlight w:val="none"/>
          <w:lang w:val="en-US" w:eastAsia="zh-CN"/>
        </w:rPr>
        <w:t>；</w:t>
      </w:r>
    </w:p>
    <w:p>
      <w:pPr>
        <w:numPr>
          <w:ilvl w:val="0"/>
          <w:numId w:val="1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近一年任意一个月</w:t>
      </w:r>
      <w:r>
        <w:rPr>
          <w:rFonts w:hint="eastAsia" w:ascii="宋体" w:hAnsi="宋体" w:eastAsia="宋体" w:cs="宋体"/>
          <w:color w:val="auto"/>
          <w:highlight w:val="none"/>
        </w:rPr>
        <w:t>依法缴纳税收证明（完税凭证或税务部门出具的证明）；</w:t>
      </w:r>
    </w:p>
    <w:p>
      <w:pPr>
        <w:numPr>
          <w:ilvl w:val="0"/>
          <w:numId w:val="1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近一年任意一个月</w:t>
      </w:r>
      <w:r>
        <w:rPr>
          <w:rFonts w:hint="eastAsia" w:ascii="宋体" w:hAnsi="宋体" w:eastAsia="宋体" w:cs="宋体"/>
          <w:color w:val="auto"/>
          <w:highlight w:val="none"/>
        </w:rPr>
        <w:t>依法缴纳社会保障资金证明（缴纳凭证或人社部门出具的证明）；</w:t>
      </w:r>
    </w:p>
    <w:p>
      <w:pPr>
        <w:numPr>
          <w:ilvl w:val="0"/>
          <w:numId w:val="1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具有履行合同所必需的设备和专业技术能力的承诺函</w:t>
      </w:r>
      <w:r>
        <w:rPr>
          <w:rFonts w:hint="eastAsia" w:cs="宋体"/>
          <w:color w:val="auto"/>
          <w:highlight w:val="none"/>
          <w:lang w:eastAsia="zh-CN"/>
        </w:rPr>
        <w:t>；</w:t>
      </w:r>
    </w:p>
    <w:p>
      <w:pPr>
        <w:numPr>
          <w:ilvl w:val="0"/>
          <w:numId w:val="1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参加政府采购活动</w:t>
      </w:r>
      <w:r>
        <w:rPr>
          <w:rFonts w:hint="eastAsia" w:ascii="宋体" w:hAnsi="宋体" w:eastAsia="宋体" w:cs="宋体"/>
          <w:color w:val="auto"/>
          <w:highlight w:val="none"/>
        </w:rPr>
        <w:t>前3年内在经营活动中没有重大违法记录的书面声明；</w:t>
      </w:r>
    </w:p>
    <w:p>
      <w:pPr>
        <w:numPr>
          <w:ilvl w:val="0"/>
          <w:numId w:val="18"/>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信用记录：查询信息网站截图：查询渠道：“信用中国”（www.creditchina.gov.cn）、“中国政府采购网”（www.ccgp.gov.cn），最终审查以代理机构在响应截止前一个工作日查询的最新信息为准</w:t>
      </w:r>
      <w:r>
        <w:rPr>
          <w:rFonts w:hint="eastAsia" w:ascii="宋体" w:hAnsi="宋体" w:eastAsia="宋体" w:cs="宋体"/>
          <w:color w:val="auto"/>
          <w:highlight w:val="none"/>
          <w:lang w:eastAsia="zh-CN"/>
        </w:rPr>
        <w:t>。</w:t>
      </w:r>
    </w:p>
    <w:p>
      <w:pPr>
        <w:ind w:firstLine="0" w:firstLineChars="0"/>
        <w:rPr>
          <w:rFonts w:hint="eastAsia" w:ascii="宋体" w:hAnsi="宋体" w:eastAsia="宋体" w:cs="宋体"/>
          <w:color w:val="auto"/>
          <w:szCs w:val="32"/>
          <w:highlight w:val="none"/>
        </w:rPr>
      </w:pPr>
      <w:r>
        <w:rPr>
          <w:rFonts w:hint="eastAsia" w:ascii="宋体" w:hAnsi="宋体" w:eastAsia="宋体" w:cs="宋体"/>
          <w:b/>
          <w:color w:val="auto"/>
          <w:highlight w:val="none"/>
        </w:rPr>
        <w:t>（二）报价文件</w:t>
      </w:r>
      <w:r>
        <w:rPr>
          <w:rFonts w:hint="eastAsia" w:ascii="宋体" w:hAnsi="宋体" w:eastAsia="宋体" w:cs="宋体"/>
          <w:color w:val="auto"/>
          <w:szCs w:val="32"/>
          <w:highlight w:val="none"/>
        </w:rPr>
        <w:t>：</w:t>
      </w:r>
    </w:p>
    <w:p>
      <w:pPr>
        <w:numPr>
          <w:ilvl w:val="0"/>
          <w:numId w:val="1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投标函；</w:t>
      </w:r>
    </w:p>
    <w:p>
      <w:pPr>
        <w:numPr>
          <w:ilvl w:val="0"/>
          <w:numId w:val="1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开标一览表；</w:t>
      </w:r>
    </w:p>
    <w:p>
      <w:pPr>
        <w:numPr>
          <w:ilvl w:val="0"/>
          <w:numId w:val="1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投标报价明细表；</w:t>
      </w:r>
    </w:p>
    <w:p>
      <w:pPr>
        <w:numPr>
          <w:ilvl w:val="0"/>
          <w:numId w:val="1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《中小企业声明函》及相关证明材料（非小微企业不需要提供）；</w:t>
      </w:r>
    </w:p>
    <w:p>
      <w:pPr>
        <w:numPr>
          <w:ilvl w:val="0"/>
          <w:numId w:val="19"/>
        </w:numPr>
        <w:ind w:left="0" w:leftChars="0" w:firstLine="480" w:firstLineChars="200"/>
        <w:rPr>
          <w:rFonts w:hint="eastAsia" w:ascii="宋体" w:hAnsi="宋体" w:eastAsia="宋体" w:cs="宋体"/>
          <w:color w:val="auto"/>
          <w:highlight w:val="none"/>
        </w:rPr>
      </w:pPr>
      <w:bookmarkStart w:id="90" w:name="_Toc4797"/>
      <w:bookmarkStart w:id="91" w:name="_Toc31456"/>
      <w:r>
        <w:rPr>
          <w:rFonts w:hint="eastAsia" w:ascii="宋体" w:hAnsi="宋体" w:eastAsia="宋体" w:cs="宋体"/>
          <w:color w:val="auto"/>
          <w:highlight w:val="none"/>
        </w:rPr>
        <w:t>残疾人福利性单位声明函（如有需提供）（格式附后）；</w:t>
      </w:r>
      <w:bookmarkEnd w:id="90"/>
      <w:bookmarkEnd w:id="91"/>
    </w:p>
    <w:p>
      <w:pPr>
        <w:numPr>
          <w:ilvl w:val="0"/>
          <w:numId w:val="19"/>
        </w:numPr>
        <w:ind w:left="0" w:leftChars="0" w:firstLine="480" w:firstLineChars="200"/>
        <w:rPr>
          <w:rFonts w:hint="eastAsia" w:ascii="宋体" w:hAnsi="宋体" w:eastAsia="宋体" w:cs="宋体"/>
          <w:color w:val="auto"/>
          <w:highlight w:val="none"/>
        </w:rPr>
      </w:pPr>
      <w:bookmarkStart w:id="92" w:name="_Toc5746"/>
      <w:bookmarkStart w:id="93" w:name="_Toc6461"/>
      <w:r>
        <w:rPr>
          <w:rFonts w:hint="eastAsia" w:ascii="宋体" w:hAnsi="宋体" w:eastAsia="宋体" w:cs="宋体"/>
          <w:color w:val="auto"/>
          <w:highlight w:val="none"/>
        </w:rPr>
        <w:t>投标人针对报价需要说明的其他文件和说明。</w:t>
      </w:r>
      <w:bookmarkEnd w:id="92"/>
      <w:bookmarkEnd w:id="93"/>
    </w:p>
    <w:p>
      <w:pPr>
        <w:ind w:firstLine="0" w:firstLineChars="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（三）商务技术文件：</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提供有效的经营执照复印件；事业单位的，则提供有效的《事业单位法人证书》副本复印件章；自然人的，则提供有效的身份证复印件并签字；</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法定代表人资格证明书和法定代表人授权委托书（投标人的代表若为非法定代表人的，必须提交法定代表人授权书；身份证复印件、授权委托人社保证明（近一年任意一个月的社保证明）；</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投标声明书</w:t>
      </w:r>
      <w:r>
        <w:rPr>
          <w:rFonts w:hint="eastAsia" w:cs="宋体"/>
          <w:color w:val="auto"/>
          <w:highlight w:val="none"/>
          <w:lang w:eastAsia="zh-CN"/>
        </w:rPr>
        <w:t>；</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廉政承诺书；</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投标人情况表，质量管理体系（如有）、环境管理体系（如有）、职业健康及安全管理体系（如有）等三体系认证证书；（如有）；</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同类项目实施情况一览表：2018年1月（以合同签订时间为准）至今实施的类似项目合同复印件（加盖公章），相关实施经验及成功案例介绍（要求提供有关情况，包括：项目名称、项目基本内容、业主名称、联系人及电话，项目金额、实施日期等）</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技术规范偏离表；</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商务要求</w:t>
      </w:r>
      <w:r>
        <w:rPr>
          <w:rFonts w:hint="eastAsia" w:ascii="宋体" w:hAnsi="宋体" w:eastAsia="宋体" w:cs="宋体"/>
          <w:color w:val="auto"/>
          <w:highlight w:val="none"/>
        </w:rPr>
        <w:t>偏离表</w:t>
      </w:r>
    </w:p>
    <w:p>
      <w:pPr>
        <w:numPr>
          <w:ilvl w:val="0"/>
          <w:numId w:val="20"/>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项目实施方案；</w:t>
      </w:r>
    </w:p>
    <w:p>
      <w:pPr>
        <w:numPr>
          <w:ilvl w:val="0"/>
          <w:numId w:val="20"/>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产品认证证书；</w:t>
      </w:r>
    </w:p>
    <w:p>
      <w:pPr>
        <w:numPr>
          <w:ilvl w:val="0"/>
          <w:numId w:val="20"/>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售后服务方案；</w:t>
      </w:r>
    </w:p>
    <w:p>
      <w:pPr>
        <w:numPr>
          <w:ilvl w:val="0"/>
          <w:numId w:val="20"/>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质量保证措施</w:t>
      </w:r>
    </w:p>
    <w:p>
      <w:pPr>
        <w:numPr>
          <w:ilvl w:val="0"/>
          <w:numId w:val="20"/>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政府采购政策分；</w:t>
      </w:r>
    </w:p>
    <w:p>
      <w:pPr>
        <w:snapToGrid w:val="0"/>
        <w:spacing w:line="360" w:lineRule="auto"/>
        <w:ind w:firstLine="472" w:firstLineChars="196"/>
        <w:jc w:val="left"/>
        <w:rPr>
          <w:b/>
          <w:color w:val="auto"/>
          <w:highlight w:val="none"/>
        </w:rPr>
      </w:pPr>
      <w:r>
        <w:rPr>
          <w:rFonts w:hAnsi="宋体"/>
          <w:b/>
          <w:color w:val="auto"/>
          <w:highlight w:val="none"/>
        </w:rPr>
        <w:t>节能产品的相关证明材料：</w:t>
      </w:r>
    </w:p>
    <w:p>
      <w:pPr>
        <w:snapToGrid w:val="0"/>
        <w:spacing w:line="360" w:lineRule="auto"/>
        <w:ind w:firstLine="472" w:firstLineChars="196"/>
        <w:jc w:val="left"/>
        <w:rPr>
          <w:color w:val="auto"/>
          <w:highlight w:val="none"/>
        </w:rPr>
      </w:pPr>
      <w:r>
        <w:rPr>
          <w:rFonts w:hAnsi="宋体"/>
          <w:b/>
          <w:color w:val="auto"/>
          <w:kern w:val="0"/>
          <w:highlight w:val="none"/>
        </w:rPr>
        <w:t>投标产品列入财政部、发展改革委发布的节能产品品目清单的，提供国家市场监督管理总局公布的《参与实施政府采购节能产品认证机构名录》内的认证机构出具的、处于有效期之内的节能标志产品认证证书；</w:t>
      </w:r>
      <w:r>
        <w:rPr>
          <w:color w:val="auto"/>
          <w:highlight w:val="none"/>
        </w:rPr>
        <w:t xml:space="preserve"> </w:t>
      </w:r>
    </w:p>
    <w:p>
      <w:pPr>
        <w:snapToGrid w:val="0"/>
        <w:spacing w:line="360" w:lineRule="auto"/>
        <w:ind w:firstLine="472" w:firstLineChars="196"/>
        <w:jc w:val="left"/>
        <w:rPr>
          <w:b/>
          <w:color w:val="auto"/>
          <w:kern w:val="0"/>
          <w:highlight w:val="none"/>
        </w:rPr>
      </w:pPr>
      <w:r>
        <w:rPr>
          <w:rFonts w:hAnsi="宋体"/>
          <w:b/>
          <w:color w:val="auto"/>
          <w:kern w:val="0"/>
          <w:highlight w:val="none"/>
        </w:rPr>
        <w:t>环境标志产品的相关证明材料：</w:t>
      </w:r>
    </w:p>
    <w:p>
      <w:pPr>
        <w:autoSpaceDE w:val="0"/>
        <w:autoSpaceDN w:val="0"/>
        <w:adjustRightInd w:val="0"/>
        <w:spacing w:line="360" w:lineRule="auto"/>
        <w:ind w:firstLine="472" w:firstLineChars="196"/>
        <w:jc w:val="left"/>
        <w:rPr>
          <w:rFonts w:hint="eastAsia" w:ascii="宋体" w:hAnsi="宋体"/>
          <w:color w:val="auto"/>
          <w:highlight w:val="none"/>
        </w:rPr>
      </w:pPr>
      <w:r>
        <w:rPr>
          <w:rFonts w:hAnsi="宋体"/>
          <w:b/>
          <w:color w:val="auto"/>
          <w:kern w:val="0"/>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其它本招标文件评分表要求提供的材料或投标人认为需要的其他技术文件资料或说明。</w:t>
      </w: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、投标报价</w:t>
      </w:r>
      <w:bookmarkEnd w:id="89"/>
    </w:p>
    <w:p>
      <w:pPr>
        <w:numPr>
          <w:ilvl w:val="0"/>
          <w:numId w:val="2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投标报价是指一次性报出不得更改的价格；</w:t>
      </w:r>
    </w:p>
    <w:p>
      <w:pPr>
        <w:numPr>
          <w:ilvl w:val="0"/>
          <w:numId w:val="2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投标人的报价中应包含货物的价格、损耗、运费、仓储、搬运、税费、初加工服务费、</w:t>
      </w:r>
      <w:r>
        <w:rPr>
          <w:rFonts w:hint="eastAsia" w:cs="宋体"/>
          <w:color w:val="auto"/>
          <w:highlight w:val="none"/>
          <w:lang w:val="en-US" w:eastAsia="zh-CN"/>
        </w:rPr>
        <w:t>质保</w:t>
      </w:r>
      <w:r>
        <w:rPr>
          <w:rFonts w:hint="eastAsia" w:ascii="宋体" w:hAnsi="宋体" w:eastAsia="宋体" w:cs="宋体"/>
          <w:color w:val="auto"/>
          <w:highlight w:val="none"/>
        </w:rPr>
        <w:t>期服务所需的全部费用及招标代理服务费所有费用，不再支付其他费用。</w:t>
      </w:r>
    </w:p>
    <w:p>
      <w:pPr>
        <w:pStyle w:val="5"/>
        <w:rPr>
          <w:rFonts w:hint="eastAsia" w:ascii="宋体" w:hAnsi="宋体" w:eastAsia="宋体" w:cs="宋体"/>
          <w:color w:val="auto"/>
          <w:sz w:val="24"/>
          <w:szCs w:val="24"/>
          <w:highlight w:val="none"/>
        </w:rPr>
      </w:pPr>
      <w:bookmarkStart w:id="94" w:name="_Toc25476"/>
      <w:bookmarkStart w:id="95" w:name="_Toc1"/>
      <w:bookmarkStart w:id="96" w:name="_Toc12521"/>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、投标文件的有效期</w:t>
      </w:r>
      <w:bookmarkEnd w:id="94"/>
    </w:p>
    <w:p>
      <w:pPr>
        <w:numPr>
          <w:ilvl w:val="0"/>
          <w:numId w:val="2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投标文件有效期按“供应商须知前附表”规定，投标文件应在该有效期内保持有效。合同签订后，投标文件作为合同附件，投标文件有效期同合同有效期。</w:t>
      </w:r>
    </w:p>
    <w:p>
      <w:pPr>
        <w:numPr>
          <w:ilvl w:val="0"/>
          <w:numId w:val="2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在特殊情况下，采购人可与供应商协商延长投标文件有效期，这种要求和答复均应以书面形式进行。</w:t>
      </w:r>
    </w:p>
    <w:p>
      <w:pPr>
        <w:pStyle w:val="5"/>
        <w:rPr>
          <w:rFonts w:hint="eastAsia" w:ascii="宋体" w:hAnsi="宋体" w:cs="宋体"/>
          <w:color w:val="auto"/>
          <w:highlight w:val="none"/>
          <w:lang w:val="en-US" w:eastAsia="zh-CN"/>
        </w:rPr>
      </w:pPr>
      <w:r>
        <w:rPr>
          <w:rFonts w:hint="eastAsia" w:ascii="宋体" w:hAnsi="宋体" w:cs="宋体"/>
          <w:color w:val="auto"/>
          <w:highlight w:val="none"/>
          <w:lang w:val="en-US" w:eastAsia="zh-CN"/>
        </w:rPr>
        <w:t>五</w:t>
      </w:r>
      <w:r>
        <w:rPr>
          <w:rFonts w:hint="eastAsia" w:ascii="宋体" w:hAnsi="宋体" w:cs="宋体"/>
          <w:color w:val="auto"/>
          <w:highlight w:val="none"/>
        </w:rPr>
        <w:t>、</w:t>
      </w:r>
      <w:r>
        <w:rPr>
          <w:rFonts w:hint="eastAsia" w:ascii="宋体" w:hAnsi="宋体" w:cs="宋体"/>
          <w:color w:val="auto"/>
          <w:highlight w:val="none"/>
          <w:lang w:val="en-US" w:eastAsia="zh-CN"/>
        </w:rPr>
        <w:t>投标文件的签署及规定</w:t>
      </w:r>
    </w:p>
    <w:p>
      <w:pPr>
        <w:numPr>
          <w:ilvl w:val="0"/>
          <w:numId w:val="23"/>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投标人应按本招标文件规定的格式和顺序编制、装订投标文件，投标文件内容不完整、编排混乱导致投标文件被误读、漏读或者查找不到相关内容的，是投标人的责任。</w:t>
      </w:r>
    </w:p>
    <w:p>
      <w:pPr>
        <w:numPr>
          <w:ilvl w:val="0"/>
          <w:numId w:val="23"/>
        </w:numPr>
        <w:ind w:left="0" w:leftChars="0" w:firstLine="400" w:firstLineChars="0"/>
        <w:rPr>
          <w:rFonts w:hint="eastAsia" w:ascii="宋体" w:hAnsi="宋体" w:eastAsia="宋体" w:cs="宋体"/>
          <w:color w:val="auto"/>
          <w:highlight w:val="none"/>
        </w:rPr>
      </w:pPr>
      <w:r>
        <w:rPr>
          <w:rFonts w:hint="eastAsia" w:cs="宋体"/>
          <w:color w:val="auto"/>
          <w:highlight w:val="none"/>
          <w:lang w:eastAsia="zh-CN"/>
        </w:rPr>
        <w:t>★</w:t>
      </w:r>
      <w:r>
        <w:rPr>
          <w:rFonts w:hint="eastAsia" w:ascii="宋体" w:hAnsi="宋体" w:eastAsia="宋体" w:cs="宋体"/>
          <w:color w:val="auto"/>
          <w:highlight w:val="none"/>
        </w:rPr>
        <w:t>活页装订（卡条、抽杆夹、订书机、散装）的投标文件无效。</w:t>
      </w:r>
    </w:p>
    <w:p>
      <w:pPr>
        <w:numPr>
          <w:ilvl w:val="0"/>
          <w:numId w:val="23"/>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投标文件的正本必须以不褪色的墨水填写或打印（（原件和复印件须加盖公章）），注明“正本”字样，副本可以是正本加盖公章后的复印件。</w:t>
      </w:r>
    </w:p>
    <w:p>
      <w:pPr>
        <w:numPr>
          <w:ilvl w:val="0"/>
          <w:numId w:val="23"/>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投标文件须由投标人在规定位置盖章并由投标人代表签署，投标人应写全称。</w:t>
      </w:r>
    </w:p>
    <w:p>
      <w:pPr>
        <w:numPr>
          <w:ilvl w:val="0"/>
          <w:numId w:val="23"/>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投标文件不得涂改，若有修改错漏处，须由投标人代表签字并加盖公章。投标文件因字迹潦草或表达不清所引起的后果由投标人负责。</w:t>
      </w:r>
    </w:p>
    <w:p>
      <w:pPr>
        <w:pStyle w:val="4"/>
        <w:bidi w:val="0"/>
        <w:ind w:left="0" w:leftChars="0" w:right="0" w:rightChars="0" w:firstLine="0" w:firstLineChars="0"/>
        <w:jc w:val="center"/>
        <w:rPr>
          <w:rFonts w:hint="eastAsia" w:ascii="宋体" w:hAnsi="宋体" w:eastAsia="宋体"/>
          <w:color w:val="auto"/>
          <w:highlight w:val="none"/>
        </w:rPr>
      </w:pPr>
      <w:bookmarkStart w:id="97" w:name="_Toc22584"/>
      <w:bookmarkStart w:id="98" w:name="_Toc7245"/>
      <w:r>
        <w:rPr>
          <w:rFonts w:hint="eastAsia" w:ascii="宋体" w:hAnsi="宋体" w:eastAsia="宋体"/>
          <w:color w:val="auto"/>
          <w:highlight w:val="none"/>
        </w:rPr>
        <w:t>第四节 投标文件的递交</w:t>
      </w:r>
      <w:bookmarkEnd w:id="95"/>
      <w:bookmarkEnd w:id="96"/>
      <w:bookmarkEnd w:id="97"/>
      <w:bookmarkEnd w:id="98"/>
    </w:p>
    <w:p>
      <w:pPr>
        <w:pStyle w:val="5"/>
        <w:bidi w:val="0"/>
        <w:rPr>
          <w:rFonts w:hint="eastAsia"/>
          <w:color w:val="auto"/>
          <w:highlight w:val="none"/>
        </w:rPr>
      </w:pPr>
      <w:bookmarkStart w:id="99" w:name="_Toc27893"/>
      <w:bookmarkStart w:id="100" w:name="_Toc20835"/>
      <w:r>
        <w:rPr>
          <w:rFonts w:hint="eastAsia"/>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2.投标文件（资格证明文件、商务技术文件、报价文件）应按以下方法分别装袋密封：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、投标方名称、投标方地址、投标方授权代表签字及日期并注明“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cs="宋体"/>
          <w:color w:val="auto"/>
          <w:highlight w:val="none"/>
          <w:lang w:val="en-US" w:eastAsia="zh-CN"/>
        </w:rPr>
        <w:t>3</w:t>
      </w:r>
      <w:r>
        <w:rPr>
          <w:rFonts w:hint="eastAsia" w:ascii="宋体" w:hAnsi="宋体" w:cs="宋体"/>
          <w:color w:val="auto"/>
          <w:highlight w:val="none"/>
        </w:rPr>
        <w:t>.如果投标方未按上述要求密封及加写标记，招标方对投标文件的误投和提前启封概不负责。</w:t>
      </w:r>
    </w:p>
    <w:p>
      <w:pPr>
        <w:ind w:firstLine="480"/>
        <w:rPr>
          <w:rFonts w:ascii="宋体" w:hAnsi="宋体" w:cs="宋体"/>
          <w:color w:val="auto"/>
          <w:highlight w:val="none"/>
        </w:rPr>
      </w:pPr>
      <w:r>
        <w:rPr>
          <w:rFonts w:hint="eastAsia" w:cs="宋体"/>
          <w:color w:val="auto"/>
          <w:highlight w:val="none"/>
          <w:lang w:val="en-US" w:eastAsia="zh-CN"/>
        </w:rPr>
        <w:t>4</w:t>
      </w:r>
      <w:r>
        <w:rPr>
          <w:rFonts w:hint="eastAsia" w:ascii="宋体" w:hAnsi="宋体" w:cs="宋体"/>
          <w:color w:val="auto"/>
          <w:highlight w:val="none"/>
        </w:rPr>
        <w:t>.投标文件必须在投标截止时间前派人送达到指定的投标地点，在投标截止时间以后送达的投标文件或者未按照招标文件要求密封的投标文件，招标方拒绝接收。</w:t>
      </w:r>
    </w:p>
    <w:p>
      <w:pPr>
        <w:pStyle w:val="5"/>
        <w:rPr>
          <w:rFonts w:ascii="宋体" w:hAnsi="宋体" w:cs="宋体"/>
          <w:color w:val="auto"/>
          <w:highlight w:val="none"/>
        </w:rPr>
      </w:pPr>
      <w:r>
        <w:rPr>
          <w:rFonts w:hint="eastAsia" w:ascii="宋体" w:hAnsi="宋体" w:cs="宋体"/>
          <w:color w:val="auto"/>
          <w:highlight w:val="none"/>
        </w:rPr>
        <w:t>二、投标文件的补充、修改或撤回</w:t>
      </w:r>
    </w:p>
    <w:p>
      <w:pPr>
        <w:numPr>
          <w:ilvl w:val="0"/>
          <w:numId w:val="24"/>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投标以后，如果投标方在投标截止时间前提出补充、修改或撤回要求，必须提供有法人代表或全权代表签署的要求撤回投标的正式文件，本招标代理公司将予以接受。</w:t>
      </w:r>
    </w:p>
    <w:p>
      <w:pPr>
        <w:numPr>
          <w:ilvl w:val="0"/>
          <w:numId w:val="24"/>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投标方修改投标文件的书面村料，须密封送达招标方，同时应在封套上标明“修改投标文件（并注明招标编号）”和“在    年  月  日  时  分之前不得启封”字样。</w:t>
      </w:r>
    </w:p>
    <w:p>
      <w:pPr>
        <w:numPr>
          <w:ilvl w:val="0"/>
          <w:numId w:val="24"/>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开标后投标方不得撤回投标，投标文件不予退还。</w:t>
      </w:r>
    </w:p>
    <w:p>
      <w:pPr>
        <w:pStyle w:val="4"/>
        <w:bidi w:val="0"/>
        <w:ind w:left="0" w:leftChars="0" w:right="0" w:rightChars="0" w:firstLine="0" w:firstLineChars="0"/>
        <w:jc w:val="center"/>
        <w:rPr>
          <w:rFonts w:hint="eastAsia"/>
          <w:color w:val="auto"/>
          <w:highlight w:val="none"/>
        </w:rPr>
      </w:pPr>
      <w:bookmarkStart w:id="101" w:name="_Toc23575"/>
      <w:bookmarkStart w:id="102" w:name="_Toc11276"/>
      <w:r>
        <w:rPr>
          <w:rFonts w:hint="eastAsia"/>
          <w:color w:val="auto"/>
          <w:highlight w:val="none"/>
        </w:rPr>
        <w:t>第五节 开标</w:t>
      </w:r>
      <w:bookmarkEnd w:id="99"/>
      <w:bookmarkEnd w:id="100"/>
      <w:bookmarkEnd w:id="101"/>
      <w:bookmarkEnd w:id="102"/>
    </w:p>
    <w:p>
      <w:pPr>
        <w:pStyle w:val="5"/>
        <w:bidi w:val="0"/>
        <w:rPr>
          <w:rFonts w:hint="eastAsia" w:ascii="宋体" w:hAnsi="宋体" w:eastAsia="宋体" w:cs="宋体"/>
          <w:color w:val="auto"/>
          <w:sz w:val="24"/>
          <w:szCs w:val="24"/>
          <w:highlight w:val="none"/>
        </w:rPr>
      </w:pPr>
      <w:bookmarkStart w:id="103" w:name="_Toc13980"/>
      <w:bookmarkStart w:id="104" w:name="_Toc13687"/>
      <w:bookmarkStart w:id="105" w:name="_Toc13357"/>
      <w:r>
        <w:rPr>
          <w:rFonts w:hint="eastAsia"/>
          <w:color w:val="auto"/>
          <w:highlight w:val="none"/>
        </w:rPr>
        <w:t>一、开标流程</w:t>
      </w:r>
      <w:bookmarkEnd w:id="103"/>
    </w:p>
    <w:p>
      <w:pPr>
        <w:bidi w:val="0"/>
        <w:rPr>
          <w:rFonts w:hint="eastAsia"/>
          <w:color w:val="auto"/>
          <w:highlight w:val="none"/>
        </w:rPr>
      </w:pPr>
      <w:r>
        <w:rPr>
          <w:rFonts w:hint="eastAsia"/>
          <w:color w:val="auto"/>
          <w:highlight w:val="none"/>
        </w:rPr>
        <w:t>1.采购代理机构将按照采购公告规定的时间、地点组织开标，开标原则上采取先拆封商务和技术文件、商务技术评审后拆封报价文件的顺序进行。具体按以下程序进行。</w:t>
      </w:r>
    </w:p>
    <w:p>
      <w:pPr>
        <w:bidi w:val="0"/>
        <w:rPr>
          <w:rFonts w:hint="eastAsia"/>
          <w:color w:val="auto"/>
          <w:highlight w:val="none"/>
        </w:rPr>
      </w:pPr>
      <w:r>
        <w:rPr>
          <w:rFonts w:hint="eastAsia"/>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w:t>
      </w:r>
      <w:r>
        <w:rPr>
          <w:rFonts w:hint="eastAsia" w:ascii="宋体" w:hAnsi="宋体" w:eastAsia="宋体" w:cs="宋体"/>
          <w:color w:val="auto"/>
          <w:sz w:val="24"/>
          <w:szCs w:val="24"/>
        </w:rPr>
        <w:t>视为自动放弃开标监督权利，认可开标结果</w:t>
      </w:r>
      <w:r>
        <w:rPr>
          <w:rFonts w:hint="eastAsia" w:ascii="宋体" w:hAnsi="宋体" w:eastAsia="宋体" w:cs="宋体"/>
          <w:color w:val="auto"/>
          <w:sz w:val="24"/>
          <w:szCs w:val="24"/>
          <w:lang w:eastAsia="zh-CN"/>
        </w:rPr>
        <w:t>，</w:t>
      </w:r>
      <w:r>
        <w:rPr>
          <w:rFonts w:hint="eastAsia"/>
          <w:color w:val="auto"/>
          <w:highlight w:val="none"/>
        </w:rPr>
        <w:t>事后不得对采购相关人员、开标过程和开标结果提出异议。</w:t>
      </w:r>
    </w:p>
    <w:p>
      <w:pPr>
        <w:bidi w:val="0"/>
        <w:rPr>
          <w:rFonts w:hint="eastAsia"/>
          <w:color w:val="auto"/>
          <w:highlight w:val="none"/>
        </w:rPr>
      </w:pPr>
      <w:r>
        <w:rPr>
          <w:rFonts w:hint="eastAsia"/>
          <w:color w:val="auto"/>
          <w:highlight w:val="none"/>
        </w:rPr>
        <w:t>（2）采购代理机构接收投标文件并登记，各投标人法定代表人或其授权代表对投标文件的递交记录情况进行签字确认。没有整体密封包装的投标文件，将被当场拒绝。</w:t>
      </w:r>
    </w:p>
    <w:p>
      <w:pPr>
        <w:bidi w:val="0"/>
        <w:rPr>
          <w:rFonts w:hint="eastAsia"/>
          <w:color w:val="auto"/>
          <w:highlight w:val="none"/>
        </w:rPr>
      </w:pPr>
      <w:r>
        <w:rPr>
          <w:rFonts w:hint="eastAsia"/>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采购活动现场确认声明书》。</w:t>
      </w:r>
    </w:p>
    <w:p>
      <w:pPr>
        <w:bidi w:val="0"/>
        <w:rPr>
          <w:rFonts w:hint="eastAsia"/>
          <w:color w:val="auto"/>
          <w:highlight w:val="none"/>
        </w:rPr>
      </w:pPr>
      <w:r>
        <w:rPr>
          <w:rFonts w:hint="eastAsia"/>
          <w:color w:val="auto"/>
          <w:highlight w:val="none"/>
        </w:rPr>
        <w:t>（4）请投标人或者其推选的代表查验投标文件密封情况。</w:t>
      </w:r>
    </w:p>
    <w:p>
      <w:pPr>
        <w:bidi w:val="0"/>
        <w:rPr>
          <w:rFonts w:hint="eastAsia"/>
          <w:color w:val="auto"/>
          <w:highlight w:val="none"/>
        </w:rPr>
      </w:pPr>
      <w:r>
        <w:rPr>
          <w:rFonts w:hint="eastAsia"/>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技术文件、报价文件的评审。并退还其他投标文件。</w:t>
      </w:r>
    </w:p>
    <w:p>
      <w:pPr>
        <w:bidi w:val="0"/>
        <w:rPr>
          <w:rFonts w:hint="eastAsia"/>
          <w:color w:val="auto"/>
          <w:highlight w:val="none"/>
        </w:rPr>
      </w:pPr>
      <w:r>
        <w:rPr>
          <w:rFonts w:hint="eastAsia"/>
          <w:color w:val="auto"/>
          <w:highlight w:val="none"/>
        </w:rPr>
        <w:t>（6）对资格审查通过的商务和技术文件由现场工作人员护送至指定的评审地点。对不符合装订要求的采购响应文件，由现场工作人员退还供应商代表。</w:t>
      </w:r>
    </w:p>
    <w:p>
      <w:pPr>
        <w:bidi w:val="0"/>
        <w:rPr>
          <w:rFonts w:hint="eastAsia"/>
          <w:color w:val="auto"/>
          <w:highlight w:val="none"/>
        </w:rPr>
      </w:pPr>
      <w:r>
        <w:rPr>
          <w:rFonts w:hint="eastAsia"/>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bidi w:val="0"/>
        <w:rPr>
          <w:rFonts w:hint="eastAsia"/>
          <w:color w:val="auto"/>
          <w:highlight w:val="none"/>
        </w:rPr>
      </w:pPr>
      <w:r>
        <w:rPr>
          <w:rFonts w:hint="eastAsia"/>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bidi w:val="0"/>
        <w:rPr>
          <w:rFonts w:hint="eastAsia"/>
          <w:color w:val="auto"/>
          <w:highlight w:val="none"/>
        </w:rPr>
      </w:pPr>
      <w:r>
        <w:rPr>
          <w:rFonts w:hint="eastAsia"/>
          <w:color w:val="auto"/>
          <w:highlight w:val="none"/>
        </w:rPr>
        <w:t>（9）评审结束后，采购代理机构公布中标候选人名单，及采购人最终确定中标人名单的时间和公告方式等。</w:t>
      </w:r>
    </w:p>
    <w:p>
      <w:pPr>
        <w:pStyle w:val="5"/>
        <w:rPr>
          <w:rFonts w:hint="eastAsia" w:ascii="宋体" w:hAnsi="宋体" w:eastAsia="宋体" w:cs="宋体"/>
          <w:color w:val="auto"/>
          <w:sz w:val="24"/>
          <w:szCs w:val="24"/>
          <w:highlight w:val="none"/>
        </w:rPr>
      </w:pPr>
      <w:bookmarkStart w:id="106" w:name="_Toc32572"/>
      <w:r>
        <w:rPr>
          <w:rFonts w:hint="eastAsia" w:ascii="宋体" w:hAnsi="宋体" w:eastAsia="宋体" w:cs="宋体"/>
          <w:color w:val="auto"/>
          <w:sz w:val="24"/>
          <w:szCs w:val="24"/>
          <w:highlight w:val="none"/>
        </w:rPr>
        <w:t>二、投标文件鉴定</w:t>
      </w:r>
      <w:bookmarkEnd w:id="106"/>
    </w:p>
    <w:p>
      <w:pPr>
        <w:numPr>
          <w:ilvl w:val="0"/>
          <w:numId w:val="2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开标时，采购代理机构将对投标文件进行初步审查，检查投标书内容是否完整、文件签署是否规范以及投标人资格是否符合要求等。如投标文件被确认为无效，采购代理机构将及时通知该投标人。</w:t>
      </w:r>
    </w:p>
    <w:p>
      <w:pPr>
        <w:numPr>
          <w:ilvl w:val="0"/>
          <w:numId w:val="2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如果投标文件实质上不响应招标文件的要求，采购代理机构及评标委员会将予以拒绝，并且不允许通过修正或撤消不符合要求的差异或保留，使之成为具有响应性的投标。</w:t>
      </w:r>
    </w:p>
    <w:p>
      <w:pPr>
        <w:numPr>
          <w:ilvl w:val="0"/>
          <w:numId w:val="2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经开标后递交至评标委员会的投标文件，仍需接受相关符合性的检查，并有可能在评标过程中被判断为无效。</w:t>
      </w:r>
    </w:p>
    <w:p>
      <w:pPr>
        <w:pStyle w:val="4"/>
        <w:bidi w:val="0"/>
        <w:ind w:left="0" w:leftChars="0" w:right="0" w:rightChars="0" w:firstLine="0" w:firstLineChars="0"/>
        <w:jc w:val="center"/>
        <w:rPr>
          <w:rFonts w:hint="eastAsia"/>
          <w:color w:val="auto"/>
          <w:highlight w:val="none"/>
        </w:rPr>
      </w:pPr>
      <w:bookmarkStart w:id="107" w:name="_Toc5955"/>
      <w:bookmarkStart w:id="108" w:name="_Toc21559"/>
      <w:r>
        <w:rPr>
          <w:rFonts w:hint="eastAsia"/>
          <w:color w:val="auto"/>
          <w:highlight w:val="none"/>
        </w:rPr>
        <w:t>第六节 评标</w:t>
      </w:r>
      <w:bookmarkEnd w:id="104"/>
      <w:bookmarkEnd w:id="105"/>
      <w:bookmarkEnd w:id="107"/>
      <w:bookmarkEnd w:id="108"/>
    </w:p>
    <w:p>
      <w:pPr>
        <w:pStyle w:val="5"/>
        <w:bidi w:val="0"/>
        <w:rPr>
          <w:rFonts w:hint="eastAsia"/>
          <w:color w:val="auto"/>
          <w:highlight w:val="none"/>
        </w:rPr>
      </w:pPr>
      <w:bookmarkStart w:id="109" w:name="_Toc19136"/>
      <w:r>
        <w:rPr>
          <w:rFonts w:hint="eastAsia"/>
          <w:color w:val="auto"/>
          <w:highlight w:val="none"/>
        </w:rPr>
        <w:t>一、组建评标委员会</w:t>
      </w:r>
      <w:bookmarkEnd w:id="109"/>
    </w:p>
    <w:p>
      <w:pPr>
        <w:bidi w:val="0"/>
        <w:rPr>
          <w:rFonts w:hint="eastAsia"/>
          <w:color w:val="auto"/>
          <w:highlight w:val="none"/>
        </w:rPr>
      </w:pPr>
      <w:r>
        <w:rPr>
          <w:rFonts w:hint="eastAsia"/>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hint="eastAsia" w:ascii="宋体" w:hAnsi="宋体" w:eastAsia="宋体" w:cs="宋体"/>
          <w:color w:val="auto"/>
          <w:sz w:val="24"/>
          <w:szCs w:val="24"/>
          <w:highlight w:val="none"/>
        </w:rPr>
      </w:pPr>
      <w:bookmarkStart w:id="110" w:name="_Toc26177"/>
      <w:r>
        <w:rPr>
          <w:rFonts w:hint="eastAsia" w:ascii="宋体" w:hAnsi="宋体" w:eastAsia="宋体" w:cs="宋体"/>
          <w:color w:val="auto"/>
          <w:sz w:val="24"/>
          <w:szCs w:val="24"/>
          <w:highlight w:val="none"/>
        </w:rPr>
        <w:t>二、评标的方式</w:t>
      </w:r>
      <w:bookmarkEnd w:id="110"/>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本项目采用不公开方式评标，评标的依据为招标文件和投标文件。不考虑投标人在开标后提交的任何的补充声明、修正方案。</w:t>
      </w:r>
    </w:p>
    <w:p>
      <w:pPr>
        <w:pStyle w:val="5"/>
        <w:rPr>
          <w:rFonts w:hint="eastAsia" w:ascii="宋体" w:hAnsi="宋体" w:eastAsia="宋体" w:cs="宋体"/>
          <w:color w:val="auto"/>
          <w:sz w:val="24"/>
          <w:szCs w:val="24"/>
          <w:highlight w:val="none"/>
        </w:rPr>
      </w:pPr>
      <w:bookmarkStart w:id="111" w:name="_Toc14276"/>
      <w:r>
        <w:rPr>
          <w:rFonts w:hint="eastAsia" w:ascii="宋体" w:hAnsi="宋体" w:eastAsia="宋体" w:cs="宋体"/>
          <w:color w:val="auto"/>
          <w:sz w:val="24"/>
          <w:szCs w:val="24"/>
          <w:highlight w:val="none"/>
        </w:rPr>
        <w:t>三、评标原则</w:t>
      </w:r>
      <w:bookmarkEnd w:id="111"/>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评标严格按照招标文件的要求和条件，只依据投标内容本身，不依靠开标后的任何外来证明。以公开、公正、公平、效益的原则进行；比较报价，同时考虑以下因素；</w:t>
      </w:r>
    </w:p>
    <w:p>
      <w:pPr>
        <w:numPr>
          <w:ilvl w:val="0"/>
          <w:numId w:val="2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价格合理，方案、产品先进、可靠。</w:t>
      </w:r>
    </w:p>
    <w:p>
      <w:pPr>
        <w:numPr>
          <w:ilvl w:val="0"/>
          <w:numId w:val="2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经营信誉。</w:t>
      </w:r>
    </w:p>
    <w:p>
      <w:pPr>
        <w:numPr>
          <w:ilvl w:val="0"/>
          <w:numId w:val="2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反对不正当竞争。</w:t>
      </w:r>
    </w:p>
    <w:p>
      <w:pPr>
        <w:pStyle w:val="5"/>
        <w:rPr>
          <w:rFonts w:hint="eastAsia" w:ascii="宋体" w:hAnsi="宋体" w:eastAsia="宋体" w:cs="宋体"/>
          <w:color w:val="auto"/>
          <w:sz w:val="24"/>
          <w:szCs w:val="24"/>
          <w:highlight w:val="none"/>
        </w:rPr>
      </w:pPr>
      <w:bookmarkStart w:id="112" w:name="_Toc17753"/>
      <w:r>
        <w:rPr>
          <w:rFonts w:hint="eastAsia" w:ascii="宋体" w:hAnsi="宋体" w:eastAsia="宋体" w:cs="宋体"/>
          <w:color w:val="auto"/>
          <w:sz w:val="24"/>
          <w:szCs w:val="24"/>
          <w:highlight w:val="none"/>
        </w:rPr>
        <w:t>四、评标程序</w:t>
      </w:r>
      <w:bookmarkEnd w:id="11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采购代理机构按照招标文件规定的时间、地点及程序组织评审。评审活动一般应按以下程序组织开展：</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开启评审场地的录音录像采集设备，并确保其正常运行。</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核验出席评审活动现场的评标委员会各成员身份，并要求其分别登记、签到，按规定统一收缴、保存其通讯工具，无关人员一律拒绝其进入评审现场。</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介绍评审现场的人员情况，宣布评审工作纪律，告知评标委员会应当回避情形；组织推选评标委员会组长。</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通报报名参加本项目的投标人名单及资格预审情况（如有），宣读最终提交投标文件且通过资格审查的投标人名单，组织评标委员会各位成员签订《政府采购评审人员廉洁自律承诺书》。</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做好评审现场相关记录，协助评标委员会组长做好评审报告起草、有关内容电脑文字录入等工作，并要求评标委员会各成员签字确认。</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评审结束后，采购代理机构交还评审人员及其他现场相关人员的通讯工具。</w:t>
      </w:r>
    </w:p>
    <w:p>
      <w:pPr>
        <w:pStyle w:val="5"/>
        <w:rPr>
          <w:rFonts w:hint="eastAsia" w:ascii="宋体" w:hAnsi="宋体" w:eastAsia="宋体" w:cs="宋体"/>
          <w:color w:val="auto"/>
          <w:sz w:val="24"/>
          <w:szCs w:val="24"/>
          <w:highlight w:val="none"/>
        </w:rPr>
      </w:pPr>
      <w:bookmarkStart w:id="113" w:name="_Toc2991"/>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投标文件的澄清</w:t>
      </w:r>
      <w:bookmarkEnd w:id="113"/>
    </w:p>
    <w:p>
      <w:pPr>
        <w:numPr>
          <w:ilvl w:val="0"/>
          <w:numId w:val="2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可要求供应商对投标文件中含义不明确、同类问题表述不一致、有明显的文字和计算错误的内容等进行澄清并做出书面答复。投标人必须按照采购代理机构通知的时间、地点派技术和商务人员进行答疑和澄清。</w:t>
      </w:r>
    </w:p>
    <w:p>
      <w:pPr>
        <w:numPr>
          <w:ilvl w:val="0"/>
          <w:numId w:val="28"/>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投标人应对需要澄清的问题作书面回答，该书面回答应有投标人全权代表（或法定代表人）的签字（或盖章），书面澄清将作为投标内容的一部分</w:t>
      </w:r>
      <w:r>
        <w:rPr>
          <w:rFonts w:hint="eastAsia" w:ascii="宋体" w:hAnsi="宋体" w:eastAsia="宋体" w:cs="宋体"/>
          <w:color w:val="auto"/>
          <w:highlight w:val="none"/>
          <w:lang w:eastAsia="zh-CN"/>
        </w:rPr>
        <w:t>。</w:t>
      </w:r>
    </w:p>
    <w:p>
      <w:pPr>
        <w:numPr>
          <w:ilvl w:val="0"/>
          <w:numId w:val="2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对投标文件的澄清不得超出投标文件的范围或者改变投标文件的实质性内容。否则，不予接受。</w:t>
      </w:r>
    </w:p>
    <w:p>
      <w:pPr>
        <w:numPr>
          <w:ilvl w:val="0"/>
          <w:numId w:val="28"/>
        </w:numPr>
        <w:ind w:left="0" w:leftChars="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21"/>
        <w:rPr>
          <w:rFonts w:hint="eastAsia" w:ascii="宋体" w:hAnsi="宋体" w:eastAsia="宋体" w:cs="宋体"/>
          <w:color w:val="auto"/>
          <w:highlight w:val="none"/>
          <w:lang w:val="en-US" w:eastAsia="zh-CN"/>
        </w:rPr>
      </w:pPr>
    </w:p>
    <w:p>
      <w:pPr>
        <w:pStyle w:val="5"/>
        <w:rPr>
          <w:rFonts w:hint="eastAsia" w:ascii="宋体" w:hAnsi="宋体" w:eastAsia="宋体" w:cs="宋体"/>
          <w:color w:val="auto"/>
          <w:sz w:val="24"/>
          <w:szCs w:val="24"/>
          <w:highlight w:val="none"/>
          <w:lang w:val="en-US" w:eastAsia="zh-CN"/>
        </w:rPr>
      </w:pPr>
      <w:bookmarkStart w:id="114" w:name="_Toc19231"/>
      <w:r>
        <w:rPr>
          <w:rFonts w:hint="eastAsia" w:ascii="宋体" w:hAnsi="宋体" w:eastAsia="宋体" w:cs="宋体"/>
          <w:color w:val="auto"/>
          <w:sz w:val="24"/>
          <w:szCs w:val="24"/>
          <w:highlight w:val="none"/>
          <w:lang w:val="en-US" w:eastAsia="zh-CN"/>
        </w:rPr>
        <w:t>六、错误修正</w:t>
      </w:r>
      <w:bookmarkEnd w:id="11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评标委员会将对确定为实质上响应采购文件要求的投标文件进行校核，看其在投标报价方面是否有计算、累计或表达上的错误，修正错误的原则及顺序如下：</w:t>
      </w:r>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投标文件中开标一览表（报价表）内容与投标文件中相应内容不一致的，以开标一览表（报价表）为准；</w:t>
      </w:r>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大写金额和小写金额不一致的，以大写金额为准；</w:t>
      </w:r>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单价金额小数点或者百分比有明显错位的，以开标一览表的总价为准，并修改单价；</w:t>
      </w:r>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总价金额与按单价汇总金额不一致的，以单价金额计算结果为准。</w:t>
      </w:r>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如投标文件中报价明细表分项价格或单价有遗报，应视作已含在投标总价中；其投标总价在评标过程中不予调整。其分项价或单价由评标委员会在投标总价不变的前提下根据合理的原则对其予以确定；</w:t>
      </w:r>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同时出现两种以上不一致的，按照前款规定的顺序修正。修正后的报价以澄清方式经供应商确认后产生约束力，供应商不确认的，其投标无效。</w:t>
      </w:r>
    </w:p>
    <w:p>
      <w:pPr>
        <w:pStyle w:val="5"/>
        <w:rPr>
          <w:rFonts w:hint="eastAsia" w:ascii="宋体" w:hAnsi="宋体" w:eastAsia="宋体" w:cs="宋体"/>
          <w:color w:val="auto"/>
          <w:sz w:val="24"/>
          <w:szCs w:val="24"/>
          <w:highlight w:val="none"/>
        </w:rPr>
      </w:pPr>
      <w:bookmarkStart w:id="115" w:name="_Toc30310"/>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、投标无效的情形</w:t>
      </w:r>
      <w:bookmarkEnd w:id="115"/>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（一）在符合性审查、商务和技术评审时，如发现下列情形之一的，投标文件将被视为无效：</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供应商提交两份或两份以上内容不同的投标方案，未声明哪一份有效的；</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投标文件非供应商法定代表人签署的，未提供或提供无效的法定代表人授权书；</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投标文件内容不全或内容字迹模糊辨认不清的等而导致评标活动无法正常进行；</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供应商未按采购文件变更通知更改投标文件的；</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未实质性响应采购文件中带“</w:t>
      </w:r>
      <w:r>
        <w:rPr>
          <w:rFonts w:hint="eastAsia" w:cs="宋体"/>
          <w:color w:val="auto"/>
          <w:highlight w:val="none"/>
          <w:lang w:eastAsia="zh-CN"/>
        </w:rPr>
        <w:t>★</w:t>
      </w:r>
      <w:r>
        <w:rPr>
          <w:rFonts w:hint="eastAsia" w:ascii="宋体" w:hAnsi="宋体" w:eastAsia="宋体" w:cs="宋体"/>
          <w:color w:val="auto"/>
          <w:highlight w:val="none"/>
        </w:rPr>
        <w:t>”条款要求的投标文件；</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投标有效期、交货期、质保期等商务条款不能满足招标文件要求的；</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投标文件附有采购人不能接受的条款；</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投标文件中提供了与采购无关的赠品、回扣或者其他商品、服务；</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供应商串通投标，妨碍其他供应商的竞争行为，损害采购人或者其他供应商的合法权益；</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违反国家及政府部门相关法律、法规、文件规定或经评标委员会认定的其他属于重大偏离。</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（二）报价文件评审阶段：</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供应商提交两份或两份以上内容不同的投标报价，未声明哪一份有效的；</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《开标一览表》和《投标价格组成明细表》内容不完整且不接受修正意见或字迹不能辨认的或未提供；</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所投标项的投标报价超过采购文件规定的预算金额或最高限价；</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《开标一览表》投标报价为零的，或其报价（大写）无法按正常书写方式进行报价唱标的或无投标报价的；</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投标报价</w:t>
      </w:r>
      <w:r>
        <w:rPr>
          <w:rFonts w:hint="eastAsia" w:cs="宋体"/>
          <w:color w:val="333333"/>
          <w:sz w:val="24"/>
          <w:szCs w:val="24"/>
          <w:highlight w:val="none"/>
        </w:rPr>
        <w:t>明显低于其他通过符合性审查投标人的报价，有可能影响产品质量或者不能诚信履约的</w:t>
      </w:r>
      <w:r>
        <w:rPr>
          <w:rFonts w:hint="eastAsia" w:ascii="宋体" w:hAnsi="宋体" w:eastAsia="宋体" w:cs="宋体"/>
          <w:color w:val="auto"/>
          <w:highlight w:val="none"/>
        </w:rPr>
        <w:t>，且在规定时间内不能合理说明原因并提供证明材料的；</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投标文件内容不全或内容字迹模糊辨认不清的等而导致评标活动无法正常进行；</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采购人拟采购的产品属于政府强制采购的节能产品品目清单范围的，投标人未按招标文件要求提供国家确定的认证机构出具的、处于有效期之内的节能产品认证证书的；</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投标有效期、交货期、质保期等商务条款不能满足招标文件要求的；</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投标文件附有采购人不能接受的条款；</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投标文件中提供了与采购无关的赠品、回扣或者其他商品、服务；</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供应商串通投标，妨碍其他供应商的竞争行为，损害采购人或者其他供应商的合法权益；</w:t>
      </w:r>
    </w:p>
    <w:p>
      <w:pPr>
        <w:pageBreakBefore w:val="0"/>
        <w:numPr>
          <w:ilvl w:val="0"/>
          <w:numId w:val="31"/>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违反国家及政府部门相关法律、法规、文件规定或经评标委员会认定的其他属于重大偏离。</w:t>
      </w:r>
    </w:p>
    <w:p>
      <w:pPr>
        <w:pageBreakBefore w:val="0"/>
        <w:kinsoku/>
        <w:wordWrap/>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（三）有下列情形之一的，视为投标人串通投标，其投标无效，由采购人或采购代理机构上报政府采购监督管理部门，视情列入不良行为记录名单，在一至三年内禁止参加政府采购活动：</w:t>
      </w:r>
    </w:p>
    <w:p>
      <w:pPr>
        <w:pageBreakBefore w:val="0"/>
        <w:numPr>
          <w:ilvl w:val="0"/>
          <w:numId w:val="32"/>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不同投标人的投标文件由同一单位或者个人编制；</w:t>
      </w:r>
    </w:p>
    <w:p>
      <w:pPr>
        <w:pageBreakBefore w:val="0"/>
        <w:numPr>
          <w:ilvl w:val="0"/>
          <w:numId w:val="32"/>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不同投标人委托同一单位或者个人办理投标事宜；</w:t>
      </w:r>
    </w:p>
    <w:p>
      <w:pPr>
        <w:pageBreakBefore w:val="0"/>
        <w:numPr>
          <w:ilvl w:val="0"/>
          <w:numId w:val="32"/>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不同投标人的投标文件载明的项目管理成员或者联系人员为同一人；</w:t>
      </w:r>
    </w:p>
    <w:p>
      <w:pPr>
        <w:pageBreakBefore w:val="0"/>
        <w:numPr>
          <w:ilvl w:val="0"/>
          <w:numId w:val="32"/>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不同投标人的投标文件异常一致或者投标报价呈规律性差异；</w:t>
      </w:r>
    </w:p>
    <w:p>
      <w:pPr>
        <w:pageBreakBefore w:val="0"/>
        <w:numPr>
          <w:ilvl w:val="0"/>
          <w:numId w:val="32"/>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不同投标人的投标文件相互混装；</w:t>
      </w:r>
    </w:p>
    <w:p>
      <w:pPr>
        <w:keepNext w:val="0"/>
        <w:keepLines w:val="0"/>
        <w:pageBreakBefore w:val="0"/>
        <w:widowControl/>
        <w:numPr>
          <w:ilvl w:val="0"/>
          <w:numId w:val="32"/>
        </w:numPr>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不同投标人的投标保证金从同一单位或者个人的账户转出。</w:t>
      </w:r>
    </w:p>
    <w:p>
      <w:pPr>
        <w:pStyle w:val="5"/>
        <w:pageBreakBefore w:val="0"/>
        <w:kinsoku/>
        <w:wordWrap/>
        <w:overflowPunct/>
        <w:topLinePunct w:val="0"/>
        <w:autoSpaceDE/>
        <w:autoSpaceDN/>
        <w:bidi w:val="0"/>
        <w:spacing w:line="360" w:lineRule="auto"/>
        <w:ind w:left="0" w:leftChars="0" w:right="0" w:rightChars="0"/>
        <w:textAlignment w:val="auto"/>
        <w:rPr>
          <w:rFonts w:hint="eastAsia" w:ascii="宋体" w:hAnsi="宋体" w:eastAsia="宋体" w:cs="宋体"/>
          <w:color w:val="auto"/>
          <w:sz w:val="24"/>
          <w:szCs w:val="24"/>
          <w:highlight w:val="none"/>
        </w:rPr>
      </w:pPr>
      <w:bookmarkStart w:id="116" w:name="_Toc5376"/>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、投标品牌认定（依据《财政部令第87号》）（本项目不适用）</w:t>
      </w:r>
      <w:bookmarkEnd w:id="116"/>
    </w:p>
    <w:p>
      <w:pPr>
        <w:pageBreakBefore w:val="0"/>
        <w:numPr>
          <w:ilvl w:val="0"/>
          <w:numId w:val="33"/>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ageBreakBefore w:val="0"/>
        <w:numPr>
          <w:ilvl w:val="0"/>
          <w:numId w:val="33"/>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cs="宋体"/>
          <w:color w:val="auto"/>
          <w:highlight w:val="none"/>
          <w:lang w:eastAsia="zh-CN"/>
        </w:rPr>
        <w:t>；</w:t>
      </w:r>
      <w:r>
        <w:rPr>
          <w:rFonts w:hint="eastAsia" w:ascii="宋体" w:hAnsi="宋体" w:eastAsia="宋体" w:cs="宋体"/>
          <w:color w:val="auto"/>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pPr>
        <w:pageBreakBefore w:val="0"/>
        <w:numPr>
          <w:ilvl w:val="0"/>
          <w:numId w:val="33"/>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pageBreakBefore w:val="0"/>
        <w:kinsoku/>
        <w:wordWrap/>
        <w:overflowPunct/>
        <w:topLinePunct w:val="0"/>
        <w:autoSpaceDE/>
        <w:autoSpaceDN/>
        <w:bidi w:val="0"/>
        <w:spacing w:line="360" w:lineRule="auto"/>
        <w:ind w:left="0" w:leftChars="0" w:right="0" w:rightChars="0"/>
        <w:textAlignment w:val="auto"/>
        <w:rPr>
          <w:rFonts w:hint="eastAsia" w:ascii="宋体" w:hAnsi="宋体" w:eastAsia="宋体" w:cs="宋体"/>
          <w:color w:val="auto"/>
          <w:sz w:val="24"/>
          <w:szCs w:val="24"/>
          <w:highlight w:val="none"/>
        </w:rPr>
      </w:pPr>
      <w:bookmarkStart w:id="117" w:name="_Toc85"/>
      <w:r>
        <w:rPr>
          <w:rFonts w:hint="eastAsia" w:ascii="宋体" w:hAnsi="宋体" w:eastAsia="宋体" w:cs="宋体"/>
          <w:color w:val="auto"/>
          <w:sz w:val="24"/>
          <w:szCs w:val="24"/>
          <w:highlight w:val="none"/>
        </w:rPr>
        <w:t>九、评标办法</w:t>
      </w:r>
      <w:bookmarkEnd w:id="117"/>
    </w:p>
    <w:p>
      <w:pPr>
        <w:pageBreakBefore w:val="0"/>
        <w:kinsoku/>
        <w:wordWrap/>
        <w:overflowPunct/>
        <w:topLinePunct w:val="0"/>
        <w:autoSpaceDE/>
        <w:autoSpaceDN/>
        <w:bidi w:val="0"/>
        <w:spacing w:line="360"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本项目评标办法是综合评分法，具体评标内容及评分标准等详见《第四部分：评标办法及评</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rPr>
        <w:t>标准》。</w:t>
      </w:r>
    </w:p>
    <w:p>
      <w:pPr>
        <w:pStyle w:val="4"/>
        <w:pageBreakBefore w:val="0"/>
        <w:kinsoku/>
        <w:wordWrap/>
        <w:overflowPunct/>
        <w:topLinePunct w:val="0"/>
        <w:autoSpaceDE/>
        <w:autoSpaceDN/>
        <w:bidi w:val="0"/>
        <w:spacing w:line="360" w:lineRule="auto"/>
        <w:ind w:left="0" w:leftChars="0" w:right="0" w:rightChars="0"/>
        <w:jc w:val="center"/>
        <w:textAlignment w:val="auto"/>
        <w:rPr>
          <w:rFonts w:hint="eastAsia" w:ascii="宋体" w:hAnsi="宋体" w:eastAsia="宋体" w:cs="宋体"/>
          <w:color w:val="auto"/>
          <w:highlight w:val="none"/>
        </w:rPr>
      </w:pPr>
      <w:bookmarkStart w:id="118" w:name="_Toc12192"/>
      <w:bookmarkStart w:id="119" w:name="_Toc31535"/>
      <w:bookmarkStart w:id="120" w:name="_Toc15663"/>
      <w:bookmarkStart w:id="121" w:name="_Toc24239"/>
      <w:r>
        <w:rPr>
          <w:rFonts w:hint="eastAsia" w:ascii="宋体" w:hAnsi="宋体" w:eastAsia="宋体" w:cs="宋体"/>
          <w:color w:val="auto"/>
          <w:highlight w:val="none"/>
        </w:rPr>
        <w:t>第七节 授予合同</w:t>
      </w:r>
      <w:bookmarkEnd w:id="118"/>
      <w:bookmarkEnd w:id="119"/>
      <w:bookmarkEnd w:id="120"/>
      <w:bookmarkEnd w:id="121"/>
    </w:p>
    <w:p>
      <w:pPr>
        <w:pStyle w:val="5"/>
        <w:pageBreakBefore w:val="0"/>
        <w:kinsoku/>
        <w:wordWrap/>
        <w:overflowPunct/>
        <w:topLinePunct w:val="0"/>
        <w:autoSpaceDE/>
        <w:autoSpaceDN/>
        <w:bidi w:val="0"/>
        <w:spacing w:line="360" w:lineRule="auto"/>
        <w:ind w:left="0" w:leftChars="0" w:right="0" w:rightChars="0"/>
        <w:textAlignment w:val="auto"/>
        <w:rPr>
          <w:rFonts w:hint="eastAsia" w:ascii="宋体" w:hAnsi="宋体" w:eastAsia="宋体" w:cs="宋体"/>
          <w:color w:val="auto"/>
          <w:sz w:val="24"/>
          <w:szCs w:val="24"/>
          <w:highlight w:val="none"/>
        </w:rPr>
      </w:pPr>
      <w:bookmarkStart w:id="122" w:name="_Toc14799"/>
      <w:r>
        <w:rPr>
          <w:rFonts w:hint="eastAsia" w:ascii="宋体" w:hAnsi="宋体" w:eastAsia="宋体" w:cs="宋体"/>
          <w:color w:val="auto"/>
          <w:sz w:val="24"/>
          <w:szCs w:val="24"/>
          <w:highlight w:val="none"/>
        </w:rPr>
        <w:t>一、公告及定标</w:t>
      </w:r>
      <w:bookmarkEnd w:id="122"/>
    </w:p>
    <w:p>
      <w:pPr>
        <w:pageBreakBefore w:val="0"/>
        <w:numPr>
          <w:ilvl w:val="0"/>
          <w:numId w:val="34"/>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采购代理机构自评审结束之日起2个工作日内将评审报告送交采购人。采购人收到评审报告之日起5个工作日内在评审报告推荐的中标候选人中按顺序确定中标供应商。</w:t>
      </w:r>
    </w:p>
    <w:p>
      <w:pPr>
        <w:pageBreakBefore w:val="0"/>
        <w:numPr>
          <w:ilvl w:val="0"/>
          <w:numId w:val="34"/>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采购代理机构自中标供应商确定之日起2个工作日内，发出中标通知书，并在浙江政府采购网等相关网站或媒体上公告中标结果。中标公告期限为1个工作日。</w:t>
      </w:r>
    </w:p>
    <w:p>
      <w:pPr>
        <w:pStyle w:val="5"/>
        <w:pageBreakBefore w:val="0"/>
        <w:kinsoku/>
        <w:wordWrap/>
        <w:overflowPunct/>
        <w:topLinePunct w:val="0"/>
        <w:autoSpaceDE/>
        <w:autoSpaceDN/>
        <w:bidi w:val="0"/>
        <w:spacing w:line="360" w:lineRule="auto"/>
        <w:ind w:left="0" w:leftChars="0" w:right="0" w:rightChars="0"/>
        <w:textAlignment w:val="auto"/>
        <w:rPr>
          <w:rFonts w:hint="eastAsia" w:ascii="宋体" w:hAnsi="宋体" w:eastAsia="宋体" w:cs="宋体"/>
          <w:color w:val="auto"/>
          <w:sz w:val="24"/>
          <w:szCs w:val="24"/>
          <w:highlight w:val="none"/>
        </w:rPr>
      </w:pPr>
      <w:bookmarkStart w:id="123" w:name="_Toc20286"/>
      <w:r>
        <w:rPr>
          <w:rFonts w:hint="eastAsia" w:ascii="宋体" w:hAnsi="宋体" w:eastAsia="宋体" w:cs="宋体"/>
          <w:color w:val="auto"/>
          <w:sz w:val="24"/>
          <w:szCs w:val="24"/>
          <w:highlight w:val="none"/>
        </w:rPr>
        <w:t>二、签订合同</w:t>
      </w:r>
      <w:bookmarkEnd w:id="123"/>
    </w:p>
    <w:p>
      <w:pPr>
        <w:pageBreakBefore w:val="0"/>
        <w:numPr>
          <w:ilvl w:val="0"/>
          <w:numId w:val="35"/>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pageBreakBefore w:val="0"/>
        <w:numPr>
          <w:ilvl w:val="0"/>
          <w:numId w:val="35"/>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招标文件，中标人的投标文件及评标过程中有关澄清文件均应作为合同附件。</w:t>
      </w:r>
    </w:p>
    <w:p>
      <w:pPr>
        <w:pageBreakBefore w:val="0"/>
        <w:numPr>
          <w:ilvl w:val="0"/>
          <w:numId w:val="35"/>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中标人拖延、拒签合同的,将被取消中标资格。</w:t>
      </w:r>
    </w:p>
    <w:p>
      <w:pPr>
        <w:pStyle w:val="4"/>
        <w:bidi w:val="0"/>
        <w:ind w:left="0" w:leftChars="0" w:right="0" w:rightChars="0" w:firstLine="0" w:firstLineChars="0"/>
        <w:jc w:val="center"/>
        <w:rPr>
          <w:rFonts w:hint="eastAsia"/>
          <w:color w:val="auto"/>
          <w:highlight w:val="none"/>
        </w:rPr>
      </w:pPr>
      <w:bookmarkStart w:id="124" w:name="_Toc15982"/>
      <w:bookmarkStart w:id="125" w:name="_Toc14481"/>
      <w:bookmarkStart w:id="126" w:name="_Toc12481"/>
      <w:bookmarkStart w:id="127" w:name="_Toc15220"/>
      <w:r>
        <w:rPr>
          <w:rFonts w:hint="eastAsia"/>
          <w:color w:val="auto"/>
          <w:highlight w:val="none"/>
        </w:rPr>
        <w:t>第八节 例外处理</w:t>
      </w:r>
      <w:bookmarkEnd w:id="124"/>
      <w:bookmarkEnd w:id="125"/>
      <w:bookmarkEnd w:id="126"/>
      <w:bookmarkEnd w:id="12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投标截止时间结束后或评审过程中参加标项投标的供应商不足三家的，除采购任务取消情形外，采购人可选择以下方式之一处理：</w:t>
      </w:r>
    </w:p>
    <w:p>
      <w:pPr>
        <w:numPr>
          <w:ilvl w:val="0"/>
          <w:numId w:val="3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可将本标项作废标处理，重新组织采购；</w:t>
      </w:r>
    </w:p>
    <w:p>
      <w:pPr>
        <w:numPr>
          <w:ilvl w:val="0"/>
          <w:numId w:val="3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可按财政部门的审批意见采用其他采购方式组织采购。</w:t>
      </w: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sectPr>
          <w:pgSz w:w="11906" w:h="16838"/>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381" w:charSpace="0"/>
        </w:sectPr>
      </w:pPr>
    </w:p>
    <w:p>
      <w:pPr>
        <w:pStyle w:val="3"/>
        <w:bidi w:val="0"/>
        <w:rPr>
          <w:rFonts w:hint="eastAsia"/>
          <w:color w:val="auto"/>
          <w:highlight w:val="none"/>
        </w:rPr>
      </w:pPr>
      <w:bookmarkStart w:id="128" w:name="_Toc450840079"/>
      <w:bookmarkStart w:id="129" w:name="_Toc82338233"/>
      <w:bookmarkStart w:id="130" w:name="_Toc82873316"/>
      <w:bookmarkStart w:id="131" w:name="_Toc21368"/>
      <w:bookmarkStart w:id="132" w:name="_Toc16410"/>
      <w:r>
        <w:rPr>
          <w:rFonts w:hint="eastAsia"/>
          <w:color w:val="auto"/>
          <w:highlight w:val="none"/>
        </w:rPr>
        <w:t xml:space="preserve">第四章 </w:t>
      </w:r>
      <w:bookmarkEnd w:id="128"/>
      <w:bookmarkEnd w:id="129"/>
      <w:bookmarkEnd w:id="130"/>
      <w:r>
        <w:rPr>
          <w:rFonts w:hint="eastAsia"/>
          <w:color w:val="auto"/>
          <w:highlight w:val="none"/>
        </w:rPr>
        <w:t>评标办法及评分标准</w:t>
      </w:r>
      <w:bookmarkEnd w:id="131"/>
      <w:bookmarkEnd w:id="132"/>
    </w:p>
    <w:p>
      <w:pPr>
        <w:pStyle w:val="4"/>
        <w:bidi w:val="0"/>
        <w:rPr>
          <w:rFonts w:hint="eastAsia"/>
          <w:color w:val="auto"/>
          <w:highlight w:val="none"/>
        </w:rPr>
      </w:pPr>
      <w:bookmarkStart w:id="133" w:name="_Toc29775"/>
      <w:bookmarkStart w:id="134" w:name="_Toc3017"/>
      <w:bookmarkStart w:id="135" w:name="_Toc3811"/>
      <w:bookmarkStart w:id="136" w:name="_Toc11391"/>
      <w:bookmarkStart w:id="137" w:name="OLE_LINK3"/>
      <w:bookmarkStart w:id="138" w:name="_Toc3110"/>
      <w:r>
        <w:rPr>
          <w:rFonts w:hint="eastAsia"/>
          <w:color w:val="auto"/>
          <w:highlight w:val="none"/>
        </w:rPr>
        <w:t>一、评分总则</w:t>
      </w:r>
      <w:bookmarkEnd w:id="133"/>
      <w:bookmarkEnd w:id="134"/>
      <w:r>
        <w:rPr>
          <w:rFonts w:hint="eastAsia"/>
          <w:color w:val="auto"/>
          <w:highlight w:val="none"/>
        </w:rPr>
        <w:t xml:space="preserve">  </w:t>
      </w:r>
    </w:p>
    <w:p>
      <w:pPr>
        <w:bidi w:val="0"/>
        <w:rPr>
          <w:rFonts w:hint="eastAsia"/>
          <w:color w:val="auto"/>
          <w:highlight w:val="none"/>
        </w:rPr>
      </w:pPr>
      <w:r>
        <w:rPr>
          <w:rFonts w:hint="eastAsia"/>
          <w:color w:val="auto"/>
          <w:highlight w:val="none"/>
        </w:rPr>
        <w:t>以招标文件要求为基础，考虑各项相关因素的影响，将相关因素以定量计算的办法转换成分数表示形式，以最高“评标分数”确定评标结果顺序。</w:t>
      </w:r>
    </w:p>
    <w:p>
      <w:pPr>
        <w:bidi w:val="0"/>
        <w:rPr>
          <w:rFonts w:hint="eastAsia"/>
          <w:color w:val="auto"/>
          <w:highlight w:val="none"/>
        </w:rPr>
      </w:pPr>
      <w:r>
        <w:rPr>
          <w:rFonts w:hint="eastAsia"/>
          <w:color w:val="auto"/>
          <w:highlight w:val="none"/>
        </w:rPr>
        <w:t>本次招标的评标采用</w:t>
      </w:r>
      <w:r>
        <w:rPr>
          <w:rFonts w:hint="eastAsia"/>
          <w:b/>
          <w:bCs/>
          <w:color w:val="auto"/>
          <w:highlight w:val="none"/>
        </w:rPr>
        <w:t>综合评分法</w:t>
      </w:r>
      <w:r>
        <w:rPr>
          <w:rFonts w:hint="eastAsia"/>
          <w:color w:val="auto"/>
          <w:highlight w:val="none"/>
        </w:rPr>
        <w:t>。</w:t>
      </w:r>
    </w:p>
    <w:bookmarkEnd w:id="135"/>
    <w:bookmarkEnd w:id="136"/>
    <w:bookmarkEnd w:id="137"/>
    <w:bookmarkEnd w:id="138"/>
    <w:p>
      <w:pPr>
        <w:ind w:firstLine="480"/>
        <w:rPr>
          <w:rFonts w:hint="eastAsia" w:cs="宋体"/>
          <w:color w:val="auto"/>
          <w:highlight w:val="none"/>
        </w:rPr>
      </w:pPr>
      <w:bookmarkStart w:id="139" w:name="_Toc450840083"/>
      <w:bookmarkStart w:id="140" w:name="_Toc82873317"/>
      <w:bookmarkStart w:id="141" w:name="_Toc82338234"/>
      <w:r>
        <w:rPr>
          <w:rFonts w:hint="eastAsia" w:cs="宋体"/>
          <w:color w:val="auto"/>
          <w:highlight w:val="none"/>
        </w:rPr>
        <w:t>评标总分为100分，合格投标人的评标得分为各项目汇总得分，中标候选资格按评标得分由高到低顺序排列，得分相同的，按投标报价由低到高顺序排列。得分且投标报价相同的，采取随机抽签的方式确定排序。</w:t>
      </w:r>
    </w:p>
    <w:p>
      <w:pPr>
        <w:bidi w:val="0"/>
        <w:rPr>
          <w:rFonts w:hint="eastAsia"/>
          <w:color w:val="auto"/>
          <w:highlight w:val="none"/>
        </w:rPr>
      </w:pPr>
      <w:r>
        <w:rPr>
          <w:rFonts w:hint="eastAsia"/>
          <w:color w:val="auto"/>
          <w:highlight w:val="none"/>
        </w:rPr>
        <w:t>评分过程中采用四舍五入法，并保留小数2位</w:t>
      </w:r>
    </w:p>
    <w:p>
      <w:pPr>
        <w:bidi w:val="0"/>
        <w:rPr>
          <w:rFonts w:hint="eastAsia"/>
          <w:color w:val="auto"/>
          <w:highlight w:val="none"/>
        </w:rPr>
      </w:pPr>
      <w:r>
        <w:rPr>
          <w:rFonts w:hint="eastAsia"/>
          <w:color w:val="auto"/>
          <w:highlight w:val="none"/>
        </w:rPr>
        <w:t>投标人评标综合得分=商务分+技术分+价格分</w:t>
      </w:r>
    </w:p>
    <w:p>
      <w:pPr>
        <w:bidi w:val="0"/>
        <w:rPr>
          <w:rFonts w:hint="eastAsia"/>
          <w:color w:val="auto"/>
          <w:highlight w:val="none"/>
        </w:rPr>
      </w:pPr>
      <w:r>
        <w:rPr>
          <w:rFonts w:hint="eastAsia"/>
          <w:color w:val="auto"/>
          <w:highlight w:val="none"/>
        </w:rPr>
        <w:t>商务技术分按照评标委员会成员的独立评分结果的算术平均分计算，计算公式为：商务技术分=（评标委员会所有成员评分合计数）/（评标委员会组成人员数）</w:t>
      </w:r>
    </w:p>
    <w:p>
      <w:pPr>
        <w:pStyle w:val="4"/>
        <w:rPr>
          <w:rFonts w:hint="eastAsia" w:ascii="宋体" w:hAnsi="宋体" w:cs="宋体"/>
          <w:sz w:val="24"/>
          <w:szCs w:val="24"/>
          <w:highlight w:val="none"/>
        </w:rPr>
      </w:pPr>
      <w:bookmarkStart w:id="142" w:name="_Toc23140"/>
      <w:bookmarkStart w:id="143" w:name="_Toc7047"/>
      <w:bookmarkStart w:id="144" w:name="_Toc30517"/>
      <w:bookmarkStart w:id="145" w:name="_Toc7789"/>
      <w:bookmarkStart w:id="146" w:name="_Toc30520"/>
      <w:r>
        <w:rPr>
          <w:rFonts w:hint="eastAsia" w:ascii="宋体" w:hAnsi="宋体" w:cs="宋体"/>
          <w:sz w:val="24"/>
          <w:szCs w:val="24"/>
          <w:highlight w:val="none"/>
        </w:rPr>
        <w:t>二、评标程序：</w:t>
      </w:r>
      <w:bookmarkEnd w:id="142"/>
      <w:bookmarkEnd w:id="143"/>
    </w:p>
    <w:p>
      <w:pPr>
        <w:ind w:firstLine="482"/>
        <w:rPr>
          <w:rFonts w:hint="eastAsia" w:cs="宋体"/>
          <w:b/>
          <w:highlight w:val="none"/>
        </w:rPr>
      </w:pPr>
      <w:r>
        <w:rPr>
          <w:rFonts w:hint="eastAsia" w:cs="宋体"/>
          <w:b/>
          <w:highlight w:val="none"/>
        </w:rPr>
        <w:t>2.1第一阶段评审</w:t>
      </w:r>
    </w:p>
    <w:p>
      <w:pPr>
        <w:ind w:firstLine="480"/>
        <w:rPr>
          <w:rFonts w:hint="eastAsia" w:cs="宋体"/>
          <w:b/>
          <w:highlight w:val="none"/>
        </w:rPr>
      </w:pPr>
      <w:r>
        <w:rPr>
          <w:rFonts w:hint="eastAsia" w:cs="宋体"/>
          <w:highlight w:val="none"/>
        </w:rPr>
        <w:t>★2.1.1商务和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cs="宋体"/>
          <w:b/>
          <w:highlight w:val="none"/>
        </w:rPr>
        <w:t>资格性审查和符合性审查中，有任意一项审查结论不合格的，作无效标处理。</w:t>
      </w:r>
    </w:p>
    <w:p>
      <w:pPr>
        <w:ind w:firstLine="480"/>
        <w:rPr>
          <w:rFonts w:hint="eastAsia" w:cs="宋体"/>
          <w:highlight w:val="none"/>
        </w:rPr>
      </w:pPr>
      <w:r>
        <w:rPr>
          <w:rFonts w:hint="eastAsia" w:cs="宋体"/>
          <w:highlight w:val="none"/>
        </w:rPr>
        <w:t>2.1.2</w:t>
      </w:r>
      <w:r>
        <w:rPr>
          <w:rFonts w:hint="eastAsia" w:cs="宋体"/>
          <w:highlight w:val="none"/>
          <w:lang w:val="zh-CN"/>
        </w:rPr>
        <w:t>比较与评价：</w:t>
      </w:r>
      <w:r>
        <w:rPr>
          <w:rFonts w:hint="eastAsia" w:cs="宋体"/>
          <w:highlight w:val="none"/>
        </w:rPr>
        <w:t>评标委员会根据“附表3评分表（兼评委打分表）”的要求，</w:t>
      </w:r>
      <w:r>
        <w:rPr>
          <w:rFonts w:hint="eastAsia" w:cs="宋体"/>
          <w:highlight w:val="none"/>
          <w:lang w:val="zh-CN"/>
        </w:rPr>
        <w:t>对照投标文件的应答进行比较，判定其偏差性质和程度，</w:t>
      </w:r>
      <w:r>
        <w:rPr>
          <w:rFonts w:hint="eastAsia" w:cs="宋体"/>
          <w:highlight w:val="none"/>
        </w:rPr>
        <w:t>由评标委员会成员在分值范围内自行评分。供应商商务和技术得分为各评标委员会成员有效评分的算术平均值（小数点后保留二位数）。</w:t>
      </w:r>
    </w:p>
    <w:p>
      <w:pPr>
        <w:ind w:firstLine="482"/>
        <w:rPr>
          <w:rFonts w:hint="eastAsia" w:cs="宋体"/>
          <w:b/>
          <w:highlight w:val="none"/>
        </w:rPr>
      </w:pPr>
      <w:r>
        <w:rPr>
          <w:rFonts w:hint="eastAsia" w:cs="宋体"/>
          <w:b/>
          <w:highlight w:val="none"/>
        </w:rPr>
        <w:t>2.2第二阶段评审</w:t>
      </w:r>
    </w:p>
    <w:p>
      <w:pPr>
        <w:ind w:firstLine="480"/>
        <w:rPr>
          <w:rFonts w:hint="eastAsia" w:cs="宋体"/>
          <w:b/>
          <w:highlight w:val="none"/>
        </w:rPr>
      </w:pPr>
      <w:r>
        <w:rPr>
          <w:rFonts w:hint="eastAsia" w:cs="宋体"/>
          <w:highlight w:val="none"/>
        </w:rPr>
        <w:t>★2.2.1报价文件审查：投标报价超出最高限价或预算金额的</w:t>
      </w:r>
      <w:r>
        <w:rPr>
          <w:rFonts w:hint="eastAsia" w:cs="宋体"/>
          <w:b/>
          <w:highlight w:val="none"/>
        </w:rPr>
        <w:t>，审查结论不合格的，作无效标处理。</w:t>
      </w:r>
    </w:p>
    <w:p>
      <w:pPr>
        <w:ind w:firstLine="480"/>
        <w:rPr>
          <w:rFonts w:hint="eastAsia" w:cs="宋体"/>
          <w:highlight w:val="none"/>
        </w:rPr>
      </w:pPr>
      <w:r>
        <w:rPr>
          <w:rFonts w:hint="eastAsia" w:cs="宋体"/>
          <w:highlight w:val="none"/>
        </w:rPr>
        <w:t>2.2.2综合评估：供应商的综合得分为商务和技术得分与报价得分之和。</w:t>
      </w:r>
    </w:p>
    <w:p>
      <w:pPr>
        <w:ind w:firstLine="480"/>
        <w:rPr>
          <w:rFonts w:hint="eastAsia" w:cs="宋体"/>
          <w:highlight w:val="none"/>
        </w:rPr>
      </w:pPr>
      <w:r>
        <w:rPr>
          <w:rFonts w:hint="eastAsia" w:cs="宋体"/>
          <w:highlight w:val="none"/>
        </w:rPr>
        <w:t>2.2.3推荐中标候选人：按综合得分由高到低进行排序，推荐综合得分排序第1的供应商为中标候选人。若供应商的综合得分相等，则投标报价低者列前；若投标报价也相同时，采取随机抽签的方式确定排序。</w:t>
      </w:r>
    </w:p>
    <w:p>
      <w:pPr>
        <w:ind w:firstLine="482"/>
        <w:rPr>
          <w:rFonts w:hint="eastAsia" w:cs="宋体"/>
          <w:b/>
          <w:highlight w:val="none"/>
        </w:rPr>
      </w:pPr>
      <w:r>
        <w:rPr>
          <w:rFonts w:hint="eastAsia" w:cs="宋体"/>
          <w:b/>
          <w:highlight w:val="none"/>
        </w:rPr>
        <w:t>2.3确定中标供应商</w:t>
      </w:r>
    </w:p>
    <w:p>
      <w:pPr>
        <w:ind w:firstLine="480"/>
        <w:rPr>
          <w:rFonts w:hint="eastAsia" w:cs="宋体"/>
          <w:highlight w:val="none"/>
        </w:rPr>
      </w:pPr>
      <w:r>
        <w:rPr>
          <w:rFonts w:hint="eastAsia" w:cs="宋体"/>
          <w:highlight w:val="none"/>
        </w:rPr>
        <w:t>评标委员会按综合得分由高到低排序，依次依序向采购人推荐两位中标候选人。代理机构应当自评审结束之日起2个工作日内将评审报告送交采购人。采购人应当自收到评审报告之日起5个工作日内在评审报告推荐的中标候选人中按顺序确定中标供应商。</w:t>
      </w:r>
      <w:r>
        <w:rPr>
          <w:rFonts w:hint="eastAsia" w:cs="宋体"/>
          <w:highlight w:val="none"/>
          <w:lang w:eastAsia="zh-CN"/>
        </w:rPr>
        <w:t>第一</w:t>
      </w:r>
      <w:r>
        <w:rPr>
          <w:rFonts w:hint="eastAsia" w:cs="宋体"/>
          <w:highlight w:val="none"/>
        </w:rPr>
        <w:t>中标候选人因不可抗力或者自身原因不能履行政府采购合同的，采购人</w:t>
      </w:r>
      <w:r>
        <w:rPr>
          <w:rFonts w:hint="eastAsia" w:cs="宋体"/>
          <w:highlight w:val="none"/>
          <w:lang w:eastAsia="zh-CN"/>
        </w:rPr>
        <w:t>可确定第二</w:t>
      </w:r>
      <w:r>
        <w:rPr>
          <w:rFonts w:hint="eastAsia" w:cs="宋体"/>
          <w:highlight w:val="none"/>
        </w:rPr>
        <w:t>中标候选人</w:t>
      </w:r>
      <w:r>
        <w:rPr>
          <w:rFonts w:hint="eastAsia" w:cs="宋体"/>
          <w:highlight w:val="none"/>
          <w:lang w:eastAsia="zh-CN"/>
        </w:rPr>
        <w:t>为</w:t>
      </w:r>
      <w:r>
        <w:rPr>
          <w:rFonts w:hint="eastAsia" w:cs="宋体"/>
          <w:highlight w:val="none"/>
        </w:rPr>
        <w:t>中标供应商</w:t>
      </w:r>
      <w:r>
        <w:rPr>
          <w:rFonts w:hint="eastAsia" w:cs="宋体"/>
          <w:highlight w:val="none"/>
          <w:lang w:eastAsia="zh-CN"/>
        </w:rPr>
        <w:t>，以此类推，也可以重新招标</w:t>
      </w:r>
      <w:r>
        <w:rPr>
          <w:rFonts w:hint="eastAsia" w:cs="宋体"/>
          <w:highlight w:val="none"/>
        </w:rPr>
        <w:t>。</w:t>
      </w:r>
    </w:p>
    <w:p>
      <w:pPr>
        <w:ind w:firstLine="482"/>
        <w:rPr>
          <w:rFonts w:hint="eastAsia" w:cs="宋体"/>
          <w:b/>
          <w:highlight w:val="none"/>
        </w:rPr>
      </w:pPr>
      <w:r>
        <w:rPr>
          <w:rFonts w:hint="eastAsia" w:cs="宋体"/>
          <w:b/>
          <w:highlight w:val="none"/>
        </w:rPr>
        <w:t>三、投标的澄清</w:t>
      </w:r>
    </w:p>
    <w:p>
      <w:pPr>
        <w:ind w:firstLine="480"/>
        <w:rPr>
          <w:rFonts w:hint="eastAsia" w:cs="宋体"/>
          <w:highlight w:val="none"/>
        </w:rPr>
      </w:pPr>
      <w:r>
        <w:rPr>
          <w:rFonts w:hint="eastAsia" w:cs="宋体"/>
          <w:highlight w:val="none"/>
        </w:rPr>
        <w:t>3.1对投标文件审查中发现的投标文件表达含义不明确、同类问题表述不一致或者有明显文字和计算错误的内容，评标委员会可通过询标，要求供应商做出澄清。供应商必须按照代理机构通知的时间、方式派技术和商务人员进行答疑和澄清。</w:t>
      </w:r>
    </w:p>
    <w:p>
      <w:pPr>
        <w:ind w:firstLine="480"/>
        <w:rPr>
          <w:rFonts w:hint="eastAsia" w:cs="宋体"/>
          <w:highlight w:val="none"/>
        </w:rPr>
      </w:pPr>
      <w:r>
        <w:rPr>
          <w:rFonts w:hint="eastAsia" w:cs="宋体"/>
          <w:highlight w:val="none"/>
        </w:rPr>
        <w:t>3.2供应商应对需要澄清的问题作书面回答，该书面回答应有盖章，书面澄清将作为投标内容的一部分。</w:t>
      </w:r>
    </w:p>
    <w:p>
      <w:pPr>
        <w:ind w:firstLine="480"/>
        <w:rPr>
          <w:rFonts w:hint="eastAsia" w:cs="宋体"/>
          <w:highlight w:val="none"/>
        </w:rPr>
      </w:pPr>
      <w:r>
        <w:rPr>
          <w:rFonts w:hint="eastAsia" w:cs="宋体"/>
          <w:highlight w:val="none"/>
        </w:rPr>
        <w:t>3.3供应商对投标文件的澄清不得超出投标文件的范围或改变投标价格等投标文件的实质性内容。</w:t>
      </w:r>
    </w:p>
    <w:p>
      <w:pPr>
        <w:ind w:firstLine="480"/>
        <w:rPr>
          <w:rFonts w:hint="eastAsia" w:cs="宋体"/>
          <w:highlight w:val="none"/>
        </w:rPr>
      </w:pPr>
      <w:r>
        <w:rPr>
          <w:rFonts w:hint="eastAsia" w:cs="宋体"/>
          <w:highlight w:val="none"/>
        </w:rPr>
        <w:t>3.4若供应商未响应澄清安排的通知进行答疑和澄清，将被视作自动放弃。</w:t>
      </w:r>
    </w:p>
    <w:p>
      <w:pPr>
        <w:spacing w:line="400" w:lineRule="exact"/>
        <w:ind w:firstLine="482"/>
        <w:rPr>
          <w:rFonts w:hint="eastAsia" w:cs="宋体"/>
          <w:b/>
          <w:szCs w:val="21"/>
          <w:highlight w:val="none"/>
        </w:rPr>
      </w:pPr>
      <w:r>
        <w:rPr>
          <w:rFonts w:hint="eastAsia" w:cs="宋体"/>
          <w:b/>
          <w:szCs w:val="21"/>
          <w:highlight w:val="none"/>
        </w:rPr>
        <w:t>附表1：</w:t>
      </w:r>
    </w:p>
    <w:p>
      <w:pPr>
        <w:spacing w:line="400" w:lineRule="exact"/>
        <w:ind w:firstLine="482"/>
        <w:jc w:val="center"/>
        <w:rPr>
          <w:rFonts w:hint="eastAsia" w:cs="宋体"/>
          <w:b/>
          <w:szCs w:val="21"/>
          <w:highlight w:val="none"/>
        </w:rPr>
      </w:pPr>
      <w:r>
        <w:rPr>
          <w:rFonts w:hint="eastAsia" w:cs="宋体"/>
          <w:b/>
          <w:szCs w:val="21"/>
          <w:highlight w:val="none"/>
        </w:rPr>
        <w:t>资格审查表</w:t>
      </w:r>
    </w:p>
    <w:tbl>
      <w:tblPr>
        <w:tblStyle w:val="46"/>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b/>
                <w:highlight w:val="none"/>
              </w:rPr>
            </w:pPr>
            <w:r>
              <w:rPr>
                <w:rFonts w:hint="eastAsia" w:cs="宋体"/>
                <w:b/>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b/>
                <w:highlight w:val="none"/>
              </w:rPr>
            </w:pPr>
            <w:r>
              <w:rPr>
                <w:rFonts w:hint="eastAsia" w:cs="宋体"/>
                <w:b/>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b/>
                <w:highlight w:val="none"/>
              </w:rPr>
            </w:pPr>
            <w:r>
              <w:rPr>
                <w:rFonts w:hint="eastAsia" w:cs="宋体"/>
                <w:b/>
                <w:highlight w:val="none"/>
              </w:rPr>
              <w:t>审查内容</w:t>
            </w:r>
          </w:p>
        </w:tc>
        <w:tc>
          <w:tcPr>
            <w:tcW w:w="570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b/>
                <w:highlight w:val="none"/>
              </w:rPr>
            </w:pPr>
            <w:r>
              <w:rPr>
                <w:rFonts w:hint="eastAsia" w:cs="宋体"/>
                <w:b/>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法定代表人授权书</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法定代表人授权书</w:t>
            </w:r>
          </w:p>
        </w:tc>
        <w:tc>
          <w:tcPr>
            <w:tcW w:w="570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left"/>
              <w:rPr>
                <w:rFonts w:hint="eastAsia" w:cs="宋体"/>
                <w:highlight w:val="none"/>
              </w:rPr>
            </w:pPr>
            <w:r>
              <w:rPr>
                <w:rFonts w:hint="eastAsia" w:cs="宋体"/>
                <w:highlight w:val="none"/>
              </w:rPr>
              <w:t>提供法定代表人授权委托书，格式以采购文件附件为准。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 xml:space="preserve">营业执照（副本）复印件 </w:t>
            </w:r>
          </w:p>
        </w:tc>
        <w:tc>
          <w:tcPr>
            <w:tcW w:w="570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left"/>
              <w:rPr>
                <w:rFonts w:hint="eastAsia" w:cs="宋体"/>
                <w:highlight w:val="none"/>
              </w:rPr>
            </w:pPr>
            <w:r>
              <w:rPr>
                <w:rFonts w:hint="eastAsia" w:cs="宋体"/>
                <w:highlight w:val="none"/>
              </w:rPr>
              <w:t>（1）如投标人是企业（包括合伙企业），提供在工商部门注册的有效“企业法人营业执照”或“营业执照”；</w:t>
            </w:r>
          </w:p>
          <w:p>
            <w:pPr>
              <w:spacing w:line="440" w:lineRule="exact"/>
              <w:ind w:firstLine="0" w:firstLineChars="0"/>
              <w:jc w:val="left"/>
              <w:rPr>
                <w:rFonts w:hint="eastAsia" w:cs="宋体"/>
                <w:highlight w:val="none"/>
              </w:rPr>
            </w:pPr>
            <w:r>
              <w:rPr>
                <w:rFonts w:hint="eastAsia" w:cs="宋体"/>
                <w:highlight w:val="none"/>
              </w:rPr>
              <w:t>（2）如投标人是事业单位，提供有效的“事业单位法人证书”；</w:t>
            </w:r>
          </w:p>
          <w:p>
            <w:pPr>
              <w:spacing w:line="440" w:lineRule="exact"/>
              <w:ind w:firstLine="0" w:firstLineChars="0"/>
              <w:jc w:val="left"/>
              <w:rPr>
                <w:rFonts w:hint="eastAsia" w:cs="宋体"/>
                <w:highlight w:val="none"/>
              </w:rPr>
            </w:pPr>
            <w:r>
              <w:rPr>
                <w:rFonts w:hint="eastAsia" w:cs="宋体"/>
                <w:highlight w:val="none"/>
              </w:rPr>
              <w:t>（3）如投标人是非企业专业服务机构的，提供执业许可证等证明文件；</w:t>
            </w:r>
          </w:p>
          <w:p>
            <w:pPr>
              <w:spacing w:line="440" w:lineRule="exact"/>
              <w:ind w:firstLine="0" w:firstLineChars="0"/>
              <w:jc w:val="left"/>
              <w:rPr>
                <w:rFonts w:hint="eastAsia" w:cs="宋体"/>
                <w:highlight w:val="none"/>
              </w:rPr>
            </w:pPr>
            <w:r>
              <w:rPr>
                <w:rFonts w:hint="eastAsia" w:cs="宋体"/>
                <w:highlight w:val="none"/>
              </w:rPr>
              <w:t>（4）如投标人是个体工商户，提供有效的“个体工商户营业执照”；</w:t>
            </w:r>
          </w:p>
          <w:p>
            <w:pPr>
              <w:spacing w:line="440" w:lineRule="exact"/>
              <w:ind w:firstLine="0" w:firstLineChars="0"/>
              <w:jc w:val="left"/>
              <w:rPr>
                <w:rFonts w:hint="eastAsia" w:cs="宋体"/>
                <w:highlight w:val="none"/>
              </w:rPr>
            </w:pPr>
            <w:r>
              <w:rPr>
                <w:rFonts w:hint="eastAsia" w:cs="宋体"/>
                <w:highlight w:val="none"/>
              </w:rPr>
              <w:t>（5）如投标人是自然人，提供有效的自然人身份证明。</w:t>
            </w:r>
          </w:p>
          <w:p>
            <w:pPr>
              <w:spacing w:line="440" w:lineRule="exact"/>
              <w:ind w:firstLine="0" w:firstLineChars="0"/>
              <w:jc w:val="left"/>
              <w:rPr>
                <w:rFonts w:hint="eastAsia" w:cs="宋体"/>
                <w:highlight w:val="none"/>
              </w:rPr>
            </w:pPr>
            <w:r>
              <w:rPr>
                <w:rFonts w:hint="eastAsia" w:cs="宋体"/>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具有良好的商业信誉和健全的财务会计制度</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上一年度财务报告</w:t>
            </w:r>
          </w:p>
        </w:tc>
        <w:tc>
          <w:tcPr>
            <w:tcW w:w="570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left"/>
              <w:rPr>
                <w:rFonts w:hint="eastAsia" w:cs="宋体"/>
                <w:highlight w:val="none"/>
              </w:rPr>
            </w:pPr>
            <w:r>
              <w:rPr>
                <w:rFonts w:hint="eastAsia"/>
                <w:szCs w:val="21"/>
                <w:highlight w:val="none"/>
              </w:rPr>
              <w:t>提供</w:t>
            </w:r>
            <w:r>
              <w:rPr>
                <w:rFonts w:hint="eastAsia"/>
                <w:szCs w:val="21"/>
                <w:highlight w:val="none"/>
                <w:lang w:eastAsia="zh-CN"/>
              </w:rPr>
              <w:t>202</w:t>
            </w:r>
            <w:r>
              <w:rPr>
                <w:rFonts w:hint="eastAsia"/>
                <w:szCs w:val="21"/>
                <w:highlight w:val="none"/>
                <w:lang w:val="en-US" w:eastAsia="zh-CN"/>
              </w:rPr>
              <w:t>0</w:t>
            </w:r>
            <w:r>
              <w:rPr>
                <w:rFonts w:hint="eastAsia"/>
                <w:szCs w:val="21"/>
                <w:highlight w:val="none"/>
              </w:rPr>
              <w:t>年度财务会计报表复印件加盖供应商公章（供应商注册成立不足一年的，应提供投标截止时间前一个月的财务会计报表）</w:t>
            </w:r>
            <w:r>
              <w:rPr>
                <w:rFonts w:hint="eastAsia" w:ascii="宋体" w:hAnsi="宋体" w:eastAsia="宋体" w:cs="宋体"/>
                <w:color w:val="auto"/>
                <w:highlight w:val="none"/>
                <w:lang w:val="en-US" w:eastAsia="zh-CN"/>
              </w:rPr>
              <w:t>或开标前三个月内出具的银行资信证明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具有履行合同所必需的设备和专业技术能力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承诺函</w:t>
            </w:r>
          </w:p>
        </w:tc>
        <w:tc>
          <w:tcPr>
            <w:tcW w:w="570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left"/>
              <w:rPr>
                <w:rFonts w:hint="eastAsia" w:cs="宋体"/>
                <w:highlight w:val="none"/>
              </w:rPr>
            </w:pPr>
            <w:r>
              <w:rPr>
                <w:rFonts w:hint="eastAsia" w:cs="宋体"/>
                <w:highlight w:val="none"/>
              </w:rPr>
              <w:t>提供承诺函，格式附后。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有依法缴纳税收和社会保障资金的良好记录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纳税证明复印件、社保缴纳证明复印件</w:t>
            </w:r>
          </w:p>
        </w:tc>
        <w:tc>
          <w:tcPr>
            <w:tcW w:w="570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left"/>
              <w:rPr>
                <w:rFonts w:hint="eastAsia" w:cs="宋体"/>
                <w:highlight w:val="none"/>
              </w:rPr>
            </w:pPr>
            <w:r>
              <w:rPr>
                <w:rFonts w:hint="eastAsia" w:cs="宋体"/>
                <w:highlight w:val="none"/>
              </w:rPr>
              <w:t>（1）最近六个月任意一月依法缴纳税收的证明材料指投标人参加政府采购活动前最近六个月任意一月内依法缴纳税收的凭据（完税证明或纳税证明或银行电子缴税付款凭证等）；</w:t>
            </w:r>
          </w:p>
          <w:p>
            <w:pPr>
              <w:spacing w:line="440" w:lineRule="exact"/>
              <w:ind w:firstLine="0" w:firstLineChars="0"/>
              <w:jc w:val="left"/>
              <w:rPr>
                <w:rFonts w:hint="eastAsia" w:cs="宋体"/>
                <w:highlight w:val="none"/>
              </w:rPr>
            </w:pPr>
            <w:r>
              <w:rPr>
                <w:rFonts w:hint="eastAsia" w:cs="宋体"/>
                <w:highlight w:val="none"/>
              </w:rPr>
              <w:t>（2）依法免税的投标人，应提供相应文件证明其依法免税；</w:t>
            </w:r>
          </w:p>
          <w:p>
            <w:pPr>
              <w:spacing w:line="440" w:lineRule="exact"/>
              <w:ind w:firstLine="0" w:firstLineChars="0"/>
              <w:jc w:val="left"/>
              <w:rPr>
                <w:rFonts w:hint="eastAsia" w:cs="宋体"/>
                <w:highlight w:val="none"/>
              </w:rPr>
            </w:pPr>
            <w:r>
              <w:rPr>
                <w:rFonts w:hint="eastAsia" w:cs="宋体"/>
                <w:highlight w:val="none"/>
              </w:rPr>
              <w:t>（3）最近六个月任意一月依法缴纳社会保障资金的证明材料指投标人参加政府采购活动前最近六个月任意一月内依法缴纳社会保险的凭据（社保缴费专用收据或银行电子缴税付款凭证或社会保险缴纳清单等）；</w:t>
            </w:r>
          </w:p>
          <w:p>
            <w:pPr>
              <w:spacing w:line="440" w:lineRule="exact"/>
              <w:ind w:firstLine="0" w:firstLineChars="0"/>
              <w:jc w:val="left"/>
              <w:rPr>
                <w:rFonts w:hint="eastAsia" w:cs="宋体"/>
                <w:highlight w:val="none"/>
              </w:rPr>
            </w:pPr>
            <w:r>
              <w:rPr>
                <w:rFonts w:hint="eastAsia" w:cs="宋体"/>
                <w:highlight w:val="none"/>
              </w:rPr>
              <w:t>（4）依法不需要缴纳社会保障资金的投标人，应提供相应文件证明其依法不需要缴纳社会保障资金；</w:t>
            </w:r>
          </w:p>
          <w:p>
            <w:pPr>
              <w:spacing w:line="440" w:lineRule="exact"/>
              <w:ind w:firstLine="0" w:firstLineChars="0"/>
              <w:jc w:val="left"/>
              <w:rPr>
                <w:rFonts w:hint="eastAsia" w:cs="宋体"/>
                <w:highlight w:val="none"/>
              </w:rPr>
            </w:pPr>
            <w:r>
              <w:rPr>
                <w:rFonts w:hint="eastAsia" w:cs="宋体"/>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6</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参加政府采购活动前三年内，在经营活动中没有重大违法记录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投标人在《无重大违法记录声明函》中承诺参加政府采购活动前三年内，在经营活动中无重大违法记录书面声明</w:t>
            </w:r>
          </w:p>
        </w:tc>
        <w:tc>
          <w:tcPr>
            <w:tcW w:w="570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left"/>
              <w:rPr>
                <w:rFonts w:hint="eastAsia" w:cs="宋体"/>
                <w:highlight w:val="none"/>
              </w:rPr>
            </w:pPr>
            <w:r>
              <w:rPr>
                <w:rFonts w:hint="eastAsia" w:cs="宋体"/>
                <w:highlight w:val="none"/>
              </w:rPr>
              <w:t>提供《无重大违法记录声明函》，格式以采购文件附件为准。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7</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cs="宋体"/>
                <w:highlight w:val="none"/>
              </w:rPr>
            </w:pPr>
            <w:r>
              <w:rPr>
                <w:rFonts w:hint="eastAsia" w:cs="宋体"/>
                <w:highlight w:val="none"/>
              </w:rPr>
              <w:t>投标人“信用中国”网站（www.creditchina.gov.cn）、中国政府采购网（www.ccgp.gov.cn）信用记录情况无不良记录。</w:t>
            </w:r>
          </w:p>
        </w:tc>
        <w:tc>
          <w:tcPr>
            <w:tcW w:w="570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left"/>
              <w:rPr>
                <w:rFonts w:hint="eastAsia" w:cs="宋体"/>
                <w:highlight w:val="none"/>
              </w:rPr>
            </w:pPr>
            <w:r>
              <w:rPr>
                <w:rFonts w:hint="eastAsia" w:cs="宋体"/>
                <w:highlight w:val="none"/>
              </w:rPr>
              <w:t>开标当日为准对投标人“信用中国”网站（www.creditchina.gov.cn）、中国政府采购网（www.ccgp.gov.cn）信用记录情况进行核实，未被列入失信被执行人、重大税收违法案件当事人名单、政府采购严重违法失信行为记录名单。</w:t>
            </w:r>
          </w:p>
        </w:tc>
      </w:tr>
    </w:tbl>
    <w:p>
      <w:pPr>
        <w:spacing w:line="400" w:lineRule="exact"/>
        <w:ind w:firstLine="482"/>
        <w:rPr>
          <w:rFonts w:hint="eastAsia" w:cs="宋体"/>
          <w:b/>
          <w:bCs/>
          <w:highlight w:val="none"/>
        </w:rPr>
      </w:pPr>
      <w:r>
        <w:rPr>
          <w:rFonts w:hint="eastAsia" w:cs="宋体"/>
          <w:b/>
          <w:highlight w:val="none"/>
        </w:rPr>
        <w:t>注：</w:t>
      </w:r>
      <w:r>
        <w:rPr>
          <w:rFonts w:hint="eastAsia" w:cs="宋体"/>
          <w:b/>
          <w:bCs/>
          <w:highlight w:val="none"/>
        </w:rPr>
        <w:t>1、上述资格证明文件未按招标文件要求附入投标文件中的，资格性审查不合格。</w:t>
      </w:r>
    </w:p>
    <w:p>
      <w:pPr>
        <w:spacing w:line="400" w:lineRule="exact"/>
        <w:ind w:firstLine="482"/>
        <w:rPr>
          <w:rFonts w:hint="eastAsia" w:cs="宋体"/>
          <w:b/>
          <w:bCs/>
          <w:highlight w:val="none"/>
        </w:rPr>
      </w:pPr>
      <w:r>
        <w:rPr>
          <w:rFonts w:hint="eastAsia" w:cs="宋体"/>
          <w:b/>
          <w:bCs/>
          <w:highlight w:val="none"/>
        </w:rPr>
        <w:t>2、上述审查项目中，任意一项不符合的，资格性审查不合格。</w:t>
      </w:r>
    </w:p>
    <w:p>
      <w:pPr>
        <w:spacing w:line="400" w:lineRule="exact"/>
        <w:ind w:firstLine="482"/>
        <w:rPr>
          <w:rFonts w:hint="eastAsia" w:cs="宋体"/>
          <w:b/>
          <w:bCs/>
          <w:highlight w:val="none"/>
        </w:rPr>
      </w:pPr>
      <w:r>
        <w:rPr>
          <w:rFonts w:hint="eastAsia" w:cs="宋体"/>
          <w:b/>
          <w:bCs/>
          <w:highlight w:val="none"/>
        </w:rPr>
        <w:t>3、供应商注册成立不足一年的，应提供供应商单位成立至今的财务会计报表、缴纳税收的证明资料、缴纳社保的证明资料复印件加盖供应商公章。</w:t>
      </w:r>
    </w:p>
    <w:p>
      <w:pPr>
        <w:spacing w:line="400" w:lineRule="exact"/>
        <w:ind w:firstLine="482"/>
        <w:rPr>
          <w:rFonts w:hint="eastAsia" w:cs="宋体"/>
          <w:b/>
          <w:highlight w:val="none"/>
        </w:rPr>
      </w:pPr>
      <w:r>
        <w:rPr>
          <w:rFonts w:hint="eastAsia" w:cs="宋体"/>
          <w:b/>
          <w:bCs/>
          <w:highlight w:val="none"/>
        </w:rPr>
        <w:t>4、依法免税或不需要缴纳社保的供应商，应提供相应文件证明其依法免税或不需要缴纳社保。</w:t>
      </w:r>
    </w:p>
    <w:p>
      <w:pPr>
        <w:spacing w:line="400" w:lineRule="exact"/>
        <w:ind w:firstLine="482"/>
        <w:rPr>
          <w:rFonts w:hint="eastAsia" w:cs="宋体"/>
          <w:b/>
          <w:szCs w:val="21"/>
          <w:highlight w:val="none"/>
        </w:rPr>
      </w:pPr>
      <w:r>
        <w:rPr>
          <w:rFonts w:hint="eastAsia" w:cs="宋体"/>
          <w:b/>
          <w:szCs w:val="21"/>
          <w:highlight w:val="none"/>
        </w:rPr>
        <w:t>附表2：</w:t>
      </w:r>
    </w:p>
    <w:p>
      <w:pPr>
        <w:spacing w:line="400" w:lineRule="exact"/>
        <w:ind w:firstLine="482"/>
        <w:jc w:val="center"/>
        <w:rPr>
          <w:rFonts w:hint="eastAsia" w:cs="宋体"/>
          <w:b/>
          <w:szCs w:val="21"/>
          <w:highlight w:val="none"/>
        </w:rPr>
      </w:pPr>
      <w:r>
        <w:rPr>
          <w:rFonts w:hint="eastAsia" w:cs="宋体"/>
          <w:b/>
          <w:szCs w:val="21"/>
          <w:highlight w:val="none"/>
        </w:rPr>
        <w:t>符合性审查表</w:t>
      </w:r>
    </w:p>
    <w:tbl>
      <w:tblPr>
        <w:tblStyle w:val="46"/>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jc w:val="center"/>
              <w:rPr>
                <w:rFonts w:cs="宋体"/>
                <w:b/>
                <w:color w:val="auto"/>
                <w:szCs w:val="21"/>
              </w:rPr>
            </w:pPr>
            <w:r>
              <w:rPr>
                <w:rFonts w:hint="eastAsia" w:cs="宋体"/>
                <w:b/>
                <w:color w:val="auto"/>
                <w:szCs w:val="21"/>
              </w:rPr>
              <w:t>序号</w:t>
            </w:r>
          </w:p>
        </w:tc>
        <w:tc>
          <w:tcPr>
            <w:tcW w:w="2174" w:type="dxa"/>
          </w:tcPr>
          <w:p>
            <w:pPr>
              <w:spacing w:line="400" w:lineRule="exact"/>
              <w:ind w:firstLine="0" w:firstLineChars="0"/>
              <w:jc w:val="center"/>
              <w:rPr>
                <w:rFonts w:cs="宋体"/>
                <w:b/>
                <w:color w:val="auto"/>
                <w:szCs w:val="21"/>
              </w:rPr>
            </w:pPr>
            <w:r>
              <w:rPr>
                <w:rFonts w:hint="eastAsia" w:cs="宋体"/>
                <w:b/>
                <w:color w:val="auto"/>
                <w:szCs w:val="21"/>
              </w:rPr>
              <w:t>审查项目</w:t>
            </w:r>
          </w:p>
        </w:tc>
        <w:tc>
          <w:tcPr>
            <w:tcW w:w="6521" w:type="dxa"/>
          </w:tcPr>
          <w:p>
            <w:pPr>
              <w:spacing w:line="400" w:lineRule="exact"/>
              <w:ind w:firstLine="0" w:firstLineChars="0"/>
              <w:jc w:val="center"/>
              <w:rPr>
                <w:rFonts w:cs="宋体"/>
                <w:b/>
                <w:color w:val="auto"/>
                <w:szCs w:val="21"/>
              </w:rPr>
            </w:pPr>
            <w:r>
              <w:rPr>
                <w:rFonts w:hint="eastAsia" w:cs="宋体"/>
                <w:b/>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cs="宋体"/>
                <w:color w:val="auto"/>
                <w:szCs w:val="21"/>
              </w:rPr>
            </w:pPr>
            <w:r>
              <w:rPr>
                <w:rFonts w:hint="eastAsia" w:cs="宋体"/>
                <w:color w:val="auto"/>
                <w:szCs w:val="21"/>
              </w:rPr>
              <w:t>1</w:t>
            </w:r>
          </w:p>
        </w:tc>
        <w:tc>
          <w:tcPr>
            <w:tcW w:w="2174" w:type="dxa"/>
            <w:vAlign w:val="center"/>
          </w:tcPr>
          <w:p>
            <w:pPr>
              <w:spacing w:line="400" w:lineRule="exact"/>
              <w:ind w:firstLine="0" w:firstLineChars="0"/>
              <w:jc w:val="center"/>
              <w:rPr>
                <w:rFonts w:cs="宋体"/>
                <w:color w:val="auto"/>
                <w:szCs w:val="21"/>
              </w:rPr>
            </w:pPr>
            <w:r>
              <w:rPr>
                <w:rFonts w:hint="eastAsia" w:cs="宋体"/>
                <w:color w:val="auto"/>
                <w:szCs w:val="21"/>
              </w:rPr>
              <w:t>投标文件的签署盖章</w:t>
            </w:r>
          </w:p>
        </w:tc>
        <w:tc>
          <w:tcPr>
            <w:tcW w:w="6521" w:type="dxa"/>
            <w:vAlign w:val="center"/>
          </w:tcPr>
          <w:p>
            <w:pPr>
              <w:spacing w:line="400" w:lineRule="exact"/>
              <w:ind w:firstLine="0" w:firstLineChars="0"/>
              <w:rPr>
                <w:rFonts w:cs="宋体"/>
                <w:color w:val="auto"/>
                <w:szCs w:val="21"/>
              </w:rPr>
            </w:pPr>
            <w:r>
              <w:rPr>
                <w:rFonts w:hint="eastAsia" w:cs="宋体"/>
                <w:color w:val="auto"/>
              </w:rPr>
              <w:t>按采购文件规定签字或盖章的</w:t>
            </w:r>
            <w:r>
              <w:rPr>
                <w:rFonts w:hint="eastAsia"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400" w:lineRule="exact"/>
              <w:ind w:firstLine="0" w:firstLineChars="0"/>
              <w:jc w:val="center"/>
              <w:rPr>
                <w:rFonts w:cs="宋体"/>
                <w:color w:val="auto"/>
                <w:szCs w:val="21"/>
              </w:rPr>
            </w:pPr>
            <w:r>
              <w:rPr>
                <w:rFonts w:hint="eastAsia" w:cs="宋体"/>
                <w:color w:val="auto"/>
                <w:szCs w:val="21"/>
              </w:rPr>
              <w:t>2</w:t>
            </w:r>
          </w:p>
        </w:tc>
        <w:tc>
          <w:tcPr>
            <w:tcW w:w="2174" w:type="dxa"/>
            <w:vAlign w:val="center"/>
          </w:tcPr>
          <w:p>
            <w:pPr>
              <w:spacing w:line="400" w:lineRule="exact"/>
              <w:ind w:firstLine="0" w:firstLineChars="0"/>
              <w:jc w:val="center"/>
              <w:rPr>
                <w:rFonts w:cs="宋体"/>
                <w:color w:val="auto"/>
                <w:szCs w:val="21"/>
              </w:rPr>
            </w:pPr>
            <w:r>
              <w:rPr>
                <w:rFonts w:hint="eastAsia" w:cs="宋体"/>
                <w:color w:val="auto"/>
                <w:lang w:bidi="ar"/>
              </w:rPr>
              <w:t>实质性条款响应</w:t>
            </w:r>
          </w:p>
        </w:tc>
        <w:tc>
          <w:tcPr>
            <w:tcW w:w="6521" w:type="dxa"/>
            <w:vAlign w:val="center"/>
          </w:tcPr>
          <w:p>
            <w:pPr>
              <w:ind w:firstLine="0" w:firstLineChars="0"/>
              <w:rPr>
                <w:rFonts w:cs="宋体"/>
                <w:color w:val="auto"/>
                <w:szCs w:val="21"/>
              </w:rPr>
            </w:pPr>
            <w:r>
              <w:rPr>
                <w:rFonts w:hint="eastAsia" w:cs="宋体"/>
                <w:color w:val="auto"/>
                <w:lang w:bidi="ar"/>
              </w:rPr>
              <w:t>投标文件完全满足招标文件的实质性条款（即标注</w:t>
            </w:r>
            <w:r>
              <w:rPr>
                <w:rFonts w:hint="eastAsia" w:cs="宋体"/>
                <w:color w:val="auto"/>
                <w:szCs w:val="21"/>
                <w:lang w:bidi="ar"/>
              </w:rPr>
              <w:t>★</w:t>
            </w:r>
            <w:r>
              <w:rPr>
                <w:rFonts w:hint="eastAsia" w:cs="宋体"/>
                <w:color w:val="auto"/>
                <w:lang w:bidi="ar"/>
              </w:rPr>
              <w:t>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cs="宋体"/>
                <w:color w:val="auto"/>
                <w:szCs w:val="21"/>
              </w:rPr>
            </w:pPr>
            <w:r>
              <w:rPr>
                <w:rFonts w:hint="eastAsia" w:cs="宋体"/>
                <w:color w:val="auto"/>
                <w:szCs w:val="21"/>
              </w:rPr>
              <w:t>3</w:t>
            </w:r>
          </w:p>
        </w:tc>
        <w:tc>
          <w:tcPr>
            <w:tcW w:w="2174" w:type="dxa"/>
            <w:vAlign w:val="center"/>
          </w:tcPr>
          <w:p>
            <w:pPr>
              <w:spacing w:line="400" w:lineRule="exact"/>
              <w:ind w:firstLine="0" w:firstLineChars="0"/>
              <w:jc w:val="center"/>
              <w:rPr>
                <w:rFonts w:cs="宋体"/>
                <w:color w:val="auto"/>
                <w:szCs w:val="21"/>
              </w:rPr>
            </w:pPr>
            <w:r>
              <w:rPr>
                <w:rFonts w:hint="eastAsia" w:cs="宋体"/>
                <w:color w:val="auto"/>
                <w:lang w:bidi="ar"/>
              </w:rPr>
              <w:t>法定代表人</w:t>
            </w:r>
            <w:r>
              <w:rPr>
                <w:rFonts w:hint="eastAsia" w:cs="宋体"/>
                <w:color w:val="auto"/>
                <w:szCs w:val="21"/>
              </w:rPr>
              <w:t>授权书</w:t>
            </w:r>
          </w:p>
        </w:tc>
        <w:tc>
          <w:tcPr>
            <w:tcW w:w="6521" w:type="dxa"/>
            <w:vAlign w:val="center"/>
          </w:tcPr>
          <w:p>
            <w:pPr>
              <w:ind w:firstLine="0" w:firstLineChars="0"/>
              <w:rPr>
                <w:rFonts w:cs="宋体"/>
                <w:color w:val="auto"/>
                <w:szCs w:val="21"/>
              </w:rPr>
            </w:pPr>
            <w:r>
              <w:rPr>
                <w:rFonts w:hint="eastAsia" w:cs="宋体"/>
                <w:color w:val="auto"/>
                <w:lang w:bidi="ar"/>
              </w:rPr>
              <w:t>提供有效的法定代表人证明书/法定代表人授权委托书。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400" w:lineRule="exact"/>
              <w:ind w:firstLine="0" w:firstLineChars="0"/>
              <w:jc w:val="center"/>
              <w:rPr>
                <w:rFonts w:cs="宋体"/>
                <w:color w:val="auto"/>
                <w:szCs w:val="21"/>
              </w:rPr>
            </w:pPr>
            <w:r>
              <w:rPr>
                <w:rFonts w:hint="eastAsia" w:cs="宋体"/>
                <w:color w:val="auto"/>
                <w:szCs w:val="21"/>
              </w:rPr>
              <w:t>4</w:t>
            </w:r>
          </w:p>
        </w:tc>
        <w:tc>
          <w:tcPr>
            <w:tcW w:w="2174" w:type="dxa"/>
            <w:vAlign w:val="center"/>
          </w:tcPr>
          <w:p>
            <w:pPr>
              <w:spacing w:line="400" w:lineRule="exact"/>
              <w:ind w:firstLine="0" w:firstLineChars="0"/>
              <w:jc w:val="center"/>
              <w:rPr>
                <w:rFonts w:cs="宋体"/>
                <w:color w:val="auto"/>
                <w:szCs w:val="21"/>
              </w:rPr>
            </w:pPr>
            <w:r>
              <w:rPr>
                <w:rFonts w:hint="eastAsia" w:cs="宋体"/>
                <w:color w:val="auto"/>
                <w:szCs w:val="21"/>
              </w:rPr>
              <w:t>无效投标条款响应</w:t>
            </w:r>
          </w:p>
        </w:tc>
        <w:tc>
          <w:tcPr>
            <w:tcW w:w="6521" w:type="dxa"/>
            <w:vAlign w:val="center"/>
          </w:tcPr>
          <w:p>
            <w:pPr>
              <w:ind w:firstLine="0" w:firstLineChars="0"/>
              <w:rPr>
                <w:rFonts w:cs="宋体"/>
                <w:color w:val="auto"/>
                <w:szCs w:val="21"/>
              </w:rPr>
            </w:pPr>
            <w:r>
              <w:rPr>
                <w:rFonts w:hint="eastAsia" w:cs="宋体"/>
                <w:color w:val="auto"/>
                <w:lang w:bidi="ar"/>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cs="宋体"/>
                <w:color w:val="auto"/>
                <w:szCs w:val="21"/>
              </w:rPr>
            </w:pPr>
            <w:r>
              <w:rPr>
                <w:rFonts w:hint="eastAsia" w:cs="宋体"/>
                <w:color w:val="auto"/>
                <w:szCs w:val="21"/>
              </w:rPr>
              <w:t>5</w:t>
            </w:r>
          </w:p>
        </w:tc>
        <w:tc>
          <w:tcPr>
            <w:tcW w:w="2174" w:type="dxa"/>
            <w:vAlign w:val="center"/>
          </w:tcPr>
          <w:p>
            <w:pPr>
              <w:spacing w:line="400" w:lineRule="exact"/>
              <w:ind w:firstLine="0" w:firstLineChars="0"/>
              <w:jc w:val="center"/>
              <w:rPr>
                <w:rFonts w:cs="宋体"/>
                <w:color w:val="auto"/>
                <w:szCs w:val="21"/>
              </w:rPr>
            </w:pPr>
            <w:r>
              <w:rPr>
                <w:rFonts w:hint="eastAsia" w:cs="宋体"/>
                <w:color w:val="auto"/>
                <w:szCs w:val="21"/>
              </w:rPr>
              <w:t>其他</w:t>
            </w:r>
          </w:p>
        </w:tc>
        <w:tc>
          <w:tcPr>
            <w:tcW w:w="6521" w:type="dxa"/>
            <w:vAlign w:val="center"/>
          </w:tcPr>
          <w:p>
            <w:pPr>
              <w:ind w:firstLine="0" w:firstLineChars="0"/>
              <w:rPr>
                <w:rFonts w:cs="宋体"/>
                <w:color w:val="auto"/>
              </w:rPr>
            </w:pPr>
            <w:r>
              <w:rPr>
                <w:rFonts w:hint="eastAsia" w:cs="宋体"/>
                <w:color w:val="auto"/>
              </w:rPr>
              <w:t>投标供应商无虚假应标、串通投标的情形。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cs="宋体"/>
                <w:color w:val="auto"/>
                <w:szCs w:val="21"/>
              </w:rPr>
            </w:pPr>
            <w:r>
              <w:rPr>
                <w:rFonts w:hint="eastAsia" w:cs="宋体"/>
                <w:color w:val="auto"/>
                <w:szCs w:val="21"/>
              </w:rPr>
              <w:t>6</w:t>
            </w:r>
          </w:p>
        </w:tc>
        <w:tc>
          <w:tcPr>
            <w:tcW w:w="2174" w:type="dxa"/>
            <w:vAlign w:val="center"/>
          </w:tcPr>
          <w:p>
            <w:pPr>
              <w:spacing w:line="400" w:lineRule="exact"/>
              <w:ind w:firstLine="0" w:firstLineChars="0"/>
              <w:jc w:val="center"/>
              <w:rPr>
                <w:rFonts w:cs="宋体"/>
                <w:color w:val="auto"/>
                <w:szCs w:val="21"/>
              </w:rPr>
            </w:pPr>
            <w:r>
              <w:rPr>
                <w:rFonts w:hint="eastAsia" w:cs="宋体"/>
                <w:color w:val="auto"/>
                <w:szCs w:val="21"/>
              </w:rPr>
              <w:t>其他</w:t>
            </w:r>
          </w:p>
        </w:tc>
        <w:tc>
          <w:tcPr>
            <w:tcW w:w="6521" w:type="dxa"/>
            <w:vAlign w:val="center"/>
          </w:tcPr>
          <w:p>
            <w:pPr>
              <w:ind w:firstLine="0" w:firstLineChars="0"/>
              <w:rPr>
                <w:rFonts w:cs="宋体"/>
                <w:color w:val="auto"/>
                <w:szCs w:val="21"/>
              </w:rPr>
            </w:pPr>
            <w:r>
              <w:rPr>
                <w:rFonts w:hint="eastAsia" w:cs="宋体"/>
                <w:color w:val="auto"/>
                <w:lang w:bidi="ar"/>
              </w:rPr>
              <w:t>按有关法律、法规、规章不属于投标无效的。</w:t>
            </w:r>
          </w:p>
        </w:tc>
      </w:tr>
    </w:tbl>
    <w:p>
      <w:pPr>
        <w:pStyle w:val="27"/>
        <w:tabs>
          <w:tab w:val="left" w:pos="0"/>
          <w:tab w:val="left" w:pos="1260"/>
          <w:tab w:val="left" w:pos="1365"/>
        </w:tabs>
        <w:ind w:firstLine="482"/>
        <w:rPr>
          <w:rFonts w:hint="eastAsia" w:cs="宋体"/>
          <w:highlight w:val="none"/>
        </w:rPr>
      </w:pPr>
      <w:r>
        <w:rPr>
          <w:rFonts w:hint="eastAsia" w:cs="宋体"/>
          <w:b/>
          <w:highlight w:val="none"/>
        </w:rPr>
        <w:t>注：1、上述审查项目中，任意一项不符合的，符合性审查不合格。</w:t>
      </w:r>
    </w:p>
    <w:p>
      <w:pPr>
        <w:spacing w:line="500" w:lineRule="exact"/>
        <w:ind w:firstLine="482"/>
        <w:rPr>
          <w:rFonts w:hint="eastAsia" w:cs="宋体"/>
          <w:b/>
          <w:highlight w:val="none"/>
        </w:rPr>
      </w:pPr>
      <w:r>
        <w:rPr>
          <w:rFonts w:hint="eastAsia" w:cs="宋体"/>
          <w:b/>
          <w:highlight w:val="none"/>
        </w:rPr>
        <w:t>附表3：</w:t>
      </w:r>
    </w:p>
    <w:bookmarkEnd w:id="144"/>
    <w:bookmarkEnd w:id="145"/>
    <w:bookmarkEnd w:id="146"/>
    <w:p>
      <w:pPr>
        <w:ind w:firstLine="482"/>
        <w:rPr>
          <w:rFonts w:hint="eastAsia" w:cs="宋体"/>
          <w:b/>
          <w:bCs/>
        </w:rPr>
      </w:pPr>
      <w:r>
        <w:rPr>
          <w:rFonts w:hint="eastAsia" w:cs="宋体"/>
          <w:b/>
          <w:bCs/>
        </w:rPr>
        <w:t>1.投标人如为小型或微型企业并提交相关证明材料且所投产品为小型或微型企业制造的，其小型或微型企业部分的投标报价扣除6%后参与评审；</w:t>
      </w:r>
    </w:p>
    <w:p>
      <w:pPr>
        <w:ind w:firstLine="482"/>
        <w:rPr>
          <w:rFonts w:hint="eastAsia" w:cs="宋体"/>
          <w:b/>
          <w:bCs/>
        </w:rPr>
      </w:pPr>
      <w:r>
        <w:rPr>
          <w:rFonts w:hint="eastAsia" w:cs="宋体"/>
          <w:b/>
          <w:bCs/>
        </w:rPr>
        <w:t>2.投标人如为监狱企业并提交相关证明材料且所投产品为小型或微型企业制造的，其小型或微型企业部分的投标报价扣除6%后参与评审；</w:t>
      </w:r>
    </w:p>
    <w:p>
      <w:pPr>
        <w:ind w:firstLine="482"/>
        <w:rPr>
          <w:rFonts w:hint="eastAsia" w:cs="宋体"/>
          <w:b/>
          <w:bCs/>
        </w:rPr>
      </w:pPr>
      <w:r>
        <w:rPr>
          <w:rFonts w:hint="eastAsia" w:cs="宋体"/>
          <w:b/>
          <w:bCs/>
        </w:rPr>
        <w:t>3.投标人如为残疾人福利性单位并提交《残疾人福利性单位声明函》且所投产品为本企业或其他残疾人福利性单位制造的，其残疾人福利性单位部分的投标报价扣除6%后参与评审；</w:t>
      </w:r>
    </w:p>
    <w:p>
      <w:pPr>
        <w:ind w:firstLine="482"/>
        <w:rPr>
          <w:rFonts w:hint="eastAsia" w:cs="宋体"/>
          <w:b/>
          <w:bCs/>
        </w:rPr>
      </w:pPr>
      <w:r>
        <w:rPr>
          <w:rFonts w:hint="eastAsia" w:cs="宋体"/>
          <w:b/>
          <w:bCs/>
        </w:rPr>
        <w:t>4.残疾人福利性单位属于小型、微型企业的，不重复享受政策。</w:t>
      </w:r>
    </w:p>
    <w:tbl>
      <w:tblPr>
        <w:tblStyle w:val="46"/>
        <w:tblW w:w="9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851"/>
        <w:gridCol w:w="7805"/>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9240" w:type="dxa"/>
            <w:gridSpan w:val="3"/>
            <w:tcBorders>
              <w:top w:val="double" w:color="auto" w:sz="4" w:space="0"/>
              <w:left w:val="double" w:color="auto" w:sz="4" w:space="0"/>
              <w:bottom w:val="single" w:color="auto" w:sz="4" w:space="0"/>
              <w:right w:val="single" w:color="auto" w:sz="4" w:space="0"/>
              <w:tl2br w:val="single" w:color="000000" w:sz="4" w:space="0"/>
            </w:tcBorders>
          </w:tcPr>
          <w:p>
            <w:pPr>
              <w:ind w:right="420" w:firstLine="4410" w:firstLineChars="2100"/>
              <w:rPr>
                <w:rFonts w:ascii="宋体" w:hAnsi="宋体"/>
                <w:szCs w:val="21"/>
              </w:rPr>
            </w:pPr>
            <w:r>
              <w:rPr>
                <w:rFonts w:hint="eastAsia" w:ascii="宋体" w:hAnsi="宋体"/>
                <w:szCs w:val="21"/>
              </w:rPr>
              <w:t>投标单位</w:t>
            </w:r>
          </w:p>
          <w:p>
            <w:pPr>
              <w:spacing w:line="280" w:lineRule="exact"/>
              <w:ind w:left="0" w:leftChars="0" w:firstLine="0" w:firstLineChars="0"/>
              <w:rPr>
                <w:rFonts w:ascii="宋体" w:hAnsi="宋体"/>
                <w:szCs w:val="21"/>
                <w:lang w:val="ru-RU"/>
              </w:rPr>
            </w:pPr>
            <w:r>
              <w:rPr>
                <w:rFonts w:hint="eastAsia" w:ascii="宋体" w:hAnsi="宋体"/>
                <w:szCs w:val="21"/>
              </w:rPr>
              <w:t>分值</w:t>
            </w:r>
          </w:p>
        </w:tc>
        <w:tc>
          <w:tcPr>
            <w:tcW w:w="659" w:type="dxa"/>
            <w:tcBorders>
              <w:top w:val="double" w:color="auto" w:sz="4" w:space="0"/>
              <w:left w:val="single" w:color="auto" w:sz="4" w:space="0"/>
              <w:bottom w:val="single" w:color="auto" w:sz="4" w:space="0"/>
              <w:right w:val="double" w:color="auto" w:sz="4" w:space="0"/>
            </w:tcBorders>
            <w:vAlign w:val="center"/>
          </w:tcPr>
          <w:p>
            <w:pPr>
              <w:spacing w:line="280" w:lineRule="exact"/>
              <w:ind w:left="0" w:leftChars="0" w:firstLine="0" w:firstLineChars="0"/>
              <w:jc w:val="center"/>
              <w:rPr>
                <w:rFonts w:hint="eastAsia" w:ascii="宋体" w:hAnsi="宋体"/>
                <w:szCs w:val="21"/>
                <w:lang w:val="ru-RU"/>
              </w:rPr>
            </w:pPr>
            <w:r>
              <w:rPr>
                <w:rFonts w:hint="eastAsia" w:ascii="宋体" w:hAnsi="宋体"/>
                <w:szCs w:val="21"/>
                <w:lang w:val="ru-RU"/>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240" w:type="dxa"/>
            <w:gridSpan w:val="3"/>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b/>
                <w:szCs w:val="21"/>
              </w:rPr>
              <w:t>总分100分</w:t>
            </w:r>
          </w:p>
        </w:tc>
        <w:tc>
          <w:tcPr>
            <w:tcW w:w="659"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firstLine="0" w:firstLineChars="0"/>
              <w:jc w:val="center"/>
              <w:rPr>
                <w:rFonts w:hint="eastAsia" w:ascii="宋体" w:hAnsi="宋体"/>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584" w:type="dxa"/>
            <w:vMerge w:val="restart"/>
            <w:tcBorders>
              <w:left w:val="doub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技</w:t>
            </w:r>
            <w:r>
              <w:rPr>
                <w:rFonts w:hint="eastAsia"/>
                <w:b/>
                <w:szCs w:val="21"/>
                <w:lang w:eastAsia="zh-CN"/>
              </w:rPr>
              <w:t>技术</w:t>
            </w:r>
            <w:r>
              <w:rPr>
                <w:rFonts w:hint="eastAsia" w:ascii="宋体" w:hAnsi="宋体"/>
                <w:b/>
                <w:szCs w:val="21"/>
              </w:rPr>
              <w:t>商务分70分</w:t>
            </w:r>
          </w:p>
        </w:tc>
        <w:tc>
          <w:tcPr>
            <w:tcW w:w="865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rPr>
                <w:rFonts w:hint="eastAsia" w:ascii="宋体" w:hAnsi="宋体"/>
                <w:b w:val="0"/>
                <w:bCs/>
                <w:szCs w:val="21"/>
              </w:rPr>
            </w:pPr>
            <w:r>
              <w:rPr>
                <w:rFonts w:hint="eastAsia" w:ascii="宋体" w:hAnsi="宋体"/>
                <w:b w:val="0"/>
                <w:bCs/>
                <w:szCs w:val="21"/>
              </w:rPr>
              <w:t>1、根据“第</w:t>
            </w:r>
            <w:r>
              <w:rPr>
                <w:rFonts w:hint="eastAsia"/>
                <w:b w:val="0"/>
                <w:bCs/>
                <w:szCs w:val="21"/>
                <w:lang w:eastAsia="zh-CN"/>
              </w:rPr>
              <w:t>二</w:t>
            </w:r>
            <w:r>
              <w:rPr>
                <w:rFonts w:hint="eastAsia" w:ascii="宋体" w:hAnsi="宋体"/>
                <w:b w:val="0"/>
                <w:bCs/>
                <w:szCs w:val="21"/>
              </w:rPr>
              <w:t xml:space="preserve">章  </w:t>
            </w:r>
            <w:r>
              <w:rPr>
                <w:rFonts w:hint="eastAsia" w:ascii="宋体" w:hAnsi="宋体" w:eastAsia="宋体" w:cs="宋体"/>
                <w:color w:val="auto"/>
                <w:highlight w:val="none"/>
              </w:rPr>
              <w:t>项目需求说明</w:t>
            </w:r>
            <w:r>
              <w:rPr>
                <w:rFonts w:hint="eastAsia" w:ascii="宋体" w:hAnsi="宋体"/>
                <w:b w:val="0"/>
                <w:bCs/>
                <w:szCs w:val="21"/>
              </w:rPr>
              <w:t>”中的“五、设备详细技术参数”，对投标设备的技术参数响应情况进行评议。技术参数完全响应的得21分，带</w:t>
            </w:r>
            <w:r>
              <w:rPr>
                <w:rFonts w:hint="eastAsia" w:ascii="宋体" w:hAnsi="宋体" w:eastAsia="宋体" w:cs="宋体"/>
                <w:b w:val="0"/>
                <w:bCs/>
                <w:szCs w:val="21"/>
              </w:rPr>
              <w:t>▲</w:t>
            </w:r>
            <w:r>
              <w:rPr>
                <w:rFonts w:hint="eastAsia" w:ascii="宋体" w:hAnsi="宋体"/>
                <w:b w:val="0"/>
                <w:bCs/>
                <w:szCs w:val="21"/>
              </w:rPr>
              <w:t>技术参数每负偏离一条扣3分，不带</w:t>
            </w:r>
            <w:r>
              <w:rPr>
                <w:rFonts w:hint="eastAsia" w:ascii="宋体" w:hAnsi="宋体" w:eastAsia="宋体" w:cs="宋体"/>
                <w:b w:val="0"/>
                <w:bCs/>
                <w:szCs w:val="21"/>
              </w:rPr>
              <w:t>▲</w:t>
            </w:r>
            <w:r>
              <w:rPr>
                <w:rFonts w:hint="eastAsia" w:ascii="宋体" w:hAnsi="宋体"/>
                <w:b w:val="0"/>
                <w:bCs/>
                <w:szCs w:val="21"/>
              </w:rPr>
              <w:t>技术参数每负偏离一条扣1分，扣完为止。带</w:t>
            </w:r>
            <w:r>
              <w:rPr>
                <w:rFonts w:hint="eastAsia"/>
                <w:b w:val="0"/>
                <w:bCs/>
                <w:szCs w:val="21"/>
                <w:lang w:eastAsia="zh-CN"/>
              </w:rPr>
              <w:t>★</w:t>
            </w:r>
            <w:r>
              <w:rPr>
                <w:rFonts w:hint="eastAsia" w:ascii="宋体" w:hAnsi="宋体"/>
                <w:b w:val="0"/>
                <w:bCs/>
                <w:szCs w:val="21"/>
              </w:rPr>
              <w:t>技术参数负偏离的作无效投标处理。</w:t>
            </w:r>
          </w:p>
        </w:tc>
        <w:tc>
          <w:tcPr>
            <w:tcW w:w="659"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firstLine="0" w:firstLineChars="0"/>
              <w:jc w:val="center"/>
              <w:rPr>
                <w:rFonts w:hint="eastAsia" w:ascii="宋体" w:hAnsi="宋体"/>
                <w:szCs w:val="21"/>
                <w:lang w:val="ru-RU"/>
              </w:rPr>
            </w:pPr>
            <w:r>
              <w:rPr>
                <w:rFonts w:hint="eastAsia" w:ascii="宋体" w:hAnsi="宋体"/>
                <w:szCs w:val="21"/>
                <w:lang w:val="ru-RU"/>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584" w:type="dxa"/>
            <w:vMerge w:val="continue"/>
            <w:tcBorders>
              <w:left w:val="double" w:color="auto" w:sz="4" w:space="0"/>
              <w:right w:val="single" w:color="auto" w:sz="4" w:space="0"/>
            </w:tcBorders>
            <w:vAlign w:val="center"/>
          </w:tcPr>
          <w:p>
            <w:pPr>
              <w:jc w:val="center"/>
              <w:rPr>
                <w:rFonts w:ascii="宋体" w:hAnsi="宋体"/>
                <w:b/>
                <w:szCs w:val="21"/>
              </w:rPr>
            </w:pPr>
          </w:p>
        </w:tc>
        <w:tc>
          <w:tcPr>
            <w:tcW w:w="851" w:type="dxa"/>
            <w:vMerge w:val="restart"/>
            <w:tcBorders>
              <w:top w:val="single" w:color="auto" w:sz="4" w:space="0"/>
              <w:left w:val="single" w:color="auto" w:sz="4" w:space="0"/>
              <w:right w:val="single" w:color="auto" w:sz="4" w:space="0"/>
            </w:tcBorders>
            <w:vAlign w:val="center"/>
          </w:tcPr>
          <w:p>
            <w:pPr>
              <w:spacing w:line="360" w:lineRule="exact"/>
              <w:ind w:left="0" w:leftChars="0" w:firstLine="0" w:firstLineChars="0"/>
              <w:rPr>
                <w:rFonts w:hint="eastAsia" w:ascii="宋体" w:hAnsi="宋体"/>
                <w:b w:val="0"/>
                <w:bCs/>
                <w:szCs w:val="21"/>
              </w:rPr>
            </w:pPr>
            <w:r>
              <w:rPr>
                <w:rFonts w:hint="eastAsia" w:ascii="宋体" w:hAnsi="宋体"/>
                <w:b w:val="0"/>
                <w:bCs/>
                <w:szCs w:val="21"/>
              </w:rPr>
              <w:t>2、设备演示</w:t>
            </w:r>
            <w:r>
              <w:rPr>
                <w:rFonts w:hint="eastAsia"/>
                <w:b w:val="0"/>
                <w:bCs/>
                <w:szCs w:val="21"/>
                <w:lang w:val="en-US" w:eastAsia="zh-CN"/>
              </w:rPr>
              <w:t>9</w:t>
            </w:r>
            <w:r>
              <w:rPr>
                <w:rFonts w:hint="eastAsia" w:ascii="宋体" w:hAnsi="宋体"/>
                <w:b w:val="0"/>
                <w:bCs/>
                <w:szCs w:val="21"/>
              </w:rPr>
              <w:t>分</w:t>
            </w:r>
          </w:p>
        </w:tc>
        <w:tc>
          <w:tcPr>
            <w:tcW w:w="7805"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rPr>
                <w:rFonts w:hint="eastAsia" w:ascii="宋体" w:hAnsi="宋体"/>
                <w:b w:val="0"/>
                <w:bCs/>
                <w:szCs w:val="21"/>
              </w:rPr>
            </w:pPr>
            <w:r>
              <w:rPr>
                <w:rFonts w:hint="eastAsia" w:ascii="宋体" w:hAnsi="宋体"/>
                <w:b w:val="0"/>
                <w:bCs/>
                <w:szCs w:val="21"/>
              </w:rPr>
              <w:t>2.1根据智能LED面板灯、智能LED黑板灯的样品进行评议：（3分）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光线柔和，设备运行平稳无闪烁，不易产生视觉疲劳的得3-2分；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光线较柔和，设备运行基本平稳的得2-1分；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光线刺眼，设备运行不平稳，出现闪烁情况，容易产生视觉疲劳的得1-0分。</w:t>
            </w:r>
          </w:p>
        </w:tc>
        <w:tc>
          <w:tcPr>
            <w:tcW w:w="659" w:type="dxa"/>
            <w:vMerge w:val="restart"/>
            <w:tcBorders>
              <w:top w:val="single" w:color="auto" w:sz="4" w:space="0"/>
              <w:left w:val="single" w:color="auto" w:sz="4" w:space="0"/>
              <w:right w:val="double" w:color="auto" w:sz="4" w:space="0"/>
            </w:tcBorders>
            <w:vAlign w:val="center"/>
          </w:tcPr>
          <w:p>
            <w:pPr>
              <w:spacing w:line="280" w:lineRule="exact"/>
              <w:ind w:left="0" w:leftChars="0" w:firstLine="0" w:firstLineChars="0"/>
              <w:jc w:val="center"/>
              <w:rPr>
                <w:rFonts w:hint="eastAsia" w:ascii="宋体" w:hAnsi="宋体" w:eastAsia="宋体"/>
                <w:szCs w:val="21"/>
                <w:lang w:val="ru-RU" w:eastAsia="zh-CN"/>
              </w:rPr>
            </w:pPr>
            <w:r>
              <w:rPr>
                <w:rFonts w:hint="eastAsia"/>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584" w:type="dxa"/>
            <w:vMerge w:val="continue"/>
            <w:tcBorders>
              <w:left w:val="double" w:color="auto" w:sz="4" w:space="0"/>
              <w:right w:val="single" w:color="auto" w:sz="4" w:space="0"/>
            </w:tcBorders>
            <w:vAlign w:val="center"/>
          </w:tcPr>
          <w:p>
            <w:pPr>
              <w:jc w:val="center"/>
              <w:rPr>
                <w:rFonts w:ascii="宋体" w:hAnsi="宋体"/>
                <w:b/>
                <w:szCs w:val="21"/>
              </w:rPr>
            </w:pPr>
          </w:p>
        </w:tc>
        <w:tc>
          <w:tcPr>
            <w:tcW w:w="851" w:type="dxa"/>
            <w:vMerge w:val="continue"/>
            <w:tcBorders>
              <w:left w:val="single" w:color="auto" w:sz="4" w:space="0"/>
              <w:right w:val="single" w:color="auto" w:sz="4" w:space="0"/>
            </w:tcBorders>
            <w:vAlign w:val="center"/>
          </w:tcPr>
          <w:p>
            <w:pPr>
              <w:spacing w:line="360" w:lineRule="exact"/>
              <w:ind w:left="0" w:leftChars="0" w:firstLine="0" w:firstLineChars="0"/>
              <w:rPr>
                <w:rFonts w:hint="eastAsia" w:ascii="宋体" w:hAnsi="宋体"/>
                <w:b w:val="0"/>
                <w:bCs/>
                <w:szCs w:val="21"/>
              </w:rPr>
            </w:pPr>
          </w:p>
        </w:tc>
        <w:tc>
          <w:tcPr>
            <w:tcW w:w="7805"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rPr>
                <w:rFonts w:hint="eastAsia" w:ascii="宋体" w:hAnsi="宋体"/>
                <w:b w:val="0"/>
                <w:bCs/>
                <w:szCs w:val="21"/>
              </w:rPr>
            </w:pPr>
            <w:r>
              <w:rPr>
                <w:rFonts w:hint="eastAsia" w:ascii="宋体" w:hAnsi="宋体"/>
                <w:b w:val="0"/>
                <w:bCs/>
                <w:szCs w:val="21"/>
              </w:rPr>
              <w:t>2.2根据智能LED面板灯、智能LED黑板灯的工作场景模式演示情况进行评议：（3分）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各模式切换响应迅速，面板灯亮度可调，演示效果好的得3-2分；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各模式切换响应速度一般，面板灯亮度可调，演示效果一般的得2-1分；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各模式切换响应迟钝，面板灯亮度单一，演示效果差的得1-0分。</w:t>
            </w:r>
          </w:p>
        </w:tc>
        <w:tc>
          <w:tcPr>
            <w:tcW w:w="659" w:type="dxa"/>
            <w:vMerge w:val="continue"/>
            <w:tcBorders>
              <w:left w:val="single" w:color="auto" w:sz="4" w:space="0"/>
              <w:right w:val="double" w:color="auto" w:sz="4" w:space="0"/>
            </w:tcBorders>
            <w:vAlign w:val="center"/>
          </w:tcPr>
          <w:p>
            <w:pPr>
              <w:spacing w:line="280" w:lineRule="exact"/>
              <w:ind w:left="0" w:leftChars="0" w:firstLine="0" w:firstLineChars="0"/>
              <w:jc w:val="center"/>
              <w:rPr>
                <w:rFonts w:hint="eastAsia" w:ascii="宋体" w:hAnsi="宋体"/>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584" w:type="dxa"/>
            <w:vMerge w:val="continue"/>
            <w:tcBorders>
              <w:left w:val="double" w:color="auto" w:sz="4" w:space="0"/>
              <w:right w:val="single" w:color="auto" w:sz="4" w:space="0"/>
            </w:tcBorders>
            <w:vAlign w:val="center"/>
          </w:tcPr>
          <w:p>
            <w:pPr>
              <w:jc w:val="center"/>
              <w:rPr>
                <w:rFonts w:ascii="宋体" w:hAnsi="宋体"/>
                <w:b/>
                <w:szCs w:val="21"/>
              </w:rPr>
            </w:pPr>
          </w:p>
        </w:tc>
        <w:tc>
          <w:tcPr>
            <w:tcW w:w="851" w:type="dxa"/>
            <w:vMerge w:val="continue"/>
            <w:tcBorders>
              <w:left w:val="single" w:color="auto" w:sz="4" w:space="0"/>
              <w:right w:val="single" w:color="auto" w:sz="4" w:space="0"/>
            </w:tcBorders>
            <w:vAlign w:val="center"/>
          </w:tcPr>
          <w:p>
            <w:pPr>
              <w:spacing w:line="360" w:lineRule="exact"/>
              <w:ind w:left="0" w:leftChars="0" w:firstLine="0" w:firstLineChars="0"/>
              <w:rPr>
                <w:rFonts w:hint="eastAsia" w:ascii="宋体" w:hAnsi="宋体"/>
                <w:b w:val="0"/>
                <w:bCs/>
                <w:szCs w:val="21"/>
              </w:rPr>
            </w:pPr>
          </w:p>
        </w:tc>
        <w:tc>
          <w:tcPr>
            <w:tcW w:w="780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hint="eastAsia"/>
              </w:rPr>
            </w:pPr>
            <w:r>
              <w:rPr>
                <w:rFonts w:hint="eastAsia"/>
              </w:rPr>
              <w:t>2</w:t>
            </w:r>
            <w:r>
              <w:t>.3根据投标人提供的样品（</w:t>
            </w:r>
            <w:r>
              <w:rPr>
                <w:rFonts w:hint="eastAsia"/>
              </w:rPr>
              <w:t>智能LED面板灯、智能LED黑板灯</w:t>
            </w:r>
            <w:r>
              <w:t>各一盏（为拆解开的灯具，含灯具、光源、驱动控制装置和插头、电线、线槽、固定支架、膨胀螺栓、接线端子、智能控制装置等相关拆解件））情况，</w:t>
            </w:r>
            <w:r>
              <w:rPr>
                <w:rFonts w:hint="eastAsia"/>
              </w:rPr>
              <w:t>进行评议：（3分）</w:t>
            </w:r>
          </w:p>
          <w:p>
            <w:pPr>
              <w:spacing w:line="360" w:lineRule="exact"/>
              <w:ind w:firstLine="0" w:firstLineChars="0"/>
            </w:pPr>
            <w:r>
              <w:rPr>
                <w:rFonts w:hint="eastAsia"/>
              </w:rPr>
              <w:t>各模</w:t>
            </w:r>
            <w:r>
              <w:rPr>
                <w:rFonts w:hint="eastAsia"/>
                <w:lang w:eastAsia="zh-CN"/>
              </w:rPr>
              <w:t>块工艺精良</w:t>
            </w:r>
            <w:r>
              <w:rPr>
                <w:rFonts w:hint="eastAsia"/>
              </w:rPr>
              <w:t>，</w:t>
            </w:r>
            <w:r>
              <w:rPr>
                <w:rFonts w:hint="eastAsia"/>
                <w:lang w:eastAsia="zh-CN"/>
              </w:rPr>
              <w:t>内部布局合理精密的</w:t>
            </w:r>
            <w:r>
              <w:rPr>
                <w:rFonts w:hint="eastAsia"/>
              </w:rPr>
              <w:t>得3-2分；</w:t>
            </w:r>
          </w:p>
          <w:p>
            <w:pPr>
              <w:spacing w:line="360" w:lineRule="exact"/>
              <w:ind w:firstLine="0" w:firstLineChars="0"/>
              <w:rPr>
                <w:rFonts w:hint="eastAsia"/>
              </w:rPr>
            </w:pPr>
            <w:r>
              <w:rPr>
                <w:rFonts w:hint="eastAsia"/>
              </w:rPr>
              <w:t>各模</w:t>
            </w:r>
            <w:r>
              <w:rPr>
                <w:rFonts w:hint="eastAsia"/>
                <w:lang w:eastAsia="zh-CN"/>
              </w:rPr>
              <w:t>块工艺粗糙</w:t>
            </w:r>
            <w:r>
              <w:rPr>
                <w:rFonts w:hint="eastAsia"/>
              </w:rPr>
              <w:t>，</w:t>
            </w:r>
            <w:r>
              <w:rPr>
                <w:rFonts w:hint="eastAsia"/>
                <w:lang w:eastAsia="zh-CN"/>
              </w:rPr>
              <w:t>内部布局混乱的</w:t>
            </w:r>
            <w:r>
              <w:rPr>
                <w:rFonts w:hint="eastAsia"/>
              </w:rPr>
              <w:t>得</w:t>
            </w:r>
            <w:r>
              <w:rPr>
                <w:rFonts w:hint="eastAsia"/>
                <w:lang w:val="en-US" w:eastAsia="zh-CN"/>
              </w:rPr>
              <w:t>2</w:t>
            </w:r>
            <w:r>
              <w:rPr>
                <w:rFonts w:hint="eastAsia"/>
              </w:rPr>
              <w:t>-</w:t>
            </w:r>
            <w:r>
              <w:rPr>
                <w:rFonts w:hint="eastAsia"/>
                <w:lang w:val="en-US" w:eastAsia="zh-CN"/>
              </w:rPr>
              <w:t>1</w:t>
            </w:r>
            <w:r>
              <w:rPr>
                <w:rFonts w:hint="eastAsia"/>
              </w:rPr>
              <w:t>分；</w:t>
            </w:r>
          </w:p>
          <w:p>
            <w:pPr>
              <w:spacing w:line="360" w:lineRule="exact"/>
              <w:ind w:left="0" w:leftChars="0" w:firstLine="0" w:firstLineChars="0"/>
              <w:rPr>
                <w:rFonts w:hint="eastAsia" w:ascii="宋体" w:hAnsi="宋体"/>
                <w:b w:val="0"/>
                <w:bCs/>
                <w:szCs w:val="21"/>
              </w:rPr>
            </w:pPr>
            <w:r>
              <w:rPr>
                <w:rFonts w:hint="eastAsia"/>
              </w:rPr>
              <w:t>各模</w:t>
            </w:r>
            <w:r>
              <w:rPr>
                <w:rFonts w:hint="eastAsia"/>
                <w:lang w:eastAsia="zh-CN"/>
              </w:rPr>
              <w:t>块工艺差</w:t>
            </w:r>
            <w:r>
              <w:rPr>
                <w:rFonts w:hint="eastAsia"/>
              </w:rPr>
              <w:t>，</w:t>
            </w:r>
            <w:r>
              <w:rPr>
                <w:rFonts w:hint="eastAsia"/>
                <w:lang w:eastAsia="zh-CN"/>
              </w:rPr>
              <w:t>内部布局差的</w:t>
            </w:r>
            <w:r>
              <w:rPr>
                <w:rFonts w:hint="eastAsia"/>
              </w:rPr>
              <w:t>得</w:t>
            </w:r>
            <w:r>
              <w:rPr>
                <w:rFonts w:hint="eastAsia"/>
                <w:lang w:val="en-US" w:eastAsia="zh-CN"/>
              </w:rPr>
              <w:t>1</w:t>
            </w:r>
            <w:r>
              <w:rPr>
                <w:rFonts w:hint="eastAsia"/>
              </w:rPr>
              <w:t>-</w:t>
            </w:r>
            <w:r>
              <w:rPr>
                <w:rFonts w:hint="eastAsia"/>
                <w:lang w:val="en-US" w:eastAsia="zh-CN"/>
              </w:rPr>
              <w:t>0</w:t>
            </w:r>
            <w:r>
              <w:rPr>
                <w:rFonts w:hint="eastAsia"/>
              </w:rPr>
              <w:t>分；</w:t>
            </w:r>
          </w:p>
        </w:tc>
        <w:tc>
          <w:tcPr>
            <w:tcW w:w="659" w:type="dxa"/>
            <w:vMerge w:val="continue"/>
            <w:tcBorders>
              <w:left w:val="single" w:color="auto" w:sz="4" w:space="0"/>
              <w:right w:val="double" w:color="auto" w:sz="4" w:space="0"/>
            </w:tcBorders>
            <w:vAlign w:val="center"/>
          </w:tcPr>
          <w:p>
            <w:pPr>
              <w:spacing w:line="280" w:lineRule="exact"/>
              <w:ind w:left="0" w:leftChars="0" w:firstLine="0" w:firstLineChars="0"/>
              <w:jc w:val="center"/>
              <w:rPr>
                <w:rFonts w:hint="eastAsia" w:ascii="宋体" w:hAnsi="宋体"/>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584" w:type="dxa"/>
            <w:vMerge w:val="continue"/>
            <w:tcBorders>
              <w:left w:val="double" w:color="auto" w:sz="4" w:space="0"/>
              <w:right w:val="single" w:color="auto" w:sz="4" w:space="0"/>
            </w:tcBorders>
            <w:vAlign w:val="center"/>
          </w:tcPr>
          <w:p>
            <w:pPr>
              <w:jc w:val="center"/>
              <w:rPr>
                <w:rFonts w:ascii="宋体" w:hAnsi="宋体"/>
                <w:b/>
                <w:szCs w:val="21"/>
              </w:rPr>
            </w:pPr>
          </w:p>
        </w:tc>
        <w:tc>
          <w:tcPr>
            <w:tcW w:w="865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rPr>
                <w:rFonts w:hint="eastAsia" w:ascii="宋体" w:hAnsi="宋体"/>
                <w:b w:val="0"/>
                <w:bCs/>
                <w:szCs w:val="21"/>
              </w:rPr>
            </w:pPr>
            <w:r>
              <w:rPr>
                <w:rFonts w:hint="eastAsia" w:ascii="宋体" w:hAnsi="宋体"/>
                <w:b w:val="0"/>
                <w:bCs/>
                <w:szCs w:val="21"/>
              </w:rPr>
              <w:t>3、评标委员会对供应商的项目实施方案进行评议：（6分）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项目流程完整，供货、安装、验收等各阶段方案详细，人员配置齐全合理，对突发情况有针对性的应急预案的得6-4分；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项目流程基本满足项目要求，供货、安装、验收等各阶段方案完整，人员配置基本到位，对突发情况有一定应对措施的得4-2分；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项目流程有缺失，供货、安装、验收等各阶段方案简单，人员配置不齐，对突发情况无应对方案的得2-0分。</w:t>
            </w:r>
          </w:p>
        </w:tc>
        <w:tc>
          <w:tcPr>
            <w:tcW w:w="659"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firstLine="0" w:firstLineChars="0"/>
              <w:jc w:val="center"/>
              <w:rPr>
                <w:rFonts w:hint="eastAsia" w:ascii="宋体" w:hAnsi="宋体"/>
                <w:szCs w:val="21"/>
                <w:lang w:val="ru-RU"/>
              </w:rPr>
            </w:pPr>
            <w:r>
              <w:rPr>
                <w:rFonts w:hint="eastAsia" w:ascii="宋体" w:hAnsi="宋体"/>
                <w:szCs w:val="21"/>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84" w:type="dxa"/>
            <w:vMerge w:val="continue"/>
            <w:tcBorders>
              <w:left w:val="double" w:color="auto" w:sz="4" w:space="0"/>
              <w:right w:val="single" w:color="auto" w:sz="4" w:space="0"/>
            </w:tcBorders>
            <w:vAlign w:val="center"/>
          </w:tcPr>
          <w:p>
            <w:pPr>
              <w:jc w:val="center"/>
              <w:rPr>
                <w:rFonts w:ascii="宋体" w:hAnsi="宋体"/>
                <w:b/>
                <w:szCs w:val="21"/>
              </w:rPr>
            </w:pPr>
          </w:p>
        </w:tc>
        <w:tc>
          <w:tcPr>
            <w:tcW w:w="8656" w:type="dxa"/>
            <w:gridSpan w:val="2"/>
            <w:tcBorders>
              <w:top w:val="single" w:color="auto" w:sz="4" w:space="0"/>
              <w:left w:val="single" w:color="auto" w:sz="4" w:space="0"/>
              <w:right w:val="single" w:color="auto" w:sz="4" w:space="0"/>
            </w:tcBorders>
            <w:vAlign w:val="center"/>
          </w:tcPr>
          <w:p>
            <w:pPr>
              <w:spacing w:line="360" w:lineRule="exact"/>
              <w:ind w:left="0" w:leftChars="0" w:firstLine="0" w:firstLineChars="0"/>
              <w:rPr>
                <w:rFonts w:hint="eastAsia" w:ascii="宋体" w:hAnsi="宋体"/>
                <w:b w:val="0"/>
                <w:bCs/>
                <w:szCs w:val="21"/>
              </w:rPr>
            </w:pPr>
            <w:r>
              <w:rPr>
                <w:rFonts w:hint="eastAsia" w:ascii="宋体" w:hAnsi="宋体"/>
                <w:b w:val="0"/>
                <w:bCs/>
                <w:szCs w:val="21"/>
              </w:rPr>
              <w:t>4.1、所投智能LED面板灯、智能LED黑板灯依据《GB 7793-2010》、《GB 50034-2013》《GB/T 5700-2008 》及《GB 7000.1-2015》，通过教室照明设备在役节能认证的，每有1种灯型满足的得3分，本项满分6分。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（提供有效期内的认证证书复印件及中国国家认证认可监督管理委员会网站链接查询证明加盖供应商公章，证书上须标注所投产品型号。）</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4.2、所投智能LED面板灯、智能LED黑板灯依据《GB 7793-2010》、《GB 50034-2013》《GB/T 5700-2008 》及《GB 7000.1-2015》，通过教室照明设备绿色健康认证的，每有1种灯型满足的得3分，本项满分6分。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（提供有效期内的认证证书复印件及中国国家认证认可监督管理委员会网站链接查询证明加盖供应商公章，证书上须标注所投产品型号。）</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4.3、所投智能LED面板灯、智能LED黑板灯依据《GB 7793-2010》、《GB 50034-2013》《GB/T 5700-2008 》及《GB 7000.1-2015》，通过教室照明设备光环境认证的，每有1种灯型满足的得3分，本项满分6分。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（提供有效期内的认证证书复印件及中国国家认证认可监督管理委员会网站链接查询证明加盖供应商公章，证书上须标注所投产品型号。）</w:t>
            </w:r>
          </w:p>
        </w:tc>
        <w:tc>
          <w:tcPr>
            <w:tcW w:w="659" w:type="dxa"/>
            <w:tcBorders>
              <w:top w:val="single" w:color="auto" w:sz="4" w:space="0"/>
              <w:left w:val="single" w:color="auto" w:sz="4" w:space="0"/>
              <w:right w:val="double" w:color="auto" w:sz="4" w:space="0"/>
            </w:tcBorders>
            <w:vAlign w:val="center"/>
          </w:tcPr>
          <w:p>
            <w:pPr>
              <w:spacing w:line="280" w:lineRule="exact"/>
              <w:ind w:left="0" w:leftChars="0" w:firstLine="0" w:firstLineChars="0"/>
              <w:jc w:val="center"/>
              <w:rPr>
                <w:rFonts w:hint="eastAsia" w:ascii="宋体" w:hAnsi="宋体"/>
                <w:szCs w:val="21"/>
                <w:lang w:val="ru-RU"/>
              </w:rPr>
            </w:pPr>
            <w:r>
              <w:rPr>
                <w:rFonts w:hint="eastAsia" w:ascii="宋体" w:hAnsi="宋体"/>
                <w:szCs w:val="21"/>
                <w:lang w:val="ru-RU"/>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584" w:type="dxa"/>
            <w:vMerge w:val="continue"/>
            <w:tcBorders>
              <w:left w:val="double" w:color="auto" w:sz="4" w:space="0"/>
              <w:right w:val="single" w:color="auto" w:sz="4" w:space="0"/>
            </w:tcBorders>
            <w:vAlign w:val="center"/>
          </w:tcPr>
          <w:p>
            <w:pPr>
              <w:jc w:val="center"/>
              <w:rPr>
                <w:rFonts w:ascii="宋体" w:hAnsi="宋体"/>
                <w:b/>
                <w:szCs w:val="21"/>
              </w:rPr>
            </w:pPr>
          </w:p>
        </w:tc>
        <w:tc>
          <w:tcPr>
            <w:tcW w:w="8656" w:type="dxa"/>
            <w:gridSpan w:val="2"/>
            <w:tcBorders>
              <w:top w:val="single" w:color="auto" w:sz="4" w:space="0"/>
              <w:left w:val="single" w:color="auto" w:sz="4" w:space="0"/>
              <w:right w:val="single" w:color="auto" w:sz="4" w:space="0"/>
            </w:tcBorders>
            <w:vAlign w:val="center"/>
          </w:tcPr>
          <w:p>
            <w:pPr>
              <w:spacing w:line="360" w:lineRule="exact"/>
              <w:ind w:left="0" w:leftChars="0" w:firstLine="0" w:firstLineChars="0"/>
              <w:rPr>
                <w:rFonts w:hint="eastAsia" w:ascii="宋体" w:hAnsi="宋体"/>
                <w:b w:val="0"/>
                <w:bCs/>
                <w:szCs w:val="21"/>
              </w:rPr>
            </w:pPr>
            <w:r>
              <w:rPr>
                <w:rFonts w:hint="eastAsia"/>
                <w:b w:val="0"/>
                <w:bCs/>
                <w:szCs w:val="21"/>
                <w:lang w:val="en-US" w:eastAsia="zh-CN"/>
              </w:rPr>
              <w:t>5</w:t>
            </w:r>
            <w:r>
              <w:rPr>
                <w:rFonts w:hint="eastAsia" w:ascii="宋体" w:hAnsi="宋体"/>
                <w:b w:val="0"/>
                <w:bCs/>
                <w:szCs w:val="21"/>
              </w:rPr>
              <w:t>、供应商具有五星售后服务体系认证证书的得2分。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（提供有效期内的认证证书复印件加盖供应商公章。）</w:t>
            </w:r>
          </w:p>
        </w:tc>
        <w:tc>
          <w:tcPr>
            <w:tcW w:w="659" w:type="dxa"/>
            <w:tcBorders>
              <w:top w:val="single" w:color="auto" w:sz="4" w:space="0"/>
              <w:left w:val="single" w:color="auto" w:sz="4" w:space="0"/>
              <w:right w:val="double" w:color="auto" w:sz="4" w:space="0"/>
            </w:tcBorders>
            <w:vAlign w:val="center"/>
          </w:tcPr>
          <w:p>
            <w:pPr>
              <w:spacing w:line="280" w:lineRule="exact"/>
              <w:ind w:left="0" w:leftChars="0" w:firstLine="0" w:firstLineChars="0"/>
              <w:jc w:val="center"/>
              <w:rPr>
                <w:rFonts w:hint="eastAsia" w:ascii="宋体" w:hAnsi="宋体"/>
                <w:szCs w:val="21"/>
                <w:lang w:val="ru-RU"/>
              </w:rPr>
            </w:pPr>
            <w:r>
              <w:rPr>
                <w:rFonts w:hint="eastAsia" w:ascii="宋体" w:hAnsi="宋体"/>
                <w:szCs w:val="21"/>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584" w:type="dxa"/>
            <w:vMerge w:val="continue"/>
            <w:tcBorders>
              <w:left w:val="double" w:color="auto" w:sz="4" w:space="0"/>
              <w:right w:val="single" w:color="auto" w:sz="4" w:space="0"/>
            </w:tcBorders>
            <w:vAlign w:val="center"/>
          </w:tcPr>
          <w:p>
            <w:pPr>
              <w:jc w:val="center"/>
              <w:rPr>
                <w:rFonts w:ascii="宋体" w:hAnsi="宋体"/>
                <w:b/>
                <w:szCs w:val="21"/>
              </w:rPr>
            </w:pPr>
          </w:p>
        </w:tc>
        <w:tc>
          <w:tcPr>
            <w:tcW w:w="8656" w:type="dxa"/>
            <w:gridSpan w:val="2"/>
            <w:tcBorders>
              <w:top w:val="single" w:color="auto" w:sz="4" w:space="0"/>
              <w:left w:val="single" w:color="auto" w:sz="4" w:space="0"/>
              <w:right w:val="single" w:color="auto" w:sz="4" w:space="0"/>
            </w:tcBorders>
            <w:vAlign w:val="center"/>
          </w:tcPr>
          <w:p>
            <w:pPr>
              <w:spacing w:line="360" w:lineRule="exact"/>
              <w:ind w:left="0" w:leftChars="0" w:firstLine="0" w:firstLineChars="0"/>
              <w:rPr>
                <w:rFonts w:hint="eastAsia" w:ascii="宋体" w:hAnsi="宋体"/>
                <w:b w:val="0"/>
                <w:bCs/>
                <w:szCs w:val="21"/>
              </w:rPr>
            </w:pPr>
            <w:r>
              <w:rPr>
                <w:rFonts w:hint="eastAsia"/>
                <w:b w:val="0"/>
                <w:bCs/>
                <w:szCs w:val="21"/>
                <w:lang w:val="en-US" w:eastAsia="zh-CN"/>
              </w:rPr>
              <w:t>6</w:t>
            </w:r>
            <w:r>
              <w:rPr>
                <w:rFonts w:hint="eastAsia" w:ascii="宋体" w:hAnsi="宋体"/>
                <w:b w:val="0"/>
                <w:bCs/>
                <w:szCs w:val="21"/>
              </w:rPr>
              <w:t>、供应商拟投入本项目的项目负责人具有系统集成项目管理工程师证书的得2分。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（提供人社部门颁发的证书复印件加盖供应商公章。）</w:t>
            </w:r>
          </w:p>
        </w:tc>
        <w:tc>
          <w:tcPr>
            <w:tcW w:w="659" w:type="dxa"/>
            <w:tcBorders>
              <w:top w:val="single" w:color="auto" w:sz="4" w:space="0"/>
              <w:left w:val="single" w:color="auto" w:sz="4" w:space="0"/>
              <w:right w:val="double" w:color="auto" w:sz="4" w:space="0"/>
            </w:tcBorders>
            <w:vAlign w:val="center"/>
          </w:tcPr>
          <w:p>
            <w:pPr>
              <w:spacing w:line="280" w:lineRule="exact"/>
              <w:ind w:left="0" w:leftChars="0" w:firstLine="0" w:firstLineChars="0"/>
              <w:jc w:val="center"/>
              <w:rPr>
                <w:rFonts w:hint="eastAsia" w:ascii="宋体" w:hAnsi="宋体"/>
                <w:szCs w:val="21"/>
                <w:lang w:val="ru-RU"/>
              </w:rPr>
            </w:pPr>
            <w:r>
              <w:rPr>
                <w:rFonts w:hint="eastAsia" w:ascii="宋体" w:hAnsi="宋体"/>
                <w:szCs w:val="21"/>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584" w:type="dxa"/>
            <w:vMerge w:val="continue"/>
            <w:tcBorders>
              <w:left w:val="double" w:color="auto" w:sz="4" w:space="0"/>
              <w:right w:val="single" w:color="auto" w:sz="4" w:space="0"/>
            </w:tcBorders>
            <w:vAlign w:val="center"/>
          </w:tcPr>
          <w:p>
            <w:pPr>
              <w:widowControl/>
              <w:jc w:val="left"/>
              <w:rPr>
                <w:rFonts w:ascii="宋体" w:hAnsi="宋体"/>
                <w:b/>
                <w:szCs w:val="21"/>
              </w:rPr>
            </w:pPr>
          </w:p>
        </w:tc>
        <w:tc>
          <w:tcPr>
            <w:tcW w:w="865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rPr>
                <w:rFonts w:hint="eastAsia" w:ascii="宋体" w:hAnsi="宋体"/>
                <w:b w:val="0"/>
                <w:bCs/>
                <w:szCs w:val="21"/>
              </w:rPr>
            </w:pPr>
            <w:r>
              <w:rPr>
                <w:rFonts w:hint="eastAsia"/>
                <w:b w:val="0"/>
                <w:bCs/>
                <w:szCs w:val="21"/>
                <w:lang w:val="en-US" w:eastAsia="zh-CN"/>
              </w:rPr>
              <w:t>7</w:t>
            </w:r>
            <w:r>
              <w:rPr>
                <w:rFonts w:hint="eastAsia" w:ascii="宋体" w:hAnsi="宋体"/>
                <w:b w:val="0"/>
                <w:bCs/>
                <w:szCs w:val="21"/>
              </w:rPr>
              <w:t>、供应商自2018年1月1日（以合同签订时间为准）至今，具有</w:t>
            </w:r>
            <w:r>
              <w:rPr>
                <w:rFonts w:hint="eastAsia"/>
                <w:b w:val="0"/>
                <w:bCs/>
                <w:szCs w:val="21"/>
                <w:lang w:eastAsia="zh-CN"/>
              </w:rPr>
              <w:t>同类项目</w:t>
            </w:r>
            <w:r>
              <w:rPr>
                <w:rFonts w:hint="eastAsia" w:ascii="宋体" w:hAnsi="宋体"/>
                <w:b w:val="0"/>
                <w:bCs/>
                <w:szCs w:val="21"/>
              </w:rPr>
              <w:t>业绩的，每有1个得1分，最高得3分。（提供中标通知书及合同复印件加盖供应商单位公章。）</w:t>
            </w:r>
          </w:p>
        </w:tc>
        <w:tc>
          <w:tcPr>
            <w:tcW w:w="659"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firstLine="0" w:firstLineChars="0"/>
              <w:jc w:val="center"/>
              <w:rPr>
                <w:rFonts w:hint="eastAsia" w:ascii="宋体" w:hAnsi="宋体"/>
                <w:szCs w:val="21"/>
                <w:lang w:val="ru-RU"/>
              </w:rPr>
            </w:pPr>
            <w:r>
              <w:rPr>
                <w:rFonts w:hint="eastAsia" w:ascii="宋体" w:hAnsi="宋体"/>
                <w:szCs w:val="21"/>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584" w:type="dxa"/>
            <w:vMerge w:val="continue"/>
            <w:tcBorders>
              <w:left w:val="double" w:color="auto" w:sz="4" w:space="0"/>
              <w:right w:val="single" w:color="auto" w:sz="4" w:space="0"/>
            </w:tcBorders>
            <w:vAlign w:val="center"/>
          </w:tcPr>
          <w:p>
            <w:pPr>
              <w:widowControl/>
              <w:jc w:val="left"/>
              <w:rPr>
                <w:rFonts w:ascii="宋体" w:hAnsi="宋体"/>
                <w:b/>
                <w:szCs w:val="21"/>
              </w:rPr>
            </w:pPr>
          </w:p>
        </w:tc>
        <w:tc>
          <w:tcPr>
            <w:tcW w:w="865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rPr>
                <w:rFonts w:hint="eastAsia" w:ascii="宋体" w:hAnsi="宋体"/>
                <w:b w:val="0"/>
                <w:bCs/>
                <w:szCs w:val="21"/>
              </w:rPr>
            </w:pPr>
            <w:r>
              <w:rPr>
                <w:rFonts w:hint="eastAsia"/>
                <w:b w:val="0"/>
                <w:bCs/>
                <w:szCs w:val="21"/>
                <w:lang w:val="en-US" w:eastAsia="zh-CN"/>
              </w:rPr>
              <w:t>8</w:t>
            </w:r>
            <w:r>
              <w:rPr>
                <w:rFonts w:hint="eastAsia" w:ascii="宋体" w:hAnsi="宋体"/>
                <w:b w:val="0"/>
                <w:bCs/>
                <w:szCs w:val="21"/>
              </w:rPr>
              <w:t>、评标委员会对供应商的售后服务方案进行评议,包括对系统工作情况的跟进、响应时间及故障排除时间、服务力量安排、备件供应、设备维护计划及维护承诺等：（6分）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对系统工作情况制定详细的跟进回访计划，响应时间、故障排除时间短，售后服务团队完整，备件充足，有详细设备维护计划的得6～4分；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对系统工作情况有基础的跟进方案，响应时间、故障排除时间较短，服务团队、备件供应及设备维护计划基本到位的得4～2分；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对系统工作情况跟进不到位，响应时间、故障排除时间长，服务人员单一，备件供应及设备维护计划不到位的得2～0分。</w:t>
            </w:r>
          </w:p>
        </w:tc>
        <w:tc>
          <w:tcPr>
            <w:tcW w:w="659"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firstLine="0" w:firstLineChars="0"/>
              <w:jc w:val="center"/>
              <w:rPr>
                <w:rFonts w:hint="eastAsia" w:ascii="宋体" w:hAnsi="宋体"/>
                <w:szCs w:val="21"/>
                <w:lang w:val="ru-RU"/>
              </w:rPr>
            </w:pPr>
            <w:r>
              <w:rPr>
                <w:rFonts w:hint="eastAsia" w:ascii="宋体" w:hAnsi="宋体"/>
                <w:szCs w:val="21"/>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584" w:type="dxa"/>
            <w:vMerge w:val="continue"/>
            <w:tcBorders>
              <w:left w:val="double" w:color="auto" w:sz="4" w:space="0"/>
              <w:right w:val="single" w:color="auto" w:sz="4" w:space="0"/>
            </w:tcBorders>
            <w:vAlign w:val="center"/>
          </w:tcPr>
          <w:p>
            <w:pPr>
              <w:widowControl/>
              <w:jc w:val="left"/>
              <w:rPr>
                <w:rFonts w:ascii="宋体" w:hAnsi="宋体"/>
                <w:b/>
                <w:szCs w:val="21"/>
              </w:rPr>
            </w:pPr>
          </w:p>
        </w:tc>
        <w:tc>
          <w:tcPr>
            <w:tcW w:w="8656" w:type="dxa"/>
            <w:gridSpan w:val="2"/>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ind w:left="0" w:leftChars="0" w:firstLine="0" w:firstLineChars="0"/>
              <w:rPr>
                <w:rFonts w:hint="eastAsia" w:ascii="宋体" w:hAnsi="宋体"/>
                <w:b w:val="0"/>
                <w:bCs/>
                <w:szCs w:val="21"/>
              </w:rPr>
            </w:pPr>
            <w:r>
              <w:rPr>
                <w:rFonts w:hint="eastAsia"/>
                <w:b w:val="0"/>
                <w:bCs/>
                <w:szCs w:val="21"/>
                <w:lang w:val="en-US" w:eastAsia="zh-CN"/>
              </w:rPr>
              <w:t>9</w:t>
            </w:r>
            <w:r>
              <w:rPr>
                <w:rFonts w:hint="eastAsia" w:ascii="宋体" w:hAnsi="宋体"/>
                <w:b w:val="0"/>
                <w:bCs/>
                <w:szCs w:val="21"/>
              </w:rPr>
              <w:t>、评标委员会对</w:t>
            </w:r>
            <w:r>
              <w:rPr>
                <w:rFonts w:hint="eastAsia"/>
                <w:b w:val="0"/>
                <w:bCs/>
                <w:szCs w:val="21"/>
                <w:lang w:eastAsia="zh-CN"/>
              </w:rPr>
              <w:t>产品质量保证措施</w:t>
            </w:r>
            <w:r>
              <w:rPr>
                <w:rFonts w:hint="eastAsia" w:ascii="宋体" w:hAnsi="宋体"/>
                <w:b w:val="0"/>
                <w:bCs/>
                <w:szCs w:val="21"/>
              </w:rPr>
              <w:t>进行评议,包括对</w:t>
            </w:r>
            <w:r>
              <w:rPr>
                <w:rFonts w:hint="eastAsia"/>
                <w:b w:val="0"/>
                <w:bCs/>
                <w:szCs w:val="21"/>
                <w:lang w:eastAsia="zh-CN"/>
              </w:rPr>
              <w:t>原材料进货渠道、品控措施、生产水平、质量控制措施</w:t>
            </w:r>
            <w:r>
              <w:rPr>
                <w:rFonts w:hint="eastAsia" w:ascii="宋体" w:hAnsi="宋体"/>
                <w:b w:val="0"/>
                <w:bCs/>
                <w:szCs w:val="21"/>
              </w:rPr>
              <w:t>等：（</w:t>
            </w:r>
            <w:r>
              <w:rPr>
                <w:rFonts w:hint="eastAsia"/>
                <w:b w:val="0"/>
                <w:bCs/>
                <w:szCs w:val="21"/>
                <w:lang w:val="en-US" w:eastAsia="zh-CN"/>
              </w:rPr>
              <w:t>2</w:t>
            </w:r>
            <w:r>
              <w:rPr>
                <w:rFonts w:hint="eastAsia" w:ascii="宋体" w:hAnsi="宋体"/>
                <w:b w:val="0"/>
                <w:bCs/>
                <w:szCs w:val="21"/>
              </w:rPr>
              <w:t>分）</w:t>
            </w:r>
          </w:p>
          <w:p>
            <w:pPr>
              <w:spacing w:line="360" w:lineRule="exact"/>
              <w:ind w:left="0" w:leftChars="0" w:firstLine="0" w:firstLineChars="0"/>
              <w:rPr>
                <w:rFonts w:hint="eastAsia" w:ascii="宋体" w:hAnsi="宋体"/>
                <w:b w:val="0"/>
                <w:bCs/>
                <w:szCs w:val="21"/>
              </w:rPr>
            </w:pPr>
            <w:r>
              <w:rPr>
                <w:rFonts w:hint="eastAsia"/>
                <w:b w:val="0"/>
                <w:bCs/>
                <w:szCs w:val="21"/>
                <w:lang w:eastAsia="zh-CN"/>
              </w:rPr>
              <w:t>原材料进货渠道、品控措施、生产水平、质量控制措施完善有效</w:t>
            </w:r>
            <w:r>
              <w:rPr>
                <w:rFonts w:hint="eastAsia" w:ascii="宋体" w:hAnsi="宋体"/>
                <w:b w:val="0"/>
                <w:bCs/>
                <w:szCs w:val="21"/>
              </w:rPr>
              <w:t>的得</w:t>
            </w:r>
            <w:r>
              <w:rPr>
                <w:rFonts w:hint="eastAsia"/>
                <w:b w:val="0"/>
                <w:bCs/>
                <w:szCs w:val="21"/>
                <w:lang w:val="en-US" w:eastAsia="zh-CN"/>
              </w:rPr>
              <w:t>2</w:t>
            </w:r>
            <w:r>
              <w:rPr>
                <w:rFonts w:hint="eastAsia" w:ascii="宋体" w:hAnsi="宋体"/>
                <w:b w:val="0"/>
                <w:bCs/>
                <w:szCs w:val="21"/>
              </w:rPr>
              <w:t>～</w:t>
            </w:r>
            <w:r>
              <w:rPr>
                <w:rFonts w:hint="eastAsia"/>
                <w:b w:val="0"/>
                <w:bCs/>
                <w:szCs w:val="21"/>
                <w:lang w:val="en-US" w:eastAsia="zh-CN"/>
              </w:rPr>
              <w:t>1</w:t>
            </w:r>
            <w:r>
              <w:rPr>
                <w:rFonts w:hint="eastAsia" w:ascii="宋体" w:hAnsi="宋体"/>
                <w:b w:val="0"/>
                <w:bCs/>
                <w:szCs w:val="21"/>
              </w:rPr>
              <w:t>分；</w:t>
            </w:r>
          </w:p>
          <w:p>
            <w:pPr>
              <w:spacing w:line="360" w:lineRule="exact"/>
              <w:ind w:left="0" w:leftChars="0" w:firstLine="0" w:firstLineChars="0"/>
              <w:rPr>
                <w:rFonts w:hint="eastAsia" w:ascii="宋体" w:hAnsi="宋体"/>
                <w:b w:val="0"/>
                <w:bCs/>
                <w:szCs w:val="21"/>
              </w:rPr>
            </w:pPr>
            <w:r>
              <w:rPr>
                <w:rFonts w:hint="eastAsia"/>
                <w:b w:val="0"/>
                <w:bCs/>
                <w:szCs w:val="21"/>
                <w:lang w:eastAsia="zh-CN"/>
              </w:rPr>
              <w:t>原材料进货渠道混乱、品控措施差、生产水平低、质量控制措施不完善</w:t>
            </w:r>
            <w:r>
              <w:rPr>
                <w:rFonts w:hint="eastAsia" w:ascii="宋体" w:hAnsi="宋体"/>
                <w:b w:val="0"/>
                <w:bCs/>
                <w:szCs w:val="21"/>
              </w:rPr>
              <w:t>的得</w:t>
            </w:r>
            <w:r>
              <w:rPr>
                <w:rFonts w:hint="eastAsia"/>
                <w:b w:val="0"/>
                <w:bCs/>
                <w:szCs w:val="21"/>
                <w:lang w:val="en-US" w:eastAsia="zh-CN"/>
              </w:rPr>
              <w:t>1</w:t>
            </w:r>
            <w:r>
              <w:rPr>
                <w:rFonts w:hint="eastAsia" w:ascii="宋体" w:hAnsi="宋体"/>
                <w:b w:val="0"/>
                <w:bCs/>
                <w:szCs w:val="21"/>
              </w:rPr>
              <w:t>～</w:t>
            </w:r>
            <w:r>
              <w:rPr>
                <w:rFonts w:hint="eastAsia"/>
                <w:b w:val="0"/>
                <w:bCs/>
                <w:szCs w:val="21"/>
                <w:lang w:val="en-US" w:eastAsia="zh-CN"/>
              </w:rPr>
              <w:t>0</w:t>
            </w:r>
            <w:r>
              <w:rPr>
                <w:rFonts w:hint="eastAsia" w:ascii="宋体" w:hAnsi="宋体"/>
                <w:b w:val="0"/>
                <w:bCs/>
                <w:szCs w:val="21"/>
              </w:rPr>
              <w:t>分；</w:t>
            </w:r>
          </w:p>
        </w:tc>
        <w:tc>
          <w:tcPr>
            <w:tcW w:w="659"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firstLine="0" w:firstLineChars="0"/>
              <w:jc w:val="center"/>
              <w:rPr>
                <w:rFonts w:hint="eastAsia" w:ascii="宋体" w:hAnsi="宋体" w:eastAsia="宋体"/>
                <w:szCs w:val="21"/>
                <w:lang w:val="en-US" w:eastAsia="zh-CN"/>
              </w:rPr>
            </w:pPr>
            <w:bookmarkStart w:id="197" w:name="_GoBack"/>
            <w:bookmarkEnd w:id="197"/>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84" w:type="dxa"/>
            <w:vMerge w:val="continue"/>
            <w:tcBorders>
              <w:left w:val="double" w:color="auto" w:sz="4" w:space="0"/>
              <w:right w:val="single" w:color="auto" w:sz="4" w:space="0"/>
            </w:tcBorders>
            <w:vAlign w:val="center"/>
          </w:tcPr>
          <w:p>
            <w:pPr>
              <w:widowControl/>
              <w:jc w:val="left"/>
              <w:rPr>
                <w:rFonts w:ascii="宋体" w:hAnsi="宋体"/>
                <w:b/>
                <w:szCs w:val="21"/>
              </w:rPr>
            </w:pPr>
          </w:p>
        </w:tc>
        <w:tc>
          <w:tcPr>
            <w:tcW w:w="8656" w:type="dxa"/>
            <w:gridSpan w:val="2"/>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ind w:left="0" w:leftChars="0" w:firstLine="0" w:firstLineChars="0"/>
              <w:rPr>
                <w:rFonts w:hint="eastAsia" w:ascii="宋体" w:hAnsi="宋体"/>
                <w:b w:val="0"/>
                <w:bCs/>
                <w:szCs w:val="21"/>
              </w:rPr>
            </w:pPr>
            <w:r>
              <w:rPr>
                <w:rFonts w:hint="eastAsia"/>
                <w:b w:val="0"/>
                <w:bCs/>
                <w:szCs w:val="21"/>
                <w:lang w:val="en-US" w:eastAsia="zh-CN"/>
              </w:rPr>
              <w:t>10</w:t>
            </w:r>
            <w:r>
              <w:rPr>
                <w:rFonts w:hint="eastAsia" w:ascii="宋体" w:hAnsi="宋体"/>
                <w:b w:val="0"/>
                <w:bCs/>
                <w:szCs w:val="21"/>
              </w:rPr>
              <w:t>、政策性因素加分（1分）：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投标产品为节能产品，提供有效期内节能产品认证证书的加0.5分；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投标产品为环境标志产品，提供有效期内环境标志产品认证证书的加0.5分。</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（提供上述有效证书复印件加盖供应商公章）</w:t>
            </w:r>
          </w:p>
        </w:tc>
        <w:tc>
          <w:tcPr>
            <w:tcW w:w="659" w:type="dxa"/>
            <w:tcBorders>
              <w:top w:val="single" w:color="auto" w:sz="4" w:space="0"/>
              <w:left w:val="single" w:color="auto" w:sz="4" w:space="0"/>
              <w:bottom w:val="single" w:color="auto" w:sz="4" w:space="0"/>
              <w:right w:val="double" w:color="auto" w:sz="4" w:space="0"/>
            </w:tcBorders>
            <w:vAlign w:val="center"/>
          </w:tcPr>
          <w:p>
            <w:pPr>
              <w:spacing w:line="280" w:lineRule="exact"/>
              <w:ind w:left="0" w:leftChars="0" w:firstLine="0" w:firstLineChars="0"/>
              <w:jc w:val="center"/>
              <w:rPr>
                <w:rFonts w:hint="eastAsia" w:ascii="宋体" w:hAnsi="宋体"/>
                <w:szCs w:val="21"/>
                <w:lang w:val="ru-RU"/>
              </w:rPr>
            </w:pPr>
            <w:r>
              <w:rPr>
                <w:rFonts w:hint="eastAsia" w:ascii="宋体" w:hAnsi="宋体"/>
                <w:szCs w:val="21"/>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584"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b/>
                <w:szCs w:val="21"/>
              </w:rPr>
            </w:pPr>
            <w:r>
              <w:rPr>
                <w:rFonts w:hint="eastAsia" w:ascii="宋体" w:hAnsi="宋体"/>
                <w:b/>
                <w:szCs w:val="21"/>
              </w:rPr>
              <w:t>格分30分</w:t>
            </w:r>
          </w:p>
        </w:tc>
        <w:tc>
          <w:tcPr>
            <w:tcW w:w="8656" w:type="dxa"/>
            <w:gridSpan w:val="2"/>
            <w:tcBorders>
              <w:top w:val="single" w:color="auto" w:sz="4" w:space="0"/>
              <w:left w:val="single" w:color="auto" w:sz="4" w:space="0"/>
              <w:bottom w:val="double" w:color="auto" w:sz="4" w:space="0"/>
              <w:right w:val="single" w:color="auto" w:sz="4" w:space="0"/>
            </w:tcBorders>
            <w:vAlign w:val="center"/>
          </w:tcPr>
          <w:p>
            <w:pPr>
              <w:spacing w:line="360" w:lineRule="exact"/>
              <w:ind w:left="0" w:leftChars="0" w:firstLine="0" w:firstLineChars="0"/>
              <w:rPr>
                <w:rFonts w:hint="eastAsia" w:ascii="宋体" w:hAnsi="宋体"/>
                <w:b w:val="0"/>
                <w:bCs/>
                <w:szCs w:val="21"/>
              </w:rPr>
            </w:pPr>
            <w:r>
              <w:rPr>
                <w:rFonts w:hint="eastAsia" w:ascii="宋体" w:hAnsi="宋体"/>
                <w:b w:val="0"/>
                <w:bCs/>
                <w:szCs w:val="21"/>
              </w:rPr>
              <w:t>参与评审的价格=评标价-小微企业价格扣除优惠值（6%）</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评标基准价=满足招标文件要求且“参与评审的价格”中最低的价格</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基准价得分为满分30分，其他投标报价得分计算公式如下：</w:t>
            </w:r>
          </w:p>
          <w:p>
            <w:pPr>
              <w:spacing w:line="360" w:lineRule="exact"/>
              <w:ind w:left="0" w:leftChars="0" w:firstLine="0" w:firstLineChars="0"/>
              <w:rPr>
                <w:rFonts w:hint="eastAsia" w:ascii="宋体" w:hAnsi="宋体"/>
                <w:b w:val="0"/>
                <w:bCs/>
                <w:szCs w:val="21"/>
              </w:rPr>
            </w:pPr>
            <w:r>
              <w:rPr>
                <w:rFonts w:hint="eastAsia" w:ascii="宋体" w:hAnsi="宋体"/>
                <w:b w:val="0"/>
                <w:bCs/>
                <w:szCs w:val="21"/>
              </w:rPr>
              <w:t>投标报价得分=（评标基准价/参与评审的价格）×30%×100</w:t>
            </w:r>
          </w:p>
        </w:tc>
        <w:tc>
          <w:tcPr>
            <w:tcW w:w="659" w:type="dxa"/>
            <w:tcBorders>
              <w:top w:val="single" w:color="auto" w:sz="4" w:space="0"/>
              <w:left w:val="single" w:color="auto" w:sz="4" w:space="0"/>
              <w:bottom w:val="double" w:color="auto" w:sz="4" w:space="0"/>
              <w:right w:val="double" w:color="auto" w:sz="4" w:space="0"/>
            </w:tcBorders>
            <w:vAlign w:val="center"/>
          </w:tcPr>
          <w:p>
            <w:pPr>
              <w:spacing w:line="280" w:lineRule="exact"/>
              <w:ind w:left="0" w:leftChars="0" w:firstLine="0" w:firstLineChars="0"/>
              <w:jc w:val="center"/>
              <w:rPr>
                <w:rFonts w:hint="eastAsia" w:ascii="宋体" w:hAnsi="宋体"/>
                <w:szCs w:val="21"/>
                <w:lang w:val="ru-RU"/>
              </w:rPr>
            </w:pPr>
            <w:r>
              <w:rPr>
                <w:rFonts w:hint="eastAsia" w:ascii="宋体" w:hAnsi="宋体"/>
                <w:szCs w:val="21"/>
                <w:lang w:val="ru-RU"/>
              </w:rPr>
              <w:t>30</w:t>
            </w:r>
          </w:p>
        </w:tc>
      </w:tr>
    </w:tbl>
    <w:p>
      <w:pPr>
        <w:pStyle w:val="48"/>
        <w:rPr>
          <w:rFonts w:hint="eastAsia" w:ascii="宋体" w:hAnsi="宋体" w:eastAsia="宋体" w:cs="宋体"/>
          <w:color w:val="auto"/>
          <w:highlight w:val="none"/>
        </w:rPr>
        <w:sectPr>
          <w:footerReference r:id="rId13" w:type="default"/>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bookmarkEnd w:id="139"/>
    <w:bookmarkEnd w:id="140"/>
    <w:bookmarkEnd w:id="141"/>
    <w:p>
      <w:pPr>
        <w:pStyle w:val="3"/>
        <w:bidi w:val="0"/>
        <w:rPr>
          <w:rFonts w:hint="eastAsia"/>
          <w:color w:val="auto"/>
          <w:highlight w:val="none"/>
        </w:rPr>
      </w:pPr>
      <w:bookmarkStart w:id="147" w:name="_Toc28261"/>
      <w:bookmarkStart w:id="148" w:name="_Toc10616"/>
      <w:r>
        <w:rPr>
          <w:rFonts w:hint="eastAsia"/>
          <w:color w:val="auto"/>
          <w:highlight w:val="none"/>
        </w:rPr>
        <w:t>第五章 合同格式</w:t>
      </w:r>
      <w:bookmarkEnd w:id="147"/>
      <w:bookmarkEnd w:id="148"/>
    </w:p>
    <w:p>
      <w:pPr>
        <w:pStyle w:val="21"/>
        <w:snapToGrid w:val="0"/>
        <w:spacing w:line="360" w:lineRule="auto"/>
        <w:jc w:val="center"/>
        <w:rPr>
          <w:rFonts w:hint="eastAsia" w:hAnsi="宋体"/>
          <w:b/>
          <w:color w:val="auto"/>
          <w:sz w:val="24"/>
          <w:szCs w:val="24"/>
        </w:rPr>
      </w:pPr>
      <w:bookmarkStart w:id="149" w:name="_Toc450840088"/>
      <w:r>
        <w:rPr>
          <w:rFonts w:hint="eastAsia" w:hAnsi="宋体"/>
          <w:b/>
          <w:color w:val="auto"/>
          <w:sz w:val="24"/>
          <w:szCs w:val="24"/>
        </w:rPr>
        <w:t>（本合同为合同样稿，最终稿由甲乙双方协商后确定）</w:t>
      </w:r>
    </w:p>
    <w:p>
      <w:pPr>
        <w:pStyle w:val="21"/>
        <w:snapToGrid w:val="0"/>
        <w:spacing w:line="360" w:lineRule="auto"/>
        <w:jc w:val="center"/>
        <w:rPr>
          <w:rFonts w:hint="eastAsia" w:hAnsi="宋体"/>
          <w:b/>
          <w:color w:val="auto"/>
          <w:sz w:val="24"/>
          <w:szCs w:val="24"/>
        </w:rPr>
      </w:pPr>
      <w:r>
        <w:rPr>
          <w:rFonts w:hint="eastAsia" w:hAnsi="宋体"/>
          <w:color w:val="auto"/>
          <w:sz w:val="24"/>
          <w:szCs w:val="24"/>
        </w:rPr>
        <w:t xml:space="preserve">                                      编号：</w:t>
      </w:r>
    </w:p>
    <w:p>
      <w:pPr>
        <w:spacing w:line="360" w:lineRule="auto"/>
        <w:rPr>
          <w:rFonts w:hint="eastAsia" w:ascii="宋体" w:hAnsi="宋体"/>
          <w:color w:val="auto"/>
          <w:sz w:val="24"/>
          <w:szCs w:val="24"/>
          <w:u w:val="single"/>
        </w:rPr>
      </w:pPr>
      <w:r>
        <w:rPr>
          <w:rFonts w:hint="eastAsia" w:ascii="宋体" w:hAnsi="宋体"/>
          <w:b/>
          <w:bCs/>
          <w:color w:val="auto"/>
          <w:sz w:val="24"/>
          <w:szCs w:val="24"/>
        </w:rPr>
        <w:t>甲方</w:t>
      </w:r>
      <w:r>
        <w:rPr>
          <w:rFonts w:hint="eastAsia" w:ascii="宋体" w:hAnsi="宋体"/>
          <w:color w:val="auto"/>
          <w:sz w:val="24"/>
          <w:szCs w:val="24"/>
        </w:rPr>
        <w:t>（采购人）：</w:t>
      </w:r>
      <w:r>
        <w:rPr>
          <w:rFonts w:hint="eastAsia" w:ascii="宋体" w:hAnsi="宋体"/>
          <w:color w:val="auto"/>
          <w:sz w:val="24"/>
          <w:szCs w:val="24"/>
          <w:u w:val="single"/>
        </w:rPr>
        <w:t xml:space="preserve">                       </w:t>
      </w:r>
    </w:p>
    <w:p>
      <w:pPr>
        <w:spacing w:line="360" w:lineRule="auto"/>
        <w:rPr>
          <w:rFonts w:hint="eastAsia" w:ascii="宋体" w:hAnsi="宋体"/>
          <w:color w:val="auto"/>
          <w:sz w:val="24"/>
          <w:szCs w:val="24"/>
        </w:rPr>
      </w:pPr>
      <w:r>
        <w:rPr>
          <w:rFonts w:hint="eastAsia" w:ascii="宋体" w:hAnsi="宋体"/>
          <w:b/>
          <w:bCs/>
          <w:color w:val="auto"/>
          <w:sz w:val="24"/>
          <w:szCs w:val="24"/>
        </w:rPr>
        <w:t>乙方</w:t>
      </w:r>
      <w:r>
        <w:rPr>
          <w:rFonts w:hint="eastAsia" w:ascii="宋体" w:hAnsi="宋体"/>
          <w:color w:val="auto"/>
          <w:sz w:val="24"/>
          <w:szCs w:val="24"/>
        </w:rPr>
        <w:t>（供应商）：</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i/>
          <w:color w:val="auto"/>
          <w:sz w:val="24"/>
          <w:szCs w:val="24"/>
          <w:u w:val="single"/>
        </w:rPr>
        <w:t>（采购人）</w:t>
      </w:r>
      <w:r>
        <w:rPr>
          <w:rFonts w:hint="eastAsia" w:ascii="宋体" w:hAnsi="宋体"/>
          <w:color w:val="auto"/>
          <w:sz w:val="24"/>
          <w:szCs w:val="24"/>
        </w:rPr>
        <w:t>经过公开招标，确定</w:t>
      </w:r>
      <w:r>
        <w:rPr>
          <w:rFonts w:hint="eastAsia" w:ascii="宋体" w:hAnsi="宋体"/>
          <w:i/>
          <w:color w:val="auto"/>
          <w:sz w:val="24"/>
          <w:szCs w:val="24"/>
          <w:u w:val="single"/>
        </w:rPr>
        <w:t>（中标供应商）</w:t>
      </w:r>
      <w:r>
        <w:rPr>
          <w:rFonts w:hint="eastAsia" w:ascii="宋体" w:hAnsi="宋体"/>
          <w:color w:val="auto"/>
          <w:sz w:val="24"/>
          <w:szCs w:val="24"/>
        </w:rPr>
        <w:t>为供货单位，经甲乙双方协商，达成以下条款。具体如下：</w:t>
      </w:r>
    </w:p>
    <w:p>
      <w:pPr>
        <w:spacing w:line="360" w:lineRule="auto"/>
        <w:ind w:firstLine="482" w:firstLineChars="200"/>
        <w:rPr>
          <w:rFonts w:hint="eastAsia" w:ascii="宋体" w:hAnsi="宋体"/>
          <w:color w:val="auto"/>
          <w:sz w:val="24"/>
          <w:szCs w:val="24"/>
        </w:rPr>
      </w:pPr>
      <w:r>
        <w:rPr>
          <w:rFonts w:hint="eastAsia" w:ascii="宋体" w:hAnsi="宋体"/>
          <w:b/>
          <w:color w:val="auto"/>
          <w:sz w:val="24"/>
          <w:szCs w:val="24"/>
        </w:rPr>
        <w:t>第一条</w:t>
      </w:r>
      <w:r>
        <w:rPr>
          <w:rFonts w:hint="eastAsia" w:ascii="宋体" w:hAnsi="宋体"/>
          <w:color w:val="auto"/>
          <w:sz w:val="24"/>
          <w:szCs w:val="24"/>
        </w:rPr>
        <w:t xml:space="preserve">  采购商品清单及合同价格  </w:t>
      </w:r>
    </w:p>
    <w:tbl>
      <w:tblPr>
        <w:tblStyle w:val="46"/>
        <w:tblW w:w="8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2509"/>
        <w:gridCol w:w="900"/>
        <w:gridCol w:w="126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440" w:type="dxa"/>
            <w:vAlign w:val="center"/>
          </w:tcPr>
          <w:p>
            <w:pPr>
              <w:pStyle w:val="21"/>
              <w:snapToGrid w:val="0"/>
              <w:spacing w:line="360" w:lineRule="auto"/>
              <w:jc w:val="center"/>
              <w:rPr>
                <w:rFonts w:hint="eastAsia" w:hAnsi="宋体"/>
                <w:color w:val="auto"/>
                <w:sz w:val="24"/>
                <w:szCs w:val="24"/>
              </w:rPr>
            </w:pPr>
            <w:r>
              <w:rPr>
                <w:rFonts w:hint="eastAsia" w:hAnsi="宋体"/>
                <w:color w:val="auto"/>
                <w:sz w:val="24"/>
                <w:szCs w:val="24"/>
              </w:rPr>
              <w:t>使用单位</w:t>
            </w:r>
          </w:p>
        </w:tc>
        <w:tc>
          <w:tcPr>
            <w:tcW w:w="1440" w:type="dxa"/>
            <w:vAlign w:val="center"/>
          </w:tcPr>
          <w:p>
            <w:pPr>
              <w:pStyle w:val="21"/>
              <w:snapToGrid w:val="0"/>
              <w:spacing w:line="360" w:lineRule="auto"/>
              <w:jc w:val="center"/>
              <w:rPr>
                <w:rFonts w:hint="eastAsia" w:hAnsi="宋体"/>
                <w:color w:val="auto"/>
                <w:sz w:val="24"/>
                <w:szCs w:val="24"/>
              </w:rPr>
            </w:pPr>
            <w:r>
              <w:rPr>
                <w:rFonts w:hint="eastAsia" w:hAnsi="宋体"/>
                <w:color w:val="auto"/>
                <w:sz w:val="24"/>
                <w:szCs w:val="24"/>
              </w:rPr>
              <w:t>商品名称</w:t>
            </w:r>
          </w:p>
        </w:tc>
        <w:tc>
          <w:tcPr>
            <w:tcW w:w="2509" w:type="dxa"/>
            <w:vAlign w:val="center"/>
          </w:tcPr>
          <w:p>
            <w:pPr>
              <w:pStyle w:val="21"/>
              <w:snapToGrid w:val="0"/>
              <w:spacing w:line="360" w:lineRule="auto"/>
              <w:jc w:val="center"/>
              <w:rPr>
                <w:rFonts w:hint="eastAsia" w:hAnsi="宋体"/>
                <w:color w:val="auto"/>
                <w:sz w:val="24"/>
                <w:szCs w:val="24"/>
              </w:rPr>
            </w:pPr>
            <w:r>
              <w:rPr>
                <w:rFonts w:hint="eastAsia" w:hAnsi="宋体"/>
                <w:color w:val="auto"/>
                <w:sz w:val="24"/>
                <w:szCs w:val="24"/>
              </w:rPr>
              <w:t>配置要求</w:t>
            </w:r>
          </w:p>
        </w:tc>
        <w:tc>
          <w:tcPr>
            <w:tcW w:w="900" w:type="dxa"/>
            <w:vAlign w:val="center"/>
          </w:tcPr>
          <w:p>
            <w:pPr>
              <w:pStyle w:val="21"/>
              <w:snapToGrid w:val="0"/>
              <w:spacing w:line="360" w:lineRule="auto"/>
              <w:jc w:val="center"/>
              <w:rPr>
                <w:rFonts w:hint="eastAsia" w:hAnsi="宋体"/>
                <w:color w:val="auto"/>
                <w:sz w:val="24"/>
                <w:szCs w:val="24"/>
              </w:rPr>
            </w:pPr>
            <w:r>
              <w:rPr>
                <w:rFonts w:hint="eastAsia" w:hAnsi="宋体"/>
                <w:color w:val="auto"/>
                <w:sz w:val="24"/>
                <w:szCs w:val="24"/>
              </w:rPr>
              <w:t>数量</w:t>
            </w:r>
          </w:p>
        </w:tc>
        <w:tc>
          <w:tcPr>
            <w:tcW w:w="1260" w:type="dxa"/>
            <w:vAlign w:val="center"/>
          </w:tcPr>
          <w:p>
            <w:pPr>
              <w:pStyle w:val="21"/>
              <w:snapToGrid w:val="0"/>
              <w:spacing w:line="360" w:lineRule="auto"/>
              <w:jc w:val="center"/>
              <w:rPr>
                <w:rFonts w:hint="eastAsia" w:hAnsi="宋体"/>
                <w:color w:val="auto"/>
                <w:sz w:val="24"/>
                <w:szCs w:val="24"/>
              </w:rPr>
            </w:pPr>
            <w:r>
              <w:rPr>
                <w:rFonts w:hint="eastAsia" w:hAnsi="宋体"/>
                <w:color w:val="auto"/>
                <w:sz w:val="24"/>
                <w:szCs w:val="24"/>
              </w:rPr>
              <w:t>单价（元）</w:t>
            </w:r>
          </w:p>
        </w:tc>
        <w:tc>
          <w:tcPr>
            <w:tcW w:w="1242" w:type="dxa"/>
            <w:vAlign w:val="center"/>
          </w:tcPr>
          <w:p>
            <w:pPr>
              <w:pStyle w:val="21"/>
              <w:snapToGrid w:val="0"/>
              <w:spacing w:line="360" w:lineRule="auto"/>
              <w:jc w:val="center"/>
              <w:rPr>
                <w:rFonts w:hint="eastAsia" w:hAnsi="宋体"/>
                <w:color w:val="auto"/>
                <w:sz w:val="24"/>
                <w:szCs w:val="24"/>
              </w:rPr>
            </w:pPr>
            <w:r>
              <w:rPr>
                <w:rFonts w:hint="eastAsia" w:hAnsi="宋体"/>
                <w:color w:val="auto"/>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440" w:type="dxa"/>
            <w:vAlign w:val="center"/>
          </w:tcPr>
          <w:p>
            <w:pPr>
              <w:pStyle w:val="150"/>
              <w:jc w:val="center"/>
              <w:rPr>
                <w:rFonts w:hint="eastAsia" w:hAnsi="宋体"/>
                <w:color w:val="auto"/>
                <w:szCs w:val="24"/>
              </w:rPr>
            </w:pPr>
          </w:p>
        </w:tc>
        <w:tc>
          <w:tcPr>
            <w:tcW w:w="1440" w:type="dxa"/>
            <w:vAlign w:val="center"/>
          </w:tcPr>
          <w:p>
            <w:pPr>
              <w:spacing w:line="360" w:lineRule="auto"/>
              <w:jc w:val="center"/>
              <w:rPr>
                <w:rFonts w:hint="eastAsia" w:ascii="宋体" w:hAnsi="宋体"/>
                <w:color w:val="auto"/>
                <w:sz w:val="24"/>
                <w:szCs w:val="24"/>
              </w:rPr>
            </w:pPr>
          </w:p>
        </w:tc>
        <w:tc>
          <w:tcPr>
            <w:tcW w:w="2509" w:type="dxa"/>
            <w:vAlign w:val="center"/>
          </w:tcPr>
          <w:p>
            <w:pPr>
              <w:spacing w:line="360" w:lineRule="auto"/>
              <w:jc w:val="center"/>
              <w:rPr>
                <w:rFonts w:hint="eastAsia" w:ascii="宋体" w:hAnsi="宋体"/>
                <w:color w:val="auto"/>
                <w:sz w:val="24"/>
                <w:szCs w:val="24"/>
              </w:rPr>
            </w:pPr>
          </w:p>
        </w:tc>
        <w:tc>
          <w:tcPr>
            <w:tcW w:w="900" w:type="dxa"/>
            <w:vAlign w:val="center"/>
          </w:tcPr>
          <w:p>
            <w:pPr>
              <w:spacing w:line="360" w:lineRule="auto"/>
              <w:ind w:firstLine="240" w:firstLineChars="100"/>
              <w:jc w:val="center"/>
              <w:rPr>
                <w:rFonts w:hint="eastAsia" w:ascii="宋体" w:hAnsi="宋体"/>
                <w:color w:val="auto"/>
                <w:sz w:val="24"/>
                <w:szCs w:val="24"/>
              </w:rPr>
            </w:pPr>
          </w:p>
        </w:tc>
        <w:tc>
          <w:tcPr>
            <w:tcW w:w="1260" w:type="dxa"/>
            <w:vAlign w:val="center"/>
          </w:tcPr>
          <w:p>
            <w:pPr>
              <w:spacing w:line="360" w:lineRule="auto"/>
              <w:jc w:val="center"/>
              <w:rPr>
                <w:rFonts w:hint="eastAsia" w:ascii="宋体" w:hAnsi="宋体"/>
                <w:color w:val="auto"/>
                <w:sz w:val="24"/>
                <w:szCs w:val="24"/>
              </w:rPr>
            </w:pPr>
          </w:p>
        </w:tc>
        <w:tc>
          <w:tcPr>
            <w:tcW w:w="1242" w:type="dxa"/>
            <w:vAlign w:val="center"/>
          </w:tcPr>
          <w:p>
            <w:pPr>
              <w:pStyle w:val="150"/>
              <w:jc w:val="center"/>
              <w:rPr>
                <w:rFonts w:hint="eastAsia"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389" w:type="dxa"/>
            <w:gridSpan w:val="3"/>
            <w:vAlign w:val="top"/>
          </w:tcPr>
          <w:p>
            <w:pPr>
              <w:pStyle w:val="21"/>
              <w:snapToGrid w:val="0"/>
              <w:spacing w:line="360" w:lineRule="auto"/>
              <w:rPr>
                <w:rFonts w:hint="eastAsia" w:hAnsi="宋体"/>
                <w:color w:val="auto"/>
                <w:sz w:val="24"/>
                <w:szCs w:val="24"/>
              </w:rPr>
            </w:pPr>
            <w:r>
              <w:rPr>
                <w:rFonts w:hint="eastAsia" w:hAnsi="宋体"/>
                <w:color w:val="auto"/>
                <w:sz w:val="24"/>
                <w:szCs w:val="24"/>
              </w:rPr>
              <w:t>合    计</w:t>
            </w:r>
          </w:p>
        </w:tc>
        <w:tc>
          <w:tcPr>
            <w:tcW w:w="900" w:type="dxa"/>
            <w:vAlign w:val="top"/>
          </w:tcPr>
          <w:p>
            <w:pPr>
              <w:pStyle w:val="21"/>
              <w:snapToGrid w:val="0"/>
              <w:spacing w:line="360" w:lineRule="auto"/>
              <w:jc w:val="center"/>
              <w:rPr>
                <w:rFonts w:hint="eastAsia" w:hAnsi="宋体"/>
                <w:color w:val="auto"/>
                <w:sz w:val="24"/>
                <w:szCs w:val="24"/>
              </w:rPr>
            </w:pPr>
          </w:p>
        </w:tc>
        <w:tc>
          <w:tcPr>
            <w:tcW w:w="2502" w:type="dxa"/>
            <w:gridSpan w:val="2"/>
            <w:vAlign w:val="top"/>
          </w:tcPr>
          <w:p>
            <w:pPr>
              <w:pStyle w:val="150"/>
              <w:rPr>
                <w:rFonts w:hint="eastAsia"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8791" w:type="dxa"/>
            <w:gridSpan w:val="6"/>
            <w:vAlign w:val="top"/>
          </w:tcPr>
          <w:p>
            <w:pPr>
              <w:pStyle w:val="21"/>
              <w:snapToGrid w:val="0"/>
              <w:spacing w:line="360" w:lineRule="auto"/>
              <w:rPr>
                <w:rFonts w:hint="eastAsia" w:hAnsi="宋体"/>
                <w:color w:val="auto"/>
                <w:sz w:val="24"/>
                <w:szCs w:val="24"/>
              </w:rPr>
            </w:pPr>
            <w:r>
              <w:rPr>
                <w:rFonts w:hint="eastAsia" w:hAnsi="宋体"/>
                <w:color w:val="auto"/>
                <w:sz w:val="24"/>
                <w:szCs w:val="24"/>
              </w:rPr>
              <w:t>合同总价：（人民币）元整</w:t>
            </w:r>
          </w:p>
        </w:tc>
      </w:tr>
    </w:tbl>
    <w:p>
      <w:pPr>
        <w:pStyle w:val="21"/>
        <w:snapToGrid w:val="0"/>
        <w:spacing w:line="360" w:lineRule="auto"/>
        <w:rPr>
          <w:rFonts w:hint="eastAsia" w:hAnsi="宋体"/>
          <w:color w:val="auto"/>
          <w:sz w:val="24"/>
          <w:szCs w:val="24"/>
        </w:rPr>
      </w:pPr>
      <w:r>
        <w:rPr>
          <w:rFonts w:hint="eastAsia" w:hAnsi="宋体"/>
          <w:color w:val="auto"/>
          <w:sz w:val="24"/>
          <w:szCs w:val="24"/>
        </w:rPr>
        <w:t>注：1、商品型号、数量、配置要求及使用单位地址等详后附清单</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 2、以上合同总价包括运抵各使用单位的运费及安装调试费等。</w:t>
      </w:r>
    </w:p>
    <w:p>
      <w:pPr>
        <w:spacing w:line="360" w:lineRule="auto"/>
        <w:rPr>
          <w:rFonts w:hint="eastAsia" w:ascii="宋体" w:hAnsi="宋体"/>
          <w:color w:val="auto"/>
          <w:sz w:val="24"/>
          <w:szCs w:val="24"/>
        </w:rPr>
      </w:pPr>
      <w:r>
        <w:rPr>
          <w:rFonts w:hint="eastAsia" w:ascii="宋体" w:hAnsi="宋体"/>
          <w:color w:val="auto"/>
          <w:sz w:val="24"/>
          <w:szCs w:val="24"/>
        </w:rPr>
        <w:t xml:space="preserve">    </w:t>
      </w:r>
      <w:r>
        <w:rPr>
          <w:rFonts w:hint="eastAsia" w:ascii="宋体" w:hAnsi="宋体"/>
          <w:b/>
          <w:color w:val="auto"/>
          <w:sz w:val="24"/>
          <w:szCs w:val="24"/>
        </w:rPr>
        <w:t>第二条</w:t>
      </w:r>
      <w:r>
        <w:rPr>
          <w:rFonts w:hint="eastAsia" w:ascii="宋体" w:hAnsi="宋体"/>
          <w:color w:val="auto"/>
          <w:sz w:val="24"/>
          <w:szCs w:val="24"/>
        </w:rPr>
        <w:t xml:space="preserve">  质量保证</w:t>
      </w:r>
    </w:p>
    <w:p>
      <w:pPr>
        <w:spacing w:line="360" w:lineRule="auto"/>
        <w:rPr>
          <w:rFonts w:hint="eastAsia" w:ascii="宋体" w:hAnsi="宋体"/>
          <w:color w:val="auto"/>
          <w:sz w:val="24"/>
          <w:szCs w:val="24"/>
        </w:rPr>
      </w:pPr>
      <w:r>
        <w:rPr>
          <w:rFonts w:hint="eastAsia" w:ascii="宋体" w:hAnsi="宋体"/>
          <w:color w:val="auto"/>
          <w:sz w:val="24"/>
          <w:szCs w:val="24"/>
        </w:rPr>
        <w:t>乙方保证本合同中所供应的国产商品是</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pPr>
        <w:spacing w:line="360" w:lineRule="auto"/>
        <w:ind w:firstLine="482" w:firstLineChars="200"/>
        <w:rPr>
          <w:rFonts w:hint="eastAsia" w:ascii="宋体" w:hAnsi="宋体"/>
          <w:color w:val="auto"/>
          <w:sz w:val="24"/>
          <w:szCs w:val="24"/>
        </w:rPr>
      </w:pPr>
      <w:r>
        <w:rPr>
          <w:rFonts w:hint="eastAsia" w:ascii="宋体" w:hAnsi="宋体"/>
          <w:b/>
          <w:color w:val="auto"/>
          <w:sz w:val="24"/>
          <w:szCs w:val="24"/>
        </w:rPr>
        <w:t>第三条</w:t>
      </w:r>
      <w:r>
        <w:rPr>
          <w:rFonts w:hint="eastAsia" w:ascii="宋体" w:hAnsi="宋体"/>
          <w:color w:val="auto"/>
          <w:sz w:val="24"/>
          <w:szCs w:val="24"/>
        </w:rPr>
        <w:t xml:space="preserve">  交货时间、地点</w:t>
      </w:r>
    </w:p>
    <w:p>
      <w:pPr>
        <w:pStyle w:val="21"/>
        <w:snapToGrid w:val="0"/>
        <w:spacing w:line="360" w:lineRule="auto"/>
        <w:ind w:firstLine="480" w:firstLineChars="200"/>
        <w:rPr>
          <w:rFonts w:hint="eastAsia" w:hAnsi="宋体"/>
          <w:color w:val="auto"/>
          <w:sz w:val="24"/>
          <w:szCs w:val="24"/>
        </w:rPr>
      </w:pPr>
      <w:r>
        <w:rPr>
          <w:rFonts w:hint="eastAsia" w:hAnsi="宋体"/>
          <w:color w:val="auto"/>
          <w:sz w:val="24"/>
          <w:szCs w:val="24"/>
        </w:rPr>
        <w:t>1、乙方在合同签订后</w:t>
      </w:r>
      <w:r>
        <w:rPr>
          <w:rFonts w:hint="eastAsia" w:hAnsi="宋体"/>
          <w:color w:val="auto"/>
          <w:sz w:val="24"/>
          <w:szCs w:val="24"/>
          <w:u w:val="single"/>
        </w:rPr>
        <w:t xml:space="preserve">   </w:t>
      </w:r>
      <w:r>
        <w:rPr>
          <w:rFonts w:hint="eastAsia" w:hAnsi="宋体"/>
          <w:color w:val="auto"/>
          <w:sz w:val="24"/>
          <w:szCs w:val="24"/>
        </w:rPr>
        <w:t>个工作日内按照其与甲方事先直接联系约定（使用单位地址、联系人等见清单）将所供商品运至甲方指定地点拆箱，并负责安装调试完毕后交使用方验收。</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2、在所供商品交付使用时，乙方必须向甲方提供产品说明书、质量保证书、保修卡等必须具备的相关资料和必备的附件。</w:t>
      </w:r>
    </w:p>
    <w:p>
      <w:pPr>
        <w:spacing w:line="360" w:lineRule="auto"/>
        <w:ind w:firstLine="482" w:firstLineChars="200"/>
        <w:rPr>
          <w:rFonts w:hint="eastAsia" w:ascii="宋体" w:hAnsi="宋体"/>
          <w:color w:val="auto"/>
          <w:sz w:val="24"/>
          <w:szCs w:val="24"/>
        </w:rPr>
      </w:pPr>
      <w:r>
        <w:rPr>
          <w:rFonts w:hint="eastAsia" w:ascii="宋体" w:hAnsi="宋体"/>
          <w:b/>
          <w:color w:val="auto"/>
          <w:sz w:val="24"/>
          <w:szCs w:val="24"/>
        </w:rPr>
        <w:t>第四条</w:t>
      </w:r>
      <w:r>
        <w:rPr>
          <w:rFonts w:hint="eastAsia" w:ascii="宋体" w:hAnsi="宋体"/>
          <w:color w:val="auto"/>
          <w:sz w:val="24"/>
          <w:szCs w:val="24"/>
        </w:rPr>
        <w:t xml:space="preserve">  售后服务</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质量保修期(质保期从合同商品验收合格之日算起)</w:t>
      </w:r>
      <w:r>
        <w:rPr>
          <w:rFonts w:hint="eastAsia" w:ascii="宋体" w:hAnsi="宋体"/>
          <w:color w:val="auto"/>
          <w:sz w:val="24"/>
          <w:szCs w:val="24"/>
          <w:u w:val="single"/>
        </w:rPr>
        <w:t xml:space="preserve">    </w:t>
      </w:r>
      <w:r>
        <w:rPr>
          <w:rFonts w:hint="eastAsia" w:ascii="宋体" w:hAnsi="宋体"/>
          <w:color w:val="auto"/>
          <w:sz w:val="24"/>
          <w:szCs w:val="24"/>
        </w:rPr>
        <w:t>年。保质期内因不能排除的故障而影响工作的情况每发生一次，其质保期相应延长60天，保质期内因合同商品本身缺陷造成各种故障应由卖方免费技术服务和维修；质保期满后，仅收取零配件成本费用，免人工费用。合同商品出现故障后，中标人接到需方通知后,最迟于4小时内做出响应，2个工作日内解决故障。合同商品到达后,中标人提供安装调试，培训服务，帮助需方用户尽快熟悉使用。</w:t>
      </w:r>
    </w:p>
    <w:p>
      <w:pPr>
        <w:spacing w:line="360" w:lineRule="auto"/>
        <w:ind w:firstLine="482" w:firstLineChars="200"/>
        <w:rPr>
          <w:rFonts w:hint="eastAsia" w:ascii="宋体" w:hAnsi="宋体"/>
          <w:color w:val="auto"/>
          <w:sz w:val="24"/>
          <w:szCs w:val="24"/>
        </w:rPr>
      </w:pPr>
      <w:r>
        <w:rPr>
          <w:rFonts w:hint="eastAsia" w:ascii="宋体" w:hAnsi="宋体"/>
          <w:b/>
          <w:color w:val="auto"/>
          <w:sz w:val="24"/>
          <w:szCs w:val="24"/>
        </w:rPr>
        <w:t>第五条</w:t>
      </w:r>
      <w:r>
        <w:rPr>
          <w:rFonts w:hint="eastAsia" w:ascii="宋体" w:hAnsi="宋体"/>
          <w:color w:val="auto"/>
          <w:sz w:val="24"/>
          <w:szCs w:val="24"/>
        </w:rPr>
        <w:t xml:space="preserve">  验收</w:t>
      </w:r>
    </w:p>
    <w:p>
      <w:pPr>
        <w:pStyle w:val="21"/>
        <w:snapToGrid w:val="0"/>
        <w:spacing w:line="360" w:lineRule="auto"/>
        <w:ind w:firstLine="480" w:firstLineChars="200"/>
        <w:rPr>
          <w:rFonts w:hint="eastAsia" w:hAnsi="宋体"/>
          <w:color w:val="auto"/>
          <w:sz w:val="24"/>
          <w:szCs w:val="24"/>
        </w:rPr>
      </w:pPr>
      <w:r>
        <w:rPr>
          <w:rFonts w:hint="eastAsia" w:hAnsi="宋体"/>
          <w:color w:val="auto"/>
          <w:sz w:val="24"/>
          <w:szCs w:val="24"/>
        </w:rPr>
        <w:t>乙方将所供商品运至交货地点拆箱并安装调试完毕后，由各使用单位及时负责验收。</w:t>
      </w:r>
    </w:p>
    <w:p>
      <w:pPr>
        <w:spacing w:line="360" w:lineRule="auto"/>
        <w:rPr>
          <w:rFonts w:hint="eastAsia" w:ascii="宋体" w:hAnsi="宋体"/>
          <w:color w:val="auto"/>
          <w:sz w:val="24"/>
          <w:szCs w:val="24"/>
        </w:rPr>
      </w:pPr>
      <w:r>
        <w:rPr>
          <w:rFonts w:hint="eastAsia" w:ascii="宋体" w:hAnsi="宋体"/>
          <w:color w:val="auto"/>
          <w:sz w:val="24"/>
          <w:szCs w:val="24"/>
        </w:rPr>
        <w:t>合同商品从验收合格次日起7天内，出现非使用方人为因素造成的无法排除的故障，由乙方予以整机调换。</w:t>
      </w:r>
    </w:p>
    <w:p>
      <w:pPr>
        <w:spacing w:line="360" w:lineRule="auto"/>
        <w:ind w:firstLine="472" w:firstLineChars="196"/>
        <w:rPr>
          <w:rFonts w:hint="eastAsia" w:ascii="宋体" w:hAnsi="宋体"/>
          <w:color w:val="auto"/>
          <w:sz w:val="24"/>
          <w:szCs w:val="24"/>
        </w:rPr>
      </w:pPr>
      <w:r>
        <w:rPr>
          <w:rFonts w:hint="eastAsia" w:ascii="宋体" w:hAnsi="宋体"/>
          <w:b/>
          <w:color w:val="auto"/>
          <w:sz w:val="24"/>
          <w:szCs w:val="24"/>
        </w:rPr>
        <w:t>第六条</w:t>
      </w:r>
      <w:r>
        <w:rPr>
          <w:rFonts w:hint="eastAsia" w:ascii="宋体" w:hAnsi="宋体"/>
          <w:color w:val="auto"/>
          <w:sz w:val="24"/>
          <w:szCs w:val="24"/>
        </w:rPr>
        <w:t xml:space="preserve">  </w:t>
      </w:r>
      <w:r>
        <w:rPr>
          <w:rFonts w:hint="eastAsia" w:ascii="宋体" w:hAnsi="宋体"/>
          <w:color w:val="auto"/>
          <w:sz w:val="24"/>
          <w:szCs w:val="24"/>
          <w:lang w:eastAsia="zh-CN"/>
        </w:rPr>
        <w:t>履约保证金及</w:t>
      </w:r>
      <w:r>
        <w:rPr>
          <w:rFonts w:hint="eastAsia" w:ascii="宋体" w:hAnsi="宋体"/>
          <w:color w:val="auto"/>
          <w:sz w:val="24"/>
          <w:szCs w:val="24"/>
        </w:rPr>
        <w:t>货款的支付</w:t>
      </w:r>
    </w:p>
    <w:p>
      <w:pPr>
        <w:pStyle w:val="21"/>
        <w:rPr>
          <w:rFonts w:hint="eastAsia"/>
        </w:rPr>
      </w:pPr>
    </w:p>
    <w:p>
      <w:pPr>
        <w:spacing w:line="360" w:lineRule="auto"/>
        <w:ind w:firstLine="482" w:firstLineChars="200"/>
        <w:rPr>
          <w:rFonts w:hint="eastAsia" w:ascii="宋体" w:hAnsi="宋体"/>
          <w:b/>
          <w:color w:val="auto"/>
          <w:sz w:val="24"/>
          <w:szCs w:val="24"/>
        </w:rPr>
      </w:pPr>
    </w:p>
    <w:p>
      <w:pPr>
        <w:spacing w:line="360" w:lineRule="auto"/>
        <w:ind w:firstLine="482" w:firstLineChars="200"/>
        <w:rPr>
          <w:rFonts w:hint="eastAsia" w:ascii="宋体" w:hAnsi="宋体"/>
          <w:color w:val="auto"/>
          <w:sz w:val="24"/>
          <w:szCs w:val="24"/>
        </w:rPr>
      </w:pPr>
      <w:r>
        <w:rPr>
          <w:rFonts w:hint="eastAsia" w:ascii="宋体" w:hAnsi="宋体"/>
          <w:b/>
          <w:color w:val="auto"/>
          <w:sz w:val="24"/>
          <w:szCs w:val="24"/>
        </w:rPr>
        <w:t>第七条</w:t>
      </w:r>
      <w:r>
        <w:rPr>
          <w:rFonts w:hint="eastAsia" w:ascii="宋体" w:hAnsi="宋体"/>
          <w:color w:val="auto"/>
          <w:sz w:val="24"/>
          <w:szCs w:val="24"/>
        </w:rPr>
        <w:t xml:space="preserve">  其它约定</w:t>
      </w:r>
    </w:p>
    <w:p>
      <w:pPr>
        <w:spacing w:line="360" w:lineRule="auto"/>
        <w:rPr>
          <w:rFonts w:hint="eastAsia" w:ascii="宋体" w:hAnsi="宋体"/>
          <w:color w:val="auto"/>
          <w:sz w:val="24"/>
          <w:szCs w:val="24"/>
        </w:rPr>
      </w:pPr>
    </w:p>
    <w:p>
      <w:pPr>
        <w:spacing w:line="360" w:lineRule="auto"/>
        <w:rPr>
          <w:rFonts w:hint="eastAsia" w:ascii="宋体" w:hAnsi="宋体"/>
          <w:color w:val="auto"/>
          <w:sz w:val="24"/>
          <w:szCs w:val="24"/>
        </w:rPr>
      </w:pPr>
      <w:r>
        <w:rPr>
          <w:rFonts w:hint="eastAsia" w:ascii="宋体" w:hAnsi="宋体"/>
          <w:b/>
          <w:color w:val="auto"/>
          <w:sz w:val="24"/>
          <w:szCs w:val="24"/>
        </w:rPr>
        <w:t>第八条</w:t>
      </w:r>
      <w:r>
        <w:rPr>
          <w:rFonts w:hint="eastAsia" w:ascii="宋体" w:hAnsi="宋体"/>
          <w:color w:val="auto"/>
          <w:sz w:val="24"/>
          <w:szCs w:val="24"/>
        </w:rPr>
        <w:t xml:space="preserve">  违约责任</w:t>
      </w:r>
    </w:p>
    <w:p>
      <w:pPr>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1.签订合同后乙方先安装一间教室，一周内完工，安装完成的教室经第三方检测符合</w:t>
      </w:r>
      <w:r>
        <w:rPr>
          <w:rFonts w:hint="eastAsia" w:ascii="宋体" w:hAnsi="宋体" w:cs="宋体"/>
          <w:b w:val="0"/>
          <w:bCs/>
          <w:kern w:val="0"/>
          <w:szCs w:val="21"/>
        </w:rPr>
        <w:t>CQC3155-2016 中小学校及幼儿园教室照明产品节能认证技术规范</w:t>
      </w:r>
      <w:r>
        <w:rPr>
          <w:rFonts w:hint="eastAsia" w:ascii="宋体" w:hAnsi="宋体"/>
          <w:b w:val="0"/>
          <w:bCs/>
          <w:color w:val="auto"/>
          <w:sz w:val="24"/>
          <w:szCs w:val="24"/>
          <w:lang w:val="en-US" w:eastAsia="zh-CN"/>
        </w:rPr>
        <w:t>要求的（检测不合格的允许整改一次，三天内整改完成，再次检测不合格的，甲方有权无条件解除合同）。所有教室安装完毕，将由第三方检测机构随机抽取2-3间教室进行检测，符合</w:t>
      </w:r>
      <w:r>
        <w:rPr>
          <w:rFonts w:hint="eastAsia" w:ascii="宋体" w:hAnsi="宋体" w:cs="宋体"/>
          <w:b w:val="0"/>
          <w:bCs/>
          <w:kern w:val="0"/>
          <w:szCs w:val="21"/>
        </w:rPr>
        <w:t>CQC3155-2016 中小学校及幼儿园教室照明产品节能认证技术规范</w:t>
      </w:r>
      <w:r>
        <w:rPr>
          <w:rFonts w:hint="eastAsia" w:ascii="宋体" w:hAnsi="宋体"/>
          <w:b w:val="0"/>
          <w:bCs/>
          <w:color w:val="auto"/>
          <w:sz w:val="24"/>
          <w:szCs w:val="24"/>
          <w:lang w:val="en-US" w:eastAsia="zh-CN"/>
        </w:rPr>
        <w:t>要求的验收合格，若第一次检测不合格的，将对所有教室进行检测（检测费用由中标人承担），超过30%教室检测不合格的，甲方有权无条件解除合同。不足30%教室检测不合格的，允许整改一次，整改后一次性检测合格的验收合格，否则甲方有权无条件解除合同。因上述原因导致解除合同的，甲方除解除合同外将收回已支付的预付款，以及甲方造成的损失由中标人承担，乙方必须无条件接受。</w:t>
      </w:r>
    </w:p>
    <w:p>
      <w:pPr>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2.乙方逾期履行合同的，甲方有权没收履约保证金，并自逾期之日起，向甲方每日偿付合同总价千分之二的滞纳金；乙方逾期20日不能交货的，视为乙方不能交货，甲方有权解除合同，乙方应承担违约责任，应向甲方支付合同总价百分之五的违约金。</w:t>
      </w:r>
    </w:p>
    <w:p>
      <w:pPr>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3.若乙方存在撤销响应文件和无正当理由放弃成交、不与甲方签订书面合同等情形或被行政部门查实存在违法违规行为，导致甲方重新采购的，除乙方按预算金额的2%向甲方偿付违约金（赔偿金额不足以弥补采购人损失的，乙方应继续承担超过部分的损失）外，甲方将拒绝该乙方再次响应本项目。</w:t>
      </w:r>
    </w:p>
    <w:p>
      <w:pPr>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4.乙方在采购过程中或合同履行过程中存在其他违法行为的，且违法行为严重的，乙方在承担相应的民事责任以外，甲方将有权向相关行政管理部门建议给予乙方限制本项目内容所涉及的市场响应采购的处罚。</w:t>
      </w:r>
    </w:p>
    <w:p>
      <w:pPr>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5.甲方逾期支付货款的（因财政原因除外），应向乙方每日偿付合同总价千分之二的滞纳金。甲方无正当理由拒收货物、拒付货款的，应向乙方偿付合同总价百分之五的违约金。</w:t>
      </w:r>
    </w:p>
    <w:p>
      <w:pPr>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6.甲方无故拖延支付货款超过合同规定支付时间的，乙方可按照有关规定向甲方直接发起支付申请，并要求当地有关部门对其违规情况予以处理。</w:t>
      </w:r>
    </w:p>
    <w:p>
      <w:pPr>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7.乙方在合同履约期间未完全履行投标文件的承诺内容的，采购人将视其情节严重程度给予相应处罚，甲方保留终止合同的权利。</w:t>
      </w:r>
    </w:p>
    <w:p>
      <w:pPr>
        <w:spacing w:line="360" w:lineRule="auto"/>
        <w:rPr>
          <w:rFonts w:hint="eastAsia" w:ascii="宋体" w:hAnsi="宋体"/>
          <w:color w:val="auto"/>
          <w:sz w:val="24"/>
          <w:szCs w:val="24"/>
        </w:rPr>
      </w:pPr>
      <w:r>
        <w:rPr>
          <w:rFonts w:hint="eastAsia" w:ascii="宋体" w:hAnsi="宋体"/>
          <w:color w:val="auto"/>
          <w:sz w:val="24"/>
          <w:szCs w:val="24"/>
        </w:rPr>
        <w:t xml:space="preserve">    </w:t>
      </w:r>
      <w:r>
        <w:rPr>
          <w:rFonts w:hint="eastAsia" w:ascii="宋体" w:hAnsi="宋体"/>
          <w:b/>
          <w:color w:val="auto"/>
          <w:sz w:val="24"/>
          <w:szCs w:val="24"/>
        </w:rPr>
        <w:t>第九条</w:t>
      </w:r>
      <w:r>
        <w:rPr>
          <w:rFonts w:hint="eastAsia" w:ascii="宋体" w:hAnsi="宋体"/>
          <w:color w:val="auto"/>
          <w:sz w:val="24"/>
          <w:szCs w:val="24"/>
        </w:rPr>
        <w:t xml:space="preserve">  争议的解决</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本合同为政府采购之合同，在发生所供商品的质量、售后服务等问题时，甲方有权直接向乙方索赔，签订必要的书面处理协议。如协商不成，在甲方所在地选择诉讼的途径解决。</w:t>
      </w:r>
    </w:p>
    <w:p>
      <w:pPr>
        <w:spacing w:line="360" w:lineRule="auto"/>
        <w:ind w:firstLine="482" w:firstLineChars="200"/>
        <w:rPr>
          <w:rFonts w:hint="eastAsia" w:ascii="宋体" w:hAnsi="宋体"/>
          <w:color w:val="auto"/>
          <w:sz w:val="24"/>
          <w:szCs w:val="24"/>
        </w:rPr>
      </w:pPr>
      <w:r>
        <w:rPr>
          <w:rFonts w:hint="eastAsia" w:ascii="宋体" w:hAnsi="宋体"/>
          <w:b/>
          <w:color w:val="auto"/>
          <w:sz w:val="24"/>
          <w:szCs w:val="24"/>
        </w:rPr>
        <w:t>第十条</w:t>
      </w:r>
      <w:r>
        <w:rPr>
          <w:rFonts w:hint="eastAsia" w:ascii="宋体" w:hAnsi="宋体"/>
          <w:color w:val="auto"/>
          <w:sz w:val="24"/>
          <w:szCs w:val="24"/>
        </w:rPr>
        <w:t xml:space="preserve">  合同的生效</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1、本合同经甲乙双方法定代表人或其委托人签字并加盖公章后生效。</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2、本合同一式</w:t>
      </w:r>
      <w:r>
        <w:rPr>
          <w:rFonts w:hint="eastAsia" w:ascii="宋体" w:hAnsi="宋体"/>
          <w:i/>
          <w:color w:val="auto"/>
          <w:sz w:val="24"/>
          <w:szCs w:val="24"/>
          <w:u w:val="single"/>
        </w:rPr>
        <w:t xml:space="preserve">五 </w:t>
      </w:r>
      <w:r>
        <w:rPr>
          <w:rFonts w:hint="eastAsia" w:ascii="宋体" w:hAnsi="宋体"/>
          <w:color w:val="auto"/>
          <w:sz w:val="24"/>
          <w:szCs w:val="24"/>
        </w:rPr>
        <w:t>份，甲乙双方执</w:t>
      </w:r>
      <w:r>
        <w:rPr>
          <w:rFonts w:hint="eastAsia" w:ascii="宋体" w:hAnsi="宋体"/>
          <w:i/>
          <w:color w:val="auto"/>
          <w:sz w:val="24"/>
          <w:szCs w:val="24"/>
          <w:u w:val="single"/>
        </w:rPr>
        <w:t xml:space="preserve">二 </w:t>
      </w:r>
      <w:r>
        <w:rPr>
          <w:rFonts w:hint="eastAsia" w:ascii="宋体" w:hAnsi="宋体"/>
          <w:color w:val="auto"/>
          <w:sz w:val="24"/>
          <w:szCs w:val="24"/>
        </w:rPr>
        <w:t>份，代理机构执一份。</w:t>
      </w:r>
    </w:p>
    <w:p>
      <w:pPr>
        <w:spacing w:line="360" w:lineRule="auto"/>
        <w:rPr>
          <w:rFonts w:hint="eastAsia" w:ascii="宋体" w:hAnsi="宋体"/>
          <w:color w:val="auto"/>
          <w:sz w:val="24"/>
          <w:szCs w:val="24"/>
        </w:rPr>
      </w:pPr>
      <w:r>
        <w:rPr>
          <w:rFonts w:hint="eastAsia" w:ascii="宋体" w:hAnsi="宋体"/>
          <w:color w:val="auto"/>
          <w:sz w:val="24"/>
          <w:szCs w:val="24"/>
        </w:rPr>
        <w:t xml:space="preserve">    3、相关招标文件、投标文件与本合同具有同等法律效力。</w:t>
      </w:r>
    </w:p>
    <w:p>
      <w:pPr>
        <w:spacing w:line="360" w:lineRule="auto"/>
        <w:rPr>
          <w:rFonts w:hint="eastAsia" w:ascii="宋体" w:hAnsi="宋体"/>
          <w:color w:val="auto"/>
          <w:sz w:val="24"/>
          <w:szCs w:val="24"/>
        </w:rPr>
      </w:pPr>
      <w:r>
        <w:rPr>
          <w:rFonts w:hint="eastAsia" w:ascii="宋体" w:hAnsi="宋体"/>
          <w:color w:val="auto"/>
          <w:sz w:val="24"/>
          <w:szCs w:val="24"/>
        </w:rPr>
        <w:t xml:space="preserve">甲  方（盖章）：                乙  方（盖章）： </w:t>
      </w:r>
    </w:p>
    <w:p>
      <w:pPr>
        <w:spacing w:line="360" w:lineRule="auto"/>
        <w:rPr>
          <w:rFonts w:hint="eastAsia" w:ascii="宋体" w:hAnsi="宋体"/>
          <w:color w:val="auto"/>
          <w:sz w:val="24"/>
          <w:szCs w:val="24"/>
        </w:rPr>
      </w:pPr>
      <w:r>
        <w:rPr>
          <w:rFonts w:hint="eastAsia" w:ascii="宋体" w:hAnsi="宋体"/>
          <w:color w:val="auto"/>
          <w:sz w:val="24"/>
          <w:szCs w:val="24"/>
        </w:rPr>
        <w:t>法定代表人或受委托人（签字）：  法定代表人或受委托人（签字）：</w:t>
      </w:r>
    </w:p>
    <w:p>
      <w:pPr>
        <w:spacing w:line="360" w:lineRule="auto"/>
        <w:rPr>
          <w:rFonts w:hint="eastAsia" w:ascii="宋体" w:hAnsi="宋体"/>
          <w:color w:val="auto"/>
          <w:sz w:val="24"/>
          <w:szCs w:val="24"/>
        </w:rPr>
      </w:pPr>
      <w:r>
        <w:rPr>
          <w:rFonts w:hint="eastAsia" w:ascii="宋体" w:hAnsi="宋体"/>
          <w:color w:val="auto"/>
          <w:sz w:val="24"/>
          <w:szCs w:val="24"/>
        </w:rPr>
        <w:t xml:space="preserve">地  址：                       地 址： </w:t>
      </w:r>
    </w:p>
    <w:p>
      <w:pPr>
        <w:spacing w:line="360" w:lineRule="auto"/>
        <w:rPr>
          <w:rFonts w:hint="eastAsia" w:ascii="宋体" w:hAnsi="宋体"/>
          <w:color w:val="auto"/>
          <w:sz w:val="24"/>
          <w:szCs w:val="24"/>
        </w:rPr>
      </w:pPr>
      <w:r>
        <w:rPr>
          <w:rFonts w:hint="eastAsia" w:ascii="宋体" w:hAnsi="宋体"/>
          <w:color w:val="auto"/>
          <w:sz w:val="24"/>
          <w:szCs w:val="24"/>
        </w:rPr>
        <w:t xml:space="preserve">电  话：                       电  话： </w:t>
      </w:r>
    </w:p>
    <w:p>
      <w:pPr>
        <w:spacing w:line="360" w:lineRule="auto"/>
        <w:rPr>
          <w:rFonts w:hint="eastAsia" w:ascii="宋体" w:hAnsi="宋体"/>
          <w:color w:val="auto"/>
          <w:sz w:val="24"/>
          <w:szCs w:val="24"/>
        </w:rPr>
      </w:pPr>
      <w:r>
        <w:rPr>
          <w:rFonts w:hint="eastAsia" w:ascii="宋体" w:hAnsi="宋体"/>
          <w:color w:val="auto"/>
          <w:sz w:val="24"/>
          <w:szCs w:val="24"/>
        </w:rPr>
        <w:t xml:space="preserve">传  真：                       传  真： </w:t>
      </w:r>
    </w:p>
    <w:p>
      <w:pPr>
        <w:spacing w:line="360" w:lineRule="auto"/>
        <w:rPr>
          <w:rFonts w:hint="eastAsia" w:ascii="宋体" w:hAnsi="宋体"/>
          <w:color w:val="auto"/>
          <w:sz w:val="24"/>
          <w:szCs w:val="24"/>
        </w:rPr>
      </w:pPr>
      <w:r>
        <w:rPr>
          <w:rFonts w:hint="eastAsia" w:ascii="宋体" w:hAnsi="宋体"/>
          <w:color w:val="auto"/>
          <w:spacing w:val="-20"/>
          <w:sz w:val="24"/>
          <w:szCs w:val="24"/>
        </w:rPr>
        <w:t>开户银行</w:t>
      </w:r>
      <w:r>
        <w:rPr>
          <w:rFonts w:hint="eastAsia" w:ascii="宋体" w:hAnsi="宋体"/>
          <w:color w:val="auto"/>
          <w:sz w:val="24"/>
          <w:szCs w:val="24"/>
        </w:rPr>
        <w:t xml:space="preserve">：                      </w:t>
      </w:r>
      <w:r>
        <w:rPr>
          <w:rFonts w:hint="eastAsia" w:ascii="宋体" w:hAnsi="宋体"/>
          <w:color w:val="auto"/>
          <w:spacing w:val="-20"/>
          <w:sz w:val="24"/>
          <w:szCs w:val="24"/>
        </w:rPr>
        <w:t>开户银行</w:t>
      </w:r>
      <w:r>
        <w:rPr>
          <w:rFonts w:hint="eastAsia" w:ascii="宋体" w:hAnsi="宋体"/>
          <w:color w:val="auto"/>
          <w:sz w:val="24"/>
          <w:szCs w:val="24"/>
        </w:rPr>
        <w:t>：</w:t>
      </w:r>
    </w:p>
    <w:p>
      <w:pPr>
        <w:spacing w:line="360" w:lineRule="auto"/>
        <w:rPr>
          <w:rFonts w:hint="eastAsia" w:ascii="宋体" w:hAnsi="宋体"/>
          <w:color w:val="auto"/>
          <w:spacing w:val="-16"/>
          <w:sz w:val="24"/>
          <w:szCs w:val="24"/>
        </w:rPr>
      </w:pPr>
      <w:r>
        <w:rPr>
          <w:rFonts w:hint="eastAsia" w:ascii="宋体" w:hAnsi="宋体"/>
          <w:color w:val="auto"/>
          <w:spacing w:val="-16"/>
          <w:sz w:val="24"/>
          <w:szCs w:val="24"/>
        </w:rPr>
        <w:t>帐  号：                               帐  号：</w:t>
      </w:r>
    </w:p>
    <w:p>
      <w:pPr>
        <w:spacing w:line="360" w:lineRule="auto"/>
        <w:rPr>
          <w:rFonts w:hint="eastAsia" w:ascii="宋体" w:hAnsi="宋体"/>
          <w:color w:val="auto"/>
          <w:spacing w:val="-16"/>
          <w:sz w:val="24"/>
          <w:szCs w:val="24"/>
        </w:rPr>
      </w:pPr>
    </w:p>
    <w:p>
      <w:pPr>
        <w:spacing w:line="360" w:lineRule="auto"/>
        <w:jc w:val="right"/>
        <w:rPr>
          <w:rFonts w:hint="eastAsia" w:ascii="宋体" w:hAnsi="宋体"/>
          <w:color w:val="auto"/>
          <w:spacing w:val="-16"/>
          <w:sz w:val="24"/>
          <w:szCs w:val="24"/>
        </w:rPr>
      </w:pPr>
      <w:r>
        <w:rPr>
          <w:rFonts w:hint="eastAsia" w:ascii="宋体" w:hAnsi="宋体"/>
          <w:color w:val="auto"/>
          <w:spacing w:val="-16"/>
          <w:sz w:val="24"/>
          <w:szCs w:val="24"/>
        </w:rPr>
        <w:t>签约时间：</w:t>
      </w:r>
      <w:r>
        <w:rPr>
          <w:rFonts w:hint="eastAsia" w:ascii="宋体" w:hAnsi="宋体"/>
          <w:color w:val="auto"/>
          <w:spacing w:val="-16"/>
          <w:sz w:val="24"/>
          <w:szCs w:val="24"/>
          <w:u w:val="single"/>
        </w:rPr>
        <w:t xml:space="preserve">      </w:t>
      </w:r>
      <w:r>
        <w:rPr>
          <w:rFonts w:hint="eastAsia" w:ascii="宋体" w:hAnsi="宋体"/>
          <w:color w:val="auto"/>
          <w:spacing w:val="-16"/>
          <w:sz w:val="24"/>
          <w:szCs w:val="24"/>
        </w:rPr>
        <w:t>年</w:t>
      </w:r>
      <w:r>
        <w:rPr>
          <w:rFonts w:hint="eastAsia" w:ascii="宋体" w:hAnsi="宋体"/>
          <w:color w:val="auto"/>
          <w:spacing w:val="-16"/>
          <w:sz w:val="24"/>
          <w:szCs w:val="24"/>
          <w:u w:val="single"/>
        </w:rPr>
        <w:t xml:space="preserve">    </w:t>
      </w:r>
      <w:r>
        <w:rPr>
          <w:rFonts w:hint="eastAsia" w:ascii="宋体" w:hAnsi="宋体"/>
          <w:color w:val="auto"/>
          <w:spacing w:val="-16"/>
          <w:sz w:val="24"/>
          <w:szCs w:val="24"/>
        </w:rPr>
        <w:t>月</w:t>
      </w:r>
      <w:r>
        <w:rPr>
          <w:rFonts w:hint="eastAsia" w:ascii="宋体" w:hAnsi="宋体"/>
          <w:color w:val="auto"/>
          <w:spacing w:val="-16"/>
          <w:sz w:val="24"/>
          <w:szCs w:val="24"/>
          <w:u w:val="single"/>
        </w:rPr>
        <w:t xml:space="preserve">    </w:t>
      </w:r>
      <w:r>
        <w:rPr>
          <w:rFonts w:hint="eastAsia" w:ascii="宋体" w:hAnsi="宋体"/>
          <w:color w:val="auto"/>
          <w:spacing w:val="-16"/>
          <w:sz w:val="24"/>
          <w:szCs w:val="24"/>
        </w:rPr>
        <w:t>日</w:t>
      </w:r>
    </w:p>
    <w:p>
      <w:pPr>
        <w:spacing w:line="400" w:lineRule="atLeast"/>
        <w:ind w:left="720" w:leftChars="200" w:hanging="240" w:hangingChars="100"/>
        <w:jc w:val="left"/>
        <w:rPr>
          <w:rFonts w:ascii="宋体" w:hAnsi="宋体"/>
          <w:b/>
          <w:color w:val="auto"/>
          <w:highlight w:val="none"/>
        </w:rPr>
      </w:pPr>
      <w:r>
        <w:rPr>
          <w:rFonts w:hint="eastAsia" w:ascii="宋体" w:hAnsi="宋体"/>
          <w:color w:val="auto"/>
          <w:spacing w:val="-16"/>
          <w:sz w:val="24"/>
          <w:szCs w:val="24"/>
          <w:lang w:val="en-US" w:eastAsia="zh-CN"/>
        </w:rPr>
        <w:t xml:space="preserve">                                                                        </w:t>
      </w:r>
      <w:r>
        <w:rPr>
          <w:rFonts w:hint="eastAsia" w:ascii="宋体" w:hAnsi="宋体"/>
          <w:color w:val="auto"/>
          <w:spacing w:val="-16"/>
          <w:sz w:val="24"/>
          <w:szCs w:val="24"/>
        </w:rPr>
        <w:t>签约地点：</w:t>
      </w:r>
    </w:p>
    <w:p>
      <w:pPr>
        <w:pStyle w:val="48"/>
        <w:rPr>
          <w:rFonts w:hint="eastAsia" w:ascii="宋体" w:hAnsi="宋体" w:eastAsia="宋体" w:cs="宋体"/>
          <w:color w:val="auto"/>
          <w:highlight w:val="none"/>
        </w:rPr>
        <w:sectPr>
          <w:footerReference r:id="rId14" w:type="default"/>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3"/>
        <w:bidi w:val="0"/>
        <w:rPr>
          <w:rFonts w:hint="eastAsia"/>
          <w:color w:val="auto"/>
          <w:highlight w:val="none"/>
        </w:rPr>
      </w:pPr>
      <w:bookmarkStart w:id="150" w:name="_Toc11745"/>
      <w:bookmarkStart w:id="151" w:name="_Toc24575"/>
      <w:r>
        <w:rPr>
          <w:rFonts w:hint="eastAsia"/>
          <w:color w:val="auto"/>
          <w:highlight w:val="none"/>
        </w:rPr>
        <w:t>第六章 投标文件格式</w:t>
      </w:r>
      <w:bookmarkEnd w:id="149"/>
      <w:bookmarkEnd w:id="150"/>
      <w:bookmarkEnd w:id="151"/>
    </w:p>
    <w:p>
      <w:pPr>
        <w:pStyle w:val="21"/>
        <w:spacing w:line="360" w:lineRule="auto"/>
        <w:ind w:firstLine="42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（要求提供但未提供格式的文件由投标人自行编制）</w:t>
      </w:r>
    </w:p>
    <w:p>
      <w:pPr>
        <w:pStyle w:val="4"/>
        <w:bidi w:val="0"/>
        <w:rPr>
          <w:rFonts w:hint="eastAsia"/>
          <w:color w:val="auto"/>
          <w:highlight w:val="none"/>
        </w:rPr>
      </w:pPr>
      <w:bookmarkStart w:id="152" w:name="_Toc5063"/>
      <w:bookmarkStart w:id="153" w:name="_Toc21050"/>
      <w:r>
        <w:rPr>
          <w:rFonts w:hint="eastAsia"/>
          <w:color w:val="auto"/>
          <w:highlight w:val="none"/>
        </w:rPr>
        <w:t>外层包装</w:t>
      </w:r>
      <w:bookmarkEnd w:id="152"/>
      <w:bookmarkEnd w:id="153"/>
    </w:p>
    <w:p>
      <w:pPr>
        <w:ind w:firstLine="456"/>
        <w:rPr>
          <w:rFonts w:hint="eastAsia" w:ascii="宋体" w:hAnsi="宋体" w:eastAsia="宋体" w:cs="宋体"/>
          <w:color w:val="auto"/>
          <w:spacing w:val="-6"/>
          <w:highlight w:val="none"/>
        </w:rPr>
      </w:pP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cs="宋体"/>
          <w:b/>
          <w:bCs/>
          <w:color w:val="auto"/>
          <w:sz w:val="48"/>
          <w:szCs w:val="48"/>
          <w:highlight w:val="none"/>
          <w:lang w:eastAsia="zh-CN"/>
        </w:rPr>
        <w:t>庵东实验学校、东一小学、西一小学、中心小学和西二小学智能护眼灯采购项目</w:t>
      </w:r>
    </w:p>
    <w:p>
      <w:pPr>
        <w:ind w:firstLine="456"/>
        <w:rPr>
          <w:rFonts w:hint="eastAsia" w:ascii="宋体" w:hAnsi="宋体" w:eastAsia="宋体" w:cs="宋体"/>
          <w:color w:val="auto"/>
          <w:spacing w:val="-6"/>
          <w:highlight w:val="none"/>
        </w:rPr>
      </w:pPr>
    </w:p>
    <w:p>
      <w:pPr>
        <w:ind w:firstLine="458"/>
        <w:jc w:val="cente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 标 文 件</w:t>
      </w:r>
    </w:p>
    <w:p>
      <w:pPr>
        <w:ind w:firstLine="0" w:firstLineChars="0"/>
        <w:rPr>
          <w:rFonts w:hint="eastAsia" w:ascii="宋体" w:hAnsi="宋体" w:eastAsia="宋体" w:cs="宋体"/>
          <w:bCs/>
          <w:color w:val="auto"/>
          <w:spacing w:val="-6"/>
          <w:highlight w:val="none"/>
        </w:rPr>
      </w:pPr>
    </w:p>
    <w:p>
      <w:pPr>
        <w:pStyle w:val="12"/>
        <w:rPr>
          <w:rFonts w:hint="eastAsia" w:ascii="宋体" w:hAnsi="宋体" w:eastAsia="宋体" w:cs="宋体"/>
          <w:bCs/>
          <w:color w:val="auto"/>
          <w:spacing w:val="-6"/>
          <w:highlight w:val="none"/>
        </w:rPr>
      </w:pPr>
    </w:p>
    <w:p>
      <w:pPr>
        <w:pStyle w:val="12"/>
        <w:rPr>
          <w:rFonts w:hint="eastAsia" w:ascii="宋体" w:hAnsi="宋体" w:eastAsia="宋体" w:cs="宋体"/>
          <w:bCs/>
          <w:color w:val="auto"/>
          <w:spacing w:val="-6"/>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采 购 人：</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项目名称：</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项目编号：</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投标人名称（盖章）：</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投标人地址：</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在    年  月  日  时  分之前不得启封</w:t>
      </w:r>
    </w:p>
    <w:p>
      <w:pPr>
        <w:ind w:firstLine="576"/>
        <w:rPr>
          <w:rFonts w:hint="eastAsia" w:ascii="宋体" w:hAnsi="宋体" w:eastAsia="宋体" w:cs="宋体"/>
          <w:bCs/>
          <w:color w:val="auto"/>
          <w:spacing w:val="-6"/>
          <w:sz w:val="30"/>
          <w:szCs w:val="30"/>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授权代表姓名：       手机号：</w:t>
      </w:r>
    </w:p>
    <w:p>
      <w:pPr>
        <w:pStyle w:val="12"/>
        <w:rPr>
          <w:rFonts w:hint="eastAsia" w:ascii="宋体" w:hAnsi="宋体" w:eastAsia="宋体" w:cs="宋体"/>
          <w:color w:val="auto"/>
          <w:highlight w:val="none"/>
        </w:rPr>
      </w:pPr>
    </w:p>
    <w:p>
      <w:pPr>
        <w:ind w:firstLine="576"/>
        <w:rPr>
          <w:rFonts w:hint="eastAsia" w:ascii="宋体" w:hAnsi="宋体" w:eastAsia="宋体" w:cs="宋体"/>
          <w:bCs/>
          <w:color w:val="auto"/>
          <w:spacing w:val="-6"/>
          <w:sz w:val="30"/>
          <w:szCs w:val="30"/>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r>
        <w:rPr>
          <w:rFonts w:hint="eastAsia" w:ascii="宋体" w:hAnsi="宋体" w:eastAsia="宋体" w:cs="宋体"/>
          <w:bCs/>
          <w:color w:val="auto"/>
          <w:spacing w:val="-6"/>
          <w:sz w:val="30"/>
          <w:szCs w:val="30"/>
          <w:highlight w:val="none"/>
        </w:rPr>
        <w:t>日期：    年  月  日</w:t>
      </w:r>
    </w:p>
    <w:p>
      <w:pPr>
        <w:ind w:firstLine="576"/>
        <w:rPr>
          <w:rFonts w:hint="eastAsia" w:ascii="宋体" w:hAnsi="宋体" w:eastAsia="宋体" w:cs="宋体"/>
          <w:color w:val="auto"/>
          <w:szCs w:val="22"/>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4622800</wp:posOffset>
                </wp:positionH>
                <wp:positionV relativeFrom="paragraph">
                  <wp:posOffset>243205</wp:posOffset>
                </wp:positionV>
                <wp:extent cx="1403350" cy="507365"/>
                <wp:effectExtent l="5080" t="4445" r="20320" b="21590"/>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64pt;margin-top:19.15pt;height:39.95pt;width:110.5pt;z-index:-251654144;mso-width-relative:page;mso-height-relative:page;" fillcolor="#FFFFFF" filled="t" stroked="t" coordsize="21600,21600" o:gfxdata="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Kba99kAAAAKAQAADwAAAAAAAAABACAAAAAiAAAAZHJzL2Rvd25yZXYueG1sUEsBAhQAFAAA&#10;AAgAh07iQOdLzMbuAQAA6AMAAA4AAAAAAAAAAQAgAAAAKA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宋体" w:hAnsi="宋体" w:eastAsia="宋体" w:cs="宋体"/>
          <w:bCs/>
          <w:color w:val="auto"/>
          <w:spacing w:val="-6"/>
          <w:highlight w:val="none"/>
        </w:rPr>
        <w:t xml:space="preserve"> </w:t>
      </w:r>
    </w:p>
    <w:p>
      <w:pPr>
        <w:pStyle w:val="4"/>
        <w:bidi w:val="0"/>
        <w:rPr>
          <w:rFonts w:hint="eastAsia"/>
          <w:color w:val="auto"/>
          <w:highlight w:val="none"/>
        </w:rPr>
      </w:pPr>
      <w:bookmarkStart w:id="154" w:name="_Toc29893"/>
      <w:bookmarkStart w:id="155" w:name="_Toc1784"/>
      <w:r>
        <w:rPr>
          <w:rFonts w:hint="eastAsia"/>
          <w:color w:val="auto"/>
          <w:highlight w:val="none"/>
        </w:rPr>
        <w:t>资格证明文件封面</w:t>
      </w:r>
      <w:bookmarkEnd w:id="154"/>
      <w:bookmarkEnd w:id="155"/>
    </w:p>
    <w:p>
      <w:pPr>
        <w:ind w:firstLine="880"/>
        <w:rPr>
          <w:rFonts w:hint="eastAsia" w:ascii="宋体" w:hAnsi="宋体" w:eastAsia="宋体" w:cs="宋体"/>
          <w:color w:val="auto"/>
          <w:sz w:val="44"/>
          <w:szCs w:val="32"/>
          <w:highlight w:val="none"/>
        </w:rPr>
      </w:pPr>
    </w:p>
    <w:p>
      <w:pPr>
        <w:spacing w:line="600" w:lineRule="auto"/>
        <w:ind w:firstLine="0" w:firstLineChars="0"/>
        <w:jc w:val="center"/>
        <w:rPr>
          <w:rFonts w:hint="eastAsia" w:cs="宋体"/>
          <w:b/>
          <w:bCs/>
          <w:color w:val="auto"/>
          <w:sz w:val="48"/>
          <w:szCs w:val="48"/>
          <w:highlight w:val="none"/>
          <w:lang w:eastAsia="zh-CN"/>
        </w:rPr>
      </w:pP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cs="宋体"/>
          <w:b/>
          <w:bCs/>
          <w:color w:val="auto"/>
          <w:sz w:val="48"/>
          <w:szCs w:val="48"/>
          <w:highlight w:val="none"/>
          <w:lang w:eastAsia="zh-CN"/>
        </w:rPr>
        <w:t>庵东实验学校、东一小学、西一小学、中心小学和西二小学智能护眼灯采购项目</w:t>
      </w:r>
    </w:p>
    <w:p>
      <w:pPr>
        <w:ind w:left="0" w:leftChars="0" w:right="0" w:rightChars="0" w:firstLine="0" w:firstLineChars="0"/>
        <w:jc w:val="center"/>
        <w:rPr>
          <w:rFonts w:hint="eastAsia" w:ascii="宋体" w:hAnsi="宋体" w:eastAsia="宋体" w:cs="宋体"/>
          <w:b/>
          <w:bCs/>
          <w:color w:val="auto"/>
          <w:sz w:val="30"/>
          <w:szCs w:val="30"/>
          <w:highlight w:val="none"/>
        </w:rPr>
      </w:pPr>
    </w:p>
    <w:p>
      <w:pPr>
        <w:ind w:left="0" w:leftChars="0" w:right="0" w:rightChars="0" w:firstLine="0" w:firstLineChars="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资格证明文件</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授权代表签字或盖章：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日期：    年  月  日</w:t>
      </w:r>
    </w:p>
    <w:p>
      <w:pPr>
        <w:ind w:firstLine="576"/>
        <w:rPr>
          <w:rFonts w:hint="eastAsia" w:ascii="宋体" w:hAnsi="宋体" w:eastAsia="宋体" w:cs="宋体"/>
          <w:bCs/>
          <w:color w:val="auto"/>
          <w:spacing w:val="-6"/>
          <w:sz w:val="30"/>
          <w:szCs w:val="30"/>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r>
        <w:rPr>
          <w:rFonts w:hint="eastAsia" w:ascii="宋体" w:hAnsi="宋体" w:eastAsia="宋体" w:cs="宋体"/>
          <w:bCs/>
          <w:color w:val="auto"/>
          <w:spacing w:val="-6"/>
          <w:sz w:val="30"/>
          <w:szCs w:val="30"/>
          <w:highlight w:val="none"/>
        </w:rPr>
        <w:t>授权代表姓名：       手机号：</w:t>
      </w:r>
    </w:p>
    <w:p>
      <w:pPr>
        <w:pStyle w:val="4"/>
        <w:bidi w:val="0"/>
        <w:ind w:left="0" w:leftChars="0" w:right="0" w:rightChars="0" w:firstLine="0" w:firstLineChars="0"/>
        <w:jc w:val="center"/>
        <w:rPr>
          <w:rFonts w:hint="eastAsia"/>
          <w:color w:val="auto"/>
          <w:highlight w:val="none"/>
        </w:rPr>
      </w:pPr>
      <w:bookmarkStart w:id="156" w:name="_Toc5498"/>
      <w:r>
        <w:rPr>
          <w:rFonts w:hint="eastAsia"/>
          <w:color w:val="auto"/>
          <w:highlight w:val="none"/>
        </w:rPr>
        <w:t>资格证明文件目录</w:t>
      </w:r>
      <w:bookmarkEnd w:id="156"/>
    </w:p>
    <w:p>
      <w:pPr>
        <w:bidi w:val="0"/>
        <w:rPr>
          <w:rFonts w:hint="eastAsia"/>
          <w:color w:val="auto"/>
          <w:highlight w:val="none"/>
        </w:rPr>
      </w:pP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有效的经营执照复印件；事业单位的，则提供有效的《事业单位法人证书》副本复印件章；自然人的，则提供有效的身份证复印件并签字</w:t>
      </w:r>
      <w:r>
        <w:rPr>
          <w:rFonts w:hint="eastAsia"/>
          <w:color w:val="auto"/>
          <w:highlight w:val="none"/>
          <w:lang w:val="en-US" w:eastAsia="zh-CN"/>
        </w:rPr>
        <w:t xml:space="preserve"> </w:t>
      </w:r>
      <w:r>
        <w:rPr>
          <w:rFonts w:hint="eastAsia"/>
          <w:color w:val="auto"/>
          <w:highlight w:val="none"/>
        </w:rPr>
        <w:t>…………………………………（页码）</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color w:val="auto"/>
          <w:highlight w:val="none"/>
        </w:rPr>
      </w:pPr>
      <w:r>
        <w:rPr>
          <w:rFonts w:hint="eastAsia" w:cs="宋体"/>
          <w:color w:val="auto"/>
          <w:highlight w:val="none"/>
          <w:lang w:val="en-US" w:eastAsia="zh-CN"/>
        </w:rPr>
        <w:t>2020</w:t>
      </w:r>
      <w:r>
        <w:rPr>
          <w:rFonts w:hint="eastAsia" w:ascii="宋体" w:hAnsi="宋体" w:eastAsia="宋体" w:cs="宋体"/>
          <w:color w:val="auto"/>
          <w:highlight w:val="none"/>
          <w:lang w:val="en-US" w:eastAsia="zh-CN"/>
        </w:rPr>
        <w:t>年</w:t>
      </w:r>
      <w:r>
        <w:rPr>
          <w:rFonts w:hint="eastAsia" w:cs="宋体"/>
          <w:color w:val="auto"/>
          <w:highlight w:val="none"/>
          <w:lang w:val="en-US" w:eastAsia="zh-CN"/>
        </w:rPr>
        <w:t>度</w:t>
      </w:r>
      <w:r>
        <w:rPr>
          <w:rFonts w:hint="eastAsia" w:ascii="宋体" w:hAnsi="宋体" w:eastAsia="宋体" w:cs="宋体"/>
          <w:color w:val="auto"/>
          <w:highlight w:val="none"/>
          <w:lang w:val="en-US" w:eastAsia="zh-CN"/>
        </w:rPr>
        <w:t>财务报告</w:t>
      </w:r>
      <w:r>
        <w:rPr>
          <w:rFonts w:hint="eastAsia"/>
          <w:color w:val="auto"/>
          <w:highlight w:val="none"/>
        </w:rPr>
        <w:t>…………………………………………………………………（页码）</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lang w:val="en-US" w:eastAsia="zh-CN"/>
        </w:rPr>
        <w:t>近一年任意一个月依法缴纳税收证明</w:t>
      </w:r>
      <w:r>
        <w:rPr>
          <w:rFonts w:hint="eastAsia"/>
          <w:color w:val="auto"/>
          <w:highlight w:val="none"/>
        </w:rPr>
        <w:t>……………………………………………（页码）</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lang w:val="en-US" w:eastAsia="zh-CN"/>
        </w:rPr>
        <w:t>近一年任意一个月依法缴纳社会保障资金证明</w:t>
      </w:r>
      <w:r>
        <w:rPr>
          <w:rFonts w:hint="eastAsia"/>
          <w:color w:val="auto"/>
          <w:highlight w:val="none"/>
        </w:rPr>
        <w:t>…………………………………（页码）</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具有履行合同所必需的设备和专业技术能力的承诺函</w:t>
      </w:r>
      <w:r>
        <w:rPr>
          <w:rFonts w:hint="eastAsia"/>
          <w:color w:val="auto"/>
          <w:highlight w:val="none"/>
        </w:rPr>
        <w:t>…………………………（页码）</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参加政府采购活动</w:t>
      </w:r>
      <w:r>
        <w:rPr>
          <w:rFonts w:hint="eastAsia" w:ascii="宋体" w:hAnsi="宋体" w:eastAsia="宋体"/>
          <w:color w:val="auto"/>
          <w:highlight w:val="none"/>
        </w:rPr>
        <w:t>前3年内在经营活动中没有重大违法记录的书面声明</w:t>
      </w:r>
      <w:r>
        <w:rPr>
          <w:rFonts w:hint="eastAsia"/>
          <w:color w:val="auto"/>
          <w:highlight w:val="none"/>
        </w:rPr>
        <w:t>……（页码）</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default"/>
          <w:color w:val="auto"/>
          <w:highlight w:val="none"/>
          <w:lang w:val="en-US" w:eastAsia="zh-CN"/>
        </w:rPr>
      </w:pPr>
      <w:r>
        <w:rPr>
          <w:rFonts w:hint="eastAsia" w:ascii="宋体" w:hAnsi="宋体" w:eastAsia="宋体"/>
          <w:color w:val="auto"/>
          <w:highlight w:val="none"/>
          <w:lang w:val="en-US" w:eastAsia="zh-CN"/>
        </w:rPr>
        <w:t>信用记录查询网站截图</w:t>
      </w:r>
      <w:r>
        <w:rPr>
          <w:rFonts w:hint="eastAsia"/>
          <w:color w:val="auto"/>
          <w:highlight w:val="none"/>
        </w:rPr>
        <w:t>……………………………………………………………（页码）</w:t>
      </w:r>
    </w:p>
    <w:p>
      <w:pPr>
        <w:bidi w:val="0"/>
        <w:rPr>
          <w:rFonts w:hint="eastAsia"/>
          <w:color w:val="auto"/>
          <w:highlight w:val="none"/>
        </w:rPr>
      </w:pPr>
    </w:p>
    <w:p>
      <w:pPr>
        <w:bidi w:val="0"/>
        <w:rPr>
          <w:rFonts w:hint="eastAsia"/>
          <w:color w:val="auto"/>
          <w:highlight w:val="none"/>
        </w:rPr>
      </w:pPr>
    </w:p>
    <w:p>
      <w:pPr>
        <w:pStyle w:val="11"/>
        <w:outlineLvl w:val="2"/>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bookmarkStart w:id="157" w:name="_Toc25810"/>
    </w:p>
    <w:p>
      <w:pPr>
        <w:pStyle w:val="5"/>
        <w:numPr>
          <w:ilvl w:val="0"/>
          <w:numId w:val="38"/>
        </w:numPr>
        <w:bidi w:val="0"/>
        <w:ind w:left="0" w:leftChars="0" w:firstLine="482" w:firstLineChars="200"/>
        <w:rPr>
          <w:rFonts w:hint="eastAsia"/>
          <w:color w:val="auto"/>
          <w:highlight w:val="none"/>
        </w:rPr>
      </w:pPr>
      <w:r>
        <w:rPr>
          <w:rFonts w:hint="eastAsia"/>
          <w:color w:val="auto"/>
          <w:highlight w:val="none"/>
        </w:rPr>
        <w:t>提供有效的经营执照复印件；事业单位的，则提供有效的《事业单位法人证书》副本复印件章；自然人的，则提供有效的身份证复印件并签字；</w:t>
      </w:r>
      <w:bookmarkEnd w:id="157"/>
    </w:p>
    <w:p>
      <w:pPr>
        <w:bidi w:val="0"/>
        <w:rPr>
          <w:rFonts w:hint="eastAsia"/>
          <w:color w:val="auto"/>
          <w:highlight w:val="none"/>
        </w:rPr>
      </w:pPr>
    </w:p>
    <w:p>
      <w:pPr>
        <w:bidi w:val="0"/>
        <w:rPr>
          <w:rFonts w:hint="eastAsia"/>
          <w:color w:val="auto"/>
          <w:highlight w:val="none"/>
          <w:lang w:val="en-US" w:eastAsia="zh-CN"/>
        </w:rPr>
      </w:pPr>
    </w:p>
    <w:p>
      <w:pPr>
        <w:bidi w:val="0"/>
        <w:rPr>
          <w:rFonts w:hint="eastAsia"/>
          <w:color w:val="auto"/>
          <w:highlight w:val="none"/>
          <w:lang w:val="en-US" w:eastAsia="zh-CN"/>
        </w:rPr>
      </w:pPr>
    </w:p>
    <w:p>
      <w:pPr>
        <w:pStyle w:val="5"/>
        <w:numPr>
          <w:ilvl w:val="0"/>
          <w:numId w:val="38"/>
        </w:numPr>
        <w:bidi w:val="0"/>
        <w:ind w:left="0" w:leftChars="0" w:firstLine="482" w:firstLineChars="200"/>
        <w:rPr>
          <w:rFonts w:hint="eastAsia" w:ascii="宋体" w:hAnsi="宋体" w:eastAsia="宋体"/>
          <w:color w:val="auto"/>
          <w:highlight w:val="none"/>
          <w:lang w:val="en-US" w:eastAsia="zh-CN"/>
        </w:rPr>
      </w:pPr>
      <w:bookmarkStart w:id="158" w:name="_Toc29370"/>
      <w:r>
        <w:rPr>
          <w:rFonts w:hint="eastAsia" w:ascii="宋体" w:hAnsi="宋体" w:eastAsia="宋体"/>
          <w:color w:val="auto"/>
          <w:highlight w:val="none"/>
          <w:lang w:val="en-US" w:eastAsia="zh-CN"/>
        </w:rPr>
        <w:t>提供</w:t>
      </w:r>
      <w:r>
        <w:rPr>
          <w:rFonts w:hint="eastAsia" w:cs="宋体"/>
          <w:color w:val="auto"/>
          <w:highlight w:val="none"/>
          <w:lang w:val="en-US" w:eastAsia="zh-CN"/>
        </w:rPr>
        <w:t>2020</w:t>
      </w:r>
      <w:r>
        <w:rPr>
          <w:rFonts w:hint="eastAsia" w:ascii="宋体" w:hAnsi="宋体" w:eastAsia="宋体" w:cs="宋体"/>
          <w:color w:val="auto"/>
          <w:highlight w:val="none"/>
          <w:lang w:val="en-US" w:eastAsia="zh-CN"/>
        </w:rPr>
        <w:t>年</w:t>
      </w:r>
      <w:r>
        <w:rPr>
          <w:rFonts w:hint="eastAsia" w:cs="宋体"/>
          <w:color w:val="auto"/>
          <w:highlight w:val="none"/>
          <w:lang w:val="en-US" w:eastAsia="zh-CN"/>
        </w:rPr>
        <w:t>度</w:t>
      </w:r>
      <w:r>
        <w:rPr>
          <w:rFonts w:hint="eastAsia" w:ascii="宋体" w:hAnsi="宋体" w:eastAsia="宋体" w:cs="宋体"/>
          <w:color w:val="auto"/>
          <w:highlight w:val="none"/>
          <w:lang w:val="en-US" w:eastAsia="zh-CN"/>
        </w:rPr>
        <w:t>财务报告</w:t>
      </w:r>
      <w:bookmarkEnd w:id="158"/>
      <w:r>
        <w:rPr>
          <w:rFonts w:hint="eastAsia"/>
          <w:color w:val="auto"/>
          <w:highlight w:val="none"/>
          <w:lang w:val="en-US" w:eastAsia="zh-CN"/>
        </w:rPr>
        <w:t>；</w:t>
      </w: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pStyle w:val="5"/>
        <w:numPr>
          <w:ilvl w:val="0"/>
          <w:numId w:val="38"/>
        </w:numPr>
        <w:bidi w:val="0"/>
        <w:ind w:left="0" w:leftChars="0" w:firstLine="482" w:firstLineChars="200"/>
        <w:rPr>
          <w:rFonts w:hint="eastAsia" w:ascii="宋体" w:hAnsi="宋体" w:eastAsia="宋体"/>
          <w:color w:val="auto"/>
          <w:highlight w:val="none"/>
          <w:lang w:val="en-US" w:eastAsia="zh-CN"/>
        </w:rPr>
      </w:pPr>
      <w:bookmarkStart w:id="159" w:name="_Toc16270"/>
      <w:r>
        <w:rPr>
          <w:rFonts w:hint="eastAsia" w:ascii="宋体" w:hAnsi="宋体" w:eastAsia="宋体"/>
          <w:color w:val="auto"/>
          <w:highlight w:val="none"/>
          <w:lang w:val="en-US" w:eastAsia="zh-CN"/>
        </w:rPr>
        <w:t>提供近一年任意一个月依法缴纳税收证明（完税凭证或税务部门出具的证明）；</w:t>
      </w:r>
      <w:bookmarkEnd w:id="159"/>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依法免税的投标人，应提供相应文件证明其依法免税；</w:t>
      </w:r>
    </w:p>
    <w:p>
      <w:pPr>
        <w:numPr>
          <w:ilvl w:val="0"/>
          <w:numId w:val="0"/>
        </w:numPr>
        <w:tabs>
          <w:tab w:val="clear" w:pos="360"/>
          <w:tab w:val="clear" w:pos="420"/>
        </w:tabs>
        <w:ind w:left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投标人因新注册成立等原因无法提供相关材料的，应在投标文件中提交如实的情况说明。</w:t>
      </w:r>
    </w:p>
    <w:p>
      <w:pPr>
        <w:bidi w:val="0"/>
        <w:rPr>
          <w:rFonts w:hint="eastAsia"/>
          <w:color w:val="auto"/>
          <w:highlight w:val="none"/>
        </w:rPr>
      </w:pPr>
    </w:p>
    <w:p>
      <w:pPr>
        <w:bidi w:val="0"/>
        <w:rPr>
          <w:rFonts w:hint="eastAsia"/>
          <w:color w:val="auto"/>
          <w:highlight w:val="none"/>
          <w:lang w:val="en-US" w:eastAsia="zh-CN"/>
        </w:rPr>
      </w:pPr>
    </w:p>
    <w:p>
      <w:pPr>
        <w:bidi w:val="0"/>
        <w:rPr>
          <w:rFonts w:hint="eastAsia"/>
          <w:color w:val="auto"/>
          <w:highlight w:val="none"/>
          <w:lang w:val="en-US" w:eastAsia="zh-CN"/>
        </w:rPr>
      </w:pPr>
    </w:p>
    <w:p>
      <w:pPr>
        <w:pStyle w:val="5"/>
        <w:numPr>
          <w:ilvl w:val="0"/>
          <w:numId w:val="38"/>
        </w:numPr>
        <w:bidi w:val="0"/>
        <w:ind w:left="0" w:leftChars="0" w:firstLine="482" w:firstLineChars="200"/>
        <w:rPr>
          <w:rFonts w:hint="eastAsia" w:ascii="宋体" w:hAnsi="宋体" w:eastAsia="宋体" w:cs="宋体"/>
          <w:color w:val="auto"/>
          <w:highlight w:val="none"/>
        </w:rPr>
      </w:pPr>
      <w:bookmarkStart w:id="160" w:name="_Toc28317"/>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近一年任意一个月</w:t>
      </w:r>
      <w:r>
        <w:rPr>
          <w:rFonts w:hint="eastAsia" w:ascii="宋体" w:hAnsi="宋体" w:eastAsia="宋体" w:cs="宋体"/>
          <w:color w:val="auto"/>
          <w:highlight w:val="none"/>
        </w:rPr>
        <w:t>依法缴纳社会保障资金证明（缴纳凭证或人社部门出具的证明）；</w:t>
      </w:r>
      <w:bookmarkEnd w:id="160"/>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依法不需要缴纳社会保障资金的投标人，应提供相应文件证明其依法不需要缴纳社会保障资金</w:t>
      </w:r>
      <w:r>
        <w:rPr>
          <w:rFonts w:hint="eastAsia" w:ascii="宋体" w:hAnsi="宋体" w:eastAsia="宋体" w:cs="宋体"/>
          <w:color w:val="auto"/>
          <w:highlight w:val="none"/>
          <w:lang w:eastAsia="zh-CN"/>
        </w:rPr>
        <w:t>。</w:t>
      </w:r>
    </w:p>
    <w:p>
      <w:pPr>
        <w:numPr>
          <w:ilvl w:val="0"/>
          <w:numId w:val="0"/>
        </w:numPr>
        <w:tabs>
          <w:tab w:val="clear" w:pos="360"/>
          <w:tab w:val="clear" w:pos="420"/>
        </w:tabs>
        <w:ind w:left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投标人因新注册成立等原因无法提供相关材料的，应在投标文件中提交如实的情况说明。</w:t>
      </w:r>
    </w:p>
    <w:p>
      <w:pPr>
        <w:widowControl w:val="0"/>
        <w:numPr>
          <w:ilvl w:val="0"/>
          <w:numId w:val="0"/>
        </w:numPr>
        <w:tabs>
          <w:tab w:val="clear" w:pos="360"/>
          <w:tab w:val="clear" w:pos="420"/>
        </w:tabs>
        <w:spacing w:line="360" w:lineRule="auto"/>
        <w:jc w:val="both"/>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5"/>
        <w:numPr>
          <w:ilvl w:val="0"/>
          <w:numId w:val="38"/>
        </w:numPr>
        <w:bidi w:val="0"/>
        <w:ind w:left="0" w:leftChars="0" w:firstLine="482" w:firstLineChars="200"/>
        <w:rPr>
          <w:rFonts w:hint="eastAsia" w:ascii="宋体" w:hAnsi="宋体" w:eastAsia="宋体" w:cs="宋体"/>
          <w:color w:val="auto"/>
          <w:highlight w:val="none"/>
        </w:rPr>
      </w:pPr>
      <w:bookmarkStart w:id="161" w:name="_Toc30017"/>
      <w:r>
        <w:rPr>
          <w:rFonts w:hint="eastAsia" w:ascii="宋体" w:hAnsi="宋体" w:eastAsia="宋体" w:cs="宋体"/>
          <w:color w:val="auto"/>
          <w:highlight w:val="none"/>
        </w:rPr>
        <w:t>具有履行合同所必需的设备和专业技术能力的承诺函</w:t>
      </w:r>
      <w:bookmarkEnd w:id="161"/>
    </w:p>
    <w:p>
      <w:pPr>
        <w:bidi w:val="0"/>
        <w:rPr>
          <w:rFonts w:hint="eastAsia"/>
          <w:color w:val="auto"/>
          <w:highlight w:val="none"/>
        </w:rPr>
      </w:pPr>
    </w:p>
    <w:p>
      <w:pPr>
        <w:snapToGrid w:val="0"/>
        <w:ind w:firstLine="0" w:firstLineChars="0"/>
        <w:rPr>
          <w:rFonts w:hint="eastAsia" w:ascii="宋体" w:hAnsi="宋体" w:eastAsia="宋体" w:cs="宋体"/>
          <w:color w:val="auto"/>
          <w:highlight w:val="none"/>
        </w:rPr>
      </w:pPr>
      <w:r>
        <w:rPr>
          <w:rFonts w:hint="eastAsia" w:cs="宋体"/>
          <w:color w:val="auto"/>
          <w:highlight w:val="none"/>
          <w:lang w:val="en-US" w:eastAsia="zh-CN"/>
        </w:rPr>
        <w:t>庵东镇教育办公室</w:t>
      </w:r>
      <w:r>
        <w:rPr>
          <w:rFonts w:hint="eastAsia" w:ascii="宋体" w:hAnsi="宋体" w:eastAsia="宋体" w:cs="宋体"/>
          <w:color w:val="auto"/>
          <w:highlight w:val="none"/>
        </w:rPr>
        <w:t>、浙江五石工程咨询有限公司：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我方郑重承诺，我方具有履行</w:t>
      </w:r>
      <w:r>
        <w:rPr>
          <w:rFonts w:hint="eastAsia" w:ascii="宋体" w:hAnsi="宋体" w:eastAsia="宋体" w:cs="宋体"/>
          <w:color w:val="auto"/>
          <w:highlight w:val="none"/>
          <w:u w:val="single"/>
        </w:rPr>
        <w:t>（项目名称：           ）（项目编号：            ）</w:t>
      </w:r>
      <w:r>
        <w:rPr>
          <w:rFonts w:hint="eastAsia" w:ascii="宋体" w:hAnsi="宋体" w:eastAsia="宋体" w:cs="宋体"/>
          <w:color w:val="auto"/>
          <w:highlight w:val="none"/>
        </w:rPr>
        <w:t>合同所必需的设备和专业技术能力。如中标，我方将保证合同顺利履行。</w:t>
      </w:r>
    </w:p>
    <w:p>
      <w:pP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投标人名称(公章)：</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法定代表人或其授权代表(签字或盖章)：</w:t>
      </w:r>
    </w:p>
    <w:p>
      <w:pPr>
        <w:snapToGrid w:val="0"/>
        <w:ind w:firstLine="480"/>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5"/>
        <w:numPr>
          <w:ilvl w:val="0"/>
          <w:numId w:val="38"/>
        </w:numPr>
        <w:bidi w:val="0"/>
        <w:ind w:left="0" w:leftChars="0" w:firstLine="482" w:firstLineChars="200"/>
        <w:rPr>
          <w:rFonts w:hint="eastAsia"/>
          <w:color w:val="auto"/>
          <w:highlight w:val="none"/>
        </w:rPr>
      </w:pPr>
      <w:bookmarkStart w:id="162" w:name="_Toc26770"/>
      <w:r>
        <w:rPr>
          <w:rFonts w:hint="eastAsia"/>
          <w:color w:val="auto"/>
          <w:highlight w:val="none"/>
          <w:lang w:val="en-US" w:eastAsia="zh-CN"/>
        </w:rPr>
        <w:t>参加政府采购活动</w:t>
      </w:r>
      <w:r>
        <w:rPr>
          <w:rFonts w:hint="eastAsia"/>
          <w:color w:val="auto"/>
          <w:highlight w:val="none"/>
        </w:rPr>
        <w:t>前3年内在经营活动中没有重大违法记录的书面声明；</w:t>
      </w:r>
      <w:bookmarkEnd w:id="162"/>
    </w:p>
    <w:p>
      <w:pPr>
        <w:snapToGrid w:val="0"/>
        <w:ind w:firstLine="0" w:firstLineChars="0"/>
        <w:rPr>
          <w:rFonts w:hint="eastAsia" w:ascii="宋体" w:hAnsi="宋体" w:eastAsia="宋体" w:cs="宋体"/>
          <w:color w:val="auto"/>
          <w:highlight w:val="none"/>
          <w:lang w:val="en-US" w:eastAsia="zh-CN"/>
        </w:rPr>
      </w:pPr>
    </w:p>
    <w:p>
      <w:pPr>
        <w:snapToGrid w:val="0"/>
        <w:ind w:firstLine="0" w:firstLineChars="0"/>
        <w:rPr>
          <w:rFonts w:hint="eastAsia" w:ascii="宋体" w:hAnsi="宋体" w:eastAsia="宋体" w:cs="宋体"/>
          <w:color w:val="auto"/>
          <w:highlight w:val="none"/>
        </w:rPr>
      </w:pPr>
      <w:r>
        <w:rPr>
          <w:rFonts w:hint="eastAsia" w:cs="宋体"/>
          <w:color w:val="auto"/>
          <w:highlight w:val="none"/>
          <w:lang w:val="en-US" w:eastAsia="zh-CN"/>
        </w:rPr>
        <w:t>庵东镇教育办公室</w:t>
      </w:r>
      <w:r>
        <w:rPr>
          <w:rFonts w:hint="eastAsia" w:ascii="宋体" w:hAnsi="宋体" w:eastAsia="宋体" w:cs="宋体"/>
          <w:color w:val="auto"/>
          <w:highlight w:val="none"/>
        </w:rPr>
        <w:t>、浙江五石工程咨询有限公司：</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我公司</w:t>
      </w:r>
      <w:r>
        <w:rPr>
          <w:rFonts w:hint="eastAsia" w:ascii="宋体" w:hAnsi="宋体" w:eastAsia="宋体" w:cs="宋体"/>
          <w:color w:val="auto"/>
          <w:highlight w:val="none"/>
        </w:rPr>
        <w:t>声明截止投标时间近三年以来，在政府采购领域中，在项目招标、投标和合同履约期间无任何不良行为记录和违法、违规行为</w:t>
      </w:r>
      <w:r>
        <w:rPr>
          <w:rFonts w:hint="eastAsia" w:ascii="宋体" w:hAnsi="宋体" w:eastAsia="宋体" w:cs="宋体"/>
          <w:color w:val="auto"/>
          <w:highlight w:val="none"/>
          <w:lang w:val="zh-CN"/>
        </w:rPr>
        <w:t>。</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我公司自愿参加（</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的投标，并保证投标文件中所列举的投标报价文件及相关资料和公司基本情况资料是真实的、合法的。</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我公司理解并接受招标文件的各项规定和要求，同意此次招标文件中的各项内容，</w:t>
      </w:r>
      <w:r>
        <w:rPr>
          <w:rFonts w:hint="eastAsia" w:ascii="宋体" w:hAnsi="宋体" w:eastAsia="宋体" w:cs="宋体"/>
          <w:color w:val="auto"/>
          <w:highlight w:val="none"/>
        </w:rPr>
        <w:t>并</w:t>
      </w:r>
      <w:r>
        <w:rPr>
          <w:rFonts w:hint="eastAsia" w:ascii="宋体" w:hAnsi="宋体" w:eastAsia="宋体" w:cs="宋体"/>
          <w:color w:val="auto"/>
          <w:highlight w:val="none"/>
          <w:lang w:val="zh-CN"/>
        </w:rPr>
        <w:t>同意提供按照贵方可能要求的与投标有关的一切数据或资料等。</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本公司如中标，保证按照投标文件的承诺与贵方签订合同，保证履行合同条款并缴纳履约保证金。</w:t>
      </w:r>
    </w:p>
    <w:p>
      <w:pPr>
        <w:snapToGrid w:val="0"/>
        <w:ind w:firstLine="480"/>
        <w:rPr>
          <w:rFonts w:hint="eastAsia" w:ascii="宋体" w:hAnsi="宋体" w:eastAsia="宋体" w:cs="宋体"/>
          <w:color w:val="auto"/>
          <w:highlight w:val="none"/>
        </w:rPr>
      </w:pP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投标人名称(公章)：</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法定代表人或其授权代表(签字或盖章)：</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pPr>
        <w:rPr>
          <w:rFonts w:hint="eastAsia" w:ascii="宋体" w:hAnsi="宋体" w:eastAsia="宋体" w:cs="宋体"/>
          <w:color w:val="auto"/>
          <w:highlight w:val="none"/>
          <w:lang w:val="en-US" w:eastAsia="zh-CN"/>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5"/>
        <w:numPr>
          <w:ilvl w:val="0"/>
          <w:numId w:val="38"/>
        </w:numPr>
        <w:bidi w:val="0"/>
        <w:ind w:left="0" w:leftChars="0" w:firstLine="482" w:firstLineChars="200"/>
        <w:rPr>
          <w:rFonts w:hint="eastAsia" w:ascii="宋体" w:hAnsi="宋体" w:eastAsia="宋体" w:cs="宋体"/>
          <w:color w:val="auto"/>
          <w:highlight w:val="none"/>
          <w:lang w:eastAsia="zh-CN"/>
        </w:rPr>
      </w:pPr>
      <w:bookmarkStart w:id="163" w:name="_Toc28885"/>
      <w:r>
        <w:rPr>
          <w:rFonts w:hint="eastAsia" w:ascii="宋体" w:hAnsi="宋体" w:eastAsia="宋体" w:cs="宋体"/>
          <w:color w:val="auto"/>
          <w:highlight w:val="none"/>
        </w:rPr>
        <w:t>信用记录：查询</w:t>
      </w:r>
      <w:r>
        <w:rPr>
          <w:rFonts w:hint="eastAsia" w:ascii="宋体" w:hAnsi="宋体" w:eastAsia="宋体"/>
          <w:color w:val="auto"/>
          <w:highlight w:val="none"/>
          <w:lang w:val="en-US" w:eastAsia="zh-CN"/>
        </w:rPr>
        <w:t>信息</w:t>
      </w:r>
      <w:r>
        <w:rPr>
          <w:rFonts w:hint="eastAsia" w:ascii="宋体" w:hAnsi="宋体" w:eastAsia="宋体" w:cs="宋体"/>
          <w:color w:val="auto"/>
          <w:highlight w:val="none"/>
        </w:rPr>
        <w:t>网站截图：查询渠道：“信用中国”（www.creditchina.gov.cn）、“中国政府采购网”（www.ccgp.gov.cn），最终审查以代理机构在</w:t>
      </w:r>
      <w:r>
        <w:rPr>
          <w:rFonts w:hint="eastAsia" w:cs="宋体"/>
          <w:color w:val="auto"/>
          <w:highlight w:val="none"/>
          <w:lang w:eastAsia="zh-CN"/>
        </w:rPr>
        <w:t>投标</w:t>
      </w:r>
      <w:r>
        <w:rPr>
          <w:rFonts w:hint="eastAsia" w:ascii="宋体" w:hAnsi="宋体" w:eastAsia="宋体" w:cs="宋体"/>
          <w:color w:val="auto"/>
          <w:highlight w:val="none"/>
        </w:rPr>
        <w:t>截止</w:t>
      </w:r>
      <w:r>
        <w:rPr>
          <w:rFonts w:hint="eastAsia" w:cs="宋体"/>
          <w:color w:val="auto"/>
          <w:highlight w:val="none"/>
          <w:lang w:eastAsia="zh-CN"/>
        </w:rPr>
        <w:t>时间</w:t>
      </w:r>
      <w:r>
        <w:rPr>
          <w:rFonts w:hint="eastAsia" w:ascii="宋体" w:hAnsi="宋体" w:eastAsia="宋体" w:cs="宋体"/>
          <w:color w:val="auto"/>
          <w:highlight w:val="none"/>
        </w:rPr>
        <w:t>查询的最新信息为准</w:t>
      </w:r>
      <w:r>
        <w:rPr>
          <w:rFonts w:hint="eastAsia" w:ascii="宋体" w:hAnsi="宋体" w:eastAsia="宋体" w:cs="宋体"/>
          <w:color w:val="auto"/>
          <w:highlight w:val="none"/>
          <w:lang w:eastAsia="zh-CN"/>
        </w:rPr>
        <w:t>。</w:t>
      </w:r>
      <w:bookmarkEnd w:id="163"/>
    </w:p>
    <w:p>
      <w:pPr>
        <w:pStyle w:val="38"/>
        <w:rPr>
          <w:rFonts w:hint="eastAsia" w:ascii="宋体" w:hAnsi="宋体" w:eastAsia="宋体" w:cs="宋体"/>
          <w:color w:val="auto"/>
          <w:kern w:val="2"/>
          <w:highlight w:val="none"/>
        </w:rPr>
      </w:pPr>
    </w:p>
    <w:p>
      <w:pPr>
        <w:pStyle w:val="38"/>
        <w:rPr>
          <w:rFonts w:hint="eastAsia" w:ascii="宋体" w:hAnsi="宋体" w:eastAsia="宋体" w:cs="宋体"/>
          <w:color w:val="auto"/>
          <w:kern w:val="2"/>
          <w:highlight w:val="none"/>
        </w:rPr>
      </w:pPr>
      <w:r>
        <w:rPr>
          <w:rFonts w:hint="eastAsia" w:ascii="宋体" w:hAnsi="宋体" w:eastAsia="宋体" w:cs="宋体"/>
          <w:color w:val="auto"/>
          <w:kern w:val="2"/>
          <w:highlight w:val="none"/>
        </w:rPr>
        <w:t>对列入失信被执行人、重大税收违法案件当事人名单、政府采购严重违法失信行为记录名单及其他不符合《中华人民共和国政府采购法》第二十二条规定条件的投标人，将拒绝其参与政府采购活动；</w:t>
      </w:r>
    </w:p>
    <w:p>
      <w:pPr>
        <w:pStyle w:val="2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行政处罚较大数额罚款标准认定：按照处罚机关所在地较大金额罚款标准进行认定。</w:t>
      </w:r>
    </w:p>
    <w:p>
      <w:pPr>
        <w:pStyle w:val="21"/>
        <w:rPr>
          <w:rFonts w:hint="eastAsia" w:ascii="宋体" w:hAnsi="宋体" w:eastAsia="宋体" w:cs="宋体"/>
          <w:color w:val="auto"/>
          <w:kern w:val="2"/>
          <w:sz w:val="24"/>
          <w:szCs w:val="24"/>
          <w:highlight w:val="none"/>
          <w:lang w:val="en-US" w:eastAsia="zh-CN" w:bidi="ar-SA"/>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4"/>
        <w:bidi w:val="0"/>
        <w:rPr>
          <w:rFonts w:hint="eastAsia" w:ascii="宋体" w:hAnsi="宋体" w:eastAsia="宋体" w:cs="宋体"/>
          <w:color w:val="auto"/>
          <w:highlight w:val="none"/>
        </w:rPr>
      </w:pPr>
      <w:bookmarkStart w:id="164" w:name="_Toc32324"/>
      <w:bookmarkStart w:id="165" w:name="_Toc2451"/>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6336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33eJz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宋体" w:hAnsi="宋体" w:eastAsia="宋体" w:cs="宋体"/>
          <w:color w:val="auto"/>
          <w:szCs w:val="40"/>
          <w:highlight w:val="none"/>
        </w:rPr>
        <w:t>报价</w:t>
      </w:r>
      <w:r>
        <w:rPr>
          <w:rFonts w:hint="eastAsia" w:ascii="宋体" w:hAnsi="宋体" w:eastAsia="宋体" w:cs="宋体"/>
          <w:color w:val="auto"/>
          <w:highlight w:val="none"/>
        </w:rPr>
        <w:t>文件封面</w:t>
      </w:r>
      <w:bookmarkEnd w:id="164"/>
      <w:bookmarkEnd w:id="165"/>
    </w:p>
    <w:p>
      <w:pPr>
        <w:ind w:firstLine="880"/>
        <w:rPr>
          <w:rFonts w:hint="eastAsia" w:ascii="宋体" w:hAnsi="宋体" w:eastAsia="宋体" w:cs="宋体"/>
          <w:color w:val="auto"/>
          <w:sz w:val="44"/>
          <w:szCs w:val="32"/>
          <w:highlight w:val="none"/>
        </w:rPr>
      </w:pP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cs="宋体"/>
          <w:b/>
          <w:bCs/>
          <w:color w:val="auto"/>
          <w:sz w:val="48"/>
          <w:szCs w:val="48"/>
          <w:highlight w:val="none"/>
          <w:lang w:eastAsia="zh-CN"/>
        </w:rPr>
        <w:t>庵东实验学校、东一小学、西一小学、中心小学和西二小学智能护眼灯采购项目</w:t>
      </w:r>
    </w:p>
    <w:p>
      <w:pPr>
        <w:ind w:firstLine="880"/>
        <w:rPr>
          <w:rFonts w:hint="eastAsia" w:ascii="宋体" w:hAnsi="宋体" w:eastAsia="宋体" w:cs="宋体"/>
          <w:color w:val="auto"/>
          <w:sz w:val="44"/>
          <w:szCs w:val="32"/>
          <w:highlight w:val="none"/>
        </w:rPr>
      </w:pPr>
    </w:p>
    <w:p>
      <w:pPr>
        <w:ind w:firstLine="602"/>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报价文件</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授权代表签字或盖章：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日期：    年  月  日</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授权代表姓名：               手机号：</w:t>
      </w:r>
    </w:p>
    <w:p>
      <w:pPr>
        <w:pStyle w:val="48"/>
        <w:rPr>
          <w:rFonts w:hint="eastAsia" w:ascii="宋体" w:hAnsi="宋体" w:eastAsia="宋体" w:cs="宋体"/>
          <w:color w:val="auto"/>
          <w:highlight w:val="none"/>
        </w:rPr>
      </w:pPr>
    </w:p>
    <w:p>
      <w:pPr>
        <w:pStyle w:val="48"/>
        <w:rPr>
          <w:rFonts w:hint="eastAsia" w:ascii="宋体" w:hAnsi="宋体" w:eastAsia="宋体" w:cs="宋体"/>
          <w:color w:val="auto"/>
          <w:sz w:val="30"/>
          <w:szCs w:val="30"/>
          <w:highlight w:val="none"/>
        </w:rPr>
      </w:pPr>
    </w:p>
    <w:p>
      <w:pPr>
        <w:pStyle w:val="168"/>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4"/>
        <w:bidi w:val="0"/>
        <w:ind w:left="0" w:leftChars="0" w:right="0" w:rightChars="0" w:firstLine="0" w:firstLineChars="0"/>
        <w:jc w:val="center"/>
        <w:rPr>
          <w:rFonts w:hint="eastAsia"/>
          <w:color w:val="auto"/>
          <w:highlight w:val="none"/>
        </w:rPr>
      </w:pPr>
      <w:bookmarkStart w:id="166" w:name="_Toc6136"/>
      <w:bookmarkStart w:id="167" w:name="_Toc24920"/>
      <w:r>
        <w:rPr>
          <w:rFonts w:hint="eastAsia"/>
          <w:color w:val="auto"/>
          <w:highlight w:val="none"/>
        </w:rPr>
        <w:t>报价文件目录</w:t>
      </w:r>
      <w:bookmarkEnd w:id="166"/>
      <w:bookmarkEnd w:id="167"/>
    </w:p>
    <w:p>
      <w:pPr>
        <w:bidi w:val="0"/>
        <w:rPr>
          <w:rFonts w:hint="eastAsia"/>
          <w:color w:val="auto"/>
          <w:highlight w:val="none"/>
        </w:rPr>
      </w:pPr>
    </w:p>
    <w:p>
      <w:pPr>
        <w:keepNext w:val="0"/>
        <w:keepLines w:val="0"/>
        <w:pageBreakBefore w:val="0"/>
        <w:widowControl w:val="0"/>
        <w:numPr>
          <w:ilvl w:val="0"/>
          <w:numId w:val="39"/>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olor w:val="auto"/>
          <w:highlight w:val="none"/>
        </w:rPr>
      </w:pPr>
      <w:bookmarkStart w:id="168" w:name="_Toc16666"/>
      <w:r>
        <w:rPr>
          <w:rFonts w:hint="eastAsia" w:ascii="宋体" w:hAnsi="宋体" w:eastAsia="宋体"/>
          <w:color w:val="auto"/>
          <w:highlight w:val="none"/>
        </w:rPr>
        <w:t>投标响应函………………………………………………………………………（页码）</w:t>
      </w:r>
      <w:bookmarkEnd w:id="168"/>
    </w:p>
    <w:p>
      <w:pPr>
        <w:keepNext w:val="0"/>
        <w:keepLines w:val="0"/>
        <w:pageBreakBefore w:val="0"/>
        <w:widowControl w:val="0"/>
        <w:numPr>
          <w:ilvl w:val="0"/>
          <w:numId w:val="39"/>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olor w:val="auto"/>
          <w:highlight w:val="none"/>
        </w:rPr>
      </w:pPr>
      <w:bookmarkStart w:id="169" w:name="_Toc9814"/>
      <w:r>
        <w:rPr>
          <w:rFonts w:hint="eastAsia" w:ascii="宋体" w:hAnsi="宋体" w:eastAsia="宋体"/>
          <w:color w:val="auto"/>
          <w:highlight w:val="none"/>
        </w:rPr>
        <w:t>开标一览表………………………………………………………………………（页码）</w:t>
      </w:r>
      <w:bookmarkEnd w:id="169"/>
    </w:p>
    <w:p>
      <w:pPr>
        <w:keepNext w:val="0"/>
        <w:keepLines w:val="0"/>
        <w:pageBreakBefore w:val="0"/>
        <w:widowControl w:val="0"/>
        <w:numPr>
          <w:ilvl w:val="0"/>
          <w:numId w:val="39"/>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olor w:val="auto"/>
          <w:highlight w:val="none"/>
        </w:rPr>
      </w:pPr>
      <w:bookmarkStart w:id="170" w:name="_Toc20916"/>
      <w:r>
        <w:rPr>
          <w:rFonts w:hint="eastAsia"/>
          <w:color w:val="auto"/>
          <w:highlight w:val="none"/>
          <w:lang w:val="en-US" w:eastAsia="zh-CN"/>
        </w:rPr>
        <w:t>其他</w:t>
      </w:r>
      <w:r>
        <w:rPr>
          <w:rFonts w:hint="eastAsia" w:ascii="宋体" w:hAnsi="宋体" w:eastAsia="宋体"/>
          <w:color w:val="auto"/>
          <w:highlight w:val="none"/>
        </w:rPr>
        <w:t>………………………………………………………………………………（页码）</w:t>
      </w:r>
      <w:bookmarkEnd w:id="170"/>
    </w:p>
    <w:p>
      <w:pPr>
        <w:pStyle w:val="11"/>
        <w:rPr>
          <w:rFonts w:hint="eastAsia"/>
          <w:color w:val="auto"/>
          <w:highlight w:val="none"/>
        </w:rPr>
      </w:pPr>
    </w:p>
    <w:p>
      <w:pPr>
        <w:pStyle w:val="5"/>
        <w:outlineLvl w:val="9"/>
        <w:rPr>
          <w:rFonts w:hint="eastAsia" w:ascii="宋体" w:hAnsi="宋体" w:eastAsia="宋体" w:cs="宋体"/>
          <w:color w:val="auto"/>
          <w:highlight w:val="none"/>
        </w:rPr>
        <w:sectPr>
          <w:footerReference r:id="rId15" w:type="default"/>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5"/>
        <w:numPr>
          <w:ilvl w:val="0"/>
          <w:numId w:val="40"/>
        </w:numPr>
        <w:bidi w:val="0"/>
        <w:rPr>
          <w:rFonts w:hint="eastAsia"/>
          <w:color w:val="auto"/>
          <w:highlight w:val="none"/>
        </w:rPr>
      </w:pPr>
      <w:bookmarkStart w:id="171" w:name="_Toc25141"/>
      <w:r>
        <w:rPr>
          <w:rFonts w:hint="eastAsia"/>
          <w:color w:val="auto"/>
          <w:highlight w:val="none"/>
        </w:rPr>
        <w:t>投标响应函</w:t>
      </w:r>
      <w:bookmarkEnd w:id="171"/>
    </w:p>
    <w:p>
      <w:pPr>
        <w:snapToGrid w:val="0"/>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b/>
          <w:color w:val="auto"/>
          <w:kern w:val="0"/>
          <w:sz w:val="32"/>
          <w:highlight w:val="none"/>
        </w:rPr>
        <w:t>投标响应</w:t>
      </w:r>
      <w:r>
        <w:rPr>
          <w:rFonts w:hint="eastAsia" w:ascii="宋体" w:hAnsi="宋体" w:eastAsia="宋体" w:cs="宋体"/>
          <w:b/>
          <w:color w:val="auto"/>
          <w:sz w:val="32"/>
          <w:highlight w:val="none"/>
        </w:rPr>
        <w:t>函</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cs="宋体"/>
          <w:bCs/>
          <w:color w:val="auto"/>
          <w:spacing w:val="-6"/>
          <w:highlight w:val="none"/>
          <w:lang w:eastAsia="zh-CN"/>
        </w:rPr>
        <w:t>庵东镇教育办公室</w:t>
      </w:r>
      <w:r>
        <w:rPr>
          <w:rFonts w:hint="eastAsia" w:ascii="宋体" w:hAnsi="宋体" w:eastAsia="宋体" w:cs="宋体"/>
          <w:bCs/>
          <w:color w:val="auto"/>
          <w:spacing w:val="-6"/>
          <w:highlight w:val="none"/>
        </w:rPr>
        <w:t>、浙江五石工程咨询有限公司</w:t>
      </w:r>
      <w:r>
        <w:rPr>
          <w:rFonts w:hint="eastAsia" w:ascii="宋体" w:hAnsi="宋体" w:eastAsia="宋体" w:cs="宋体"/>
          <w:color w:val="auto"/>
          <w:spacing w:val="-6"/>
          <w:highlight w:val="none"/>
        </w:rPr>
        <w:t>：</w:t>
      </w:r>
      <w:r>
        <w:rPr>
          <w:rFonts w:hint="eastAsia" w:ascii="宋体" w:hAnsi="宋体" w:eastAsia="宋体" w:cs="宋体"/>
          <w:color w:val="auto"/>
          <w:highlight w:val="none"/>
        </w:rPr>
        <w:t xml:space="preserve"> </w:t>
      </w:r>
    </w:p>
    <w:p>
      <w:pPr>
        <w:bidi w:val="0"/>
        <w:rPr>
          <w:rFonts w:hint="eastAsia"/>
          <w:color w:val="auto"/>
          <w:highlight w:val="none"/>
        </w:rPr>
      </w:pP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highlight w:val="none"/>
        </w:rPr>
        <w:t>(投标人全称)授权</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rPr>
        <w:t>招标的有关活动，并对</w:t>
      </w:r>
      <w:r>
        <w:rPr>
          <w:rFonts w:hint="eastAsia"/>
          <w:color w:val="auto"/>
          <w:highlight w:val="none"/>
        </w:rPr>
        <w:t>此项目进行投标。为此：</w:t>
      </w:r>
    </w:p>
    <w:p>
      <w:pPr>
        <w:bidi w:val="0"/>
        <w:rPr>
          <w:rFonts w:hint="eastAsia"/>
          <w:color w:val="auto"/>
          <w:highlight w:val="none"/>
        </w:rPr>
      </w:pPr>
      <w:r>
        <w:rPr>
          <w:rFonts w:hint="eastAsia"/>
          <w:color w:val="auto"/>
          <w:highlight w:val="none"/>
        </w:rPr>
        <w:t>1、我方同意在投标人编制和提交采购响应文件须知规定的开标日期起遵守本投标文件中的承诺且在投标有效期满之前均具有约束力。</w:t>
      </w:r>
    </w:p>
    <w:p>
      <w:pPr>
        <w:bidi w:val="0"/>
        <w:rPr>
          <w:rFonts w:hint="eastAsia"/>
          <w:color w:val="auto"/>
          <w:highlight w:val="none"/>
        </w:rPr>
      </w:pPr>
      <w:r>
        <w:rPr>
          <w:rFonts w:hint="eastAsia"/>
          <w:color w:val="auto"/>
          <w:highlight w:val="none"/>
        </w:rPr>
        <w:t>2、我方承诺已经具备《中华人民共和国政府采购法》中规定的参加政府采购活动的供应商应当具备的条件：</w:t>
      </w:r>
    </w:p>
    <w:p>
      <w:pPr>
        <w:bidi w:val="0"/>
        <w:rPr>
          <w:rFonts w:hint="eastAsia"/>
          <w:color w:val="auto"/>
          <w:highlight w:val="none"/>
        </w:rPr>
      </w:pPr>
      <w:r>
        <w:rPr>
          <w:rFonts w:hint="eastAsia"/>
          <w:color w:val="auto"/>
          <w:highlight w:val="none"/>
        </w:rPr>
        <w:t>(1)具有独立承担民事责任的能力；</w:t>
      </w:r>
    </w:p>
    <w:p>
      <w:pPr>
        <w:bidi w:val="0"/>
        <w:rPr>
          <w:rFonts w:hint="eastAsia"/>
          <w:color w:val="auto"/>
          <w:highlight w:val="none"/>
        </w:rPr>
      </w:pPr>
      <w:r>
        <w:rPr>
          <w:rFonts w:hint="eastAsia"/>
          <w:color w:val="auto"/>
          <w:highlight w:val="none"/>
        </w:rPr>
        <w:t>(2)遵守国家法律、行政法规，具有良好的信誉和商业道德；</w:t>
      </w:r>
    </w:p>
    <w:p>
      <w:pPr>
        <w:bidi w:val="0"/>
        <w:rPr>
          <w:rFonts w:hint="eastAsia"/>
          <w:color w:val="auto"/>
          <w:highlight w:val="none"/>
        </w:rPr>
      </w:pPr>
      <w:r>
        <w:rPr>
          <w:rFonts w:hint="eastAsia"/>
          <w:color w:val="auto"/>
          <w:highlight w:val="none"/>
        </w:rPr>
        <w:t>(3)具有履行合同的能力和良好的履行合同记录；</w:t>
      </w:r>
    </w:p>
    <w:p>
      <w:pPr>
        <w:bidi w:val="0"/>
        <w:rPr>
          <w:rFonts w:hint="eastAsia"/>
          <w:color w:val="auto"/>
          <w:highlight w:val="none"/>
        </w:rPr>
      </w:pPr>
      <w:r>
        <w:rPr>
          <w:rFonts w:hint="eastAsia"/>
          <w:color w:val="auto"/>
          <w:highlight w:val="none"/>
        </w:rPr>
        <w:t>(4)良好的资金、财务状况；</w:t>
      </w:r>
    </w:p>
    <w:p>
      <w:pPr>
        <w:bidi w:val="0"/>
        <w:rPr>
          <w:rFonts w:hint="eastAsia"/>
          <w:color w:val="auto"/>
          <w:highlight w:val="none"/>
        </w:rPr>
      </w:pPr>
      <w:r>
        <w:rPr>
          <w:rFonts w:hint="eastAsia"/>
          <w:color w:val="auto"/>
          <w:highlight w:val="none"/>
        </w:rPr>
        <w:t>(5)产品及生产所需装备符合中国政府规定的相应技术标准和环保标准；</w:t>
      </w:r>
    </w:p>
    <w:p>
      <w:pPr>
        <w:bidi w:val="0"/>
        <w:rPr>
          <w:rFonts w:hint="eastAsia"/>
          <w:color w:val="auto"/>
          <w:highlight w:val="none"/>
        </w:rPr>
      </w:pPr>
      <w:r>
        <w:rPr>
          <w:rFonts w:hint="eastAsia"/>
          <w:color w:val="auto"/>
          <w:highlight w:val="none"/>
        </w:rPr>
        <w:t>(6)没有违反政府采购法规、政策的记录；</w:t>
      </w:r>
    </w:p>
    <w:p>
      <w:pPr>
        <w:bidi w:val="0"/>
        <w:rPr>
          <w:rFonts w:hint="eastAsia"/>
          <w:color w:val="auto"/>
          <w:highlight w:val="none"/>
        </w:rPr>
      </w:pPr>
      <w:r>
        <w:rPr>
          <w:rFonts w:hint="eastAsia"/>
          <w:color w:val="auto"/>
          <w:highlight w:val="none"/>
        </w:rPr>
        <w:t>(7)没有发生重大经济纠纷和走私犯罪记录。</w:t>
      </w:r>
    </w:p>
    <w:p>
      <w:pPr>
        <w:bidi w:val="0"/>
        <w:rPr>
          <w:rFonts w:hint="eastAsia"/>
          <w:color w:val="auto"/>
          <w:highlight w:val="none"/>
        </w:rPr>
      </w:pPr>
      <w:r>
        <w:rPr>
          <w:rFonts w:hint="eastAsia"/>
          <w:color w:val="auto"/>
          <w:highlight w:val="none"/>
        </w:rPr>
        <w:t>3、提供编制和提交采购响应文件须知规定的全部投标文件。具体内容为：</w:t>
      </w:r>
    </w:p>
    <w:p>
      <w:pPr>
        <w:bidi w:val="0"/>
        <w:rPr>
          <w:rFonts w:hint="eastAsia"/>
          <w:color w:val="auto"/>
          <w:highlight w:val="none"/>
        </w:rPr>
      </w:pPr>
      <w:r>
        <w:rPr>
          <w:rFonts w:hint="eastAsia"/>
          <w:color w:val="auto"/>
          <w:highlight w:val="none"/>
        </w:rPr>
        <w:t>(1)开标一览表及投标报价明细清单；</w:t>
      </w:r>
    </w:p>
    <w:p>
      <w:pPr>
        <w:bidi w:val="0"/>
        <w:rPr>
          <w:rFonts w:hint="eastAsia"/>
          <w:color w:val="auto"/>
          <w:highlight w:val="none"/>
        </w:rPr>
      </w:pPr>
      <w:r>
        <w:rPr>
          <w:rFonts w:hint="eastAsia"/>
          <w:color w:val="auto"/>
          <w:highlight w:val="none"/>
        </w:rPr>
        <w:t>(2)投标商务</w:t>
      </w:r>
      <w:r>
        <w:rPr>
          <w:rFonts w:hint="eastAsia"/>
          <w:color w:val="auto"/>
          <w:highlight w:val="none"/>
          <w:lang w:val="zh-CN"/>
        </w:rPr>
        <w:t>技术文件和资格文件</w:t>
      </w:r>
      <w:r>
        <w:rPr>
          <w:rFonts w:hint="eastAsia"/>
          <w:color w:val="auto"/>
          <w:highlight w:val="none"/>
        </w:rPr>
        <w:t>；</w:t>
      </w:r>
    </w:p>
    <w:p>
      <w:pPr>
        <w:bidi w:val="0"/>
        <w:rPr>
          <w:rFonts w:hint="eastAsia"/>
          <w:color w:val="auto"/>
          <w:highlight w:val="none"/>
        </w:rPr>
      </w:pPr>
      <w:r>
        <w:rPr>
          <w:rFonts w:hint="eastAsia"/>
          <w:color w:val="auto"/>
          <w:highlight w:val="none"/>
        </w:rPr>
        <w:t>(3)编制和提交采购响应文件须知要求投标人提交的全部文件；</w:t>
      </w:r>
    </w:p>
    <w:p>
      <w:pPr>
        <w:bidi w:val="0"/>
        <w:rPr>
          <w:rFonts w:hint="eastAsia"/>
          <w:color w:val="auto"/>
          <w:highlight w:val="none"/>
        </w:rPr>
      </w:pPr>
      <w:r>
        <w:rPr>
          <w:rFonts w:hint="eastAsia"/>
          <w:color w:val="auto"/>
          <w:highlight w:val="none"/>
        </w:rPr>
        <w:t>(4)按招标文件要求提供和交付的货物和服务的投标报价详见投标(开标)一览表；</w:t>
      </w:r>
    </w:p>
    <w:p>
      <w:pPr>
        <w:bidi w:val="0"/>
        <w:rPr>
          <w:rFonts w:hint="eastAsia"/>
          <w:color w:val="auto"/>
          <w:highlight w:val="none"/>
        </w:rPr>
      </w:pPr>
      <w:r>
        <w:rPr>
          <w:rFonts w:hint="eastAsia"/>
          <w:color w:val="auto"/>
          <w:highlight w:val="none"/>
        </w:rPr>
        <w:t>(5)保证忠实地执行双方所签订的合同，并承担合同规定的责任和义务；</w:t>
      </w:r>
    </w:p>
    <w:p>
      <w:pPr>
        <w:bidi w:val="0"/>
        <w:rPr>
          <w:rFonts w:hint="eastAsia"/>
          <w:color w:val="auto"/>
          <w:highlight w:val="none"/>
        </w:rPr>
      </w:pPr>
      <w:r>
        <w:rPr>
          <w:rFonts w:hint="eastAsia"/>
          <w:color w:val="auto"/>
          <w:highlight w:val="none"/>
        </w:rPr>
        <w:t>(6)保证遵守招标文件中的其他有关规定。</w:t>
      </w:r>
    </w:p>
    <w:p>
      <w:pPr>
        <w:bidi w:val="0"/>
        <w:rPr>
          <w:rFonts w:hint="eastAsia"/>
          <w:color w:val="auto"/>
          <w:highlight w:val="none"/>
        </w:rPr>
      </w:pPr>
      <w:r>
        <w:rPr>
          <w:rFonts w:hint="eastAsia"/>
          <w:color w:val="auto"/>
          <w:highlight w:val="none"/>
        </w:rPr>
        <w:t>4、我方承诺投标有效期从提交投标文件的截止之日起 90 天，不少于招标文件中载明的投标有效期（从提交投标文件的截止之日起90天）。</w:t>
      </w:r>
    </w:p>
    <w:p>
      <w:pPr>
        <w:bidi w:val="0"/>
        <w:rPr>
          <w:rFonts w:hint="eastAsia"/>
          <w:color w:val="auto"/>
          <w:highlight w:val="none"/>
        </w:rPr>
      </w:pPr>
      <w:r>
        <w:rPr>
          <w:rFonts w:hint="eastAsia"/>
          <w:color w:val="auto"/>
          <w:highlight w:val="none"/>
        </w:rPr>
        <w:t>5、我方完全理解贵方不一定要接受最低价的投标。</w:t>
      </w:r>
    </w:p>
    <w:p>
      <w:pPr>
        <w:bidi w:val="0"/>
        <w:rPr>
          <w:rFonts w:hint="eastAsia"/>
          <w:color w:val="auto"/>
          <w:highlight w:val="none"/>
        </w:rPr>
      </w:pPr>
      <w:r>
        <w:rPr>
          <w:rFonts w:hint="eastAsia"/>
          <w:color w:val="auto"/>
          <w:highlight w:val="none"/>
        </w:rPr>
        <w:t>6、我方愿意向贵方提供任何与该项投标有关的数据、情况和技术资料。若贵方需要，我方愿意提供我方作出的一切承诺的证明材料。</w:t>
      </w:r>
    </w:p>
    <w:p>
      <w:pPr>
        <w:bidi w:val="0"/>
        <w:rPr>
          <w:rFonts w:hint="eastAsia"/>
          <w:color w:val="auto"/>
          <w:highlight w:val="none"/>
        </w:rPr>
      </w:pPr>
      <w:r>
        <w:rPr>
          <w:rFonts w:hint="eastAsia"/>
          <w:color w:val="auto"/>
          <w:highlight w:val="none"/>
        </w:rPr>
        <w:t>7、我方已详细审核全部招标文件，包括招标文件修改书(如果有)、参考资料及有关附件，确认无误。</w:t>
      </w:r>
    </w:p>
    <w:p>
      <w:pPr>
        <w:bidi w:val="0"/>
        <w:rPr>
          <w:rFonts w:hint="eastAsia"/>
          <w:color w:val="auto"/>
          <w:highlight w:val="none"/>
        </w:rPr>
      </w:pPr>
      <w:r>
        <w:rPr>
          <w:rFonts w:hint="eastAsia"/>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bidi w:val="0"/>
        <w:rPr>
          <w:rFonts w:hint="eastAsia"/>
          <w:color w:val="auto"/>
          <w:highlight w:val="none"/>
        </w:rPr>
      </w:pPr>
      <w:r>
        <w:rPr>
          <w:rFonts w:hint="eastAsia"/>
          <w:color w:val="auto"/>
          <w:highlight w:val="none"/>
        </w:rPr>
        <w:t>a)提供虚假材料谋取中标、成交的；</w:t>
      </w:r>
    </w:p>
    <w:p>
      <w:pPr>
        <w:bidi w:val="0"/>
        <w:rPr>
          <w:rFonts w:hint="eastAsia"/>
          <w:color w:val="auto"/>
          <w:highlight w:val="none"/>
        </w:rPr>
      </w:pPr>
      <w:r>
        <w:rPr>
          <w:rFonts w:hint="eastAsia"/>
          <w:color w:val="auto"/>
          <w:highlight w:val="none"/>
        </w:rPr>
        <w:t>b)采取不正当手段诋毁、排挤其他供应商的；</w:t>
      </w:r>
    </w:p>
    <w:p>
      <w:pPr>
        <w:bidi w:val="0"/>
        <w:rPr>
          <w:rFonts w:hint="eastAsia"/>
          <w:color w:val="auto"/>
          <w:highlight w:val="none"/>
        </w:rPr>
      </w:pPr>
      <w:r>
        <w:rPr>
          <w:rFonts w:hint="eastAsia"/>
          <w:color w:val="auto"/>
          <w:highlight w:val="none"/>
        </w:rPr>
        <w:t>c)与采购人、其它供应商或者采购代理机构恶意串通的；</w:t>
      </w:r>
    </w:p>
    <w:p>
      <w:pPr>
        <w:bidi w:val="0"/>
        <w:rPr>
          <w:rFonts w:hint="eastAsia"/>
          <w:color w:val="auto"/>
          <w:highlight w:val="none"/>
        </w:rPr>
      </w:pPr>
      <w:r>
        <w:rPr>
          <w:rFonts w:hint="eastAsia"/>
          <w:color w:val="auto"/>
          <w:highlight w:val="none"/>
        </w:rPr>
        <w:t>d)向采购人、采购代理机构行贿或者提供其他不正当利益的；</w:t>
      </w:r>
    </w:p>
    <w:p>
      <w:pPr>
        <w:bidi w:val="0"/>
        <w:rPr>
          <w:rFonts w:hint="eastAsia"/>
          <w:color w:val="auto"/>
          <w:highlight w:val="none"/>
        </w:rPr>
      </w:pPr>
      <w:r>
        <w:rPr>
          <w:rFonts w:hint="eastAsia"/>
          <w:color w:val="auto"/>
          <w:highlight w:val="none"/>
        </w:rPr>
        <w:t>e)在招标采购过程中与采购人进行协商谈判的；</w:t>
      </w:r>
    </w:p>
    <w:p>
      <w:pPr>
        <w:bidi w:val="0"/>
        <w:rPr>
          <w:rFonts w:hint="eastAsia"/>
          <w:color w:val="auto"/>
          <w:highlight w:val="none"/>
        </w:rPr>
      </w:pPr>
      <w:r>
        <w:rPr>
          <w:rFonts w:hint="eastAsia"/>
          <w:color w:val="auto"/>
          <w:highlight w:val="none"/>
        </w:rPr>
        <w:t>f)拒绝有关部门监督检查或提供虚假情况的。</w:t>
      </w:r>
    </w:p>
    <w:p>
      <w:pPr>
        <w:bidi w:val="0"/>
        <w:rPr>
          <w:rFonts w:hint="eastAsia"/>
          <w:color w:val="auto"/>
          <w:highlight w:val="none"/>
        </w:rPr>
      </w:pPr>
      <w:r>
        <w:rPr>
          <w:rFonts w:hint="eastAsia"/>
          <w:color w:val="auto"/>
          <w:highlight w:val="none"/>
        </w:rPr>
        <w:t>供应商有前款第a)至e)项情形之一的，中标、成交无效。</w:t>
      </w:r>
    </w:p>
    <w:p>
      <w:pPr>
        <w:ind w:firstLine="3600" w:firstLineChars="1500"/>
        <w:rPr>
          <w:rFonts w:hint="eastAsia" w:ascii="宋体" w:hAnsi="宋体" w:eastAsia="宋体" w:cs="宋体"/>
          <w:color w:val="auto"/>
          <w:highlight w:val="none"/>
        </w:rPr>
      </w:pPr>
    </w:p>
    <w:p>
      <w:pPr>
        <w:pStyle w:val="48"/>
        <w:rPr>
          <w:rFonts w:hint="eastAsia" w:ascii="宋体" w:hAnsi="宋体" w:eastAsia="宋体" w:cs="宋体"/>
          <w:color w:val="auto"/>
          <w:highlight w:val="none"/>
        </w:rPr>
      </w:pPr>
    </w:p>
    <w:p>
      <w:pPr>
        <w:bidi w:val="0"/>
        <w:rPr>
          <w:rFonts w:hint="eastAsia"/>
          <w:color w:val="auto"/>
          <w:highlight w:val="none"/>
        </w:rPr>
      </w:pPr>
      <w:r>
        <w:rPr>
          <w:rFonts w:hint="eastAsia"/>
          <w:color w:val="auto"/>
          <w:highlight w:val="none"/>
        </w:rPr>
        <w:t>投标人名称（公章）：</w:t>
      </w:r>
    </w:p>
    <w:p>
      <w:pPr>
        <w:bidi w:val="0"/>
        <w:rPr>
          <w:rFonts w:hint="eastAsia"/>
          <w:color w:val="auto"/>
          <w:highlight w:val="none"/>
        </w:rPr>
      </w:pPr>
      <w:r>
        <w:rPr>
          <w:rFonts w:hint="eastAsia"/>
          <w:color w:val="auto"/>
          <w:highlight w:val="none"/>
        </w:rPr>
        <w:t>法定代表人或其授权代表（签字或盖章）：</w:t>
      </w:r>
    </w:p>
    <w:p>
      <w:pPr>
        <w:bidi w:val="0"/>
        <w:rPr>
          <w:rFonts w:hint="eastAsia"/>
          <w:color w:val="auto"/>
          <w:highlight w:val="none"/>
        </w:rPr>
      </w:pPr>
      <w:r>
        <w:rPr>
          <w:rFonts w:hint="eastAsia"/>
          <w:color w:val="auto"/>
          <w:highlight w:val="none"/>
        </w:rPr>
        <w:t>日期：  年   月   日</w:t>
      </w:r>
    </w:p>
    <w:p>
      <w:pPr>
        <w:snapToGrid w:val="0"/>
        <w:ind w:left="480" w:leftChars="200" w:firstLine="4200" w:firstLineChars="1750"/>
        <w:rPr>
          <w:rFonts w:hint="eastAsia" w:ascii="宋体" w:hAnsi="宋体" w:eastAsia="宋体" w:cs="宋体"/>
          <w:color w:val="auto"/>
          <w:kern w:val="0"/>
          <w:highlight w:val="none"/>
          <w:u w:val="single"/>
          <w:lang w:val="zh-CN"/>
        </w:rPr>
      </w:pPr>
    </w:p>
    <w:p>
      <w:pPr>
        <w:bidi w:val="0"/>
        <w:rPr>
          <w:rFonts w:hint="eastAsia"/>
          <w:color w:val="auto"/>
          <w:highlight w:val="none"/>
        </w:rPr>
      </w:pPr>
      <w:r>
        <w:rPr>
          <w:rFonts w:hint="eastAsia"/>
          <w:color w:val="auto"/>
          <w:highlight w:val="none"/>
          <w:lang w:val="zh-CN"/>
        </w:rPr>
        <w:t xml:space="preserve">联系人：                           联系电话：                 </w:t>
      </w:r>
    </w:p>
    <w:p>
      <w:pPr>
        <w:bidi w:val="0"/>
        <w:rPr>
          <w:rFonts w:hint="eastAsia"/>
          <w:color w:val="auto"/>
          <w:highlight w:val="none"/>
        </w:rPr>
      </w:pPr>
      <w:r>
        <w:rPr>
          <w:rFonts w:hint="eastAsia"/>
          <w:color w:val="auto"/>
          <w:highlight w:val="none"/>
          <w:lang w:val="zh-CN"/>
        </w:rPr>
        <w:t xml:space="preserve">联系地址：                                                    </w:t>
      </w:r>
    </w:p>
    <w:p>
      <w:pPr>
        <w:bidi w:val="0"/>
        <w:rPr>
          <w:rFonts w:hint="eastAsia"/>
          <w:color w:val="auto"/>
          <w:highlight w:val="none"/>
        </w:rPr>
      </w:pPr>
      <w:r>
        <w:rPr>
          <w:rFonts w:hint="eastAsia"/>
          <w:color w:val="auto"/>
          <w:highlight w:val="none"/>
          <w:lang w:val="zh-CN"/>
        </w:rPr>
        <w:t xml:space="preserve">邮政编码：                     传真号码：                     </w:t>
      </w:r>
    </w:p>
    <w:p>
      <w:pPr>
        <w:ind w:firstLine="482"/>
        <w:rPr>
          <w:rFonts w:hint="eastAsia" w:ascii="宋体" w:hAnsi="宋体" w:eastAsia="宋体" w:cs="宋体"/>
          <w:b/>
          <w:bCs/>
          <w:color w:val="auto"/>
          <w:highlight w:val="none"/>
          <w:lang w:val="zh-CN"/>
        </w:rPr>
      </w:pPr>
    </w:p>
    <w:p>
      <w:pPr>
        <w:bidi w:val="0"/>
        <w:rPr>
          <w:rFonts w:hint="eastAsia"/>
          <w:color w:val="auto"/>
          <w:highlight w:val="none"/>
          <w:lang w:val="zh-CN"/>
        </w:rPr>
      </w:pPr>
      <w:r>
        <w:rPr>
          <w:rFonts w:hint="eastAsia" w:ascii="宋体" w:hAnsi="宋体" w:eastAsia="宋体" w:cs="宋体"/>
          <w:b/>
          <w:bCs/>
          <w:color w:val="auto"/>
          <w:highlight w:val="none"/>
          <w:lang w:val="zh-CN"/>
        </w:rPr>
        <w:t>注：未按照本投标响应函要求填报的将被视为非实质性响应投标，从而可能导致该投标被拒绝。</w:t>
      </w:r>
    </w:p>
    <w:p>
      <w:pPr>
        <w:bidi w:val="0"/>
        <w:rPr>
          <w:rFonts w:hint="eastAsia"/>
          <w:color w:val="auto"/>
          <w:highlight w:val="none"/>
        </w:rPr>
        <w:sectPr>
          <w:footerReference r:id="rId16" w:type="default"/>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bookmarkStart w:id="172" w:name="_Toc2416"/>
    </w:p>
    <w:p>
      <w:pPr>
        <w:pStyle w:val="5"/>
        <w:numPr>
          <w:ilvl w:val="0"/>
          <w:numId w:val="40"/>
        </w:numPr>
        <w:bidi w:val="0"/>
        <w:rPr>
          <w:rFonts w:hint="eastAsia"/>
          <w:color w:val="auto"/>
          <w:highlight w:val="none"/>
        </w:rPr>
      </w:pPr>
      <w:r>
        <w:rPr>
          <w:rFonts w:hint="eastAsia"/>
          <w:color w:val="auto"/>
          <w:highlight w:val="none"/>
        </w:rPr>
        <w:t>开标一览表</w:t>
      </w:r>
      <w:bookmarkEnd w:id="172"/>
    </w:p>
    <w:p>
      <w:pPr>
        <w:snapToGrid w:val="0"/>
        <w:ind w:left="0" w:leftChars="0" w:right="0" w:rightChars="0" w:firstLine="0" w:firstLineChars="0"/>
        <w:jc w:val="center"/>
        <w:rPr>
          <w:rFonts w:hint="eastAsia" w:ascii="宋体" w:hAnsi="宋体" w:eastAsia="宋体" w:cs="宋体"/>
          <w:b/>
          <w:color w:val="auto"/>
          <w:kern w:val="0"/>
          <w:sz w:val="32"/>
          <w:highlight w:val="none"/>
        </w:rPr>
      </w:pPr>
      <w:bookmarkStart w:id="173" w:name="_Toc14446"/>
      <w:bookmarkStart w:id="174" w:name="_Toc29517"/>
      <w:r>
        <w:rPr>
          <w:rFonts w:hint="eastAsia" w:ascii="宋体" w:hAnsi="宋体" w:eastAsia="宋体" w:cs="宋体"/>
          <w:b/>
          <w:color w:val="auto"/>
          <w:kern w:val="0"/>
          <w:sz w:val="32"/>
          <w:highlight w:val="none"/>
        </w:rPr>
        <w:t>开标一览表</w:t>
      </w:r>
      <w:bookmarkEnd w:id="173"/>
      <w:bookmarkEnd w:id="174"/>
    </w:p>
    <w:p>
      <w:pPr>
        <w:bidi w:val="0"/>
        <w:rPr>
          <w:rFonts w:hint="eastAsia"/>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cs="宋体"/>
          <w:bCs/>
          <w:color w:val="auto"/>
          <w:spacing w:val="-6"/>
          <w:highlight w:val="none"/>
          <w:lang w:eastAsia="zh-CN"/>
        </w:rPr>
        <w:t>庵东镇教育办公室</w:t>
      </w:r>
      <w:r>
        <w:rPr>
          <w:rFonts w:hint="eastAsia" w:ascii="宋体" w:hAnsi="宋体" w:eastAsia="宋体" w:cs="宋体"/>
          <w:bCs/>
          <w:color w:val="auto"/>
          <w:spacing w:val="-6"/>
          <w:highlight w:val="none"/>
        </w:rPr>
        <w:t>、浙江五石工程咨询有限公司</w:t>
      </w:r>
      <w:r>
        <w:rPr>
          <w:rFonts w:hint="eastAsia" w:ascii="宋体" w:hAnsi="宋体" w:eastAsia="宋体" w:cs="宋体"/>
          <w:color w:val="auto"/>
          <w:spacing w:val="-6"/>
          <w:highlight w:val="none"/>
        </w:rPr>
        <w:t>：</w:t>
      </w:r>
    </w:p>
    <w:p>
      <w:pPr>
        <w:ind w:firstLine="480" w:firstLineChars="200"/>
        <w:rPr>
          <w:rFonts w:hint="eastAsia" w:ascii="宋体" w:hAnsi="宋体" w:eastAsia="宋体" w:cs="宋体"/>
          <w:b w:val="0"/>
          <w:color w:val="auto"/>
          <w:kern w:val="0"/>
          <w:sz w:val="24"/>
          <w:highlight w:val="none"/>
          <w:lang w:val="zh-CN"/>
        </w:rPr>
      </w:pPr>
      <w:bookmarkStart w:id="175" w:name="_Toc32310"/>
      <w:bookmarkStart w:id="176"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]标项：</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175"/>
      <w:bookmarkEnd w:id="176"/>
    </w:p>
    <w:p>
      <w:pPr>
        <w:jc w:val="right"/>
        <w:rPr>
          <w:rFonts w:hint="eastAsia" w:ascii="宋体" w:hAnsi="宋体" w:eastAsia="宋体" w:cs="宋体"/>
          <w:b/>
          <w:bCs/>
          <w:color w:val="auto"/>
          <w:highlight w:val="none"/>
        </w:rPr>
      </w:pPr>
    </w:p>
    <w:p>
      <w:pPr>
        <w:jc w:val="right"/>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金额单位：</w:t>
      </w:r>
      <w:r>
        <w:rPr>
          <w:rFonts w:hint="eastAsia" w:cs="宋体"/>
          <w:b/>
          <w:bCs/>
          <w:color w:val="auto"/>
          <w:highlight w:val="none"/>
          <w:lang w:val="en-US" w:eastAsia="zh-CN"/>
        </w:rPr>
        <w:t>人民币/元</w:t>
      </w:r>
    </w:p>
    <w:tbl>
      <w:tblPr>
        <w:tblStyle w:val="46"/>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rPr>
              <w:t>标项号</w:t>
            </w:r>
          </w:p>
        </w:tc>
        <w:tc>
          <w:tcPr>
            <w:tcW w:w="3247" w:type="dxa"/>
            <w:vAlign w:val="center"/>
          </w:tcPr>
          <w:p>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rPr>
              <w:t>产品名称</w:t>
            </w:r>
          </w:p>
        </w:tc>
        <w:tc>
          <w:tcPr>
            <w:tcW w:w="5213" w:type="dxa"/>
            <w:vAlign w:val="center"/>
          </w:tcPr>
          <w:p>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rPr>
              <w:t>投标总价</w:t>
            </w:r>
          </w:p>
          <w:p>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rPr>
              <w:t>一</w:t>
            </w:r>
          </w:p>
        </w:tc>
        <w:tc>
          <w:tcPr>
            <w:tcW w:w="3247" w:type="dxa"/>
            <w:vAlign w:val="center"/>
          </w:tcPr>
          <w:p>
            <w:pPr>
              <w:spacing w:line="360" w:lineRule="auto"/>
              <w:ind w:left="0" w:leftChars="0" w:firstLine="0" w:firstLineChars="0"/>
              <w:jc w:val="center"/>
              <w:rPr>
                <w:rFonts w:hint="eastAsia" w:ascii="宋体" w:hAnsi="宋体" w:cs="宋体"/>
                <w:color w:val="auto"/>
                <w:sz w:val="24"/>
                <w:szCs w:val="24"/>
              </w:rPr>
            </w:pPr>
          </w:p>
        </w:tc>
        <w:tc>
          <w:tcPr>
            <w:tcW w:w="5213" w:type="dxa"/>
            <w:vAlign w:val="center"/>
          </w:tcPr>
          <w:p>
            <w:pPr>
              <w:spacing w:line="360" w:lineRule="auto"/>
              <w:ind w:left="0" w:leftChars="0" w:firstLine="0" w:firstLineChars="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top"/>
          </w:tcPr>
          <w:p>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rPr>
              <w:t>投</w:t>
            </w:r>
          </w:p>
          <w:p>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rPr>
              <w:t>标</w:t>
            </w:r>
          </w:p>
          <w:p>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rPr>
              <w:t>人</w:t>
            </w:r>
          </w:p>
          <w:p>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rPr>
              <w:t>申</w:t>
            </w:r>
          </w:p>
          <w:p>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rPr>
              <w:t>明</w:t>
            </w:r>
          </w:p>
        </w:tc>
        <w:tc>
          <w:tcPr>
            <w:tcW w:w="8460" w:type="dxa"/>
            <w:gridSpan w:val="2"/>
            <w:vAlign w:val="top"/>
          </w:tcPr>
          <w:p>
            <w:pPr>
              <w:spacing w:line="360" w:lineRule="auto"/>
              <w:ind w:left="0" w:leftChars="0" w:firstLine="0" w:firstLineChars="0"/>
              <w:jc w:val="center"/>
              <w:rPr>
                <w:rFonts w:hint="eastAsia" w:ascii="宋体" w:hAnsi="宋体" w:cs="宋体"/>
                <w:color w:val="auto"/>
                <w:sz w:val="24"/>
                <w:szCs w:val="24"/>
              </w:rPr>
            </w:pPr>
          </w:p>
          <w:p>
            <w:pPr>
              <w:spacing w:line="360" w:lineRule="auto"/>
              <w:ind w:left="0" w:leftChars="0" w:firstLine="0" w:firstLineChars="0"/>
              <w:jc w:val="center"/>
              <w:rPr>
                <w:rFonts w:hint="eastAsia" w:ascii="宋体" w:hAnsi="宋体" w:cs="宋体"/>
                <w:color w:val="auto"/>
                <w:sz w:val="24"/>
                <w:szCs w:val="24"/>
              </w:rPr>
            </w:pPr>
          </w:p>
          <w:p>
            <w:pPr>
              <w:spacing w:line="360" w:lineRule="auto"/>
              <w:ind w:left="0" w:leftChars="0" w:firstLine="0" w:firstLineChars="0"/>
              <w:jc w:val="center"/>
              <w:rPr>
                <w:rFonts w:hint="eastAsia" w:ascii="宋体" w:hAnsi="宋体" w:cs="宋体"/>
                <w:color w:val="auto"/>
                <w:sz w:val="24"/>
                <w:szCs w:val="24"/>
              </w:rPr>
            </w:pPr>
          </w:p>
          <w:p>
            <w:pPr>
              <w:spacing w:line="360" w:lineRule="auto"/>
              <w:ind w:left="0" w:leftChars="0" w:firstLine="0" w:firstLineChars="0"/>
              <w:jc w:val="center"/>
              <w:rPr>
                <w:rFonts w:hint="eastAsia" w:ascii="宋体" w:hAnsi="宋体" w:cs="宋体"/>
                <w:color w:val="auto"/>
                <w:sz w:val="24"/>
                <w:szCs w:val="24"/>
              </w:rPr>
            </w:pPr>
          </w:p>
          <w:p>
            <w:pPr>
              <w:spacing w:line="360" w:lineRule="auto"/>
              <w:ind w:left="0" w:leftChars="0" w:firstLine="0" w:firstLineChars="0"/>
              <w:jc w:val="center"/>
              <w:rPr>
                <w:rFonts w:hint="eastAsia" w:ascii="宋体" w:hAnsi="宋体" w:cs="宋体"/>
                <w:color w:val="auto"/>
                <w:sz w:val="24"/>
                <w:szCs w:val="24"/>
              </w:rPr>
            </w:pPr>
          </w:p>
        </w:tc>
      </w:tr>
    </w:tbl>
    <w:p>
      <w:pPr>
        <w:rPr>
          <w:rFonts w:hint="eastAsia" w:ascii="宋体" w:hAnsi="宋体" w:eastAsia="宋体" w:cs="宋体"/>
          <w:color w:val="auto"/>
          <w:highlight w:val="none"/>
        </w:rPr>
      </w:pPr>
    </w:p>
    <w:p>
      <w:pPr>
        <w:snapToGrid w:val="0"/>
        <w:ind w:left="0" w:leftChars="0" w:firstLine="241" w:firstLineChars="100"/>
        <w:rPr>
          <w:rFonts w:hint="eastAsia" w:ascii="宋体" w:hAnsi="宋体" w:eastAsia="宋体" w:cs="宋体"/>
          <w:b/>
          <w:color w:val="auto"/>
          <w:kern w:val="0"/>
          <w:highlight w:val="none"/>
          <w:lang w:val="zh-CN"/>
        </w:rPr>
      </w:pPr>
      <w:r>
        <w:rPr>
          <w:rFonts w:hint="eastAsia" w:ascii="宋体" w:hAnsi="宋体" w:eastAsia="宋体" w:cs="宋体"/>
          <w:b/>
          <w:color w:val="auto"/>
          <w:kern w:val="0"/>
          <w:highlight w:val="none"/>
          <w:lang w:val="zh-CN"/>
        </w:rPr>
        <w:t>注：1.开标一览表价格应与投标函投标总价、投标报价明细表汇总价一致。</w:t>
      </w:r>
    </w:p>
    <w:p>
      <w:pPr>
        <w:pStyle w:val="21"/>
        <w:rPr>
          <w:rFonts w:hint="eastAsia" w:ascii="宋体" w:hAnsi="宋体" w:eastAsia="宋体" w:cs="宋体"/>
          <w:color w:val="auto"/>
          <w:highlight w:val="none"/>
          <w:lang w:val="zh-CN"/>
        </w:rPr>
      </w:pPr>
    </w:p>
    <w:p>
      <w:pPr>
        <w:bidi w:val="0"/>
        <w:rPr>
          <w:rFonts w:hint="eastAsia"/>
          <w:color w:val="auto"/>
          <w:highlight w:val="none"/>
        </w:rPr>
      </w:pPr>
      <w:r>
        <w:rPr>
          <w:rFonts w:hint="eastAsia"/>
          <w:color w:val="auto"/>
          <w:highlight w:val="none"/>
        </w:rPr>
        <w:t>投标人名称（公章）：</w:t>
      </w:r>
    </w:p>
    <w:p>
      <w:pPr>
        <w:bidi w:val="0"/>
        <w:rPr>
          <w:rFonts w:hint="eastAsia"/>
          <w:color w:val="auto"/>
          <w:highlight w:val="none"/>
        </w:rPr>
      </w:pPr>
      <w:r>
        <w:rPr>
          <w:rFonts w:hint="eastAsia"/>
          <w:color w:val="auto"/>
          <w:highlight w:val="none"/>
        </w:rPr>
        <w:t>法定代表人或其授权代表（签字）：</w:t>
      </w:r>
    </w:p>
    <w:p>
      <w:pPr>
        <w:bidi w:val="0"/>
        <w:rPr>
          <w:rFonts w:hint="eastAsia"/>
          <w:color w:val="auto"/>
          <w:highlight w:val="none"/>
        </w:rPr>
      </w:pPr>
      <w:r>
        <w:rPr>
          <w:rFonts w:hint="eastAsia"/>
          <w:color w:val="auto"/>
          <w:highlight w:val="none"/>
        </w:rPr>
        <w:t>日期：  年   月   日</w:t>
      </w:r>
    </w:p>
    <w:p>
      <w:pPr>
        <w:ind w:firstLine="480"/>
        <w:rPr>
          <w:rFonts w:hint="eastAsia" w:ascii="宋体" w:hAnsi="宋体" w:eastAsia="宋体" w:cs="宋体"/>
          <w:color w:val="auto"/>
          <w:highlight w:val="none"/>
          <w:lang w:val="zh-CN"/>
        </w:rPr>
      </w:pPr>
    </w:p>
    <w:p>
      <w:pPr>
        <w:pStyle w:val="21"/>
        <w:rPr>
          <w:rFonts w:hint="eastAsia" w:ascii="宋体" w:hAnsi="宋体" w:eastAsia="宋体" w:cs="宋体"/>
          <w:color w:val="auto"/>
          <w:highlight w:val="none"/>
          <w:lang w:val="zh-CN"/>
        </w:rPr>
      </w:pPr>
    </w:p>
    <w:p>
      <w:pPr>
        <w:pStyle w:val="21"/>
        <w:rPr>
          <w:rFonts w:hint="eastAsia" w:ascii="宋体" w:hAnsi="宋体" w:eastAsia="宋体" w:cs="宋体"/>
          <w:color w:val="auto"/>
          <w:highlight w:val="none"/>
          <w:lang w:val="zh-CN"/>
        </w:rPr>
      </w:pPr>
    </w:p>
    <w:p>
      <w:pPr>
        <w:pStyle w:val="21"/>
        <w:rPr>
          <w:rFonts w:hint="eastAsia" w:ascii="宋体" w:hAnsi="宋体" w:eastAsia="宋体" w:cs="宋体"/>
          <w:color w:val="auto"/>
          <w:highlight w:val="none"/>
          <w:lang w:val="zh-CN"/>
        </w:rPr>
      </w:pPr>
    </w:p>
    <w:p>
      <w:pPr>
        <w:pStyle w:val="21"/>
        <w:rPr>
          <w:rFonts w:hint="eastAsia" w:ascii="宋体" w:hAnsi="宋体" w:eastAsia="宋体" w:cs="宋体"/>
          <w:color w:val="auto"/>
          <w:highlight w:val="none"/>
          <w:lang w:val="zh-CN"/>
        </w:rPr>
      </w:pPr>
    </w:p>
    <w:p>
      <w:pPr>
        <w:pStyle w:val="21"/>
        <w:rPr>
          <w:rFonts w:hint="eastAsia" w:ascii="宋体" w:hAnsi="宋体" w:eastAsia="宋体" w:cs="宋体"/>
          <w:color w:val="auto"/>
          <w:highlight w:val="none"/>
          <w:lang w:val="zh-CN"/>
        </w:rPr>
      </w:pPr>
    </w:p>
    <w:p>
      <w:pPr>
        <w:pStyle w:val="11"/>
        <w:ind w:left="0" w:leftChars="0" w:firstLine="0" w:firstLineChars="0"/>
        <w:rPr>
          <w:rFonts w:hint="eastAsia" w:ascii="宋体" w:hAnsi="宋体" w:eastAsia="宋体" w:cs="宋体"/>
          <w:bCs/>
          <w:color w:val="auto"/>
          <w:spacing w:val="-6"/>
          <w:highlight w:val="none"/>
        </w:rPr>
      </w:pPr>
    </w:p>
    <w:p>
      <w:pPr>
        <w:pStyle w:val="5"/>
        <w:numPr>
          <w:ilvl w:val="0"/>
          <w:numId w:val="40"/>
        </w:numPr>
        <w:bidi w:val="0"/>
        <w:rPr>
          <w:rFonts w:hint="default"/>
          <w:color w:val="auto"/>
          <w:highlight w:val="none"/>
          <w:lang w:val="en-US" w:eastAsia="zh-CN"/>
        </w:rPr>
        <w:sectPr>
          <w:footerReference r:id="rId17" w:type="default"/>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5"/>
        <w:numPr>
          <w:ilvl w:val="0"/>
          <w:numId w:val="40"/>
        </w:numPr>
        <w:bidi w:val="0"/>
        <w:jc w:val="left"/>
        <w:rPr>
          <w:rFonts w:hint="default"/>
          <w:color w:val="auto"/>
          <w:highlight w:val="none"/>
          <w:lang w:val="en-US" w:eastAsia="zh-CN"/>
        </w:rPr>
      </w:pPr>
      <w:r>
        <w:rPr>
          <w:rFonts w:hint="eastAsia"/>
          <w:color w:val="auto"/>
          <w:highlight w:val="none"/>
          <w:lang w:val="en-US" w:eastAsia="zh-CN"/>
        </w:rPr>
        <w:t>投标报价明细表</w:t>
      </w:r>
    </w:p>
    <w:p>
      <w:pPr>
        <w:snapToGrid w:val="0"/>
        <w:ind w:left="0" w:leftChars="0" w:right="0" w:rightChars="0" w:firstLine="0" w:firstLineChars="0"/>
        <w:jc w:val="center"/>
        <w:rPr>
          <w:rFonts w:hint="default" w:ascii="宋体" w:hAnsi="宋体" w:eastAsia="宋体" w:cs="宋体"/>
          <w:b/>
          <w:color w:val="auto"/>
          <w:kern w:val="0"/>
          <w:sz w:val="32"/>
          <w:highlight w:val="none"/>
          <w:lang w:val="en-US" w:eastAsia="zh-CN"/>
        </w:rPr>
      </w:pPr>
      <w:r>
        <w:rPr>
          <w:rFonts w:hint="eastAsia" w:ascii="宋体" w:hAnsi="宋体" w:eastAsia="宋体" w:cs="宋体"/>
          <w:b/>
          <w:color w:val="auto"/>
          <w:kern w:val="0"/>
          <w:sz w:val="32"/>
          <w:highlight w:val="none"/>
          <w:lang w:val="en-US" w:eastAsia="zh-CN"/>
        </w:rPr>
        <w:t>投标报价明细表</w:t>
      </w:r>
    </w:p>
    <w:p>
      <w:pPr>
        <w:spacing w:line="460" w:lineRule="exact"/>
        <w:rPr>
          <w:rFonts w:hint="eastAsia" w:ascii="宋体" w:hAnsi="宋体"/>
          <w:color w:val="auto"/>
          <w:sz w:val="30"/>
        </w:rPr>
      </w:pPr>
      <w:bookmarkStart w:id="177" w:name="_Toc8480"/>
      <w:bookmarkStart w:id="178" w:name="_Toc9524"/>
      <w:r>
        <w:rPr>
          <w:rFonts w:hint="eastAsia" w:ascii="宋体" w:hAnsi="宋体"/>
          <w:color w:val="auto"/>
          <w:sz w:val="24"/>
          <w:szCs w:val="24"/>
        </w:rPr>
        <w:t>招标项目名称：</w:t>
      </w:r>
      <w:r>
        <w:rPr>
          <w:rFonts w:ascii="宋体" w:hAnsi="宋体"/>
          <w:color w:val="auto"/>
          <w:sz w:val="24"/>
          <w:szCs w:val="24"/>
          <w:u w:val="single"/>
        </w:rPr>
        <w:t>_______</w:t>
      </w:r>
      <w:r>
        <w:rPr>
          <w:rFonts w:hint="eastAsia" w:ascii="宋体" w:hAnsi="宋体"/>
          <w:color w:val="auto"/>
          <w:sz w:val="24"/>
          <w:szCs w:val="24"/>
          <w:u w:val="single"/>
        </w:rPr>
        <w:t xml:space="preserve">               </w:t>
      </w:r>
      <w:r>
        <w:rPr>
          <w:rFonts w:hint="eastAsia" w:ascii="宋体" w:hAnsi="宋体"/>
          <w:color w:val="auto"/>
          <w:spacing w:val="14"/>
          <w:sz w:val="24"/>
          <w:szCs w:val="24"/>
        </w:rPr>
        <w:t>招标编号</w:t>
      </w:r>
      <w:r>
        <w:rPr>
          <w:rFonts w:hint="eastAsia" w:ascii="宋体" w:hAnsi="宋体"/>
          <w:color w:val="auto"/>
          <w:sz w:val="24"/>
          <w:szCs w:val="24"/>
        </w:rPr>
        <w:t>：</w:t>
      </w:r>
      <w:r>
        <w:rPr>
          <w:rFonts w:ascii="宋体" w:hAnsi="宋体"/>
          <w:color w:val="auto"/>
          <w:sz w:val="24"/>
          <w:szCs w:val="24"/>
          <w:u w:val="single"/>
        </w:rPr>
        <w:t>_____</w:t>
      </w:r>
      <w:r>
        <w:rPr>
          <w:rFonts w:hint="eastAsia" w:ascii="宋体" w:hAnsi="宋体"/>
          <w:color w:val="auto"/>
          <w:sz w:val="24"/>
          <w:szCs w:val="24"/>
          <w:u w:val="single"/>
        </w:rPr>
        <w:t xml:space="preserve">                </w:t>
      </w:r>
      <w:r>
        <w:rPr>
          <w:rFonts w:hint="eastAsia" w:ascii="宋体" w:hAnsi="宋体"/>
          <w:color w:val="auto"/>
          <w:sz w:val="24"/>
          <w:szCs w:val="24"/>
        </w:rPr>
        <w:t xml:space="preserve">               </w:t>
      </w:r>
      <w:r>
        <w:rPr>
          <w:rFonts w:ascii="宋体" w:hAnsi="宋体"/>
          <w:color w:val="auto"/>
          <w:sz w:val="24"/>
          <w:szCs w:val="24"/>
        </w:rPr>
        <w:t>（</w:t>
      </w:r>
      <w:r>
        <w:rPr>
          <w:rFonts w:hint="eastAsia" w:ascii="宋体" w:hAnsi="宋体"/>
          <w:color w:val="auto"/>
          <w:sz w:val="24"/>
          <w:szCs w:val="24"/>
        </w:rPr>
        <w:t>人民币：元）</w:t>
      </w:r>
    </w:p>
    <w:tbl>
      <w:tblPr>
        <w:tblStyle w:val="46"/>
        <w:tblW w:w="15821" w:type="dxa"/>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序号</w:t>
            </w:r>
          </w:p>
        </w:tc>
        <w:tc>
          <w:tcPr>
            <w:tcW w:w="1260" w:type="dxa"/>
            <w:vMerge w:val="restart"/>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产品名称</w:t>
            </w:r>
          </w:p>
        </w:tc>
        <w:tc>
          <w:tcPr>
            <w:tcW w:w="2040" w:type="dxa"/>
            <w:vMerge w:val="restart"/>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品牌、规格及型号</w:t>
            </w:r>
          </w:p>
        </w:tc>
        <w:tc>
          <w:tcPr>
            <w:tcW w:w="1050" w:type="dxa"/>
            <w:vMerge w:val="restart"/>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产地</w:t>
            </w:r>
          </w:p>
        </w:tc>
        <w:tc>
          <w:tcPr>
            <w:tcW w:w="840" w:type="dxa"/>
            <w:vMerge w:val="restart"/>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数量单位</w:t>
            </w:r>
          </w:p>
        </w:tc>
        <w:tc>
          <w:tcPr>
            <w:tcW w:w="840" w:type="dxa"/>
            <w:vMerge w:val="restart"/>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数量</w:t>
            </w:r>
          </w:p>
        </w:tc>
        <w:tc>
          <w:tcPr>
            <w:tcW w:w="1155" w:type="dxa"/>
            <w:vMerge w:val="restart"/>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投标单价</w:t>
            </w:r>
          </w:p>
        </w:tc>
        <w:tc>
          <w:tcPr>
            <w:tcW w:w="1155" w:type="dxa"/>
            <w:vMerge w:val="restart"/>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投标总价</w:t>
            </w:r>
          </w:p>
        </w:tc>
        <w:tc>
          <w:tcPr>
            <w:tcW w:w="6746" w:type="dxa"/>
            <w:gridSpan w:val="6"/>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ind w:left="0" w:leftChars="0" w:firstLine="0" w:firstLineChars="0"/>
              <w:jc w:val="center"/>
              <w:rPr>
                <w:rFonts w:hint="eastAsia" w:ascii="宋体" w:hAnsi="宋体"/>
                <w:color w:val="auto"/>
                <w:szCs w:val="21"/>
              </w:rPr>
            </w:pPr>
          </w:p>
        </w:tc>
        <w:tc>
          <w:tcPr>
            <w:tcW w:w="1260" w:type="dxa"/>
            <w:vMerge w:val="continue"/>
            <w:vAlign w:val="center"/>
          </w:tcPr>
          <w:p>
            <w:pPr>
              <w:spacing w:line="460" w:lineRule="exact"/>
              <w:ind w:left="0" w:leftChars="0" w:firstLine="0" w:firstLineChars="0"/>
              <w:jc w:val="center"/>
              <w:rPr>
                <w:rFonts w:hint="eastAsia" w:ascii="宋体" w:hAnsi="宋体"/>
                <w:color w:val="auto"/>
                <w:szCs w:val="21"/>
              </w:rPr>
            </w:pPr>
          </w:p>
        </w:tc>
        <w:tc>
          <w:tcPr>
            <w:tcW w:w="2040" w:type="dxa"/>
            <w:vMerge w:val="continue"/>
            <w:vAlign w:val="center"/>
          </w:tcPr>
          <w:p>
            <w:pPr>
              <w:spacing w:line="460" w:lineRule="exact"/>
              <w:ind w:left="0" w:leftChars="0" w:firstLine="0" w:firstLineChars="0"/>
              <w:jc w:val="center"/>
              <w:rPr>
                <w:rFonts w:hint="eastAsia" w:ascii="宋体" w:hAnsi="宋体"/>
                <w:color w:val="auto"/>
                <w:szCs w:val="21"/>
              </w:rPr>
            </w:pPr>
          </w:p>
        </w:tc>
        <w:tc>
          <w:tcPr>
            <w:tcW w:w="1050" w:type="dxa"/>
            <w:vMerge w:val="continue"/>
            <w:vAlign w:val="top"/>
          </w:tcPr>
          <w:p>
            <w:pPr>
              <w:spacing w:line="460" w:lineRule="exact"/>
              <w:ind w:left="0" w:leftChars="0" w:firstLine="0" w:firstLineChars="0"/>
              <w:jc w:val="center"/>
              <w:rPr>
                <w:rFonts w:hint="eastAsia" w:ascii="宋体" w:hAnsi="宋体"/>
                <w:color w:val="auto"/>
                <w:szCs w:val="21"/>
              </w:rPr>
            </w:pPr>
          </w:p>
        </w:tc>
        <w:tc>
          <w:tcPr>
            <w:tcW w:w="840" w:type="dxa"/>
            <w:vMerge w:val="continue"/>
            <w:vAlign w:val="center"/>
          </w:tcPr>
          <w:p>
            <w:pPr>
              <w:spacing w:line="460" w:lineRule="exact"/>
              <w:ind w:left="0" w:leftChars="0" w:firstLine="0" w:firstLineChars="0"/>
              <w:jc w:val="center"/>
              <w:rPr>
                <w:rFonts w:hint="eastAsia" w:ascii="宋体" w:hAnsi="宋体"/>
                <w:color w:val="auto"/>
                <w:szCs w:val="21"/>
              </w:rPr>
            </w:pPr>
          </w:p>
        </w:tc>
        <w:tc>
          <w:tcPr>
            <w:tcW w:w="840" w:type="dxa"/>
            <w:vMerge w:val="continue"/>
            <w:vAlign w:val="center"/>
          </w:tcPr>
          <w:p>
            <w:pPr>
              <w:spacing w:line="460" w:lineRule="exact"/>
              <w:ind w:left="0" w:leftChars="0" w:firstLine="0" w:firstLineChars="0"/>
              <w:jc w:val="center"/>
              <w:rPr>
                <w:rFonts w:hint="eastAsia" w:ascii="宋体" w:hAnsi="宋体"/>
                <w:color w:val="auto"/>
                <w:szCs w:val="21"/>
              </w:rPr>
            </w:pPr>
          </w:p>
        </w:tc>
        <w:tc>
          <w:tcPr>
            <w:tcW w:w="1155" w:type="dxa"/>
            <w:vMerge w:val="continue"/>
            <w:vAlign w:val="top"/>
          </w:tcPr>
          <w:p>
            <w:pPr>
              <w:spacing w:line="460" w:lineRule="exact"/>
              <w:ind w:left="0" w:leftChars="0" w:firstLine="0" w:firstLineChars="0"/>
              <w:jc w:val="center"/>
              <w:rPr>
                <w:rFonts w:hint="eastAsia" w:ascii="宋体" w:hAnsi="宋体"/>
                <w:color w:val="auto"/>
                <w:szCs w:val="21"/>
              </w:rPr>
            </w:pPr>
          </w:p>
        </w:tc>
        <w:tc>
          <w:tcPr>
            <w:tcW w:w="1155" w:type="dxa"/>
            <w:vMerge w:val="continue"/>
            <w:vAlign w:val="center"/>
          </w:tcPr>
          <w:p>
            <w:pPr>
              <w:spacing w:line="460" w:lineRule="exact"/>
              <w:ind w:left="0" w:leftChars="0" w:firstLine="0" w:firstLineChars="0"/>
              <w:jc w:val="center"/>
              <w:rPr>
                <w:rFonts w:hint="eastAsia" w:ascii="宋体" w:hAnsi="宋体"/>
                <w:color w:val="auto"/>
                <w:szCs w:val="21"/>
              </w:rPr>
            </w:pPr>
          </w:p>
        </w:tc>
        <w:tc>
          <w:tcPr>
            <w:tcW w:w="1155" w:type="dxa"/>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产品总价</w:t>
            </w:r>
          </w:p>
        </w:tc>
        <w:tc>
          <w:tcPr>
            <w:tcW w:w="1155" w:type="dxa"/>
            <w:vAlign w:val="top"/>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备品备件费</w:t>
            </w:r>
          </w:p>
        </w:tc>
        <w:tc>
          <w:tcPr>
            <w:tcW w:w="1076" w:type="dxa"/>
            <w:vAlign w:val="top"/>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专用工具费</w:t>
            </w:r>
          </w:p>
        </w:tc>
        <w:tc>
          <w:tcPr>
            <w:tcW w:w="1050" w:type="dxa"/>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安装调试费</w:t>
            </w:r>
          </w:p>
        </w:tc>
        <w:tc>
          <w:tcPr>
            <w:tcW w:w="1234" w:type="dxa"/>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技术服务培训费</w:t>
            </w:r>
          </w:p>
        </w:tc>
        <w:tc>
          <w:tcPr>
            <w:tcW w:w="1076" w:type="dxa"/>
            <w:tcBorders>
              <w:bottom w:val="single" w:color="auto" w:sz="4" w:space="0"/>
            </w:tcBorders>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ind w:left="0" w:leftChars="0" w:firstLine="0" w:firstLineChars="0"/>
              <w:jc w:val="center"/>
              <w:rPr>
                <w:rFonts w:hint="eastAsia" w:ascii="宋体" w:hAnsi="宋体"/>
                <w:color w:val="auto"/>
                <w:szCs w:val="21"/>
              </w:rPr>
            </w:pPr>
          </w:p>
        </w:tc>
        <w:tc>
          <w:tcPr>
            <w:tcW w:w="1260" w:type="dxa"/>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1</w:t>
            </w:r>
          </w:p>
        </w:tc>
        <w:tc>
          <w:tcPr>
            <w:tcW w:w="2040" w:type="dxa"/>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2</w:t>
            </w:r>
          </w:p>
        </w:tc>
        <w:tc>
          <w:tcPr>
            <w:tcW w:w="1050" w:type="dxa"/>
            <w:vAlign w:val="top"/>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3</w:t>
            </w:r>
          </w:p>
        </w:tc>
        <w:tc>
          <w:tcPr>
            <w:tcW w:w="840" w:type="dxa"/>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4</w:t>
            </w:r>
          </w:p>
        </w:tc>
        <w:tc>
          <w:tcPr>
            <w:tcW w:w="840" w:type="dxa"/>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5</w:t>
            </w:r>
          </w:p>
        </w:tc>
        <w:tc>
          <w:tcPr>
            <w:tcW w:w="1155" w:type="dxa"/>
            <w:vAlign w:val="top"/>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6</w:t>
            </w:r>
          </w:p>
        </w:tc>
        <w:tc>
          <w:tcPr>
            <w:tcW w:w="1155" w:type="dxa"/>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7</w:t>
            </w:r>
          </w:p>
        </w:tc>
        <w:tc>
          <w:tcPr>
            <w:tcW w:w="1155" w:type="dxa"/>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8</w:t>
            </w:r>
          </w:p>
        </w:tc>
        <w:tc>
          <w:tcPr>
            <w:tcW w:w="1155" w:type="dxa"/>
            <w:vAlign w:val="top"/>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9</w:t>
            </w:r>
          </w:p>
        </w:tc>
        <w:tc>
          <w:tcPr>
            <w:tcW w:w="1076" w:type="dxa"/>
            <w:vAlign w:val="top"/>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10</w:t>
            </w:r>
          </w:p>
        </w:tc>
        <w:tc>
          <w:tcPr>
            <w:tcW w:w="1050" w:type="dxa"/>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11</w:t>
            </w:r>
          </w:p>
        </w:tc>
        <w:tc>
          <w:tcPr>
            <w:tcW w:w="1234" w:type="dxa"/>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12</w:t>
            </w:r>
          </w:p>
        </w:tc>
        <w:tc>
          <w:tcPr>
            <w:tcW w:w="1076" w:type="dxa"/>
            <w:vAlign w:val="center"/>
          </w:tcPr>
          <w:p>
            <w:pPr>
              <w:spacing w:line="460" w:lineRule="exact"/>
              <w:ind w:left="0" w:leftChars="0" w:firstLine="0" w:firstLineChars="0"/>
              <w:jc w:val="center"/>
              <w:rPr>
                <w:rFonts w:hint="eastAsia" w:ascii="宋体" w:hAnsi="宋体"/>
                <w:color w:val="auto"/>
                <w:szCs w:val="21"/>
              </w:rPr>
            </w:pPr>
            <w:r>
              <w:rPr>
                <w:rFonts w:hint="eastAsia" w:ascii="宋体" w:hAnsi="宋体"/>
                <w:color w:val="auto"/>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top"/>
          </w:tcPr>
          <w:p>
            <w:pPr>
              <w:spacing w:line="460" w:lineRule="exact"/>
              <w:rPr>
                <w:rFonts w:hint="eastAsia" w:ascii="宋体" w:hAnsi="宋体"/>
                <w:color w:val="auto"/>
                <w:sz w:val="30"/>
              </w:rPr>
            </w:pPr>
          </w:p>
        </w:tc>
        <w:tc>
          <w:tcPr>
            <w:tcW w:w="1260" w:type="dxa"/>
            <w:vAlign w:val="top"/>
          </w:tcPr>
          <w:p>
            <w:pPr>
              <w:spacing w:line="460" w:lineRule="exact"/>
              <w:rPr>
                <w:rFonts w:hint="eastAsia" w:ascii="宋体" w:hAnsi="宋体"/>
                <w:color w:val="auto"/>
                <w:sz w:val="30"/>
              </w:rPr>
            </w:pPr>
          </w:p>
        </w:tc>
        <w:tc>
          <w:tcPr>
            <w:tcW w:w="2040" w:type="dxa"/>
            <w:vAlign w:val="top"/>
          </w:tcPr>
          <w:p>
            <w:pPr>
              <w:spacing w:line="460" w:lineRule="exact"/>
              <w:rPr>
                <w:rFonts w:hint="eastAsia" w:ascii="宋体" w:hAnsi="宋体"/>
                <w:color w:val="auto"/>
                <w:sz w:val="30"/>
              </w:rPr>
            </w:pPr>
          </w:p>
        </w:tc>
        <w:tc>
          <w:tcPr>
            <w:tcW w:w="1050" w:type="dxa"/>
            <w:vAlign w:val="top"/>
          </w:tcPr>
          <w:p>
            <w:pPr>
              <w:spacing w:line="460" w:lineRule="exact"/>
              <w:rPr>
                <w:rFonts w:hint="eastAsia" w:ascii="宋体" w:hAnsi="宋体"/>
                <w:color w:val="auto"/>
                <w:sz w:val="30"/>
              </w:rPr>
            </w:pPr>
          </w:p>
        </w:tc>
        <w:tc>
          <w:tcPr>
            <w:tcW w:w="840" w:type="dxa"/>
            <w:vAlign w:val="top"/>
          </w:tcPr>
          <w:p>
            <w:pPr>
              <w:spacing w:line="460" w:lineRule="exact"/>
              <w:rPr>
                <w:rFonts w:hint="eastAsia" w:ascii="宋体" w:hAnsi="宋体"/>
                <w:color w:val="auto"/>
                <w:sz w:val="30"/>
              </w:rPr>
            </w:pPr>
          </w:p>
        </w:tc>
        <w:tc>
          <w:tcPr>
            <w:tcW w:w="840"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076" w:type="dxa"/>
            <w:vAlign w:val="top"/>
          </w:tcPr>
          <w:p>
            <w:pPr>
              <w:spacing w:line="460" w:lineRule="exact"/>
              <w:rPr>
                <w:rFonts w:hint="eastAsia" w:ascii="宋体" w:hAnsi="宋体"/>
                <w:color w:val="auto"/>
                <w:sz w:val="30"/>
              </w:rPr>
            </w:pPr>
          </w:p>
        </w:tc>
        <w:tc>
          <w:tcPr>
            <w:tcW w:w="1050" w:type="dxa"/>
            <w:vAlign w:val="top"/>
          </w:tcPr>
          <w:p>
            <w:pPr>
              <w:spacing w:line="460" w:lineRule="exact"/>
              <w:rPr>
                <w:rFonts w:hint="eastAsia" w:ascii="宋体" w:hAnsi="宋体"/>
                <w:color w:val="auto"/>
                <w:sz w:val="30"/>
              </w:rPr>
            </w:pPr>
          </w:p>
        </w:tc>
        <w:tc>
          <w:tcPr>
            <w:tcW w:w="1234" w:type="dxa"/>
            <w:vAlign w:val="top"/>
          </w:tcPr>
          <w:p>
            <w:pPr>
              <w:spacing w:line="460" w:lineRule="exact"/>
              <w:rPr>
                <w:rFonts w:hint="eastAsia" w:ascii="宋体" w:hAnsi="宋体"/>
                <w:color w:val="auto"/>
                <w:sz w:val="30"/>
              </w:rPr>
            </w:pPr>
          </w:p>
        </w:tc>
        <w:tc>
          <w:tcPr>
            <w:tcW w:w="1076" w:type="dxa"/>
            <w:vAlign w:val="top"/>
          </w:tcPr>
          <w:p>
            <w:pPr>
              <w:spacing w:line="460" w:lineRule="exact"/>
              <w:rPr>
                <w:rFonts w:hint="eastAsia" w:ascii="宋体" w:hAnsi="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top"/>
          </w:tcPr>
          <w:p>
            <w:pPr>
              <w:spacing w:line="460" w:lineRule="exact"/>
              <w:rPr>
                <w:rFonts w:hint="eastAsia" w:ascii="宋体" w:hAnsi="宋体"/>
                <w:color w:val="auto"/>
                <w:sz w:val="30"/>
              </w:rPr>
            </w:pPr>
          </w:p>
        </w:tc>
        <w:tc>
          <w:tcPr>
            <w:tcW w:w="1260" w:type="dxa"/>
            <w:vAlign w:val="top"/>
          </w:tcPr>
          <w:p>
            <w:pPr>
              <w:spacing w:line="460" w:lineRule="exact"/>
              <w:rPr>
                <w:rFonts w:hint="eastAsia" w:ascii="宋体" w:hAnsi="宋体"/>
                <w:color w:val="auto"/>
                <w:sz w:val="30"/>
              </w:rPr>
            </w:pPr>
          </w:p>
        </w:tc>
        <w:tc>
          <w:tcPr>
            <w:tcW w:w="2040" w:type="dxa"/>
            <w:vAlign w:val="top"/>
          </w:tcPr>
          <w:p>
            <w:pPr>
              <w:spacing w:line="460" w:lineRule="exact"/>
              <w:rPr>
                <w:rFonts w:hint="eastAsia" w:ascii="宋体" w:hAnsi="宋体"/>
                <w:color w:val="auto"/>
                <w:sz w:val="30"/>
              </w:rPr>
            </w:pPr>
          </w:p>
        </w:tc>
        <w:tc>
          <w:tcPr>
            <w:tcW w:w="1050" w:type="dxa"/>
            <w:vAlign w:val="top"/>
          </w:tcPr>
          <w:p>
            <w:pPr>
              <w:spacing w:line="460" w:lineRule="exact"/>
              <w:rPr>
                <w:rFonts w:hint="eastAsia" w:ascii="宋体" w:hAnsi="宋体"/>
                <w:color w:val="auto"/>
                <w:sz w:val="30"/>
              </w:rPr>
            </w:pPr>
          </w:p>
        </w:tc>
        <w:tc>
          <w:tcPr>
            <w:tcW w:w="840" w:type="dxa"/>
            <w:vAlign w:val="top"/>
          </w:tcPr>
          <w:p>
            <w:pPr>
              <w:spacing w:line="460" w:lineRule="exact"/>
              <w:rPr>
                <w:rFonts w:hint="eastAsia" w:ascii="宋体" w:hAnsi="宋体"/>
                <w:color w:val="auto"/>
                <w:sz w:val="30"/>
              </w:rPr>
            </w:pPr>
          </w:p>
        </w:tc>
        <w:tc>
          <w:tcPr>
            <w:tcW w:w="840"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076" w:type="dxa"/>
            <w:vAlign w:val="top"/>
          </w:tcPr>
          <w:p>
            <w:pPr>
              <w:spacing w:line="460" w:lineRule="exact"/>
              <w:rPr>
                <w:rFonts w:hint="eastAsia" w:ascii="宋体" w:hAnsi="宋体"/>
                <w:color w:val="auto"/>
                <w:sz w:val="30"/>
              </w:rPr>
            </w:pPr>
          </w:p>
        </w:tc>
        <w:tc>
          <w:tcPr>
            <w:tcW w:w="1050" w:type="dxa"/>
            <w:vAlign w:val="top"/>
          </w:tcPr>
          <w:p>
            <w:pPr>
              <w:spacing w:line="460" w:lineRule="exact"/>
              <w:rPr>
                <w:rFonts w:hint="eastAsia" w:ascii="宋体" w:hAnsi="宋体"/>
                <w:color w:val="auto"/>
                <w:sz w:val="30"/>
              </w:rPr>
            </w:pPr>
          </w:p>
        </w:tc>
        <w:tc>
          <w:tcPr>
            <w:tcW w:w="1234" w:type="dxa"/>
            <w:vAlign w:val="top"/>
          </w:tcPr>
          <w:p>
            <w:pPr>
              <w:spacing w:line="460" w:lineRule="exact"/>
              <w:rPr>
                <w:rFonts w:hint="eastAsia" w:ascii="宋体" w:hAnsi="宋体"/>
                <w:color w:val="auto"/>
                <w:sz w:val="30"/>
              </w:rPr>
            </w:pPr>
          </w:p>
        </w:tc>
        <w:tc>
          <w:tcPr>
            <w:tcW w:w="1076" w:type="dxa"/>
            <w:vAlign w:val="top"/>
          </w:tcPr>
          <w:p>
            <w:pPr>
              <w:spacing w:line="460" w:lineRule="exact"/>
              <w:rPr>
                <w:rFonts w:hint="eastAsia" w:ascii="宋体" w:hAnsi="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top"/>
          </w:tcPr>
          <w:p>
            <w:pPr>
              <w:spacing w:line="460" w:lineRule="exact"/>
              <w:rPr>
                <w:rFonts w:hint="eastAsia" w:ascii="宋体" w:hAnsi="宋体"/>
                <w:color w:val="auto"/>
                <w:sz w:val="30"/>
              </w:rPr>
            </w:pPr>
          </w:p>
        </w:tc>
        <w:tc>
          <w:tcPr>
            <w:tcW w:w="1260" w:type="dxa"/>
            <w:vAlign w:val="top"/>
          </w:tcPr>
          <w:p>
            <w:pPr>
              <w:spacing w:line="460" w:lineRule="exact"/>
              <w:rPr>
                <w:rFonts w:hint="eastAsia" w:ascii="宋体" w:hAnsi="宋体"/>
                <w:color w:val="auto"/>
                <w:sz w:val="30"/>
              </w:rPr>
            </w:pPr>
          </w:p>
        </w:tc>
        <w:tc>
          <w:tcPr>
            <w:tcW w:w="2040" w:type="dxa"/>
            <w:vAlign w:val="top"/>
          </w:tcPr>
          <w:p>
            <w:pPr>
              <w:spacing w:line="460" w:lineRule="exact"/>
              <w:rPr>
                <w:rFonts w:hint="eastAsia" w:ascii="宋体" w:hAnsi="宋体"/>
                <w:color w:val="auto"/>
                <w:sz w:val="30"/>
              </w:rPr>
            </w:pPr>
          </w:p>
        </w:tc>
        <w:tc>
          <w:tcPr>
            <w:tcW w:w="1050" w:type="dxa"/>
            <w:vAlign w:val="top"/>
          </w:tcPr>
          <w:p>
            <w:pPr>
              <w:spacing w:line="460" w:lineRule="exact"/>
              <w:rPr>
                <w:rFonts w:hint="eastAsia" w:ascii="宋体" w:hAnsi="宋体"/>
                <w:color w:val="auto"/>
                <w:sz w:val="30"/>
              </w:rPr>
            </w:pPr>
          </w:p>
        </w:tc>
        <w:tc>
          <w:tcPr>
            <w:tcW w:w="840" w:type="dxa"/>
            <w:vAlign w:val="top"/>
          </w:tcPr>
          <w:p>
            <w:pPr>
              <w:spacing w:line="460" w:lineRule="exact"/>
              <w:rPr>
                <w:rFonts w:hint="eastAsia" w:ascii="宋体" w:hAnsi="宋体"/>
                <w:color w:val="auto"/>
                <w:sz w:val="30"/>
              </w:rPr>
            </w:pPr>
          </w:p>
        </w:tc>
        <w:tc>
          <w:tcPr>
            <w:tcW w:w="840"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076" w:type="dxa"/>
            <w:vAlign w:val="top"/>
          </w:tcPr>
          <w:p>
            <w:pPr>
              <w:spacing w:line="460" w:lineRule="exact"/>
              <w:rPr>
                <w:rFonts w:hint="eastAsia" w:ascii="宋体" w:hAnsi="宋体"/>
                <w:color w:val="auto"/>
                <w:sz w:val="30"/>
              </w:rPr>
            </w:pPr>
          </w:p>
        </w:tc>
        <w:tc>
          <w:tcPr>
            <w:tcW w:w="1050" w:type="dxa"/>
            <w:vAlign w:val="top"/>
          </w:tcPr>
          <w:p>
            <w:pPr>
              <w:spacing w:line="460" w:lineRule="exact"/>
              <w:rPr>
                <w:rFonts w:hint="eastAsia" w:ascii="宋体" w:hAnsi="宋体"/>
                <w:color w:val="auto"/>
                <w:sz w:val="30"/>
              </w:rPr>
            </w:pPr>
          </w:p>
        </w:tc>
        <w:tc>
          <w:tcPr>
            <w:tcW w:w="1234" w:type="dxa"/>
            <w:vAlign w:val="top"/>
          </w:tcPr>
          <w:p>
            <w:pPr>
              <w:spacing w:line="460" w:lineRule="exact"/>
              <w:rPr>
                <w:rFonts w:hint="eastAsia" w:ascii="宋体" w:hAnsi="宋体"/>
                <w:color w:val="auto"/>
                <w:sz w:val="30"/>
              </w:rPr>
            </w:pPr>
          </w:p>
        </w:tc>
        <w:tc>
          <w:tcPr>
            <w:tcW w:w="1076" w:type="dxa"/>
            <w:vAlign w:val="top"/>
          </w:tcPr>
          <w:p>
            <w:pPr>
              <w:spacing w:line="460" w:lineRule="exact"/>
              <w:rPr>
                <w:rFonts w:hint="eastAsia" w:ascii="宋体" w:hAnsi="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top"/>
          </w:tcPr>
          <w:p>
            <w:pPr>
              <w:spacing w:line="460" w:lineRule="exact"/>
              <w:rPr>
                <w:rFonts w:hint="eastAsia" w:ascii="宋体" w:hAnsi="宋体"/>
                <w:color w:val="auto"/>
                <w:sz w:val="30"/>
              </w:rPr>
            </w:pPr>
          </w:p>
        </w:tc>
        <w:tc>
          <w:tcPr>
            <w:tcW w:w="1260" w:type="dxa"/>
            <w:vAlign w:val="top"/>
          </w:tcPr>
          <w:p>
            <w:pPr>
              <w:spacing w:line="460" w:lineRule="exact"/>
              <w:rPr>
                <w:rFonts w:hint="eastAsia" w:ascii="宋体" w:hAnsi="宋体"/>
                <w:color w:val="auto"/>
                <w:sz w:val="30"/>
              </w:rPr>
            </w:pPr>
          </w:p>
        </w:tc>
        <w:tc>
          <w:tcPr>
            <w:tcW w:w="2040" w:type="dxa"/>
            <w:vAlign w:val="top"/>
          </w:tcPr>
          <w:p>
            <w:pPr>
              <w:spacing w:line="460" w:lineRule="exact"/>
              <w:rPr>
                <w:rFonts w:hint="eastAsia" w:ascii="宋体" w:hAnsi="宋体"/>
                <w:color w:val="auto"/>
                <w:sz w:val="30"/>
              </w:rPr>
            </w:pPr>
          </w:p>
        </w:tc>
        <w:tc>
          <w:tcPr>
            <w:tcW w:w="1050" w:type="dxa"/>
            <w:vAlign w:val="top"/>
          </w:tcPr>
          <w:p>
            <w:pPr>
              <w:spacing w:line="460" w:lineRule="exact"/>
              <w:rPr>
                <w:rFonts w:hint="eastAsia" w:ascii="宋体" w:hAnsi="宋体"/>
                <w:color w:val="auto"/>
                <w:sz w:val="30"/>
              </w:rPr>
            </w:pPr>
          </w:p>
        </w:tc>
        <w:tc>
          <w:tcPr>
            <w:tcW w:w="840" w:type="dxa"/>
            <w:vAlign w:val="top"/>
          </w:tcPr>
          <w:p>
            <w:pPr>
              <w:spacing w:line="460" w:lineRule="exact"/>
              <w:rPr>
                <w:rFonts w:hint="eastAsia" w:ascii="宋体" w:hAnsi="宋体"/>
                <w:color w:val="auto"/>
                <w:sz w:val="30"/>
              </w:rPr>
            </w:pPr>
          </w:p>
        </w:tc>
        <w:tc>
          <w:tcPr>
            <w:tcW w:w="840"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076" w:type="dxa"/>
            <w:vAlign w:val="top"/>
          </w:tcPr>
          <w:p>
            <w:pPr>
              <w:spacing w:line="460" w:lineRule="exact"/>
              <w:rPr>
                <w:rFonts w:hint="eastAsia" w:ascii="宋体" w:hAnsi="宋体"/>
                <w:color w:val="auto"/>
                <w:sz w:val="30"/>
              </w:rPr>
            </w:pPr>
          </w:p>
        </w:tc>
        <w:tc>
          <w:tcPr>
            <w:tcW w:w="1050" w:type="dxa"/>
            <w:vAlign w:val="top"/>
          </w:tcPr>
          <w:p>
            <w:pPr>
              <w:spacing w:line="460" w:lineRule="exact"/>
              <w:rPr>
                <w:rFonts w:hint="eastAsia" w:ascii="宋体" w:hAnsi="宋体"/>
                <w:color w:val="auto"/>
                <w:sz w:val="30"/>
              </w:rPr>
            </w:pPr>
          </w:p>
        </w:tc>
        <w:tc>
          <w:tcPr>
            <w:tcW w:w="1234" w:type="dxa"/>
            <w:vAlign w:val="top"/>
          </w:tcPr>
          <w:p>
            <w:pPr>
              <w:spacing w:line="460" w:lineRule="exact"/>
              <w:rPr>
                <w:rFonts w:hint="eastAsia" w:ascii="宋体" w:hAnsi="宋体"/>
                <w:color w:val="auto"/>
                <w:sz w:val="30"/>
              </w:rPr>
            </w:pPr>
          </w:p>
        </w:tc>
        <w:tc>
          <w:tcPr>
            <w:tcW w:w="1076" w:type="dxa"/>
            <w:vAlign w:val="top"/>
          </w:tcPr>
          <w:p>
            <w:pPr>
              <w:spacing w:line="460" w:lineRule="exact"/>
              <w:rPr>
                <w:rFonts w:hint="eastAsia" w:ascii="宋体" w:hAnsi="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top"/>
          </w:tcPr>
          <w:p>
            <w:pPr>
              <w:spacing w:line="460" w:lineRule="exact"/>
              <w:rPr>
                <w:rFonts w:hint="eastAsia" w:ascii="宋体" w:hAnsi="宋体"/>
                <w:color w:val="auto"/>
                <w:sz w:val="30"/>
              </w:rPr>
            </w:pPr>
          </w:p>
        </w:tc>
        <w:tc>
          <w:tcPr>
            <w:tcW w:w="1260" w:type="dxa"/>
            <w:vAlign w:val="top"/>
          </w:tcPr>
          <w:p>
            <w:pPr>
              <w:spacing w:line="460" w:lineRule="exact"/>
              <w:rPr>
                <w:rFonts w:hint="eastAsia" w:ascii="宋体" w:hAnsi="宋体"/>
                <w:color w:val="auto"/>
                <w:sz w:val="30"/>
              </w:rPr>
            </w:pPr>
          </w:p>
        </w:tc>
        <w:tc>
          <w:tcPr>
            <w:tcW w:w="2040" w:type="dxa"/>
            <w:vAlign w:val="top"/>
          </w:tcPr>
          <w:p>
            <w:pPr>
              <w:spacing w:line="460" w:lineRule="exact"/>
              <w:rPr>
                <w:rFonts w:hint="eastAsia" w:ascii="宋体" w:hAnsi="宋体"/>
                <w:color w:val="auto"/>
                <w:sz w:val="30"/>
              </w:rPr>
            </w:pPr>
          </w:p>
        </w:tc>
        <w:tc>
          <w:tcPr>
            <w:tcW w:w="1050" w:type="dxa"/>
            <w:vAlign w:val="top"/>
          </w:tcPr>
          <w:p>
            <w:pPr>
              <w:spacing w:line="460" w:lineRule="exact"/>
              <w:rPr>
                <w:rFonts w:hint="eastAsia" w:ascii="宋体" w:hAnsi="宋体"/>
                <w:color w:val="auto"/>
                <w:sz w:val="30"/>
              </w:rPr>
            </w:pPr>
          </w:p>
        </w:tc>
        <w:tc>
          <w:tcPr>
            <w:tcW w:w="840" w:type="dxa"/>
            <w:vAlign w:val="top"/>
          </w:tcPr>
          <w:p>
            <w:pPr>
              <w:spacing w:line="460" w:lineRule="exact"/>
              <w:rPr>
                <w:rFonts w:hint="eastAsia" w:ascii="宋体" w:hAnsi="宋体"/>
                <w:color w:val="auto"/>
                <w:sz w:val="30"/>
              </w:rPr>
            </w:pPr>
          </w:p>
        </w:tc>
        <w:tc>
          <w:tcPr>
            <w:tcW w:w="840"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155" w:type="dxa"/>
            <w:vAlign w:val="top"/>
          </w:tcPr>
          <w:p>
            <w:pPr>
              <w:spacing w:line="460" w:lineRule="exact"/>
              <w:rPr>
                <w:rFonts w:hint="eastAsia" w:ascii="宋体" w:hAnsi="宋体"/>
                <w:color w:val="auto"/>
                <w:sz w:val="30"/>
              </w:rPr>
            </w:pPr>
          </w:p>
        </w:tc>
        <w:tc>
          <w:tcPr>
            <w:tcW w:w="1076" w:type="dxa"/>
            <w:vAlign w:val="top"/>
          </w:tcPr>
          <w:p>
            <w:pPr>
              <w:spacing w:line="460" w:lineRule="exact"/>
              <w:rPr>
                <w:rFonts w:hint="eastAsia" w:ascii="宋体" w:hAnsi="宋体"/>
                <w:color w:val="auto"/>
                <w:sz w:val="30"/>
              </w:rPr>
            </w:pPr>
          </w:p>
        </w:tc>
        <w:tc>
          <w:tcPr>
            <w:tcW w:w="1050" w:type="dxa"/>
            <w:vAlign w:val="top"/>
          </w:tcPr>
          <w:p>
            <w:pPr>
              <w:spacing w:line="460" w:lineRule="exact"/>
              <w:rPr>
                <w:rFonts w:hint="eastAsia" w:ascii="宋体" w:hAnsi="宋体"/>
                <w:color w:val="auto"/>
                <w:sz w:val="30"/>
              </w:rPr>
            </w:pPr>
          </w:p>
        </w:tc>
        <w:tc>
          <w:tcPr>
            <w:tcW w:w="1234" w:type="dxa"/>
            <w:vAlign w:val="top"/>
          </w:tcPr>
          <w:p>
            <w:pPr>
              <w:spacing w:line="460" w:lineRule="exact"/>
              <w:rPr>
                <w:rFonts w:hint="eastAsia" w:ascii="宋体" w:hAnsi="宋体"/>
                <w:color w:val="auto"/>
                <w:sz w:val="30"/>
              </w:rPr>
            </w:pPr>
          </w:p>
        </w:tc>
        <w:tc>
          <w:tcPr>
            <w:tcW w:w="1076" w:type="dxa"/>
            <w:vAlign w:val="top"/>
          </w:tcPr>
          <w:p>
            <w:pPr>
              <w:spacing w:line="460" w:lineRule="exact"/>
              <w:rPr>
                <w:rFonts w:hint="eastAsia" w:ascii="宋体" w:hAnsi="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vAlign w:val="top"/>
          </w:tcPr>
          <w:p>
            <w:pPr>
              <w:spacing w:line="460" w:lineRule="exact"/>
              <w:rPr>
                <w:rFonts w:hint="eastAsia" w:ascii="宋体" w:hAnsi="宋体"/>
                <w:color w:val="auto"/>
                <w:szCs w:val="21"/>
              </w:rPr>
            </w:pPr>
            <w:r>
              <w:rPr>
                <w:rFonts w:hint="eastAsia" w:ascii="宋体" w:hAnsi="宋体"/>
                <w:color w:val="auto"/>
                <w:szCs w:val="21"/>
              </w:rPr>
              <w:t>投标总价合计：</w:t>
            </w:r>
          </w:p>
        </w:tc>
        <w:tc>
          <w:tcPr>
            <w:tcW w:w="10736" w:type="dxa"/>
            <w:gridSpan w:val="10"/>
            <w:vAlign w:val="top"/>
          </w:tcPr>
          <w:p>
            <w:pPr>
              <w:spacing w:line="460" w:lineRule="exact"/>
              <w:rPr>
                <w:rFonts w:hint="eastAsia" w:ascii="宋体" w:hAnsi="宋体"/>
                <w:color w:val="auto"/>
                <w:sz w:val="30"/>
              </w:rPr>
            </w:pPr>
          </w:p>
        </w:tc>
      </w:tr>
    </w:tbl>
    <w:p>
      <w:pPr>
        <w:spacing w:line="440" w:lineRule="exact"/>
        <w:rPr>
          <w:rFonts w:hint="eastAsia" w:ascii="宋体" w:hAnsi="宋体"/>
          <w:i/>
          <w:iCs/>
          <w:color w:val="auto"/>
          <w:sz w:val="24"/>
          <w:szCs w:val="24"/>
        </w:rPr>
      </w:pPr>
    </w:p>
    <w:p>
      <w:pPr>
        <w:spacing w:line="440" w:lineRule="exact"/>
        <w:rPr>
          <w:rFonts w:hint="eastAsia" w:ascii="宋体" w:hAnsi="宋体"/>
          <w:i/>
          <w:iCs/>
          <w:color w:val="auto"/>
          <w:sz w:val="24"/>
          <w:szCs w:val="24"/>
        </w:rPr>
      </w:pPr>
      <w:r>
        <w:rPr>
          <w:rFonts w:hint="eastAsia" w:ascii="宋体" w:hAnsi="宋体"/>
          <w:i/>
          <w:iCs/>
          <w:color w:val="auto"/>
          <w:sz w:val="24"/>
          <w:szCs w:val="24"/>
        </w:rPr>
        <w:t>说明：  1、项7=项8+项9+项10+项11+项12+项13，项7=项6*项5；</w:t>
      </w:r>
    </w:p>
    <w:p>
      <w:pPr>
        <w:widowControl w:val="0"/>
        <w:numPr>
          <w:ilvl w:val="0"/>
          <w:numId w:val="41"/>
        </w:numPr>
        <w:tabs>
          <w:tab w:val="left" w:pos="1365"/>
          <w:tab w:val="left" w:pos="1620"/>
        </w:tabs>
        <w:spacing w:line="440" w:lineRule="exact"/>
        <w:ind w:left="1365" w:hanging="465"/>
        <w:jc w:val="both"/>
        <w:rPr>
          <w:rFonts w:hint="eastAsia" w:ascii="宋体" w:hAnsi="宋体"/>
          <w:i/>
          <w:iCs/>
          <w:color w:val="auto"/>
          <w:sz w:val="24"/>
          <w:szCs w:val="24"/>
        </w:rPr>
      </w:pPr>
      <w:r>
        <w:rPr>
          <w:rFonts w:hint="eastAsia" w:ascii="宋体" w:hAnsi="宋体"/>
          <w:i/>
          <w:iCs/>
          <w:color w:val="auto"/>
          <w:sz w:val="24"/>
          <w:szCs w:val="24"/>
        </w:rPr>
        <w:t xml:space="preserve">“投标总价合计”应与“附件一、投标函”中第二项“投标项目的总投标价”一致。 </w:t>
      </w:r>
    </w:p>
    <w:p>
      <w:pPr>
        <w:bidi w:val="0"/>
        <w:rPr>
          <w:rFonts w:hint="eastAsia" w:ascii="宋体" w:hAnsi="宋体" w:cs="宋体"/>
          <w:color w:val="auto"/>
          <w:sz w:val="24"/>
          <w:szCs w:val="24"/>
        </w:rPr>
      </w:pPr>
      <w:r>
        <w:rPr>
          <w:rFonts w:hint="eastAsia" w:ascii="宋体" w:hAnsi="宋体" w:cs="宋体"/>
          <w:color w:val="auto"/>
          <w:sz w:val="24"/>
          <w:szCs w:val="24"/>
        </w:rPr>
        <w:t xml:space="preserve">投标人（盖章）：                               </w:t>
      </w:r>
    </w:p>
    <w:p>
      <w:pPr>
        <w:bidi w:val="0"/>
        <w:rPr>
          <w:rFonts w:hint="eastAsia"/>
          <w:color w:val="auto"/>
          <w:highlight w:val="none"/>
        </w:rPr>
      </w:pPr>
      <w:r>
        <w:rPr>
          <w:rFonts w:hint="eastAsia"/>
          <w:color w:val="auto"/>
          <w:highlight w:val="none"/>
        </w:rPr>
        <w:t>法定代表人或其授权代表（签字）：</w:t>
      </w:r>
    </w:p>
    <w:p>
      <w:pPr>
        <w:pStyle w:val="27"/>
        <w:tabs>
          <w:tab w:val="left" w:pos="0"/>
          <w:tab w:val="left" w:pos="1260"/>
          <w:tab w:val="left" w:pos="1365"/>
        </w:tabs>
        <w:rPr>
          <w:rFonts w:hint="eastAsia" w:ascii="宋体" w:hAnsi="宋体" w:cs="宋体"/>
          <w:color w:val="auto"/>
        </w:rPr>
      </w:pPr>
      <w:r>
        <w:rPr>
          <w:rFonts w:hint="eastAsia" w:ascii="宋体" w:hAnsi="宋体" w:cs="宋体"/>
          <w:color w:val="auto"/>
          <w:sz w:val="24"/>
          <w:szCs w:val="24"/>
        </w:rPr>
        <w:t>日  期：</w:t>
      </w:r>
    </w:p>
    <w:p>
      <w:pPr>
        <w:rPr>
          <w:rFonts w:hint="eastAsia" w:ascii="宋体" w:hAnsi="宋体" w:cs="宋体"/>
          <w:i/>
          <w:iCs/>
          <w:color w:val="auto"/>
          <w:sz w:val="30"/>
        </w:rPr>
        <w:sectPr>
          <w:pgSz w:w="16838" w:h="11906" w:orient="landscape"/>
          <w:pgMar w:top="1621" w:right="1440" w:bottom="1106" w:left="1440" w:header="851" w:footer="850" w:gutter="0"/>
          <w:cols w:space="720" w:num="1"/>
          <w:docGrid w:linePitch="312" w:charSpace="0"/>
        </w:sectPr>
      </w:pPr>
    </w:p>
    <w:p>
      <w:pPr>
        <w:pStyle w:val="5"/>
        <w:numPr>
          <w:ilvl w:val="0"/>
          <w:numId w:val="40"/>
        </w:numPr>
        <w:bidi w:val="0"/>
        <w:jc w:val="left"/>
        <w:rPr>
          <w:rFonts w:hint="eastAsia"/>
          <w:color w:val="auto"/>
          <w:highlight w:val="none"/>
          <w:lang w:val="en-US" w:eastAsia="zh-CN"/>
        </w:rPr>
      </w:pPr>
      <w:r>
        <w:rPr>
          <w:rFonts w:hint="eastAsia"/>
          <w:color w:val="auto"/>
          <w:highlight w:val="none"/>
          <w:lang w:val="en-US" w:eastAsia="zh-CN"/>
        </w:rPr>
        <w:t>中小企业声明函</w:t>
      </w:r>
    </w:p>
    <w:p>
      <w:pPr>
        <w:snapToGrid w:val="0"/>
        <w:ind w:left="0" w:leftChars="0" w:right="0" w:rightChars="0" w:firstLine="0" w:firstLineChars="0"/>
        <w:jc w:val="center"/>
        <w:rPr>
          <w:rFonts w:hint="eastAsia" w:ascii="宋体" w:hAnsi="宋体" w:eastAsia="宋体" w:cs="宋体"/>
          <w:b/>
          <w:color w:val="auto"/>
          <w:kern w:val="0"/>
          <w:sz w:val="32"/>
          <w:highlight w:val="none"/>
          <w:lang w:val="en-US" w:eastAsia="zh-CN"/>
        </w:rPr>
      </w:pPr>
      <w:r>
        <w:rPr>
          <w:rFonts w:hint="eastAsia" w:ascii="宋体" w:hAnsi="宋体" w:eastAsia="宋体" w:cs="宋体"/>
          <w:b/>
          <w:color w:val="auto"/>
          <w:kern w:val="0"/>
          <w:sz w:val="32"/>
          <w:highlight w:val="none"/>
          <w:lang w:val="en-US" w:eastAsia="zh-CN"/>
        </w:rPr>
        <w:t>中小企业声明函</w:t>
      </w:r>
    </w:p>
    <w:p>
      <w:pPr>
        <w:widowControl w:val="0"/>
        <w:spacing w:line="360" w:lineRule="auto"/>
        <w:ind w:firstLine="480"/>
        <w:jc w:val="both"/>
        <w:rPr>
          <w:rFonts w:ascii="宋体" w:hAnsi="宋体" w:cs="宋体"/>
          <w:color w:val="auto"/>
          <w:sz w:val="24"/>
          <w:szCs w:val="24"/>
        </w:rPr>
      </w:pPr>
      <w:r>
        <w:rPr>
          <w:rFonts w:ascii="宋体" w:hAnsi="宋体" w:cs="宋体"/>
          <w:color w:val="auto"/>
          <w:sz w:val="24"/>
          <w:szCs w:val="24"/>
        </w:rPr>
        <w:t>本公司（联合体）郑重声明，根据《政府采购促进中小企业发展管理办法》（财库﹝2020﹞46 号）的规定，本公司（联合体）参加</w:t>
      </w: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ascii="宋体" w:hAnsi="宋体" w:cs="宋体"/>
          <w:i/>
          <w:iCs/>
          <w:color w:val="auto"/>
          <w:sz w:val="24"/>
          <w:szCs w:val="24"/>
          <w:u w:val="single"/>
        </w:rPr>
        <w:t>（单位名称）</w:t>
      </w:r>
      <w:r>
        <w:rPr>
          <w:rFonts w:hint="eastAsia" w:ascii="宋体" w:hAnsi="宋体" w:cs="宋体"/>
          <w:i/>
          <w:iCs/>
          <w:color w:val="auto"/>
          <w:sz w:val="24"/>
          <w:szCs w:val="24"/>
          <w:u w:val="single"/>
        </w:rPr>
        <w:t xml:space="preserve">  </w:t>
      </w:r>
      <w:r>
        <w:rPr>
          <w:rFonts w:ascii="宋体" w:hAnsi="宋体" w:cs="宋体"/>
          <w:color w:val="auto"/>
          <w:sz w:val="24"/>
          <w:szCs w:val="24"/>
        </w:rPr>
        <w:t>的</w:t>
      </w:r>
      <w:r>
        <w:rPr>
          <w:rFonts w:hint="eastAsia" w:ascii="宋体" w:hAnsi="宋体" w:cs="宋体"/>
          <w:color w:val="auto"/>
          <w:sz w:val="24"/>
          <w:szCs w:val="24"/>
          <w:u w:val="single"/>
        </w:rPr>
        <w:t xml:space="preserve"> </w:t>
      </w:r>
      <w:r>
        <w:rPr>
          <w:rFonts w:ascii="宋体" w:hAnsi="宋体" w:cs="宋体"/>
          <w:i/>
          <w:iCs/>
          <w:color w:val="auto"/>
          <w:sz w:val="24"/>
          <w:szCs w:val="24"/>
          <w:u w:val="single"/>
        </w:rPr>
        <w:t>（项目名称）</w:t>
      </w:r>
      <w:r>
        <w:rPr>
          <w:rFonts w:hint="eastAsia" w:ascii="宋体" w:hAnsi="宋体" w:cs="宋体"/>
          <w:i/>
          <w:iCs/>
          <w:color w:val="auto"/>
          <w:sz w:val="24"/>
          <w:szCs w:val="24"/>
          <w:u w:val="single"/>
        </w:rPr>
        <w:t xml:space="preserve">   </w:t>
      </w:r>
      <w:r>
        <w:rPr>
          <w:rFonts w:ascii="宋体" w:hAnsi="宋体" w:cs="宋体"/>
          <w:color w:val="auto"/>
          <w:sz w:val="24"/>
          <w:szCs w:val="24"/>
        </w:rPr>
        <w:t xml:space="preserve">采购活动，提供的货物全部由符合政策要求的中小企业制造。相关企业（含联合体中的中小企业、签订分包意向协议的中小企业）的具体情况如下： </w:t>
      </w:r>
    </w:p>
    <w:p>
      <w:pPr>
        <w:widowControl w:val="0"/>
        <w:numPr>
          <w:ilvl w:val="0"/>
          <w:numId w:val="42"/>
        </w:numPr>
        <w:spacing w:line="360" w:lineRule="auto"/>
        <w:ind w:firstLine="480"/>
        <w:jc w:val="both"/>
        <w:rPr>
          <w:rFonts w:ascii="宋体" w:hAnsi="宋体" w:cs="宋体"/>
          <w:color w:val="auto"/>
          <w:sz w:val="24"/>
          <w:szCs w:val="24"/>
        </w:rPr>
      </w:pPr>
      <w:r>
        <w:rPr>
          <w:rFonts w:ascii="宋体" w:hAnsi="宋体" w:cs="宋体"/>
          <w:i/>
          <w:iCs/>
          <w:color w:val="auto"/>
          <w:sz w:val="24"/>
          <w:szCs w:val="24"/>
          <w:u w:val="single"/>
        </w:rPr>
        <w:t xml:space="preserve">（标的名称） </w:t>
      </w:r>
      <w:r>
        <w:rPr>
          <w:rFonts w:ascii="宋体" w:hAnsi="宋体" w:cs="宋体"/>
          <w:color w:val="auto"/>
          <w:sz w:val="24"/>
          <w:szCs w:val="24"/>
        </w:rPr>
        <w:t>，属于</w:t>
      </w:r>
      <w:r>
        <w:rPr>
          <w:rFonts w:ascii="宋体" w:hAnsi="宋体" w:cs="宋体"/>
          <w:i/>
          <w:iCs/>
          <w:color w:val="auto"/>
          <w:sz w:val="24"/>
          <w:szCs w:val="24"/>
          <w:u w:val="single"/>
        </w:rPr>
        <w:t>（采购文件中明确的所属行业）行业</w:t>
      </w:r>
      <w:r>
        <w:rPr>
          <w:rFonts w:ascii="宋体" w:hAnsi="宋体" w:cs="宋体"/>
          <w:color w:val="auto"/>
          <w:sz w:val="24"/>
          <w:szCs w:val="24"/>
        </w:rPr>
        <w:t>；制造商为</w:t>
      </w:r>
      <w:r>
        <w:rPr>
          <w:rFonts w:ascii="宋体" w:hAnsi="宋体" w:cs="宋体"/>
          <w:i/>
          <w:iCs/>
          <w:color w:val="auto"/>
          <w:sz w:val="24"/>
          <w:szCs w:val="24"/>
          <w:u w:val="single"/>
        </w:rPr>
        <w:t>（企业名称）</w:t>
      </w:r>
      <w:r>
        <w:rPr>
          <w:rFonts w:ascii="宋体" w:hAnsi="宋体" w:cs="宋体"/>
          <w:color w:val="auto"/>
          <w:sz w:val="24"/>
          <w:szCs w:val="24"/>
        </w:rPr>
        <w:t>，从业人员</w:t>
      </w:r>
      <w:r>
        <w:rPr>
          <w:rFonts w:hint="eastAsia" w:ascii="宋体" w:hAnsi="宋体" w:cs="宋体"/>
          <w:color w:val="auto"/>
          <w:sz w:val="24"/>
          <w:szCs w:val="24"/>
          <w:u w:val="single"/>
        </w:rPr>
        <w:t xml:space="preserve">   </w:t>
      </w:r>
      <w:r>
        <w:rPr>
          <w:rFonts w:ascii="宋体" w:hAnsi="宋体" w:cs="宋体"/>
          <w:color w:val="auto"/>
          <w:sz w:val="24"/>
          <w:szCs w:val="24"/>
        </w:rPr>
        <w:t>人，营业收入为</w:t>
      </w:r>
      <w:r>
        <w:rPr>
          <w:rFonts w:hint="eastAsia" w:ascii="宋体" w:hAnsi="宋体" w:cs="宋体"/>
          <w:i/>
          <w:iCs/>
          <w:color w:val="auto"/>
          <w:sz w:val="24"/>
          <w:szCs w:val="24"/>
          <w:u w:val="single"/>
        </w:rPr>
        <w:t xml:space="preserve">   </w:t>
      </w:r>
      <w:r>
        <w:rPr>
          <w:rFonts w:ascii="宋体" w:hAnsi="宋体" w:cs="宋体"/>
          <w:color w:val="auto"/>
          <w:sz w:val="24"/>
          <w:szCs w:val="24"/>
        </w:rPr>
        <w:t>万元，资产总额为</w:t>
      </w:r>
      <w:r>
        <w:rPr>
          <w:rFonts w:hint="eastAsia" w:ascii="宋体" w:hAnsi="宋体" w:cs="宋体"/>
          <w:color w:val="auto"/>
          <w:sz w:val="24"/>
          <w:szCs w:val="24"/>
          <w:u w:val="single"/>
        </w:rPr>
        <w:t xml:space="preserve">   </w:t>
      </w:r>
      <w:r>
        <w:rPr>
          <w:rFonts w:ascii="宋体" w:hAnsi="宋体" w:cs="宋体"/>
          <w:color w:val="auto"/>
          <w:sz w:val="24"/>
          <w:szCs w:val="24"/>
        </w:rPr>
        <w:t>万元</w:t>
      </w:r>
      <w:r>
        <w:rPr>
          <w:rFonts w:ascii="宋体" w:hAnsi="宋体" w:cs="宋体"/>
          <w:color w:val="auto"/>
          <w:sz w:val="24"/>
          <w:szCs w:val="24"/>
          <w:vertAlign w:val="superscript"/>
        </w:rPr>
        <w:t xml:space="preserve"> 1</w:t>
      </w:r>
      <w:r>
        <w:rPr>
          <w:rFonts w:ascii="宋体" w:hAnsi="宋体" w:cs="宋体"/>
          <w:color w:val="auto"/>
          <w:sz w:val="24"/>
          <w:szCs w:val="24"/>
        </w:rPr>
        <w:t>，属于</w:t>
      </w:r>
      <w:r>
        <w:rPr>
          <w:rFonts w:ascii="宋体" w:hAnsi="宋体" w:cs="宋体"/>
          <w:i/>
          <w:iCs/>
          <w:color w:val="auto"/>
          <w:sz w:val="24"/>
          <w:szCs w:val="24"/>
          <w:u w:val="single"/>
        </w:rPr>
        <w:t>（中型企业、小 型企业、微型企业）</w:t>
      </w:r>
      <w:r>
        <w:rPr>
          <w:rFonts w:ascii="宋体" w:hAnsi="宋体" w:cs="宋体"/>
          <w:color w:val="auto"/>
          <w:sz w:val="24"/>
          <w:szCs w:val="24"/>
        </w:rPr>
        <w:t xml:space="preserve"> </w:t>
      </w:r>
      <w:r>
        <w:rPr>
          <w:rFonts w:hint="eastAsia" w:ascii="宋体" w:hAnsi="宋体" w:cs="宋体"/>
          <w:color w:val="auto"/>
          <w:sz w:val="24"/>
          <w:szCs w:val="24"/>
        </w:rPr>
        <w:t>；</w:t>
      </w:r>
    </w:p>
    <w:p>
      <w:pPr>
        <w:widowControl w:val="0"/>
        <w:numPr>
          <w:ilvl w:val="0"/>
          <w:numId w:val="42"/>
        </w:numPr>
        <w:spacing w:line="360" w:lineRule="auto"/>
        <w:ind w:firstLine="480"/>
        <w:jc w:val="both"/>
        <w:rPr>
          <w:rFonts w:ascii="宋体" w:hAnsi="宋体" w:cs="宋体"/>
          <w:color w:val="auto"/>
          <w:sz w:val="24"/>
          <w:szCs w:val="24"/>
        </w:rPr>
      </w:pPr>
      <w:r>
        <w:rPr>
          <w:rFonts w:ascii="宋体" w:hAnsi="宋体" w:cs="宋体"/>
          <w:i/>
          <w:iCs/>
          <w:color w:val="auto"/>
          <w:sz w:val="24"/>
          <w:szCs w:val="24"/>
          <w:u w:val="single"/>
        </w:rPr>
        <w:t xml:space="preserve"> （标的名称） </w:t>
      </w:r>
      <w:r>
        <w:rPr>
          <w:rFonts w:ascii="宋体" w:hAnsi="宋体" w:cs="宋体"/>
          <w:color w:val="auto"/>
          <w:sz w:val="24"/>
          <w:szCs w:val="24"/>
        </w:rPr>
        <w:t>，属于</w:t>
      </w:r>
      <w:r>
        <w:rPr>
          <w:rFonts w:ascii="宋体" w:hAnsi="宋体" w:cs="宋体"/>
          <w:i/>
          <w:iCs/>
          <w:color w:val="auto"/>
          <w:sz w:val="24"/>
          <w:szCs w:val="24"/>
          <w:u w:val="single"/>
        </w:rPr>
        <w:t>（采购文件中明确的所属行业）行业</w:t>
      </w:r>
      <w:r>
        <w:rPr>
          <w:rFonts w:ascii="宋体" w:hAnsi="宋体" w:cs="宋体"/>
          <w:color w:val="auto"/>
          <w:sz w:val="24"/>
          <w:szCs w:val="24"/>
        </w:rPr>
        <w:t>；制造商为</w:t>
      </w:r>
      <w:r>
        <w:rPr>
          <w:rFonts w:ascii="宋体" w:hAnsi="宋体" w:cs="宋体"/>
          <w:i/>
          <w:iCs/>
          <w:color w:val="auto"/>
          <w:sz w:val="24"/>
          <w:szCs w:val="24"/>
          <w:u w:val="single"/>
        </w:rPr>
        <w:t>（企业名称）</w:t>
      </w:r>
      <w:r>
        <w:rPr>
          <w:rFonts w:ascii="宋体" w:hAnsi="宋体" w:cs="宋体"/>
          <w:color w:val="auto"/>
          <w:sz w:val="24"/>
          <w:szCs w:val="24"/>
        </w:rPr>
        <w:t>，从业人员</w:t>
      </w:r>
      <w:r>
        <w:rPr>
          <w:rFonts w:hint="eastAsia" w:ascii="宋体" w:hAnsi="宋体" w:cs="宋体"/>
          <w:color w:val="auto"/>
          <w:sz w:val="24"/>
          <w:szCs w:val="24"/>
          <w:u w:val="single"/>
        </w:rPr>
        <w:t xml:space="preserve">   </w:t>
      </w:r>
      <w:r>
        <w:rPr>
          <w:rFonts w:ascii="宋体" w:hAnsi="宋体" w:cs="宋体"/>
          <w:color w:val="auto"/>
          <w:sz w:val="24"/>
          <w:szCs w:val="24"/>
        </w:rPr>
        <w:t>人，营业收入为</w:t>
      </w:r>
      <w:r>
        <w:rPr>
          <w:rFonts w:hint="eastAsia" w:ascii="宋体" w:hAnsi="宋体" w:cs="宋体"/>
          <w:i/>
          <w:iCs/>
          <w:color w:val="auto"/>
          <w:sz w:val="24"/>
          <w:szCs w:val="24"/>
          <w:u w:val="single"/>
        </w:rPr>
        <w:t xml:space="preserve">   </w:t>
      </w:r>
      <w:r>
        <w:rPr>
          <w:rFonts w:ascii="宋体" w:hAnsi="宋体" w:cs="宋体"/>
          <w:color w:val="auto"/>
          <w:sz w:val="24"/>
          <w:szCs w:val="24"/>
        </w:rPr>
        <w:t>万元，资产总额为</w:t>
      </w:r>
      <w:r>
        <w:rPr>
          <w:rFonts w:hint="eastAsia" w:ascii="宋体" w:hAnsi="宋体" w:cs="宋体"/>
          <w:color w:val="auto"/>
          <w:sz w:val="24"/>
          <w:szCs w:val="24"/>
          <w:u w:val="single"/>
        </w:rPr>
        <w:t xml:space="preserve">   </w:t>
      </w:r>
      <w:r>
        <w:rPr>
          <w:rFonts w:ascii="宋体" w:hAnsi="宋体" w:cs="宋体"/>
          <w:color w:val="auto"/>
          <w:sz w:val="24"/>
          <w:szCs w:val="24"/>
        </w:rPr>
        <w:t>万元</w:t>
      </w:r>
      <w:r>
        <w:rPr>
          <w:rFonts w:ascii="宋体" w:hAnsi="宋体" w:cs="宋体"/>
          <w:color w:val="auto"/>
          <w:sz w:val="24"/>
          <w:szCs w:val="24"/>
          <w:vertAlign w:val="superscript"/>
        </w:rPr>
        <w:t xml:space="preserve"> 1</w:t>
      </w:r>
      <w:r>
        <w:rPr>
          <w:rFonts w:ascii="宋体" w:hAnsi="宋体" w:cs="宋体"/>
          <w:color w:val="auto"/>
          <w:sz w:val="24"/>
          <w:szCs w:val="24"/>
        </w:rPr>
        <w:t>，属于</w:t>
      </w:r>
      <w:r>
        <w:rPr>
          <w:rFonts w:ascii="宋体" w:hAnsi="宋体" w:cs="宋体"/>
          <w:i/>
          <w:iCs/>
          <w:color w:val="auto"/>
          <w:sz w:val="24"/>
          <w:szCs w:val="24"/>
          <w:u w:val="single"/>
        </w:rPr>
        <w:t>（中型企业、小 型企业、微型企业）</w:t>
      </w:r>
      <w:r>
        <w:rPr>
          <w:rFonts w:ascii="宋体" w:hAnsi="宋体" w:cs="宋体"/>
          <w:color w:val="auto"/>
          <w:sz w:val="24"/>
          <w:szCs w:val="24"/>
        </w:rPr>
        <w:t xml:space="preserve"> </w:t>
      </w:r>
      <w:r>
        <w:rPr>
          <w:rFonts w:hint="eastAsia" w:ascii="宋体" w:hAnsi="宋体" w:cs="宋体"/>
          <w:color w:val="auto"/>
          <w:sz w:val="24"/>
          <w:szCs w:val="24"/>
        </w:rPr>
        <w:t>；</w:t>
      </w:r>
    </w:p>
    <w:p>
      <w:pPr>
        <w:widowControl w:val="0"/>
        <w:spacing w:line="360" w:lineRule="auto"/>
        <w:ind w:left="480"/>
        <w:jc w:val="both"/>
        <w:rPr>
          <w:rFonts w:ascii="宋体" w:hAnsi="宋体" w:cs="宋体"/>
          <w:color w:val="auto"/>
          <w:sz w:val="24"/>
          <w:szCs w:val="24"/>
        </w:rPr>
      </w:pPr>
      <w:r>
        <w:rPr>
          <w:rFonts w:ascii="宋体" w:hAnsi="宋体" w:cs="宋体"/>
          <w:color w:val="auto"/>
          <w:sz w:val="24"/>
          <w:szCs w:val="24"/>
        </w:rPr>
        <w:t xml:space="preserve">…… </w:t>
      </w:r>
    </w:p>
    <w:p>
      <w:pPr>
        <w:widowControl w:val="0"/>
        <w:spacing w:line="360" w:lineRule="auto"/>
        <w:ind w:firstLine="480"/>
        <w:jc w:val="both"/>
        <w:rPr>
          <w:rFonts w:ascii="宋体" w:hAnsi="宋体" w:cs="宋体"/>
          <w:color w:val="auto"/>
          <w:sz w:val="24"/>
          <w:szCs w:val="24"/>
        </w:rPr>
      </w:pPr>
      <w:r>
        <w:rPr>
          <w:rFonts w:ascii="宋体" w:hAnsi="宋体" w:cs="宋体"/>
          <w:color w:val="auto"/>
          <w:sz w:val="24"/>
          <w:szCs w:val="24"/>
        </w:rPr>
        <w:t xml:space="preserve">以上企业，不属于大企业的分支机构，不存在控股股东为大企业的情形，也不存在与大企业的负责人为同一人的情形。 </w:t>
      </w:r>
    </w:p>
    <w:p>
      <w:pPr>
        <w:widowControl w:val="0"/>
        <w:spacing w:line="360" w:lineRule="auto"/>
        <w:ind w:firstLine="480"/>
        <w:jc w:val="both"/>
        <w:rPr>
          <w:rFonts w:ascii="宋体" w:hAnsi="宋体" w:cs="宋体"/>
          <w:color w:val="auto"/>
          <w:sz w:val="24"/>
          <w:szCs w:val="24"/>
        </w:rPr>
      </w:pPr>
      <w:r>
        <w:rPr>
          <w:rFonts w:ascii="宋体" w:hAnsi="宋体" w:cs="宋体"/>
          <w:color w:val="auto"/>
          <w:sz w:val="24"/>
          <w:szCs w:val="24"/>
        </w:rPr>
        <w:t xml:space="preserve">本企业对上述声明内容的真实性负责。如有虚假，将依法承担相应责任。 </w:t>
      </w:r>
    </w:p>
    <w:p>
      <w:pPr>
        <w:widowControl w:val="0"/>
        <w:spacing w:line="360" w:lineRule="auto"/>
        <w:ind w:firstLine="480"/>
        <w:jc w:val="both"/>
        <w:rPr>
          <w:rFonts w:ascii="宋体" w:hAnsi="宋体" w:cs="宋体"/>
          <w:color w:val="auto"/>
          <w:sz w:val="24"/>
          <w:szCs w:val="24"/>
        </w:rPr>
      </w:pPr>
    </w:p>
    <w:p>
      <w:pPr>
        <w:widowControl w:val="0"/>
        <w:spacing w:line="360" w:lineRule="auto"/>
        <w:ind w:firstLine="480"/>
        <w:jc w:val="both"/>
        <w:rPr>
          <w:rFonts w:ascii="宋体" w:hAnsi="宋体" w:cs="宋体"/>
          <w:color w:val="auto"/>
          <w:sz w:val="24"/>
          <w:szCs w:val="24"/>
        </w:rPr>
      </w:pPr>
    </w:p>
    <w:p>
      <w:pPr>
        <w:widowControl w:val="0"/>
        <w:spacing w:line="360" w:lineRule="auto"/>
        <w:ind w:firstLine="480"/>
        <w:jc w:val="both"/>
        <w:rPr>
          <w:rFonts w:ascii="宋体" w:hAnsi="宋体" w:cs="宋体"/>
          <w:color w:val="auto"/>
          <w:sz w:val="24"/>
          <w:szCs w:val="24"/>
        </w:rPr>
      </w:pPr>
      <w:r>
        <w:rPr>
          <w:rFonts w:ascii="宋体" w:hAnsi="宋体" w:cs="宋体"/>
          <w:color w:val="auto"/>
          <w:sz w:val="24"/>
          <w:szCs w:val="24"/>
        </w:rPr>
        <w:t xml:space="preserve">企业名称（盖章）： </w:t>
      </w:r>
    </w:p>
    <w:p>
      <w:pPr>
        <w:widowControl w:val="0"/>
        <w:spacing w:line="360" w:lineRule="auto"/>
        <w:ind w:firstLine="480"/>
        <w:jc w:val="both"/>
        <w:rPr>
          <w:rFonts w:ascii="宋体" w:hAnsi="宋体" w:cs="宋体"/>
          <w:color w:val="auto"/>
          <w:sz w:val="24"/>
          <w:szCs w:val="24"/>
        </w:rPr>
      </w:pPr>
      <w:r>
        <w:rPr>
          <w:rFonts w:ascii="宋体" w:hAnsi="宋体" w:cs="宋体"/>
          <w:color w:val="auto"/>
          <w:sz w:val="24"/>
          <w:szCs w:val="24"/>
        </w:rPr>
        <w:t xml:space="preserve">日 期： </w:t>
      </w:r>
    </w:p>
    <w:p>
      <w:pPr>
        <w:widowControl w:val="0"/>
        <w:spacing w:line="360" w:lineRule="auto"/>
        <w:jc w:val="both"/>
        <w:rPr>
          <w:rFonts w:ascii="宋体" w:hAnsi="宋体" w:cs="宋体"/>
          <w:color w:val="auto"/>
          <w:sz w:val="18"/>
          <w:szCs w:val="18"/>
        </w:rPr>
      </w:pPr>
    </w:p>
    <w:p>
      <w:pPr>
        <w:widowControl w:val="0"/>
        <w:spacing w:line="360" w:lineRule="auto"/>
        <w:jc w:val="both"/>
        <w:rPr>
          <w:rFonts w:ascii="宋体" w:hAnsi="宋体" w:cs="宋体"/>
          <w:color w:val="auto"/>
          <w:sz w:val="18"/>
          <w:szCs w:val="18"/>
        </w:rPr>
      </w:pPr>
    </w:p>
    <w:p>
      <w:pPr>
        <w:snapToGrid w:val="0"/>
        <w:spacing w:before="120" w:beforeLines="50" w:after="50"/>
        <w:rPr>
          <w:rFonts w:ascii="宋体" w:hAnsi="宋体" w:cs="宋体"/>
          <w:b/>
          <w:color w:val="auto"/>
        </w:rPr>
      </w:pPr>
      <w:r>
        <w:rPr>
          <w:rFonts w:ascii="宋体" w:hAnsi="宋体" w:cs="宋体"/>
          <w:color w:val="auto"/>
          <w:sz w:val="18"/>
          <w:szCs w:val="18"/>
        </w:rPr>
        <w:t>1 从业人员、营业收入、资产总额填报上一年度数据，无上一年度数据的新成立企业可不填报。</w:t>
      </w:r>
    </w:p>
    <w:p>
      <w:pPr>
        <w:spacing w:line="588" w:lineRule="exact"/>
        <w:ind w:left="0" w:leftChars="0" w:firstLine="0" w:firstLineChars="0"/>
        <w:jc w:val="both"/>
        <w:rPr>
          <w:rFonts w:ascii="宋体" w:hAnsi="宋体" w:cs="Arial"/>
          <w:color w:val="auto"/>
          <w:sz w:val="30"/>
          <w:szCs w:val="30"/>
        </w:rPr>
      </w:pPr>
      <w:r>
        <w:rPr>
          <w:rFonts w:ascii="宋体" w:hAnsi="宋体" w:cs="Arial"/>
          <w:color w:val="auto"/>
          <w:sz w:val="30"/>
          <w:szCs w:val="30"/>
        </w:rPr>
        <w:br w:type="page"/>
      </w:r>
    </w:p>
    <w:p>
      <w:pPr>
        <w:pStyle w:val="5"/>
        <w:numPr>
          <w:ilvl w:val="0"/>
          <w:numId w:val="40"/>
        </w:numPr>
        <w:bidi w:val="0"/>
        <w:jc w:val="left"/>
        <w:rPr>
          <w:rFonts w:hint="eastAsia"/>
          <w:color w:val="auto"/>
          <w:highlight w:val="none"/>
          <w:lang w:val="en-US" w:eastAsia="zh-CN"/>
        </w:rPr>
      </w:pPr>
      <w:r>
        <w:rPr>
          <w:rFonts w:hint="eastAsia"/>
          <w:color w:val="auto"/>
          <w:highlight w:val="none"/>
          <w:lang w:val="en-US" w:eastAsia="zh-CN"/>
        </w:rPr>
        <w:t>残疾人福利性单位声明函</w:t>
      </w:r>
    </w:p>
    <w:p>
      <w:pPr>
        <w:pStyle w:val="21"/>
        <w:rPr>
          <w:rFonts w:hint="eastAsia"/>
          <w:lang w:val="en-US" w:eastAsia="zh-CN"/>
        </w:rPr>
      </w:pPr>
    </w:p>
    <w:p>
      <w:pPr>
        <w:snapToGrid w:val="0"/>
        <w:ind w:left="0" w:leftChars="0" w:right="0" w:rightChars="0" w:firstLine="0" w:firstLineChars="0"/>
        <w:jc w:val="center"/>
        <w:rPr>
          <w:rFonts w:hint="eastAsia" w:ascii="宋体" w:hAnsi="宋体" w:eastAsia="宋体" w:cs="宋体"/>
          <w:b/>
          <w:color w:val="auto"/>
          <w:kern w:val="0"/>
          <w:sz w:val="32"/>
          <w:highlight w:val="none"/>
          <w:lang w:val="en-US" w:eastAsia="zh-CN"/>
        </w:rPr>
      </w:pPr>
      <w:r>
        <w:rPr>
          <w:rFonts w:hint="eastAsia" w:ascii="宋体" w:hAnsi="宋体" w:eastAsia="宋体" w:cs="宋体"/>
          <w:b/>
          <w:color w:val="auto"/>
          <w:kern w:val="0"/>
          <w:sz w:val="32"/>
          <w:highlight w:val="none"/>
          <w:lang w:val="en-US" w:eastAsia="zh-CN"/>
        </w:rPr>
        <w:t>残疾人福利性单位声明函</w:t>
      </w:r>
    </w:p>
    <w:p>
      <w:pPr>
        <w:snapToGrid w:val="0"/>
        <w:spacing w:line="360" w:lineRule="auto"/>
        <w:ind w:firstLine="400" w:firstLineChars="200"/>
        <w:rPr>
          <w:rFonts w:ascii="宋体" w:hAnsi="宋体" w:cs="宋体"/>
          <w:color w:val="auto"/>
        </w:rPr>
      </w:pPr>
      <w:r>
        <w:rPr>
          <w:rFonts w:hint="eastAsia" w:ascii="宋体" w:hAnsi="宋体" w:cs="宋体"/>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00" w:firstLineChars="200"/>
        <w:rPr>
          <w:rFonts w:ascii="宋体" w:hAnsi="宋体" w:cs="宋体"/>
          <w:color w:val="auto"/>
        </w:rPr>
      </w:pPr>
      <w:r>
        <w:rPr>
          <w:rFonts w:hint="eastAsia" w:ascii="宋体" w:hAnsi="宋体" w:cs="宋体"/>
          <w:color w:val="auto"/>
        </w:rPr>
        <w:t>本单位对上述声明的真实性负责。如有虚假，将依法承担相应责任。</w:t>
      </w:r>
    </w:p>
    <w:p>
      <w:pPr>
        <w:snapToGrid w:val="0"/>
        <w:spacing w:line="360" w:lineRule="auto"/>
        <w:ind w:firstLine="400" w:firstLineChars="200"/>
        <w:rPr>
          <w:rFonts w:ascii="宋体" w:hAnsi="宋体" w:cs="宋体"/>
          <w:color w:val="auto"/>
        </w:rPr>
      </w:pPr>
    </w:p>
    <w:p>
      <w:pPr>
        <w:spacing w:line="588" w:lineRule="exact"/>
        <w:ind w:firstLine="424" w:firstLineChars="200"/>
        <w:rPr>
          <w:rFonts w:ascii="宋体" w:hAnsi="宋体" w:cs="宋体"/>
          <w:color w:val="auto"/>
          <w:spacing w:val="6"/>
        </w:rPr>
      </w:pPr>
    </w:p>
    <w:p>
      <w:pPr>
        <w:snapToGrid w:val="0"/>
        <w:spacing w:line="360" w:lineRule="auto"/>
        <w:ind w:firstLine="400" w:firstLineChars="200"/>
        <w:jc w:val="right"/>
        <w:rPr>
          <w:rFonts w:ascii="宋体" w:hAnsi="宋体" w:cs="宋体"/>
          <w:color w:val="auto"/>
        </w:rPr>
      </w:pPr>
      <w:r>
        <w:rPr>
          <w:rFonts w:hint="eastAsia" w:ascii="宋体" w:hAnsi="宋体" w:cs="宋体"/>
          <w:color w:val="auto"/>
        </w:rPr>
        <w:t xml:space="preserve">      单位名称（盖章）：</w:t>
      </w:r>
    </w:p>
    <w:p>
      <w:pPr>
        <w:snapToGrid w:val="0"/>
        <w:spacing w:line="360" w:lineRule="auto"/>
        <w:ind w:firstLine="400" w:firstLineChars="200"/>
        <w:jc w:val="right"/>
        <w:rPr>
          <w:rFonts w:ascii="宋体" w:hAnsi="宋体" w:cs="宋体"/>
          <w:color w:val="auto"/>
        </w:rPr>
      </w:pPr>
      <w:r>
        <w:rPr>
          <w:rFonts w:hint="eastAsia" w:ascii="宋体" w:hAnsi="宋体" w:cs="宋体"/>
          <w:color w:val="auto"/>
        </w:rPr>
        <w:t xml:space="preserve">       日  期：</w:t>
      </w:r>
    </w:p>
    <w:p>
      <w:pPr>
        <w:tabs>
          <w:tab w:val="left" w:pos="4860"/>
        </w:tabs>
        <w:spacing w:line="588" w:lineRule="exact"/>
        <w:ind w:right="1560" w:firstLine="424" w:firstLineChars="200"/>
        <w:rPr>
          <w:rFonts w:ascii="宋体" w:hAnsi="宋体" w:cs="宋体"/>
          <w:color w:val="auto"/>
          <w:spacing w:val="6"/>
        </w:rPr>
      </w:pPr>
      <w:r>
        <w:rPr>
          <w:rFonts w:hint="eastAsia" w:ascii="宋体" w:hAnsi="宋体" w:cs="宋体"/>
          <w:color w:val="auto"/>
          <w:spacing w:val="6"/>
        </w:rPr>
        <w:t>填写说明：</w:t>
      </w:r>
    </w:p>
    <w:p>
      <w:pPr>
        <w:numPr>
          <w:ilvl w:val="0"/>
          <w:numId w:val="43"/>
        </w:numPr>
        <w:tabs>
          <w:tab w:val="left" w:pos="4860"/>
        </w:tabs>
        <w:ind w:right="106" w:firstLine="426" w:firstLineChars="200"/>
        <w:rPr>
          <w:rFonts w:ascii="宋体" w:hAnsi="宋体" w:cs="宋体"/>
          <w:b/>
          <w:bCs/>
          <w:color w:val="auto"/>
        </w:rPr>
      </w:pPr>
      <w:r>
        <w:rPr>
          <w:rFonts w:hint="eastAsia" w:ascii="宋体" w:hAnsi="宋体" w:cs="宋体"/>
          <w:b/>
          <w:bCs/>
          <w:color w:val="auto"/>
          <w:spacing w:val="6"/>
        </w:rPr>
        <w:t>本声明是残疾人福利性单位的提供，其他不符合规定的单位禁止提供，中标、成交单位提供《残疾人福利性单位声明函》的，代理机构将在发布中标、成交公告时同时公告其《残疾人福利性单位声明函》，接受社会监督。</w:t>
      </w:r>
    </w:p>
    <w:p>
      <w:pPr>
        <w:numPr>
          <w:ilvl w:val="0"/>
          <w:numId w:val="43"/>
        </w:numPr>
        <w:tabs>
          <w:tab w:val="left" w:pos="4860"/>
        </w:tabs>
        <w:ind w:right="251" w:firstLine="400" w:firstLineChars="200"/>
        <w:rPr>
          <w:rFonts w:ascii="宋体" w:hAnsi="宋体" w:cs="宋体"/>
          <w:color w:val="auto"/>
        </w:rPr>
      </w:pPr>
      <w:r>
        <w:rPr>
          <w:rFonts w:hint="eastAsia" w:ascii="宋体" w:hAnsi="宋体" w:cs="宋体"/>
          <w:color w:val="auto"/>
        </w:rPr>
        <w:t>享受政府采购支持政策的残疾人福利性单位应当同时满足以下条件：</w:t>
      </w:r>
    </w:p>
    <w:p>
      <w:pPr>
        <w:pStyle w:val="38"/>
        <w:rPr>
          <w:color w:val="auto"/>
          <w:sz w:val="20"/>
          <w:szCs w:val="20"/>
        </w:rPr>
      </w:pPr>
      <w:r>
        <w:rPr>
          <w:rFonts w:hint="eastAsia"/>
          <w:color w:val="auto"/>
          <w:sz w:val="20"/>
          <w:szCs w:val="20"/>
        </w:rPr>
        <w:t>　　（1）安置的残疾人占本单位在职职工人数的比例不低于210%（含210%），并且安置的残疾人人数不少于10人（含10人）；</w:t>
      </w:r>
    </w:p>
    <w:p>
      <w:pPr>
        <w:pStyle w:val="38"/>
        <w:rPr>
          <w:color w:val="auto"/>
          <w:sz w:val="20"/>
          <w:szCs w:val="20"/>
        </w:rPr>
      </w:pPr>
      <w:r>
        <w:rPr>
          <w:rFonts w:hint="eastAsia"/>
          <w:color w:val="auto"/>
          <w:sz w:val="20"/>
          <w:szCs w:val="20"/>
        </w:rPr>
        <w:t>　　（2）依法与安置的每位残疾人签订了一年以上（含一年）的劳动合同或服务协议；</w:t>
      </w:r>
    </w:p>
    <w:p>
      <w:pPr>
        <w:pStyle w:val="38"/>
        <w:rPr>
          <w:color w:val="auto"/>
          <w:sz w:val="20"/>
          <w:szCs w:val="20"/>
        </w:rPr>
      </w:pPr>
      <w:r>
        <w:rPr>
          <w:rFonts w:hint="eastAsia"/>
          <w:color w:val="auto"/>
          <w:sz w:val="20"/>
          <w:szCs w:val="20"/>
        </w:rPr>
        <w:t>　　（3）为安置的每位残疾人按月足额缴纳了基本养老保险、基本医疗保险、失业保险、工伤保险和生育保险等社会保险费；</w:t>
      </w:r>
    </w:p>
    <w:p>
      <w:pPr>
        <w:pStyle w:val="38"/>
        <w:rPr>
          <w:color w:val="auto"/>
          <w:sz w:val="20"/>
          <w:szCs w:val="20"/>
        </w:rPr>
      </w:pPr>
      <w:r>
        <w:rPr>
          <w:rFonts w:hint="eastAsia"/>
          <w:color w:val="auto"/>
          <w:sz w:val="20"/>
          <w:szCs w:val="20"/>
        </w:rPr>
        <w:t>　　（4）通过银行等金融机构向安置的每位残疾人，按月支付了不低于单位所在区县适用的经省级人民政府批准的月最低工资标准的工资；</w:t>
      </w:r>
    </w:p>
    <w:p>
      <w:pPr>
        <w:pStyle w:val="38"/>
        <w:rPr>
          <w:color w:val="auto"/>
          <w:sz w:val="20"/>
          <w:szCs w:val="20"/>
        </w:rPr>
      </w:pPr>
      <w:r>
        <w:rPr>
          <w:rFonts w:hint="eastAsia"/>
          <w:color w:val="auto"/>
          <w:sz w:val="20"/>
          <w:szCs w:val="20"/>
        </w:rPr>
        <w:t>　　（5）提供本单位制造的货物、承担的工程或者服务（以下简称产品），或者提供其他残疾人福利性单位制造的货物（不包括使用非残疾人福利性单位注册商标的货物）。</w:t>
      </w:r>
    </w:p>
    <w:p>
      <w:pPr>
        <w:pStyle w:val="38"/>
        <w:rPr>
          <w:rFonts w:ascii="宋体" w:hAnsi="宋体" w:cs="宋体"/>
          <w:color w:val="auto"/>
          <w:szCs w:val="21"/>
        </w:rPr>
      </w:pPr>
      <w:r>
        <w:rPr>
          <w:rFonts w:hint="eastAsia"/>
          <w:color w:val="auto"/>
          <w:sz w:val="20"/>
          <w:szCs w:val="20"/>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4860"/>
        </w:tabs>
        <w:spacing w:line="588" w:lineRule="exact"/>
        <w:ind w:right="1560"/>
        <w:rPr>
          <w:rFonts w:ascii="宋体" w:hAnsi="宋体" w:cs="宋体"/>
          <w:color w:val="auto"/>
          <w:szCs w:val="21"/>
        </w:rPr>
        <w:sectPr>
          <w:pgSz w:w="11906" w:h="16838"/>
          <w:pgMar w:top="1440" w:right="1106" w:bottom="1440" w:left="1622" w:header="851" w:footer="851" w:gutter="0"/>
          <w:pgBorders>
            <w:top w:val="none" w:color="auto" w:sz="0" w:space="0"/>
            <w:left w:val="none" w:color="auto" w:sz="0" w:space="0"/>
            <w:bottom w:val="none" w:color="auto" w:sz="0" w:space="0"/>
            <w:right w:val="none" w:color="auto" w:sz="0" w:space="0"/>
          </w:pgBorders>
          <w:pgNumType w:fmt="decimal"/>
          <w:cols w:space="720" w:num="1"/>
          <w:docGrid w:linePitch="312" w:charSpace="0"/>
        </w:sectPr>
      </w:pPr>
    </w:p>
    <w:tbl>
      <w:tblPr>
        <w:tblStyle w:val="46"/>
        <w:tblW w:w="15079" w:type="dxa"/>
        <w:tblInd w:w="-176" w:type="dxa"/>
        <w:tblLayout w:type="fixed"/>
        <w:tblCellMar>
          <w:top w:w="0" w:type="dxa"/>
          <w:left w:w="108" w:type="dxa"/>
          <w:bottom w:w="0" w:type="dxa"/>
          <w:right w:w="108" w:type="dxa"/>
        </w:tblCellMar>
      </w:tblPr>
      <w:tblGrid>
        <w:gridCol w:w="1985"/>
        <w:gridCol w:w="1498"/>
        <w:gridCol w:w="1763"/>
        <w:gridCol w:w="1660"/>
        <w:gridCol w:w="1240"/>
        <w:gridCol w:w="1562"/>
        <w:gridCol w:w="1590"/>
        <w:gridCol w:w="1285"/>
        <w:gridCol w:w="1275"/>
        <w:gridCol w:w="1069"/>
        <w:gridCol w:w="152"/>
      </w:tblGrid>
      <w:tr>
        <w:tblPrEx>
          <w:tblLayout w:type="fixed"/>
          <w:tblCellMar>
            <w:top w:w="0" w:type="dxa"/>
            <w:left w:w="108" w:type="dxa"/>
            <w:bottom w:w="0" w:type="dxa"/>
            <w:right w:w="108" w:type="dxa"/>
          </w:tblCellMar>
        </w:tblPrEx>
        <w:trPr>
          <w:gridAfter w:val="1"/>
          <w:wAfter w:w="152" w:type="dxa"/>
          <w:trHeight w:val="420" w:hRule="atLeast"/>
        </w:trPr>
        <w:tc>
          <w:tcPr>
            <w:tcW w:w="14927" w:type="dxa"/>
            <w:gridSpan w:val="10"/>
            <w:tcBorders>
              <w:top w:val="nil"/>
              <w:left w:val="nil"/>
              <w:bottom w:val="nil"/>
              <w:right w:val="nil"/>
            </w:tcBorders>
            <w:vAlign w:val="bottom"/>
          </w:tcPr>
          <w:p>
            <w:pPr>
              <w:jc w:val="center"/>
              <w:rPr>
                <w:rFonts w:ascii="宋体" w:hAnsi="宋体" w:cs="宋体"/>
                <w:b/>
                <w:bCs/>
                <w:color w:val="auto"/>
                <w:sz w:val="14"/>
                <w:szCs w:val="14"/>
              </w:rPr>
            </w:pPr>
            <w:r>
              <w:rPr>
                <w:rFonts w:hint="eastAsia" w:ascii="宋体" w:hAnsi="宋体" w:cs="宋体"/>
                <w:b/>
                <w:bCs/>
                <w:color w:val="auto"/>
                <w:sz w:val="14"/>
                <w:szCs w:val="14"/>
              </w:rPr>
              <w:t>中小微行业划型标准规定（根据工信部联企业〔2011〕300号制定）</w:t>
            </w:r>
          </w:p>
        </w:tc>
      </w:tr>
      <w:tr>
        <w:tblPrEx>
          <w:tblLayout w:type="fixed"/>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jc w:val="center"/>
              <w:rPr>
                <w:rFonts w:ascii="宋体" w:hAnsi="宋体" w:cs="宋体"/>
                <w:b/>
                <w:bCs/>
                <w:color w:val="auto"/>
                <w:sz w:val="14"/>
                <w:szCs w:val="14"/>
              </w:rPr>
            </w:pPr>
            <w:r>
              <w:rPr>
                <w:rFonts w:hint="eastAsia" w:ascii="宋体" w:hAnsi="宋体" w:cs="宋体"/>
                <w:b/>
                <w:bCs/>
                <w:color w:val="auto"/>
                <w:sz w:val="14"/>
                <w:szCs w:val="14"/>
              </w:rPr>
              <w:t>行业</w:t>
            </w:r>
          </w:p>
        </w:tc>
        <w:tc>
          <w:tcPr>
            <w:tcW w:w="4921" w:type="dxa"/>
            <w:gridSpan w:val="3"/>
            <w:tcBorders>
              <w:top w:val="single" w:color="auto" w:sz="8" w:space="0"/>
              <w:left w:val="nil"/>
              <w:bottom w:val="single" w:color="auto" w:sz="4" w:space="0"/>
              <w:right w:val="single" w:color="000000" w:sz="8" w:space="0"/>
            </w:tcBorders>
            <w:vAlign w:val="bottom"/>
          </w:tcPr>
          <w:p>
            <w:pPr>
              <w:jc w:val="center"/>
              <w:rPr>
                <w:rFonts w:ascii="宋体" w:hAnsi="宋体" w:cs="宋体"/>
                <w:b/>
                <w:bCs/>
                <w:color w:val="auto"/>
                <w:sz w:val="14"/>
                <w:szCs w:val="14"/>
              </w:rPr>
            </w:pPr>
            <w:r>
              <w:rPr>
                <w:rFonts w:hint="eastAsia" w:ascii="宋体" w:hAnsi="宋体" w:cs="宋体"/>
                <w:b/>
                <w:bCs/>
                <w:color w:val="auto"/>
                <w:sz w:val="14"/>
                <w:szCs w:val="14"/>
              </w:rPr>
              <w:t>中型企业</w:t>
            </w:r>
          </w:p>
        </w:tc>
        <w:tc>
          <w:tcPr>
            <w:tcW w:w="4392" w:type="dxa"/>
            <w:gridSpan w:val="3"/>
            <w:tcBorders>
              <w:top w:val="single" w:color="auto" w:sz="8" w:space="0"/>
              <w:left w:val="nil"/>
              <w:bottom w:val="single" w:color="auto" w:sz="4" w:space="0"/>
              <w:right w:val="single" w:color="000000" w:sz="8" w:space="0"/>
            </w:tcBorders>
            <w:vAlign w:val="bottom"/>
          </w:tcPr>
          <w:p>
            <w:pPr>
              <w:jc w:val="center"/>
              <w:rPr>
                <w:rFonts w:ascii="宋体" w:hAnsi="宋体" w:cs="宋体"/>
                <w:b/>
                <w:bCs/>
                <w:color w:val="auto"/>
                <w:sz w:val="14"/>
                <w:szCs w:val="14"/>
              </w:rPr>
            </w:pPr>
            <w:r>
              <w:rPr>
                <w:rFonts w:hint="eastAsia" w:ascii="宋体" w:hAnsi="宋体" w:cs="宋体"/>
                <w:b/>
                <w:bCs/>
                <w:color w:val="auto"/>
                <w:sz w:val="14"/>
                <w:szCs w:val="14"/>
              </w:rPr>
              <w:t>小型企业</w:t>
            </w:r>
          </w:p>
        </w:tc>
        <w:tc>
          <w:tcPr>
            <w:tcW w:w="3781" w:type="dxa"/>
            <w:gridSpan w:val="4"/>
            <w:tcBorders>
              <w:top w:val="single" w:color="auto" w:sz="8" w:space="0"/>
              <w:left w:val="nil"/>
              <w:bottom w:val="single" w:color="auto" w:sz="4" w:space="0"/>
              <w:right w:val="single" w:color="000000" w:sz="8" w:space="0"/>
            </w:tcBorders>
            <w:vAlign w:val="bottom"/>
          </w:tcPr>
          <w:p>
            <w:pPr>
              <w:jc w:val="center"/>
              <w:rPr>
                <w:rFonts w:ascii="宋体" w:hAnsi="宋体" w:cs="宋体"/>
                <w:b/>
                <w:bCs/>
                <w:color w:val="auto"/>
                <w:sz w:val="14"/>
                <w:szCs w:val="14"/>
              </w:rPr>
            </w:pPr>
            <w:r>
              <w:rPr>
                <w:rFonts w:hint="eastAsia" w:ascii="宋体" w:hAnsi="宋体" w:cs="宋体"/>
                <w:b/>
                <w:bCs/>
                <w:color w:val="auto"/>
                <w:sz w:val="14"/>
                <w:szCs w:val="14"/>
              </w:rPr>
              <w:t>微型企业</w:t>
            </w:r>
          </w:p>
        </w:tc>
      </w:tr>
      <w:tr>
        <w:tblPrEx>
          <w:tblLayout w:type="fixed"/>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rPr>
                <w:rFonts w:ascii="宋体" w:hAnsi="宋体" w:cs="宋体"/>
                <w:b/>
                <w:bCs/>
                <w:color w:val="auto"/>
                <w:sz w:val="14"/>
                <w:szCs w:val="14"/>
              </w:rPr>
            </w:pPr>
          </w:p>
        </w:tc>
        <w:tc>
          <w:tcPr>
            <w:tcW w:w="1498" w:type="dxa"/>
            <w:tcBorders>
              <w:top w:val="nil"/>
              <w:left w:val="nil"/>
              <w:bottom w:val="single" w:color="auto" w:sz="4" w:space="0"/>
              <w:right w:val="single" w:color="auto" w:sz="4" w:space="0"/>
            </w:tcBorders>
            <w:vAlign w:val="bottom"/>
          </w:tcPr>
          <w:p>
            <w:pPr>
              <w:jc w:val="center"/>
              <w:rPr>
                <w:rFonts w:ascii="宋体" w:hAnsi="宋体" w:cs="宋体"/>
                <w:color w:val="auto"/>
                <w:sz w:val="14"/>
                <w:szCs w:val="14"/>
              </w:rPr>
            </w:pPr>
            <w:r>
              <w:rPr>
                <w:rFonts w:hint="eastAsia" w:ascii="宋体" w:hAnsi="宋体" w:cs="宋体"/>
                <w:color w:val="auto"/>
                <w:sz w:val="14"/>
                <w:szCs w:val="14"/>
              </w:rPr>
              <w:t>从业人员X（人）</w:t>
            </w:r>
          </w:p>
        </w:tc>
        <w:tc>
          <w:tcPr>
            <w:tcW w:w="1763" w:type="dxa"/>
            <w:tcBorders>
              <w:top w:val="nil"/>
              <w:left w:val="nil"/>
              <w:bottom w:val="single" w:color="auto" w:sz="4" w:space="0"/>
              <w:right w:val="single" w:color="auto" w:sz="4" w:space="0"/>
            </w:tcBorders>
            <w:vAlign w:val="bottom"/>
          </w:tcPr>
          <w:p>
            <w:pPr>
              <w:jc w:val="center"/>
              <w:rPr>
                <w:rFonts w:ascii="宋体" w:hAnsi="宋体" w:cs="宋体"/>
                <w:color w:val="auto"/>
                <w:sz w:val="14"/>
                <w:szCs w:val="14"/>
              </w:rPr>
            </w:pPr>
            <w:r>
              <w:rPr>
                <w:rFonts w:hint="eastAsia" w:ascii="宋体" w:hAnsi="宋体" w:cs="宋体"/>
                <w:color w:val="auto"/>
                <w:sz w:val="14"/>
                <w:szCs w:val="14"/>
              </w:rPr>
              <w:t>营业收入Y</w:t>
            </w:r>
          </w:p>
          <w:p>
            <w:pPr>
              <w:jc w:val="center"/>
              <w:rPr>
                <w:rFonts w:ascii="宋体" w:hAnsi="宋体" w:cs="宋体"/>
                <w:color w:val="auto"/>
                <w:sz w:val="14"/>
                <w:szCs w:val="14"/>
              </w:rPr>
            </w:pPr>
            <w:r>
              <w:rPr>
                <w:rFonts w:hint="eastAsia" w:ascii="宋体" w:hAnsi="宋体" w:cs="宋体"/>
                <w:color w:val="auto"/>
                <w:sz w:val="14"/>
                <w:szCs w:val="14"/>
              </w:rPr>
              <w:t>（万元）</w:t>
            </w:r>
          </w:p>
        </w:tc>
        <w:tc>
          <w:tcPr>
            <w:tcW w:w="1660" w:type="dxa"/>
            <w:tcBorders>
              <w:top w:val="nil"/>
              <w:left w:val="nil"/>
              <w:bottom w:val="single" w:color="auto" w:sz="4" w:space="0"/>
              <w:right w:val="single" w:color="auto" w:sz="8" w:space="0"/>
            </w:tcBorders>
            <w:vAlign w:val="bottom"/>
          </w:tcPr>
          <w:p>
            <w:pPr>
              <w:jc w:val="center"/>
              <w:rPr>
                <w:rFonts w:ascii="宋体" w:hAnsi="宋体" w:cs="宋体"/>
                <w:color w:val="auto"/>
                <w:sz w:val="14"/>
                <w:szCs w:val="14"/>
              </w:rPr>
            </w:pPr>
            <w:r>
              <w:rPr>
                <w:rFonts w:hint="eastAsia" w:ascii="宋体" w:hAnsi="宋体" w:cs="宋体"/>
                <w:color w:val="auto"/>
                <w:sz w:val="14"/>
                <w:szCs w:val="14"/>
              </w:rPr>
              <w:t>资产总额Z</w:t>
            </w:r>
          </w:p>
          <w:p>
            <w:pPr>
              <w:jc w:val="center"/>
              <w:rPr>
                <w:rFonts w:ascii="宋体" w:hAnsi="宋体" w:cs="宋体"/>
                <w:color w:val="auto"/>
                <w:sz w:val="14"/>
                <w:szCs w:val="14"/>
              </w:rPr>
            </w:pPr>
            <w:r>
              <w:rPr>
                <w:rFonts w:hint="eastAsia" w:ascii="宋体" w:hAnsi="宋体" w:cs="宋体"/>
                <w:color w:val="auto"/>
                <w:sz w:val="14"/>
                <w:szCs w:val="14"/>
              </w:rPr>
              <w:t>（万元）</w:t>
            </w:r>
          </w:p>
        </w:tc>
        <w:tc>
          <w:tcPr>
            <w:tcW w:w="1240" w:type="dxa"/>
            <w:tcBorders>
              <w:top w:val="nil"/>
              <w:left w:val="nil"/>
              <w:bottom w:val="single" w:color="auto" w:sz="4" w:space="0"/>
              <w:right w:val="single" w:color="auto" w:sz="4" w:space="0"/>
            </w:tcBorders>
            <w:vAlign w:val="bottom"/>
          </w:tcPr>
          <w:p>
            <w:pPr>
              <w:jc w:val="center"/>
              <w:rPr>
                <w:rFonts w:ascii="宋体" w:hAnsi="宋体" w:cs="宋体"/>
                <w:color w:val="auto"/>
                <w:sz w:val="14"/>
                <w:szCs w:val="14"/>
              </w:rPr>
            </w:pPr>
            <w:r>
              <w:rPr>
                <w:rFonts w:hint="eastAsia" w:ascii="宋体" w:hAnsi="宋体" w:cs="宋体"/>
                <w:color w:val="auto"/>
                <w:sz w:val="14"/>
                <w:szCs w:val="14"/>
              </w:rPr>
              <w:t>从业人员X（人）</w:t>
            </w:r>
          </w:p>
        </w:tc>
        <w:tc>
          <w:tcPr>
            <w:tcW w:w="1562" w:type="dxa"/>
            <w:tcBorders>
              <w:top w:val="nil"/>
              <w:left w:val="nil"/>
              <w:bottom w:val="single" w:color="auto" w:sz="4" w:space="0"/>
              <w:right w:val="single" w:color="auto" w:sz="4" w:space="0"/>
            </w:tcBorders>
            <w:vAlign w:val="bottom"/>
          </w:tcPr>
          <w:p>
            <w:pPr>
              <w:jc w:val="center"/>
              <w:rPr>
                <w:rFonts w:ascii="宋体" w:hAnsi="宋体" w:cs="宋体"/>
                <w:color w:val="auto"/>
                <w:sz w:val="14"/>
                <w:szCs w:val="14"/>
              </w:rPr>
            </w:pPr>
            <w:r>
              <w:rPr>
                <w:rFonts w:hint="eastAsia" w:ascii="宋体" w:hAnsi="宋体" w:cs="宋体"/>
                <w:color w:val="auto"/>
                <w:sz w:val="14"/>
                <w:szCs w:val="14"/>
              </w:rPr>
              <w:t>营业收入Y</w:t>
            </w:r>
          </w:p>
          <w:p>
            <w:pPr>
              <w:jc w:val="center"/>
              <w:rPr>
                <w:rFonts w:ascii="宋体" w:hAnsi="宋体" w:cs="宋体"/>
                <w:color w:val="auto"/>
                <w:sz w:val="14"/>
                <w:szCs w:val="14"/>
              </w:rPr>
            </w:pPr>
            <w:r>
              <w:rPr>
                <w:rFonts w:hint="eastAsia" w:ascii="宋体" w:hAnsi="宋体" w:cs="宋体"/>
                <w:color w:val="auto"/>
                <w:sz w:val="14"/>
                <w:szCs w:val="14"/>
              </w:rPr>
              <w:t>（万元）</w:t>
            </w:r>
          </w:p>
        </w:tc>
        <w:tc>
          <w:tcPr>
            <w:tcW w:w="1590" w:type="dxa"/>
            <w:tcBorders>
              <w:top w:val="nil"/>
              <w:left w:val="nil"/>
              <w:bottom w:val="single" w:color="auto" w:sz="4" w:space="0"/>
              <w:right w:val="single" w:color="auto" w:sz="8" w:space="0"/>
            </w:tcBorders>
            <w:vAlign w:val="bottom"/>
          </w:tcPr>
          <w:p>
            <w:pPr>
              <w:jc w:val="center"/>
              <w:rPr>
                <w:rFonts w:ascii="宋体" w:hAnsi="宋体" w:cs="宋体"/>
                <w:color w:val="auto"/>
                <w:sz w:val="14"/>
                <w:szCs w:val="14"/>
              </w:rPr>
            </w:pPr>
            <w:r>
              <w:rPr>
                <w:rFonts w:hint="eastAsia" w:ascii="宋体" w:hAnsi="宋体" w:cs="宋体"/>
                <w:color w:val="auto"/>
                <w:sz w:val="14"/>
                <w:szCs w:val="14"/>
              </w:rPr>
              <w:t>资产总额Z</w:t>
            </w:r>
          </w:p>
          <w:p>
            <w:pPr>
              <w:jc w:val="center"/>
              <w:rPr>
                <w:rFonts w:ascii="宋体" w:hAnsi="宋体" w:cs="宋体"/>
                <w:color w:val="auto"/>
                <w:sz w:val="14"/>
                <w:szCs w:val="14"/>
              </w:rPr>
            </w:pPr>
            <w:r>
              <w:rPr>
                <w:rFonts w:hint="eastAsia" w:ascii="宋体" w:hAnsi="宋体" w:cs="宋体"/>
                <w:color w:val="auto"/>
                <w:sz w:val="14"/>
                <w:szCs w:val="14"/>
              </w:rPr>
              <w:t>（万元）</w:t>
            </w:r>
          </w:p>
        </w:tc>
        <w:tc>
          <w:tcPr>
            <w:tcW w:w="1285" w:type="dxa"/>
            <w:tcBorders>
              <w:top w:val="nil"/>
              <w:left w:val="nil"/>
              <w:bottom w:val="single" w:color="auto" w:sz="4" w:space="0"/>
              <w:right w:val="single" w:color="auto" w:sz="4" w:space="0"/>
            </w:tcBorders>
            <w:vAlign w:val="bottom"/>
          </w:tcPr>
          <w:p>
            <w:pPr>
              <w:jc w:val="center"/>
              <w:rPr>
                <w:rFonts w:ascii="宋体" w:hAnsi="宋体" w:cs="宋体"/>
                <w:color w:val="auto"/>
                <w:sz w:val="14"/>
                <w:szCs w:val="14"/>
              </w:rPr>
            </w:pPr>
            <w:r>
              <w:rPr>
                <w:rFonts w:hint="eastAsia" w:ascii="宋体" w:hAnsi="宋体" w:cs="宋体"/>
                <w:color w:val="auto"/>
                <w:sz w:val="14"/>
                <w:szCs w:val="14"/>
              </w:rPr>
              <w:t>从业人员X（人）</w:t>
            </w:r>
          </w:p>
        </w:tc>
        <w:tc>
          <w:tcPr>
            <w:tcW w:w="1275" w:type="dxa"/>
            <w:tcBorders>
              <w:top w:val="nil"/>
              <w:left w:val="nil"/>
              <w:bottom w:val="single" w:color="auto" w:sz="4" w:space="0"/>
              <w:right w:val="single" w:color="auto" w:sz="4" w:space="0"/>
            </w:tcBorders>
            <w:vAlign w:val="bottom"/>
          </w:tcPr>
          <w:p>
            <w:pPr>
              <w:jc w:val="center"/>
              <w:rPr>
                <w:rFonts w:ascii="宋体" w:hAnsi="宋体" w:cs="宋体"/>
                <w:color w:val="auto"/>
                <w:sz w:val="14"/>
                <w:szCs w:val="14"/>
              </w:rPr>
            </w:pPr>
            <w:r>
              <w:rPr>
                <w:rFonts w:hint="eastAsia" w:ascii="宋体" w:hAnsi="宋体" w:cs="宋体"/>
                <w:color w:val="auto"/>
                <w:sz w:val="14"/>
                <w:szCs w:val="14"/>
              </w:rPr>
              <w:t>营业收入Y（万元）</w:t>
            </w:r>
          </w:p>
        </w:tc>
        <w:tc>
          <w:tcPr>
            <w:tcW w:w="1221" w:type="dxa"/>
            <w:gridSpan w:val="2"/>
            <w:tcBorders>
              <w:top w:val="nil"/>
              <w:left w:val="nil"/>
              <w:bottom w:val="single" w:color="auto" w:sz="4" w:space="0"/>
              <w:right w:val="single" w:color="auto" w:sz="8" w:space="0"/>
            </w:tcBorders>
            <w:vAlign w:val="bottom"/>
          </w:tcPr>
          <w:p>
            <w:pPr>
              <w:jc w:val="center"/>
              <w:rPr>
                <w:rFonts w:ascii="宋体" w:hAnsi="宋体" w:cs="宋体"/>
                <w:color w:val="auto"/>
                <w:sz w:val="14"/>
                <w:szCs w:val="14"/>
              </w:rPr>
            </w:pPr>
            <w:r>
              <w:rPr>
                <w:rFonts w:hint="eastAsia" w:ascii="宋体" w:hAnsi="宋体" w:cs="宋体"/>
                <w:color w:val="auto"/>
                <w:sz w:val="14"/>
                <w:szCs w:val="14"/>
              </w:rPr>
              <w:t>资产总额Z（万元）</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1、农林牧渔业</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500≤Y＜20000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50≤Y＜500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Y＜50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2、工业</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300≤X＜1000</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2000≤Y＜40000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20≤X＜300</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300≤Y＜2000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X＜20</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Y＜300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3、建筑业</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6000≤Y＜80000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5000≤Z＜80000</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300≤Y＜6000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300≤Z＜5000</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Y＜300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Z＜300</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4、批发业</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20≤X＜200</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5000≤Y＜40000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5≤X＜20</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1000≤Y＜5000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X＜5</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Y＜1000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5、零售业</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50≤X＜300</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500≤Y＜20000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10≤X＜50</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100≤Y＜500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X＜10</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6、交通运输业</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300≤X＜1000</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3000≤Y＜30000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20≤X＜300</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200≤Y＜3000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X＜20</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V＜200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7、仓储业</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100≤X＜200</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1000≤Y＜30000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20≤X＜100</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100≤Y＜1000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X＜20</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8、邮政业</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300≤X＜1000</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2000≤Y＜30000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20≤X＜300</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100≤Y＜2000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X＜20</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9、住宿业</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100≤X＜300</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2000≤Y＜10000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10≤X＜100</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100≤Y＜2000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X＜10</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10、餐饮业</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100≤X＜300</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2000≤Y＜10000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10≤X＜100</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100≤Y＜2000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X＜10</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V＜100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11、信息传输业</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100≤X＜2000</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1000≤Y＜100000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10≤X＜100</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100≤Y＜1000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X＜10</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12、软件和信息技术服务业</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100≤X＜300</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1000≤Y＜10000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10≤X＜100</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50≤Y＜1000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X＜10</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Y＜50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13、房地产开发经营</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1000≤Y＜200000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5000≤Z＜10000</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100≤Y＜1000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2000≤Z＜5000</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Z＜2000</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14、物业管理</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300≤X＜1000</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1000≤Y＜5000</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100≤X＜300</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500≤Y＜1000</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X＜100</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Y＜500</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15、租赁和商务服务业</w:t>
            </w:r>
          </w:p>
        </w:tc>
        <w:tc>
          <w:tcPr>
            <w:tcW w:w="1498"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100≤X＜300</w:t>
            </w:r>
          </w:p>
        </w:tc>
        <w:tc>
          <w:tcPr>
            <w:tcW w:w="1763"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66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8000≤Z＜120000</w:t>
            </w:r>
          </w:p>
        </w:tc>
        <w:tc>
          <w:tcPr>
            <w:tcW w:w="1240"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10≤X＜100</w:t>
            </w:r>
          </w:p>
        </w:tc>
        <w:tc>
          <w:tcPr>
            <w:tcW w:w="1562"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590" w:type="dxa"/>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xml:space="preserve"> 100≤Z＜8000</w:t>
            </w:r>
          </w:p>
        </w:tc>
        <w:tc>
          <w:tcPr>
            <w:tcW w:w="128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X＜10</w:t>
            </w:r>
          </w:p>
        </w:tc>
        <w:tc>
          <w:tcPr>
            <w:tcW w:w="1275" w:type="dxa"/>
            <w:tcBorders>
              <w:top w:val="nil"/>
              <w:left w:val="nil"/>
              <w:bottom w:val="single" w:color="auto" w:sz="4"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21" w:type="dxa"/>
            <w:gridSpan w:val="2"/>
            <w:tcBorders>
              <w:top w:val="nil"/>
              <w:left w:val="nil"/>
              <w:bottom w:val="single" w:color="auto" w:sz="4"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Z＜100</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16、其他未列明行业</w:t>
            </w:r>
          </w:p>
        </w:tc>
        <w:tc>
          <w:tcPr>
            <w:tcW w:w="1498" w:type="dxa"/>
            <w:tcBorders>
              <w:top w:val="nil"/>
              <w:left w:val="nil"/>
              <w:bottom w:val="single" w:color="auto" w:sz="8"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100≤X＜300</w:t>
            </w:r>
          </w:p>
        </w:tc>
        <w:tc>
          <w:tcPr>
            <w:tcW w:w="1763" w:type="dxa"/>
            <w:tcBorders>
              <w:top w:val="nil"/>
              <w:left w:val="nil"/>
              <w:bottom w:val="single" w:color="auto" w:sz="8"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660" w:type="dxa"/>
            <w:tcBorders>
              <w:top w:val="nil"/>
              <w:left w:val="nil"/>
              <w:bottom w:val="single" w:color="auto" w:sz="8"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40" w:type="dxa"/>
            <w:tcBorders>
              <w:top w:val="nil"/>
              <w:left w:val="nil"/>
              <w:bottom w:val="single" w:color="auto" w:sz="8"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10≤X＜100</w:t>
            </w:r>
          </w:p>
        </w:tc>
        <w:tc>
          <w:tcPr>
            <w:tcW w:w="1562" w:type="dxa"/>
            <w:tcBorders>
              <w:top w:val="nil"/>
              <w:left w:val="nil"/>
              <w:bottom w:val="single" w:color="auto" w:sz="8"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590" w:type="dxa"/>
            <w:tcBorders>
              <w:top w:val="nil"/>
              <w:left w:val="nil"/>
              <w:bottom w:val="single" w:color="auto" w:sz="8"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85" w:type="dxa"/>
            <w:tcBorders>
              <w:top w:val="nil"/>
              <w:left w:val="nil"/>
              <w:bottom w:val="single" w:color="auto" w:sz="8"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X＜10</w:t>
            </w:r>
          </w:p>
        </w:tc>
        <w:tc>
          <w:tcPr>
            <w:tcW w:w="1275" w:type="dxa"/>
            <w:tcBorders>
              <w:top w:val="nil"/>
              <w:left w:val="nil"/>
              <w:bottom w:val="single" w:color="auto" w:sz="8" w:space="0"/>
              <w:right w:val="single" w:color="auto" w:sz="4"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c>
          <w:tcPr>
            <w:tcW w:w="1221" w:type="dxa"/>
            <w:gridSpan w:val="2"/>
            <w:tcBorders>
              <w:top w:val="nil"/>
              <w:left w:val="nil"/>
              <w:bottom w:val="single" w:color="auto" w:sz="8" w:space="0"/>
              <w:right w:val="single" w:color="auto" w:sz="8" w:space="0"/>
            </w:tcBorders>
            <w:vAlign w:val="bottom"/>
          </w:tcPr>
          <w:p>
            <w:pPr>
              <w:rPr>
                <w:rFonts w:ascii="宋体" w:hAnsi="宋体" w:cs="宋体"/>
                <w:color w:val="auto"/>
                <w:sz w:val="14"/>
                <w:szCs w:val="14"/>
              </w:rPr>
            </w:pPr>
            <w:r>
              <w:rPr>
                <w:rFonts w:hint="eastAsia" w:ascii="宋体" w:hAnsi="宋体" w:cs="宋体"/>
                <w:color w:val="auto"/>
                <w:sz w:val="14"/>
                <w:szCs w:val="14"/>
              </w:rPr>
              <w:t>　</w:t>
            </w:r>
          </w:p>
        </w:tc>
      </w:tr>
      <w:tr>
        <w:tblPrEx>
          <w:tblLayout w:type="fixed"/>
          <w:tblCellMar>
            <w:top w:w="0" w:type="dxa"/>
            <w:left w:w="108" w:type="dxa"/>
            <w:bottom w:w="0" w:type="dxa"/>
            <w:right w:w="108" w:type="dxa"/>
          </w:tblCellMar>
        </w:tblPrEx>
        <w:trPr>
          <w:gridAfter w:val="1"/>
          <w:wAfter w:w="152" w:type="dxa"/>
          <w:trHeight w:val="285" w:hRule="atLeast"/>
        </w:trPr>
        <w:tc>
          <w:tcPr>
            <w:tcW w:w="14927" w:type="dxa"/>
            <w:gridSpan w:val="10"/>
            <w:tcBorders>
              <w:top w:val="nil"/>
              <w:left w:val="nil"/>
              <w:bottom w:val="nil"/>
              <w:right w:val="nil"/>
            </w:tcBorders>
            <w:vAlign w:val="bottom"/>
          </w:tcPr>
          <w:p>
            <w:pPr>
              <w:rPr>
                <w:rFonts w:ascii="宋体" w:hAnsi="宋体" w:cs="宋体"/>
                <w:color w:val="auto"/>
                <w:sz w:val="14"/>
                <w:szCs w:val="14"/>
              </w:rPr>
            </w:pPr>
            <w:r>
              <w:rPr>
                <w:rFonts w:hint="eastAsia" w:ascii="宋体" w:hAnsi="宋体" w:cs="宋体"/>
                <w:color w:val="auto"/>
                <w:sz w:val="14"/>
                <w:szCs w:val="14"/>
              </w:rPr>
              <w:t>说明　1、企业类型的划分以统计部门的统计数据为依据。</w:t>
            </w:r>
          </w:p>
          <w:p>
            <w:pPr>
              <w:numPr>
                <w:ilvl w:val="0"/>
                <w:numId w:val="44"/>
              </w:numPr>
              <w:ind w:firstLine="600" w:firstLineChars="300"/>
              <w:rPr>
                <w:rFonts w:ascii="宋体" w:hAnsi="宋体" w:cs="宋体"/>
                <w:color w:val="auto"/>
                <w:sz w:val="14"/>
                <w:szCs w:val="14"/>
              </w:rPr>
            </w:pPr>
            <w:r>
              <w:rPr>
                <w:rFonts w:hint="eastAsia" w:ascii="宋体" w:hAnsi="宋体" w:cs="宋体"/>
                <w:color w:val="auto"/>
                <w:sz w:val="14"/>
                <w:szCs w:val="14"/>
              </w:rPr>
              <w:t>个体工商户和本规定以外的行业，参照本规定进行划型。</w:t>
            </w:r>
          </w:p>
          <w:p>
            <w:pPr>
              <w:numPr>
                <w:ilvl w:val="0"/>
                <w:numId w:val="44"/>
              </w:numPr>
              <w:ind w:firstLine="600" w:firstLineChars="300"/>
              <w:rPr>
                <w:rFonts w:ascii="宋体" w:hAnsi="宋体" w:cs="宋体"/>
                <w:color w:val="auto"/>
                <w:sz w:val="14"/>
                <w:szCs w:val="14"/>
              </w:rPr>
            </w:pPr>
            <w:r>
              <w:rPr>
                <w:rFonts w:hint="eastAsia" w:ascii="宋体" w:hAnsi="宋体" w:cs="宋体"/>
                <w:color w:val="auto"/>
                <w:sz w:val="14"/>
                <w:szCs w:val="14"/>
              </w:rPr>
              <w:t>本规定的中型企业标准上限即为大型企业标准的下限。</w:t>
            </w:r>
          </w:p>
        </w:tc>
      </w:tr>
    </w:tbl>
    <w:p>
      <w:pPr>
        <w:rPr>
          <w:rFonts w:ascii="宋体" w:hAnsi="宋体" w:cs="宋体"/>
          <w:i/>
          <w:iCs/>
          <w:color w:val="auto"/>
          <w:sz w:val="30"/>
        </w:rPr>
        <w:sectPr>
          <w:type w:val="continuous"/>
          <w:pgSz w:w="16838" w:h="11906" w:orient="landscape"/>
          <w:pgMar w:top="1417" w:right="1701" w:bottom="1417" w:left="1134" w:header="851" w:footer="992" w:gutter="0"/>
          <w:pgBorders>
            <w:top w:val="none" w:color="auto" w:sz="0" w:space="0"/>
            <w:left w:val="none" w:color="auto" w:sz="0" w:space="0"/>
            <w:bottom w:val="none" w:color="auto" w:sz="0" w:space="0"/>
            <w:right w:val="none" w:color="auto" w:sz="0" w:space="0"/>
          </w:pgBorders>
          <w:pgNumType w:fmt="decimal"/>
          <w:cols w:space="720" w:num="1"/>
          <w:docGrid w:linePitch="312" w:charSpace="0"/>
        </w:sectPr>
      </w:pP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3"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6336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IpMh+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宋体" w:hAnsi="宋体" w:eastAsia="宋体" w:cs="宋体"/>
          <w:color w:val="auto"/>
          <w:highlight w:val="none"/>
        </w:rPr>
        <w:t>资信</w:t>
      </w:r>
      <w:r>
        <w:rPr>
          <w:rFonts w:hint="eastAsia" w:ascii="宋体" w:hAnsi="宋体" w:eastAsia="宋体" w:cs="宋体"/>
          <w:color w:val="auto"/>
          <w:szCs w:val="40"/>
          <w:highlight w:val="none"/>
        </w:rPr>
        <w:t>技术文件</w:t>
      </w:r>
      <w:r>
        <w:rPr>
          <w:rFonts w:hint="eastAsia" w:ascii="宋体" w:hAnsi="宋体" w:eastAsia="宋体" w:cs="宋体"/>
          <w:color w:val="auto"/>
          <w:highlight w:val="none"/>
        </w:rPr>
        <w:t>封面</w:t>
      </w:r>
      <w:bookmarkEnd w:id="177"/>
      <w:bookmarkEnd w:id="178"/>
    </w:p>
    <w:p>
      <w:pPr>
        <w:spacing w:line="600" w:lineRule="auto"/>
        <w:ind w:firstLine="0" w:firstLineChars="0"/>
        <w:jc w:val="center"/>
        <w:rPr>
          <w:rFonts w:hint="eastAsia" w:ascii="宋体" w:hAnsi="宋体" w:eastAsia="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cs="宋体"/>
          <w:b/>
          <w:bCs/>
          <w:color w:val="auto"/>
          <w:sz w:val="48"/>
          <w:szCs w:val="48"/>
          <w:highlight w:val="none"/>
          <w:lang w:eastAsia="zh-CN"/>
        </w:rPr>
        <w:t>庵东实验学校、东一小学、西一小学、中心小学和西二小学智能护眼灯采购项目</w:t>
      </w:r>
    </w:p>
    <w:p>
      <w:pPr>
        <w:ind w:firstLine="602"/>
        <w:jc w:val="center"/>
        <w:rPr>
          <w:rFonts w:hint="eastAsia" w:ascii="宋体" w:hAnsi="宋体" w:eastAsia="宋体" w:cs="宋体"/>
          <w:b/>
          <w:bCs/>
          <w:color w:val="auto"/>
          <w:sz w:val="30"/>
          <w:szCs w:val="30"/>
          <w:highlight w:val="none"/>
        </w:rPr>
      </w:pPr>
    </w:p>
    <w:p>
      <w:pPr>
        <w:ind w:firstLine="602"/>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资信技术文件</w:t>
      </w:r>
    </w:p>
    <w:p>
      <w:pPr>
        <w:pStyle w:val="48"/>
        <w:rPr>
          <w:rFonts w:hint="eastAsia" w:ascii="宋体" w:hAnsi="宋体" w:eastAsia="宋体" w:cs="宋体"/>
          <w:color w:val="auto"/>
          <w:sz w:val="30"/>
          <w:szCs w:val="30"/>
          <w:highlight w:val="none"/>
        </w:rPr>
      </w:pPr>
    </w:p>
    <w:p>
      <w:pPr>
        <w:pStyle w:val="48"/>
        <w:rPr>
          <w:rFonts w:hint="eastAsia" w:ascii="宋体" w:hAnsi="宋体" w:eastAsia="宋体" w:cs="宋体"/>
          <w:color w:val="auto"/>
          <w:sz w:val="30"/>
          <w:szCs w:val="30"/>
          <w:highlight w:val="none"/>
        </w:rPr>
      </w:pPr>
    </w:p>
    <w:p>
      <w:pPr>
        <w:pStyle w:val="48"/>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授权代表签字或盖章：</w:t>
      </w:r>
    </w:p>
    <w:p>
      <w:pPr>
        <w:ind w:firstLine="600"/>
        <w:rPr>
          <w:rFonts w:hint="eastAsia" w:ascii="宋体" w:hAnsi="宋体" w:eastAsia="宋体" w:cs="宋体"/>
          <w:color w:val="auto"/>
          <w:sz w:val="30"/>
          <w:szCs w:val="30"/>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r>
        <w:rPr>
          <w:rFonts w:hint="eastAsia" w:ascii="宋体" w:hAnsi="宋体" w:eastAsia="宋体" w:cs="宋体"/>
          <w:color w:val="auto"/>
          <w:sz w:val="30"/>
          <w:szCs w:val="30"/>
          <w:highlight w:val="none"/>
        </w:rPr>
        <w:t>日期：    年  月  日</w:t>
      </w:r>
    </w:p>
    <w:p>
      <w:pPr>
        <w:pStyle w:val="4"/>
        <w:bidi w:val="0"/>
        <w:rPr>
          <w:rFonts w:hint="eastAsia"/>
          <w:color w:val="auto"/>
          <w:highlight w:val="none"/>
        </w:rPr>
      </w:pPr>
      <w:bookmarkStart w:id="179" w:name="_Toc18939"/>
      <w:bookmarkStart w:id="180" w:name="_Toc520"/>
      <w:bookmarkStart w:id="181" w:name="_Toc7692"/>
      <w:r>
        <w:rPr>
          <w:rFonts w:hint="eastAsia"/>
          <w:color w:val="auto"/>
          <w:highlight w:val="none"/>
        </w:rPr>
        <w:t>评分索引表（请放在目录前页）</w:t>
      </w:r>
      <w:bookmarkEnd w:id="179"/>
      <w:bookmarkEnd w:id="180"/>
    </w:p>
    <w:tbl>
      <w:tblPr>
        <w:tblStyle w:val="46"/>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w:t>
            </w:r>
          </w:p>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hint="eastAsia" w:ascii="宋体" w:hAnsi="宋体" w:eastAsia="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hint="eastAsia" w:ascii="宋体" w:hAnsi="宋体" w:eastAsia="宋体" w:cs="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bl>
    <w:p>
      <w:pPr>
        <w:ind w:firstLine="482"/>
        <w:rPr>
          <w:rFonts w:hint="eastAsia" w:ascii="宋体" w:hAnsi="宋体" w:eastAsia="宋体" w:cs="宋体"/>
          <w:b/>
          <w:color w:val="auto"/>
          <w:kern w:val="0"/>
          <w:szCs w:val="20"/>
          <w:highlight w:val="none"/>
        </w:rPr>
      </w:pPr>
    </w:p>
    <w:p>
      <w:pPr>
        <w:ind w:firstLine="482"/>
        <w:rPr>
          <w:rFonts w:hint="eastAsia" w:ascii="宋体" w:hAnsi="宋体" w:eastAsia="宋体" w:cs="宋体"/>
          <w:b/>
          <w:color w:val="auto"/>
          <w:kern w:val="0"/>
          <w:szCs w:val="20"/>
          <w:highlight w:val="none"/>
        </w:rPr>
      </w:pPr>
      <w:r>
        <w:rPr>
          <w:rFonts w:hint="eastAsia" w:ascii="宋体" w:hAnsi="宋体" w:eastAsia="宋体" w:cs="宋体"/>
          <w:b/>
          <w:color w:val="auto"/>
          <w:kern w:val="0"/>
          <w:szCs w:val="20"/>
          <w:highlight w:val="none"/>
        </w:rPr>
        <w:t>根据评分标准自行调整。</w:t>
      </w:r>
    </w:p>
    <w:bookmarkEnd w:id="181"/>
    <w:p>
      <w:pPr>
        <w:pStyle w:val="16"/>
        <w:jc w:val="center"/>
        <w:rPr>
          <w:rFonts w:hint="eastAsia" w:ascii="宋体" w:hAnsi="宋体" w:eastAsia="宋体" w:cs="宋体"/>
          <w:b/>
          <w:bCs/>
          <w:i w:val="0"/>
          <w:iCs w:val="0"/>
          <w:color w:val="auto"/>
          <w:sz w:val="36"/>
          <w:szCs w:val="24"/>
          <w:highlight w:val="none"/>
          <w:lang w:val="en-US" w:eastAsia="zh-CN"/>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4"/>
        <w:bidi w:val="0"/>
        <w:ind w:left="0" w:leftChars="0" w:right="0" w:rightChars="0" w:firstLine="0" w:firstLineChars="0"/>
        <w:jc w:val="center"/>
        <w:rPr>
          <w:rFonts w:hint="eastAsia" w:ascii="宋体" w:hAnsi="宋体" w:eastAsia="宋体"/>
          <w:color w:val="auto"/>
          <w:highlight w:val="none"/>
          <w:lang w:val="en-US" w:eastAsia="zh-CN"/>
        </w:rPr>
      </w:pPr>
      <w:bookmarkStart w:id="182" w:name="_Toc25412"/>
      <w:r>
        <w:rPr>
          <w:rFonts w:hint="eastAsia" w:ascii="宋体" w:hAnsi="宋体" w:eastAsia="宋体"/>
          <w:color w:val="auto"/>
          <w:highlight w:val="none"/>
          <w:lang w:val="en-US" w:eastAsia="zh-CN"/>
        </w:rPr>
        <w:t>资信技术文件目录</w:t>
      </w:r>
      <w:bookmarkEnd w:id="182"/>
    </w:p>
    <w:p>
      <w:pPr>
        <w:rPr>
          <w:rFonts w:hint="eastAsia" w:ascii="宋体" w:hAnsi="宋体" w:eastAsia="宋体" w:cs="宋体"/>
          <w:color w:val="auto"/>
          <w:highlight w:val="none"/>
          <w:lang w:val="en-US" w:eastAsia="zh-CN"/>
        </w:rPr>
      </w:pPr>
    </w:p>
    <w:p>
      <w:pPr>
        <w:numPr>
          <w:ilvl w:val="0"/>
          <w:numId w:val="45"/>
        </w:numPr>
        <w:ind w:left="0" w:leftChars="0" w:firstLine="480" w:firstLineChars="200"/>
        <w:rPr>
          <w:rFonts w:hint="eastAsia" w:ascii="宋体" w:hAnsi="宋体" w:eastAsia="宋体" w:cs="宋体"/>
          <w:color w:val="auto"/>
          <w:highlight w:val="none"/>
        </w:rPr>
      </w:pPr>
      <w:r>
        <w:rPr>
          <w:rFonts w:hint="eastAsia" w:cs="宋体"/>
          <w:color w:val="auto"/>
          <w:highlight w:val="none"/>
          <w:lang w:val="en-US" w:eastAsia="zh-CN"/>
        </w:rPr>
        <w:t xml:space="preserve"> </w:t>
      </w:r>
      <w:r>
        <w:rPr>
          <w:rFonts w:hint="eastAsia" w:ascii="宋体" w:hAnsi="宋体" w:eastAsia="宋体" w:cs="宋体"/>
          <w:color w:val="auto"/>
          <w:highlight w:val="none"/>
        </w:rPr>
        <w:t>提供有效的经营执照复印件；事业单位的，则提供有效的《事业单位法人证书》副本复印件章；自然人的，则提供有效的身份证复印件并签字；</w:t>
      </w:r>
      <w:r>
        <w:rPr>
          <w:rFonts w:hint="eastAsia" w:ascii="宋体" w:hAnsi="宋体" w:eastAsia="宋体" w:cs="宋体"/>
          <w:color w:val="auto"/>
          <w:kern w:val="0"/>
          <w:highlight w:val="none"/>
        </w:rPr>
        <w:t>…………………………（页码）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法定代表人资格证明书和法定代表人授权委托书</w:t>
      </w:r>
      <w:r>
        <w:rPr>
          <w:rFonts w:hint="eastAsia" w:ascii="宋体" w:hAnsi="宋体" w:eastAsia="宋体" w:cs="宋体"/>
          <w:color w:val="auto"/>
          <w:kern w:val="0"/>
          <w:highlight w:val="none"/>
        </w:rPr>
        <w:t>……………………………（页码）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投标声明书</w:t>
      </w:r>
      <w:r>
        <w:rPr>
          <w:rFonts w:hint="eastAsia" w:cs="宋体"/>
          <w:color w:val="auto"/>
          <w:highlight w:val="none"/>
          <w:lang w:val="en-US" w:eastAsia="zh-CN"/>
        </w:rPr>
        <w:t xml:space="preserve"> </w:t>
      </w:r>
      <w:r>
        <w:rPr>
          <w:rFonts w:hint="eastAsia" w:ascii="宋体" w:hAnsi="宋体" w:eastAsia="宋体" w:cs="宋体"/>
          <w:color w:val="auto"/>
          <w:kern w:val="0"/>
          <w:highlight w:val="none"/>
        </w:rPr>
        <w:t>………………………………………………………………………（页码）</w:t>
      </w:r>
    </w:p>
    <w:p>
      <w:pPr>
        <w:numPr>
          <w:ilvl w:val="0"/>
          <w:numId w:val="45"/>
        </w:numPr>
        <w:ind w:left="0" w:leftChars="0" w:firstLine="480" w:firstLineChars="200"/>
        <w:rPr>
          <w:rFonts w:hint="eastAsia" w:ascii="宋体" w:hAnsi="宋体" w:eastAsia="宋体" w:cs="宋体"/>
          <w:color w:val="auto"/>
          <w:highlight w:val="none"/>
        </w:rPr>
      </w:pPr>
      <w:r>
        <w:rPr>
          <w:rFonts w:hint="eastAsia" w:cs="宋体"/>
          <w:color w:val="auto"/>
          <w:highlight w:val="none"/>
          <w:lang w:val="en-US" w:eastAsia="zh-CN"/>
        </w:rPr>
        <w:t xml:space="preserve"> </w:t>
      </w:r>
      <w:r>
        <w:rPr>
          <w:rFonts w:hint="eastAsia" w:ascii="宋体" w:hAnsi="宋体" w:eastAsia="宋体" w:cs="宋体"/>
          <w:color w:val="auto"/>
          <w:highlight w:val="none"/>
        </w:rPr>
        <w:t>廉政承诺书</w:t>
      </w:r>
      <w:r>
        <w:rPr>
          <w:rFonts w:hint="eastAsia" w:cs="宋体"/>
          <w:color w:val="auto"/>
          <w:highlight w:val="none"/>
          <w:lang w:val="en-US" w:eastAsia="zh-CN"/>
        </w:rPr>
        <w:t xml:space="preserve"> </w:t>
      </w:r>
      <w:r>
        <w:rPr>
          <w:rFonts w:hint="eastAsia" w:ascii="宋体" w:hAnsi="宋体" w:eastAsia="宋体" w:cs="宋体"/>
          <w:color w:val="auto"/>
          <w:kern w:val="0"/>
          <w:highlight w:val="none"/>
        </w:rPr>
        <w:t>………………………………………………………………………（页码）</w:t>
      </w:r>
    </w:p>
    <w:p>
      <w:pPr>
        <w:numPr>
          <w:ilvl w:val="0"/>
          <w:numId w:val="45"/>
        </w:numPr>
        <w:ind w:left="0" w:leftChars="0" w:firstLine="480" w:firstLineChars="200"/>
        <w:rPr>
          <w:rFonts w:hint="eastAsia" w:ascii="宋体" w:hAnsi="宋体" w:eastAsia="宋体" w:cs="宋体"/>
          <w:color w:val="auto"/>
          <w:highlight w:val="none"/>
        </w:rPr>
      </w:pPr>
      <w:r>
        <w:rPr>
          <w:rFonts w:hint="eastAsia" w:cs="宋体"/>
          <w:color w:val="auto"/>
          <w:highlight w:val="none"/>
          <w:lang w:val="en-US" w:eastAsia="zh-CN"/>
        </w:rPr>
        <w:t xml:space="preserve"> </w:t>
      </w:r>
      <w:r>
        <w:rPr>
          <w:rFonts w:hint="eastAsia" w:ascii="宋体" w:hAnsi="宋体" w:eastAsia="宋体" w:cs="宋体"/>
          <w:color w:val="auto"/>
          <w:highlight w:val="none"/>
        </w:rPr>
        <w:t>投标人情况表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附营业执照、证书复印件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pPr>
        <w:numPr>
          <w:ilvl w:val="0"/>
          <w:numId w:val="45"/>
        </w:numPr>
        <w:ind w:left="0" w:leftChars="0" w:firstLine="480" w:firstLineChars="200"/>
        <w:rPr>
          <w:rFonts w:hint="eastAsia" w:ascii="宋体" w:hAnsi="宋体" w:eastAsia="宋体" w:cs="宋体"/>
          <w:color w:val="auto"/>
          <w:highlight w:val="none"/>
        </w:rPr>
      </w:pPr>
      <w:r>
        <w:rPr>
          <w:rFonts w:hint="eastAsia" w:cs="宋体"/>
          <w:color w:val="auto"/>
          <w:highlight w:val="none"/>
          <w:lang w:val="en-US" w:eastAsia="zh-CN"/>
        </w:rPr>
        <w:t xml:space="preserve"> </w:t>
      </w:r>
      <w:r>
        <w:rPr>
          <w:rFonts w:hint="eastAsia" w:ascii="宋体" w:hAnsi="宋体" w:eastAsia="宋体" w:cs="宋体"/>
          <w:color w:val="auto"/>
          <w:highlight w:val="none"/>
        </w:rPr>
        <w:t>同类项目实施情况一览表</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pPr>
        <w:numPr>
          <w:ilvl w:val="0"/>
          <w:numId w:val="45"/>
        </w:numPr>
        <w:ind w:left="0" w:leftChars="0" w:firstLine="480" w:firstLineChars="200"/>
        <w:rPr>
          <w:rFonts w:hint="eastAsia" w:ascii="宋体" w:hAnsi="宋体" w:eastAsia="宋体" w:cs="宋体"/>
          <w:color w:val="auto"/>
          <w:highlight w:val="none"/>
        </w:rPr>
      </w:pPr>
      <w:r>
        <w:rPr>
          <w:rFonts w:hint="eastAsia" w:cs="宋体"/>
          <w:color w:val="auto"/>
          <w:highlight w:val="none"/>
          <w:lang w:val="en-US" w:eastAsia="zh-CN"/>
        </w:rPr>
        <w:t xml:space="preserve"> </w:t>
      </w:r>
      <w:r>
        <w:rPr>
          <w:rFonts w:hint="eastAsia" w:ascii="宋体" w:hAnsi="宋体" w:eastAsia="宋体" w:cs="宋体"/>
          <w:color w:val="auto"/>
          <w:highlight w:val="none"/>
        </w:rPr>
        <w:t>技术规范偏离表…………………………………………………………………（页码）</w:t>
      </w:r>
    </w:p>
    <w:p>
      <w:pPr>
        <w:numPr>
          <w:ilvl w:val="0"/>
          <w:numId w:val="45"/>
        </w:numPr>
        <w:ind w:left="0" w:leftChars="0" w:firstLine="480" w:firstLineChars="200"/>
        <w:rPr>
          <w:rFonts w:hint="eastAsia" w:ascii="宋体" w:hAnsi="宋体" w:eastAsia="宋体" w:cs="宋体"/>
          <w:color w:val="auto"/>
          <w:highlight w:val="none"/>
        </w:rPr>
      </w:pPr>
      <w:r>
        <w:rPr>
          <w:rFonts w:hint="eastAsia" w:cs="宋体"/>
          <w:color w:val="auto"/>
          <w:highlight w:val="none"/>
          <w:lang w:val="en-US" w:eastAsia="zh-CN"/>
        </w:rPr>
        <w:t xml:space="preserve"> </w:t>
      </w:r>
      <w:r>
        <w:rPr>
          <w:rFonts w:hint="eastAsia" w:ascii="宋体" w:hAnsi="宋体" w:eastAsia="宋体" w:cs="宋体"/>
          <w:color w:val="auto"/>
          <w:highlight w:val="none"/>
          <w:lang w:eastAsia="zh-CN"/>
        </w:rPr>
        <w:t>商务要求</w:t>
      </w:r>
      <w:r>
        <w:rPr>
          <w:rFonts w:hint="eastAsia" w:ascii="宋体" w:hAnsi="宋体" w:eastAsia="宋体" w:cs="宋体"/>
          <w:color w:val="auto"/>
          <w:highlight w:val="none"/>
        </w:rPr>
        <w:t>偏离表…………………………………………………………………（页码）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项目实施方案………………………………………………………………………（页码）</w:t>
      </w:r>
    </w:p>
    <w:p>
      <w:pPr>
        <w:numPr>
          <w:ilvl w:val="0"/>
          <w:numId w:val="45"/>
        </w:numPr>
        <w:ind w:left="0" w:leftChars="0" w:firstLine="480" w:firstLineChars="200"/>
        <w:rPr>
          <w:rFonts w:hint="eastAsia" w:ascii="宋体" w:hAnsi="宋体" w:eastAsia="宋体" w:cs="宋体"/>
          <w:color w:val="auto"/>
          <w:highlight w:val="none"/>
        </w:rPr>
      </w:pPr>
      <w:r>
        <w:rPr>
          <w:rFonts w:hint="eastAsia" w:cs="宋体"/>
          <w:color w:val="auto"/>
          <w:highlight w:val="none"/>
          <w:lang w:val="en-US" w:eastAsia="zh-CN"/>
        </w:rPr>
        <w:t xml:space="preserve"> </w:t>
      </w:r>
      <w:r>
        <w:rPr>
          <w:rFonts w:hint="eastAsia" w:ascii="宋体" w:hAnsi="宋体" w:eastAsia="宋体" w:cs="宋体"/>
          <w:color w:val="auto"/>
          <w:highlight w:val="none"/>
          <w:lang w:eastAsia="zh-CN"/>
        </w:rPr>
        <w:t>产品认证证书</w:t>
      </w:r>
      <w:r>
        <w:rPr>
          <w:rFonts w:hint="eastAsia" w:ascii="宋体" w:hAnsi="宋体" w:eastAsia="宋体" w:cs="宋体"/>
          <w:color w:val="auto"/>
          <w:kern w:val="0"/>
          <w:highlight w:val="none"/>
        </w:rPr>
        <w:t>……………………………………………………………………（页码）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售后服务方案</w:t>
      </w:r>
      <w:r>
        <w:rPr>
          <w:rFonts w:hint="eastAsia" w:ascii="宋体" w:hAnsi="宋体" w:eastAsia="宋体" w:cs="宋体"/>
          <w:color w:val="auto"/>
          <w:kern w:val="0"/>
          <w:highlight w:val="none"/>
        </w:rPr>
        <w:t>………………………………………………………………………（页码）</w:t>
      </w:r>
    </w:p>
    <w:p>
      <w:pPr>
        <w:numPr>
          <w:ilvl w:val="0"/>
          <w:numId w:val="45"/>
        </w:numPr>
        <w:ind w:left="0" w:leftChars="0" w:firstLine="480" w:firstLineChars="200"/>
        <w:rPr>
          <w:rFonts w:hint="eastAsia"/>
          <w:color w:val="auto"/>
          <w:highlight w:val="none"/>
        </w:rPr>
      </w:pPr>
      <w:r>
        <w:rPr>
          <w:rFonts w:hint="eastAsia" w:ascii="宋体" w:hAnsi="宋体" w:eastAsia="宋体" w:cs="宋体"/>
          <w:color w:val="auto"/>
          <w:highlight w:val="none"/>
        </w:rPr>
        <w:t>政府采购政策分</w:t>
      </w:r>
      <w:r>
        <w:rPr>
          <w:rFonts w:hint="eastAsia" w:ascii="宋体" w:hAnsi="宋体" w:eastAsia="宋体" w:cs="宋体"/>
          <w:color w:val="auto"/>
          <w:kern w:val="0"/>
          <w:highlight w:val="none"/>
        </w:rPr>
        <w:t>……………………………………………………………………（页码）</w:t>
      </w:r>
    </w:p>
    <w:p>
      <w:pPr>
        <w:numPr>
          <w:ilvl w:val="0"/>
          <w:numId w:val="45"/>
        </w:numPr>
        <w:ind w:left="0" w:leftChars="0"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其他…………………………………………………………………………………（页码）</w:t>
      </w:r>
    </w:p>
    <w:p>
      <w:pPr>
        <w:pStyle w:val="48"/>
        <w:rPr>
          <w:rFonts w:hint="eastAsia" w:ascii="宋体" w:hAnsi="宋体" w:eastAsia="宋体" w:cs="宋体"/>
          <w:color w:val="auto"/>
          <w:highlight w:val="none"/>
        </w:rPr>
      </w:pPr>
      <w:r>
        <w:rPr>
          <w:rFonts w:hint="eastAsia" w:ascii="宋体" w:hAnsi="宋体" w:eastAsia="宋体" w:cs="宋体"/>
          <w:color w:val="auto"/>
          <w:highlight w:val="none"/>
        </w:rPr>
        <w:t>（根据评分标准及招标文件要求自行调整）</w:t>
      </w:r>
    </w:p>
    <w:p>
      <w:pPr>
        <w:pStyle w:val="49"/>
        <w:rPr>
          <w:rFonts w:hint="eastAsia" w:ascii="宋体" w:hAnsi="宋体" w:eastAsia="宋体" w:cs="宋体"/>
          <w:color w:val="auto"/>
          <w:highlight w:val="none"/>
        </w:rPr>
      </w:pPr>
    </w:p>
    <w:p>
      <w:pPr>
        <w:rPr>
          <w:rFonts w:hint="eastAsia"/>
          <w:color w:val="auto"/>
          <w:highlight w:val="none"/>
        </w:rPr>
      </w:pPr>
    </w:p>
    <w:sdt>
      <w:sdtPr>
        <w:rPr>
          <w:rFonts w:hint="eastAsia" w:ascii="宋体" w:hAnsi="宋体" w:eastAsia="宋体" w:cs="宋体"/>
          <w:color w:val="auto"/>
          <w:kern w:val="2"/>
          <w:sz w:val="21"/>
          <w:szCs w:val="24"/>
          <w:highlight w:val="none"/>
          <w:lang w:val="en-US" w:eastAsia="zh-CN" w:bidi="ar-SA"/>
        </w:rPr>
        <w:id w:val="147477178"/>
        <w:showingPlcHdr/>
        <w15:color w:val="DBDBDB"/>
      </w:sdtPr>
      <w:sdtEndPr>
        <w:rPr>
          <w:rFonts w:hint="eastAsia" w:ascii="宋体" w:hAnsi="宋体" w:eastAsia="宋体" w:cs="宋体"/>
          <w:color w:val="auto"/>
          <w:kern w:val="2"/>
          <w:sz w:val="21"/>
          <w:szCs w:val="22"/>
          <w:highlight w:val="none"/>
          <w:lang w:val="en-US" w:eastAsia="zh-CN" w:bidi="ar-SA"/>
        </w:rPr>
      </w:sdtEndPr>
      <w:sdtContent>
        <w:p>
          <w:pPr>
            <w:pStyle w:val="16"/>
            <w:ind w:left="0" w:leftChars="0" w:firstLine="0" w:firstLineChars="0"/>
            <w:rPr>
              <w:rFonts w:hint="eastAsia" w:ascii="宋体" w:hAnsi="宋体" w:eastAsia="宋体" w:cs="宋体"/>
              <w:color w:val="auto"/>
              <w:highlight w:val="none"/>
            </w:rPr>
          </w:pPr>
        </w:p>
      </w:sdtContent>
    </w:sdt>
    <w:p>
      <w:pPr>
        <w:ind w:firstLine="480"/>
        <w:rPr>
          <w:rFonts w:hint="eastAsia" w:ascii="宋体" w:hAnsi="宋体" w:eastAsia="宋体" w:cs="宋体"/>
          <w:iCs/>
          <w:color w:val="auto"/>
          <w:highlight w:val="none"/>
        </w:rPr>
      </w:pPr>
      <w:r>
        <w:rPr>
          <w:rFonts w:hint="eastAsia" w:ascii="宋体" w:hAnsi="宋体" w:eastAsia="宋体" w:cs="宋体"/>
          <w:iCs/>
          <w:color w:val="auto"/>
          <w:highlight w:val="none"/>
        </w:rPr>
        <w:br w:type="page"/>
      </w:r>
    </w:p>
    <w:p>
      <w:pPr>
        <w:pStyle w:val="5"/>
        <w:numPr>
          <w:ilvl w:val="0"/>
          <w:numId w:val="46"/>
        </w:numPr>
        <w:bidi w:val="0"/>
        <w:ind w:left="0" w:leftChars="0" w:firstLine="482" w:firstLineChars="200"/>
        <w:rPr>
          <w:rFonts w:hint="eastAsia"/>
          <w:color w:val="auto"/>
          <w:highlight w:val="none"/>
        </w:rPr>
      </w:pPr>
      <w:bookmarkStart w:id="183" w:name="_Toc23264"/>
      <w:r>
        <w:rPr>
          <w:rFonts w:hint="eastAsia"/>
          <w:color w:val="auto"/>
          <w:highlight w:val="none"/>
        </w:rPr>
        <w:t>法定代表人证明书，法定代表人授权书</w:t>
      </w:r>
    </w:p>
    <w:p>
      <w:pPr>
        <w:snapToGrid w:val="0"/>
        <w:ind w:left="0" w:leftChars="0" w:right="0" w:rightChars="0" w:firstLine="0" w:firstLineChars="0"/>
        <w:jc w:val="center"/>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法定代表人资格证明书</w:t>
      </w:r>
    </w:p>
    <w:p>
      <w:pPr>
        <w:ind w:firstLine="456"/>
        <w:rPr>
          <w:rFonts w:hint="eastAsia" w:ascii="宋体" w:hAnsi="宋体" w:eastAsia="宋体" w:cs="宋体"/>
          <w:bCs/>
          <w:color w:val="auto"/>
          <w:spacing w:val="-6"/>
          <w:highlight w:val="none"/>
        </w:rPr>
      </w:pP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致：</w:t>
      </w:r>
      <w:r>
        <w:rPr>
          <w:rFonts w:hint="eastAsia" w:cs="宋体"/>
          <w:color w:val="auto"/>
          <w:spacing w:val="-6"/>
          <w:highlight w:val="none"/>
          <w:u w:val="single"/>
          <w:lang w:eastAsia="zh-CN"/>
        </w:rPr>
        <w:t>庵东镇教育办公室</w:t>
      </w:r>
      <w:r>
        <w:rPr>
          <w:rFonts w:hint="eastAsia" w:ascii="宋体" w:hAnsi="宋体" w:eastAsia="宋体" w:cs="宋体"/>
          <w:color w:val="auto"/>
          <w:spacing w:val="-6"/>
          <w:highlight w:val="none"/>
          <w:u w:val="single"/>
        </w:rPr>
        <w:t>、浙江五石工程咨询有限公司</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我</w:t>
      </w:r>
      <w:r>
        <w:rPr>
          <w:rFonts w:hint="eastAsia" w:ascii="宋体" w:hAnsi="宋体" w:eastAsia="宋体" w:cs="宋体"/>
          <w:color w:val="auto"/>
          <w:spacing w:val="-6"/>
          <w:highlight w:val="none"/>
        </w:rPr>
        <w:t>________________</w:t>
      </w:r>
      <w:r>
        <w:rPr>
          <w:rFonts w:hint="eastAsia" w:ascii="宋体" w:hAnsi="宋体" w:eastAsia="宋体" w:cs="宋体"/>
          <w:bCs/>
          <w:color w:val="auto"/>
          <w:spacing w:val="-6"/>
          <w:highlight w:val="none"/>
        </w:rPr>
        <w:t>（姓名）系_________________________投标人名称）的法定代表人，身份证号码：_________________________________。</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特此证明。</w:t>
      </w:r>
    </w:p>
    <w:p>
      <w:pPr>
        <w:ind w:firstLine="456"/>
        <w:rPr>
          <w:rFonts w:hint="eastAsia" w:ascii="宋体" w:hAnsi="宋体" w:eastAsia="宋体" w:cs="宋体"/>
          <w:bCs/>
          <w:color w:val="auto"/>
          <w:spacing w:val="-6"/>
          <w:highlight w:val="none"/>
        </w:rPr>
      </w:pPr>
    </w:p>
    <w:tbl>
      <w:tblPr>
        <w:tblStyle w:val="4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法定代表人身份证：</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复印件粘贴处</w:t>
            </w:r>
          </w:p>
          <w:p>
            <w:pPr>
              <w:ind w:firstLine="456"/>
              <w:rPr>
                <w:rFonts w:hint="eastAsia" w:ascii="宋体" w:hAnsi="宋体" w:eastAsia="宋体" w:cs="宋体"/>
                <w:bCs/>
                <w:color w:val="auto"/>
                <w:spacing w:val="-6"/>
                <w:highlight w:val="none"/>
              </w:rPr>
            </w:pPr>
          </w:p>
        </w:tc>
      </w:tr>
    </w:tbl>
    <w:p>
      <w:pPr>
        <w:ind w:firstLine="456"/>
        <w:rPr>
          <w:rFonts w:hint="eastAsia" w:ascii="宋体" w:hAnsi="宋体" w:eastAsia="宋体" w:cs="宋体"/>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right="456" w:firstLine="456"/>
        <w:rPr>
          <w:rFonts w:hint="eastAsia" w:ascii="宋体" w:hAnsi="宋体" w:eastAsia="宋体" w:cs="宋体"/>
          <w:bCs/>
          <w:color w:val="auto"/>
          <w:spacing w:val="-6"/>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snapToGrid w:val="0"/>
        <w:ind w:left="0" w:leftChars="0" w:right="0" w:rightChars="0" w:firstLine="0" w:firstLineChars="0"/>
        <w:jc w:val="center"/>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法定代表人授权书</w:t>
      </w:r>
    </w:p>
    <w:p>
      <w:pPr>
        <w:bidi w:val="0"/>
        <w:rPr>
          <w:rFonts w:hint="eastAsia"/>
          <w:color w:val="auto"/>
          <w:highlight w:val="none"/>
        </w:rPr>
      </w:pPr>
    </w:p>
    <w:p>
      <w:pPr>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cs="宋体"/>
          <w:color w:val="auto"/>
          <w:spacing w:val="-6"/>
          <w:highlight w:val="none"/>
          <w:u w:val="single"/>
          <w:lang w:eastAsia="zh-CN"/>
        </w:rPr>
        <w:t>庵东镇教育办公室</w:t>
      </w:r>
      <w:r>
        <w:rPr>
          <w:rFonts w:hint="eastAsia" w:ascii="宋体" w:hAnsi="宋体" w:eastAsia="宋体" w:cs="宋体"/>
          <w:color w:val="auto"/>
          <w:spacing w:val="-6"/>
          <w:highlight w:val="none"/>
          <w:u w:val="single"/>
        </w:rPr>
        <w:t>、浙江五石工程咨询有限公司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（投标人全称）法定代表人</w:t>
      </w:r>
      <w:r>
        <w:rPr>
          <w:rFonts w:hint="eastAsia" w:ascii="宋体" w:hAnsi="宋体" w:eastAsia="宋体" w:cs="宋体"/>
          <w:color w:val="auto"/>
          <w:highlight w:val="none"/>
          <w:u w:val="singl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（全权代表姓名、职务）为全权代表，参加贵方组织的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项目（招标编号）采购活动，全权处理采购活动中的一切事宜。</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日签署生效，特此声明。</w:t>
      </w:r>
    </w:p>
    <w:p>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附授权委托人身份证复印件正反面及社保证明。</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法定代表人（签字或签章）：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全权代表姓名（签字或盖章）：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职        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详细通讯地址：</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邮 政  编 码：</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传        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移 动  电 话：</w:t>
      </w:r>
    </w:p>
    <w:p>
      <w:pPr>
        <w:ind w:firstLine="0" w:firstLineChars="0"/>
        <w:rPr>
          <w:rFonts w:hint="eastAsia" w:ascii="宋体" w:hAnsi="宋体" w:eastAsia="宋体" w:cs="宋体"/>
          <w:color w:val="auto"/>
          <w:spacing w:val="6"/>
          <w:highlight w:val="none"/>
        </w:rPr>
      </w:pPr>
    </w:p>
    <w:p>
      <w:pPr>
        <w:ind w:firstLine="0" w:firstLineChars="0"/>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pStyle w:val="21"/>
        <w:spacing w:before="120" w:after="12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一、法定代表人参加投标的，须在投标文件中提供：法定代表人资格证明书；</w:t>
      </w:r>
    </w:p>
    <w:p>
      <w:pPr>
        <w:pStyle w:val="21"/>
        <w:spacing w:before="120" w:after="12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二、</w:t>
      </w:r>
      <w:r>
        <w:rPr>
          <w:rFonts w:hint="eastAsia" w:hAnsi="宋体" w:cs="宋体"/>
          <w:color w:val="auto"/>
          <w:sz w:val="24"/>
          <w:szCs w:val="24"/>
          <w:highlight w:val="none"/>
          <w:lang w:eastAsia="zh-CN"/>
        </w:rPr>
        <w:t>★</w:t>
      </w:r>
      <w:r>
        <w:rPr>
          <w:rFonts w:hint="eastAsia" w:ascii="宋体" w:hAnsi="宋体" w:eastAsia="宋体" w:cs="宋体"/>
          <w:b/>
          <w:color w:val="auto"/>
          <w:spacing w:val="-6"/>
          <w:sz w:val="24"/>
          <w:szCs w:val="24"/>
          <w:highlight w:val="none"/>
        </w:rPr>
        <w:t>法定代表人委托授权代表参加投标，须在投标文件中提供：法定代表人资格证明书和法定代表人授权委托书及社保缴纳证明。</w:t>
      </w:r>
    </w:p>
    <w:p>
      <w:pPr>
        <w:snapToGrid w:val="0"/>
        <w:ind w:left="0" w:leftChars="0" w:firstLine="0" w:firstLineChars="0"/>
        <w:rPr>
          <w:rFonts w:hint="default" w:ascii="宋体" w:hAnsi="宋体" w:eastAsia="宋体" w:cs="宋体"/>
          <w:color w:val="auto"/>
          <w:highlight w:val="none"/>
          <w:lang w:val="en-US" w:eastAsia="zh-CN"/>
        </w:rPr>
      </w:pPr>
      <w:r>
        <w:rPr>
          <w:rFonts w:hint="eastAsia" w:ascii="宋体" w:hAnsi="宋体" w:eastAsia="宋体" w:cs="宋体"/>
          <w:b/>
          <w:color w:val="auto"/>
          <w:spacing w:val="-6"/>
          <w:kern w:val="2"/>
          <w:highlight w:val="none"/>
        </w:rPr>
        <w:t>三、</w:t>
      </w:r>
      <w:r>
        <w:rPr>
          <w:rFonts w:hint="eastAsia" w:cs="宋体"/>
          <w:color w:val="auto"/>
          <w:highlight w:val="none"/>
          <w:lang w:eastAsia="zh-CN"/>
        </w:rPr>
        <w:t>★</w:t>
      </w:r>
      <w:r>
        <w:rPr>
          <w:rFonts w:hint="eastAsia" w:ascii="宋体" w:hAnsi="宋体" w:eastAsia="宋体" w:cs="宋体"/>
          <w:b/>
          <w:color w:val="auto"/>
          <w:spacing w:val="-6"/>
          <w:kern w:val="2"/>
          <w:highlight w:val="none"/>
        </w:rPr>
        <w:t>投标人授权代表必须为投标人本单位在职职工，并提供近一年任意一月社保缴纳证明。</w:t>
      </w:r>
    </w:p>
    <w:p>
      <w:pPr>
        <w:pStyle w:val="48"/>
        <w:rPr>
          <w:rFonts w:hint="eastAsia" w:ascii="宋体" w:hAnsi="宋体" w:eastAsia="宋体" w:cs="宋体"/>
          <w:color w:val="auto"/>
          <w:sz w:val="30"/>
          <w:szCs w:val="30"/>
          <w:highlight w:val="none"/>
        </w:rPr>
      </w:pPr>
    </w:p>
    <w:p>
      <w:pPr>
        <w:pStyle w:val="48"/>
        <w:rPr>
          <w:rFonts w:hint="eastAsia" w:ascii="宋体" w:hAnsi="宋体" w:eastAsia="宋体" w:cs="宋体"/>
          <w:color w:val="auto"/>
          <w:sz w:val="30"/>
          <w:szCs w:val="30"/>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5"/>
        <w:numPr>
          <w:ilvl w:val="0"/>
          <w:numId w:val="46"/>
        </w:numPr>
        <w:bidi w:val="0"/>
        <w:ind w:left="0" w:leftChars="0" w:firstLine="482" w:firstLineChars="200"/>
        <w:rPr>
          <w:rFonts w:hint="eastAsia"/>
          <w:color w:val="auto"/>
          <w:highlight w:val="none"/>
        </w:rPr>
      </w:pPr>
      <w:r>
        <w:rPr>
          <w:rFonts w:hint="eastAsia"/>
          <w:color w:val="auto"/>
          <w:highlight w:val="none"/>
        </w:rPr>
        <w:t>投标声明书</w:t>
      </w:r>
      <w:bookmarkEnd w:id="183"/>
    </w:p>
    <w:p>
      <w:pPr>
        <w:snapToGrid w:val="0"/>
        <w:ind w:left="0" w:leftChars="0" w:right="0" w:rightChars="0" w:firstLine="0" w:firstLineChars="0"/>
        <w:jc w:val="center"/>
        <w:rPr>
          <w:rFonts w:hint="eastAsia" w:ascii="宋体" w:hAnsi="宋体" w:eastAsia="宋体" w:cs="宋体"/>
          <w:b/>
          <w:color w:val="auto"/>
          <w:kern w:val="0"/>
          <w:sz w:val="32"/>
          <w:highlight w:val="none"/>
        </w:rPr>
      </w:pPr>
      <w:bookmarkStart w:id="184" w:name="_Toc29771"/>
      <w:r>
        <w:rPr>
          <w:rFonts w:hint="eastAsia" w:ascii="宋体" w:hAnsi="宋体" w:eastAsia="宋体" w:cs="宋体"/>
          <w:b/>
          <w:color w:val="auto"/>
          <w:kern w:val="0"/>
          <w:sz w:val="32"/>
          <w:highlight w:val="none"/>
        </w:rPr>
        <w:t>投标声明书</w:t>
      </w:r>
      <w:bookmarkEnd w:id="184"/>
    </w:p>
    <w:p>
      <w:pPr>
        <w:snapToGrid w:val="0"/>
        <w:ind w:firstLine="0" w:firstLineChars="0"/>
        <w:rPr>
          <w:rFonts w:hint="eastAsia" w:ascii="宋体" w:hAnsi="宋体" w:eastAsia="宋体" w:cs="宋体"/>
          <w:color w:val="auto"/>
          <w:highlight w:val="none"/>
        </w:rPr>
      </w:pPr>
    </w:p>
    <w:p>
      <w:pPr>
        <w:snapToGrid w:val="0"/>
        <w:ind w:firstLine="0" w:firstLineChars="0"/>
        <w:rPr>
          <w:rFonts w:hint="eastAsia" w:ascii="宋体" w:hAnsi="宋体" w:eastAsia="宋体" w:cs="宋体"/>
          <w:color w:val="auto"/>
          <w:highlight w:val="none"/>
        </w:rPr>
      </w:pPr>
      <w:r>
        <w:rPr>
          <w:rFonts w:hint="eastAsia" w:cs="宋体"/>
          <w:color w:val="auto"/>
          <w:highlight w:val="none"/>
          <w:lang w:eastAsia="zh-CN"/>
        </w:rPr>
        <w:t>庵东镇教育办公室</w:t>
      </w:r>
      <w:r>
        <w:rPr>
          <w:rFonts w:hint="eastAsia" w:ascii="宋体" w:hAnsi="宋体" w:eastAsia="宋体" w:cs="宋体"/>
          <w:color w:val="auto"/>
          <w:highlight w:val="none"/>
        </w:rPr>
        <w:t>、浙江五石工程咨询有限公司：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kern w:val="0"/>
          <w:highlight w:val="none"/>
          <w:lang w:val="zh-CN"/>
        </w:rPr>
        <w:t>我公司</w:t>
      </w:r>
      <w:r>
        <w:rPr>
          <w:rFonts w:hint="eastAsia" w:ascii="宋体" w:hAnsi="宋体" w:eastAsia="宋体" w:cs="宋体"/>
          <w:color w:val="auto"/>
          <w:highlight w:val="none"/>
        </w:rPr>
        <w:t>声明截止投标时间近三年以来，在</w:t>
      </w:r>
      <w:r>
        <w:rPr>
          <w:rFonts w:hint="eastAsia" w:ascii="宋体" w:hAnsi="宋体" w:eastAsia="宋体" w:cs="宋体"/>
          <w:color w:val="auto"/>
          <w:kern w:val="0"/>
          <w:highlight w:val="none"/>
        </w:rPr>
        <w:t>政府采购领域中</w:t>
      </w:r>
      <w:r>
        <w:rPr>
          <w:rFonts w:hint="eastAsia" w:ascii="宋体" w:hAnsi="宋体" w:eastAsia="宋体" w:cs="宋体"/>
          <w:color w:val="auto"/>
          <w:highlight w:val="none"/>
        </w:rPr>
        <w:t>，在项目招标、投标和合同履约期间无任何不良行为记录和违法、违规行为</w:t>
      </w:r>
      <w:r>
        <w:rPr>
          <w:rFonts w:hint="eastAsia" w:ascii="宋体" w:hAnsi="宋体" w:eastAsia="宋体" w:cs="宋体"/>
          <w:color w:val="auto"/>
          <w:kern w:val="0"/>
          <w:highlight w:val="none"/>
          <w:lang w:val="zh-CN"/>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我公司自愿参加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]的投标，并保证投标文件中所列举的投标报价文件及相关资料和公司基本情况资料是真实的、合法的。</w:t>
      </w:r>
    </w:p>
    <w:p>
      <w:pPr>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hint="eastAsia" w:ascii="宋体" w:hAnsi="宋体" w:eastAsia="宋体" w:cs="宋体"/>
          <w:color w:val="auto"/>
          <w:highlight w:val="none"/>
        </w:rPr>
      </w:pPr>
      <w:r>
        <w:rPr>
          <w:rFonts w:hint="eastAsia" w:ascii="宋体" w:hAnsi="宋体" w:eastAsia="宋体" w:cs="宋体"/>
          <w:color w:val="auto"/>
          <w:kern w:val="0"/>
          <w:highlight w:val="none"/>
          <w:lang w:val="zh-CN"/>
        </w:rPr>
        <w:t>我公司理解并接受招标文件的各项规定和要求，同意此次招标文件中的各项内容，</w:t>
      </w:r>
      <w:r>
        <w:rPr>
          <w:rFonts w:hint="eastAsia" w:ascii="宋体" w:hAnsi="宋体" w:eastAsia="宋体" w:cs="宋体"/>
          <w:color w:val="auto"/>
          <w:kern w:val="0"/>
          <w:highlight w:val="none"/>
        </w:rPr>
        <w:t>并</w:t>
      </w:r>
      <w:r>
        <w:rPr>
          <w:rFonts w:hint="eastAsia" w:ascii="宋体" w:hAnsi="宋体" w:eastAsia="宋体" w:cs="宋体"/>
          <w:color w:val="auto"/>
          <w:kern w:val="0"/>
          <w:highlight w:val="none"/>
          <w:lang w:val="zh-CN"/>
        </w:rPr>
        <w:t>同意提供按照贵方可能要求的与投标有关的一切数据或资料等。</w:t>
      </w:r>
    </w:p>
    <w:p>
      <w:pPr>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本公司如中标，保证按照投标文件的承诺与贵方签订合同，保证履行合同条款并缴纳履约保证金。</w:t>
      </w:r>
    </w:p>
    <w:p>
      <w:pPr>
        <w:pStyle w:val="48"/>
        <w:rPr>
          <w:rFonts w:hint="eastAsia" w:ascii="宋体" w:hAnsi="宋体" w:eastAsia="宋体" w:cs="宋体"/>
          <w:color w:val="auto"/>
          <w:highlight w:val="none"/>
          <w:lang w:val="zh-CN"/>
        </w:rPr>
      </w:pPr>
    </w:p>
    <w:p>
      <w:pPr>
        <w:pStyle w:val="48"/>
        <w:rPr>
          <w:rFonts w:hint="eastAsia" w:ascii="宋体" w:hAnsi="宋体" w:eastAsia="宋体" w:cs="宋体"/>
          <w:color w:val="auto"/>
          <w:highlight w:val="none"/>
          <w:lang w:val="zh-CN"/>
        </w:rPr>
      </w:pPr>
    </w:p>
    <w:p>
      <w:pPr>
        <w:pStyle w:val="48"/>
        <w:rPr>
          <w:rFonts w:hint="eastAsia" w:ascii="宋体" w:hAnsi="宋体" w:eastAsia="宋体" w:cs="宋体"/>
          <w:color w:val="auto"/>
          <w:highlight w:val="none"/>
          <w:lang w:val="zh-CN"/>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48"/>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48"/>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5"/>
        <w:numPr>
          <w:ilvl w:val="0"/>
          <w:numId w:val="46"/>
        </w:numPr>
        <w:bidi w:val="0"/>
        <w:ind w:left="0" w:leftChars="0" w:firstLine="482" w:firstLineChars="200"/>
        <w:rPr>
          <w:rFonts w:hint="eastAsia"/>
          <w:color w:val="auto"/>
          <w:highlight w:val="none"/>
        </w:rPr>
      </w:pPr>
      <w:bookmarkStart w:id="185" w:name="_Toc9927"/>
      <w:r>
        <w:rPr>
          <w:rFonts w:hint="eastAsia"/>
          <w:color w:val="auto"/>
          <w:highlight w:val="none"/>
        </w:rPr>
        <w:t>廉政承诺书</w:t>
      </w:r>
      <w:bookmarkEnd w:id="185"/>
    </w:p>
    <w:p>
      <w:pPr>
        <w:snapToGrid w:val="0"/>
        <w:ind w:left="0" w:leftChars="0" w:right="0" w:rightChars="0" w:firstLine="0" w:firstLineChars="0"/>
        <w:jc w:val="center"/>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廉政承诺书</w:t>
      </w:r>
    </w:p>
    <w:p>
      <w:pPr>
        <w:bidi w:val="0"/>
        <w:rPr>
          <w:rFonts w:hint="eastAsia"/>
          <w:color w:val="auto"/>
          <w:highlight w:val="none"/>
        </w:rPr>
      </w:pPr>
    </w:p>
    <w:p>
      <w:pPr>
        <w:bidi w:val="0"/>
        <w:ind w:left="0" w:leftChars="0" w:firstLine="0" w:firstLineChars="0"/>
        <w:rPr>
          <w:rFonts w:hint="eastAsia"/>
          <w:color w:val="auto"/>
          <w:highlight w:val="none"/>
        </w:rPr>
      </w:pPr>
      <w:r>
        <w:rPr>
          <w:rFonts w:hint="eastAsia"/>
          <w:color w:val="auto"/>
          <w:highlight w:val="none"/>
          <w:lang w:eastAsia="zh-CN"/>
        </w:rPr>
        <w:t>庵东镇教育办公室</w:t>
      </w:r>
      <w:r>
        <w:rPr>
          <w:rFonts w:hint="eastAsia"/>
          <w:color w:val="auto"/>
          <w:highlight w:val="none"/>
        </w:rPr>
        <w:t>：</w:t>
      </w:r>
    </w:p>
    <w:p>
      <w:pPr>
        <w:bidi w:val="0"/>
        <w:rPr>
          <w:rFonts w:hint="eastAsia"/>
          <w:color w:val="auto"/>
          <w:highlight w:val="none"/>
        </w:rPr>
      </w:pPr>
      <w:r>
        <w:rPr>
          <w:rFonts w:hint="eastAsia"/>
          <w:color w:val="auto"/>
          <w:highlight w:val="none"/>
        </w:rPr>
        <w:t xml:space="preserve">我单位响应你单位项目招标要求参加投标。在这次投标过程中和中标后，我们将严格遵守国家法律法规要求，并郑重承诺： </w:t>
      </w:r>
    </w:p>
    <w:p>
      <w:pPr>
        <w:bidi w:val="0"/>
        <w:rPr>
          <w:rFonts w:hint="eastAsia"/>
          <w:color w:val="auto"/>
          <w:highlight w:val="none"/>
        </w:rPr>
      </w:pPr>
      <w:r>
        <w:rPr>
          <w:rFonts w:hint="eastAsia"/>
          <w:color w:val="auto"/>
          <w:highlight w:val="none"/>
        </w:rPr>
        <w:t>一、不向项目有关人员及部门赠送礼金礼物、有价证券、回扣以及中介费、介绍费、咨询费等好处费；</w:t>
      </w:r>
    </w:p>
    <w:p>
      <w:pPr>
        <w:bidi w:val="0"/>
        <w:rPr>
          <w:rFonts w:hint="eastAsia"/>
          <w:color w:val="auto"/>
          <w:highlight w:val="none"/>
        </w:rPr>
      </w:pPr>
      <w:r>
        <w:rPr>
          <w:rFonts w:hint="eastAsia"/>
          <w:color w:val="auto"/>
          <w:highlight w:val="none"/>
        </w:rPr>
        <w:t>二、不为项目有关人员及部门报销应由你方单位或个人支付的费用；</w:t>
      </w:r>
    </w:p>
    <w:p>
      <w:pPr>
        <w:bidi w:val="0"/>
        <w:rPr>
          <w:rFonts w:hint="eastAsia"/>
          <w:color w:val="auto"/>
          <w:highlight w:val="none"/>
        </w:rPr>
      </w:pPr>
      <w:r>
        <w:rPr>
          <w:rFonts w:hint="eastAsia"/>
          <w:color w:val="auto"/>
          <w:highlight w:val="none"/>
        </w:rPr>
        <w:t>三、不向项目有关人员及部门提供有可能影响公正的宴请和健身娱乐等活动；</w:t>
      </w:r>
    </w:p>
    <w:p>
      <w:pPr>
        <w:bidi w:val="0"/>
        <w:rPr>
          <w:rFonts w:hint="eastAsia"/>
          <w:color w:val="auto"/>
          <w:highlight w:val="none"/>
        </w:rPr>
      </w:pPr>
      <w:r>
        <w:rPr>
          <w:rFonts w:hint="eastAsia"/>
          <w:color w:val="auto"/>
          <w:highlight w:val="none"/>
        </w:rPr>
        <w:t>四、不为项目有关人员及部门出国（境）、旅游等提供方便；</w:t>
      </w:r>
    </w:p>
    <w:p>
      <w:pPr>
        <w:bidi w:val="0"/>
        <w:rPr>
          <w:rFonts w:hint="eastAsia"/>
          <w:color w:val="auto"/>
          <w:highlight w:val="none"/>
        </w:rPr>
      </w:pPr>
      <w:r>
        <w:rPr>
          <w:rFonts w:hint="eastAsia"/>
          <w:color w:val="auto"/>
          <w:highlight w:val="none"/>
        </w:rPr>
        <w:t>五、不为项目有关人员个人装修住房、婚丧嫁娶、配偶子女工作安排等提供好处；</w:t>
      </w:r>
    </w:p>
    <w:p>
      <w:pPr>
        <w:bidi w:val="0"/>
        <w:rPr>
          <w:rFonts w:hint="eastAsia"/>
          <w:color w:val="auto"/>
          <w:highlight w:val="none"/>
        </w:rPr>
      </w:pPr>
      <w:r>
        <w:rPr>
          <w:rFonts w:hint="eastAsia"/>
          <w:color w:val="auto"/>
          <w:highlight w:val="none"/>
        </w:rPr>
        <w:t>六、严格遵守《政府采购法》、《中华人民共和国民法典》等法律，诚实守信，合法经营，坚决抵制各种违法违纪行为。</w:t>
      </w:r>
    </w:p>
    <w:p>
      <w:pPr>
        <w:bidi w:val="0"/>
        <w:rPr>
          <w:rFonts w:hint="eastAsia"/>
          <w:color w:val="auto"/>
          <w:highlight w:val="none"/>
        </w:rPr>
      </w:pPr>
      <w:r>
        <w:rPr>
          <w:rFonts w:hint="eastAsia"/>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48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jc w:val="left"/>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228" w:firstLineChars="95"/>
        <w:jc w:val="left"/>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5"/>
        <w:numPr>
          <w:ilvl w:val="0"/>
          <w:numId w:val="46"/>
        </w:numPr>
        <w:bidi w:val="0"/>
        <w:ind w:left="0" w:leftChars="0" w:firstLine="482" w:firstLineChars="200"/>
        <w:rPr>
          <w:rFonts w:hint="eastAsia"/>
          <w:color w:val="auto"/>
          <w:highlight w:val="none"/>
        </w:rPr>
      </w:pPr>
      <w:bookmarkStart w:id="186" w:name="_Toc12230"/>
      <w:r>
        <w:rPr>
          <w:rFonts w:hint="eastAsia"/>
          <w:color w:val="auto"/>
          <w:highlight w:val="none"/>
        </w:rPr>
        <w:t>投标人情况表</w:t>
      </w:r>
      <w:bookmarkEnd w:id="186"/>
    </w:p>
    <w:p>
      <w:pPr>
        <w:spacing w:line="240" w:lineRule="auto"/>
        <w:ind w:left="0" w:leftChars="0" w:right="0" w:rightChars="0" w:firstLine="0" w:firstLineChars="0"/>
        <w:jc w:val="center"/>
        <w:rPr>
          <w:rFonts w:hint="eastAsia" w:ascii="宋体" w:hAnsi="宋体" w:eastAsia="宋体" w:cs="宋体"/>
          <w:color w:val="auto"/>
          <w:sz w:val="28"/>
          <w:highlight w:val="none"/>
          <w:lang w:eastAsia="zh-CN"/>
        </w:rPr>
      </w:pPr>
      <w:r>
        <w:rPr>
          <w:rFonts w:hint="eastAsia" w:ascii="宋体" w:hAnsi="宋体" w:eastAsia="宋体" w:cs="宋体"/>
          <w:b/>
          <w:color w:val="auto"/>
          <w:kern w:val="0"/>
          <w:sz w:val="32"/>
          <w:highlight w:val="none"/>
          <w:lang w:eastAsia="zh-CN"/>
        </w:rPr>
        <w:t>投标人情况表</w:t>
      </w:r>
    </w:p>
    <w:p>
      <w:pPr>
        <w:bidi w:val="0"/>
        <w:rPr>
          <w:rFonts w:hint="eastAsia"/>
          <w:color w:val="auto"/>
          <w:highlight w:val="none"/>
        </w:rPr>
      </w:pPr>
    </w:p>
    <w:tbl>
      <w:tblPr>
        <w:tblStyle w:val="46"/>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w:t>
            </w:r>
          </w:p>
        </w:tc>
        <w:tc>
          <w:tcPr>
            <w:tcW w:w="430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电话：</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w:t>
            </w:r>
          </w:p>
        </w:tc>
        <w:tc>
          <w:tcPr>
            <w:tcW w:w="430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传真：</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6</w:t>
            </w:r>
          </w:p>
        </w:tc>
        <w:tc>
          <w:tcPr>
            <w:tcW w:w="430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注册地：</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7</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8</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9</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其他需要说明的情况</w:t>
            </w:r>
          </w:p>
        </w:tc>
        <w:tc>
          <w:tcPr>
            <w:tcW w:w="634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p>
        </w:tc>
      </w:tr>
    </w:tbl>
    <w:p>
      <w:pPr>
        <w:spacing w:line="240" w:lineRule="auto"/>
        <w:ind w:firstLine="0" w:firstLineChars="0"/>
        <w:rPr>
          <w:rFonts w:hint="eastAsia" w:ascii="宋体" w:hAnsi="宋体" w:eastAsia="宋体" w:cs="宋体"/>
          <w:i/>
          <w:color w:val="auto"/>
          <w:sz w:val="22"/>
          <w:szCs w:val="22"/>
          <w:highlight w:val="none"/>
        </w:rPr>
      </w:pPr>
    </w:p>
    <w:p>
      <w:pPr>
        <w:spacing w:line="240" w:lineRule="auto"/>
        <w:ind w:firstLine="48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应附上加盖公章的营业执照副本、相关资质、各资信类证书、认证体系证书等的清晰复印件。</w:t>
      </w:r>
    </w:p>
    <w:p>
      <w:pPr>
        <w:pStyle w:val="16"/>
        <w:rPr>
          <w:rFonts w:hint="eastAsia" w:ascii="宋体" w:hAnsi="宋体" w:eastAsia="宋体" w:cs="宋体"/>
          <w:color w:val="auto"/>
          <w:highlight w:val="none"/>
        </w:rPr>
      </w:pPr>
    </w:p>
    <w:p>
      <w:pPr>
        <w:spacing w:line="240" w:lineRule="auto"/>
        <w:ind w:firstLine="480"/>
        <w:rPr>
          <w:rFonts w:hint="eastAsia" w:ascii="宋体" w:hAnsi="宋体" w:eastAsia="宋体" w:cs="宋体"/>
          <w:snapToGrid w:val="0"/>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5"/>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bookmarkStart w:id="187" w:name="_Toc7524"/>
    </w:p>
    <w:p>
      <w:pPr>
        <w:pStyle w:val="5"/>
        <w:numPr>
          <w:ilvl w:val="0"/>
          <w:numId w:val="46"/>
        </w:numPr>
        <w:ind w:left="0" w:leftChars="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同类项目实施情况一览表</w:t>
      </w:r>
      <w:bookmarkEnd w:id="187"/>
    </w:p>
    <w:p>
      <w:pPr>
        <w:spacing w:line="240" w:lineRule="auto"/>
        <w:ind w:left="0" w:leftChars="0" w:right="0" w:rightChars="0" w:firstLine="0" w:firstLineChars="0"/>
        <w:jc w:val="center"/>
        <w:rPr>
          <w:rFonts w:hint="eastAsia" w:ascii="宋体" w:hAnsi="宋体" w:eastAsia="宋体" w:cs="宋体"/>
          <w:b/>
          <w:color w:val="auto"/>
          <w:kern w:val="0"/>
          <w:sz w:val="32"/>
          <w:highlight w:val="none"/>
          <w:lang w:eastAsia="zh-CN"/>
        </w:rPr>
      </w:pPr>
      <w:r>
        <w:rPr>
          <w:rFonts w:hint="eastAsia" w:ascii="宋体" w:hAnsi="宋体" w:eastAsia="宋体" w:cs="宋体"/>
          <w:b/>
          <w:color w:val="auto"/>
          <w:kern w:val="0"/>
          <w:sz w:val="32"/>
          <w:highlight w:val="none"/>
          <w:lang w:eastAsia="zh-CN"/>
        </w:rPr>
        <w:t>同类项目实施情况一览表</w:t>
      </w:r>
    </w:p>
    <w:p>
      <w:pPr>
        <w:bidi w:val="0"/>
        <w:rPr>
          <w:rFonts w:hint="eastAsia"/>
          <w:color w:val="auto"/>
          <w:highlight w:val="none"/>
        </w:rPr>
      </w:pPr>
    </w:p>
    <w:p>
      <w:pPr>
        <w:ind w:firstLine="0" w:firstLineChars="0"/>
        <w:rPr>
          <w:rFonts w:hint="eastAsia" w:ascii="宋体" w:hAnsi="宋体" w:eastAsia="宋体" w:cs="宋体"/>
          <w:b/>
          <w:bCs/>
          <w:color w:val="auto"/>
          <w:highlight w:val="none"/>
          <w:lang w:val="zh-CN"/>
        </w:rPr>
      </w:pPr>
      <w:r>
        <w:rPr>
          <w:rFonts w:hint="eastAsia" w:ascii="宋体" w:hAnsi="宋体" w:eastAsia="宋体" w:cs="宋体"/>
          <w:color w:val="auto"/>
          <w:highlight w:val="none"/>
        </w:rPr>
        <w:t xml:space="preserve">项目名称：                   项目编号：              </w:t>
      </w:r>
    </w:p>
    <w:tbl>
      <w:tblPr>
        <w:tblStyle w:val="46"/>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项目时间</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bl>
    <w:p>
      <w:pPr>
        <w:bidi w:val="0"/>
        <w:rPr>
          <w:rFonts w:hint="eastAsia"/>
          <w:b/>
          <w:bCs/>
          <w:color w:val="auto"/>
          <w:highlight w:val="none"/>
        </w:rPr>
      </w:pPr>
      <w:bookmarkStart w:id="188" w:name="_Toc15594"/>
      <w:r>
        <w:rPr>
          <w:rFonts w:hint="eastAsia"/>
          <w:b/>
          <w:bCs/>
          <w:color w:val="auto"/>
          <w:highlight w:val="none"/>
        </w:rPr>
        <w:t>说明：</w:t>
      </w:r>
      <w:bookmarkEnd w:id="188"/>
    </w:p>
    <w:p>
      <w:pPr>
        <w:bidi w:val="0"/>
        <w:rPr>
          <w:rFonts w:hint="eastAsia"/>
          <w:b/>
          <w:bCs/>
          <w:color w:val="auto"/>
          <w:highlight w:val="none"/>
        </w:rPr>
      </w:pPr>
      <w:r>
        <w:rPr>
          <w:rFonts w:hint="eastAsia"/>
          <w:b/>
          <w:bCs/>
          <w:color w:val="auto"/>
          <w:highlight w:val="none"/>
        </w:rPr>
        <w:t>1、投标人须按照评分标准要求提交相应证明材料；</w:t>
      </w:r>
    </w:p>
    <w:p>
      <w:pPr>
        <w:bidi w:val="0"/>
        <w:rPr>
          <w:rFonts w:hint="eastAsia"/>
          <w:b/>
          <w:bCs/>
          <w:color w:val="auto"/>
          <w:highlight w:val="none"/>
        </w:rPr>
      </w:pPr>
      <w:r>
        <w:rPr>
          <w:rFonts w:hint="eastAsia"/>
          <w:b/>
          <w:bCs/>
          <w:color w:val="auto"/>
          <w:highlight w:val="none"/>
        </w:rPr>
        <w:t>2、所有证明材料复印件应清晰，应能体现签订时间、双方签字盖章等内容；</w:t>
      </w:r>
    </w:p>
    <w:p>
      <w:pPr>
        <w:bidi w:val="0"/>
        <w:rPr>
          <w:rFonts w:hint="eastAsia"/>
          <w:b/>
          <w:bCs/>
          <w:color w:val="auto"/>
          <w:highlight w:val="none"/>
        </w:rPr>
      </w:pPr>
      <w:r>
        <w:rPr>
          <w:rFonts w:hint="eastAsia"/>
          <w:b/>
          <w:bCs/>
          <w:color w:val="auto"/>
          <w:highlight w:val="none"/>
        </w:rPr>
        <w:t>3、投标人应在不涉及商业秘密的前提下尽可能提供详细的复印件内容。</w:t>
      </w:r>
    </w:p>
    <w:p>
      <w:pPr>
        <w:ind w:firstLine="0" w:firstLineChars="0"/>
        <w:rPr>
          <w:rFonts w:hint="eastAsia" w:ascii="宋体" w:hAnsi="宋体" w:eastAsia="宋体" w:cs="宋体"/>
          <w:color w:val="auto"/>
          <w:highlight w:val="none"/>
        </w:rPr>
      </w:pPr>
    </w:p>
    <w:p>
      <w:pPr>
        <w:ind w:left="-720" w:right="-960" w:firstLine="0" w:firstLineChars="0"/>
        <w:rPr>
          <w:rFonts w:hint="eastAsia" w:ascii="宋体" w:hAnsi="宋体" w:eastAsia="宋体" w:cs="宋体"/>
          <w:color w:val="auto"/>
          <w:spacing w:val="4"/>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3"/>
        <w:rPr>
          <w:rFonts w:hint="eastAsia"/>
        </w:rPr>
      </w:pPr>
    </w:p>
    <w:p>
      <w:pPr>
        <w:pStyle w:val="1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numPr>
          <w:ilvl w:val="0"/>
          <w:numId w:val="46"/>
        </w:numPr>
        <w:ind w:left="0" w:leftChars="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技术规范偏离表</w:t>
      </w:r>
    </w:p>
    <w:p>
      <w:pPr>
        <w:spacing w:line="400" w:lineRule="exact"/>
        <w:ind w:firstLine="480"/>
        <w:rPr>
          <w:rFonts w:hint="eastAsia" w:cs="宋体"/>
        </w:rPr>
      </w:pPr>
    </w:p>
    <w:p>
      <w:pPr>
        <w:spacing w:line="400" w:lineRule="exact"/>
        <w:ind w:firstLine="480"/>
        <w:rPr>
          <w:rFonts w:hint="eastAsia" w:cs="宋体"/>
        </w:rPr>
      </w:pPr>
      <w:r>
        <w:rPr>
          <w:rFonts w:hint="eastAsia" w:cs="宋体"/>
        </w:rPr>
        <w:t xml:space="preserve">招标项目名称：                   招标编号：            </w:t>
      </w:r>
    </w:p>
    <w:tbl>
      <w:tblPr>
        <w:tblStyle w:val="46"/>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500" w:lineRule="exact"/>
              <w:ind w:firstLine="0" w:firstLineChars="0"/>
              <w:jc w:val="center"/>
              <w:rPr>
                <w:rFonts w:hint="eastAsia" w:cs="宋体"/>
              </w:rPr>
            </w:pPr>
            <w:r>
              <w:rPr>
                <w:rFonts w:hint="eastAsia" w:cs="宋体"/>
              </w:rPr>
              <w:t>序号</w:t>
            </w:r>
          </w:p>
        </w:tc>
        <w:tc>
          <w:tcPr>
            <w:tcW w:w="1236" w:type="dxa"/>
            <w:vAlign w:val="center"/>
          </w:tcPr>
          <w:p>
            <w:pPr>
              <w:spacing w:line="500" w:lineRule="exact"/>
              <w:ind w:firstLine="0" w:firstLineChars="0"/>
              <w:jc w:val="center"/>
              <w:rPr>
                <w:rFonts w:hint="eastAsia" w:cs="宋体"/>
              </w:rPr>
            </w:pPr>
            <w:r>
              <w:rPr>
                <w:rFonts w:hint="eastAsia" w:cs="宋体"/>
              </w:rPr>
              <w:t>产品名称</w:t>
            </w:r>
          </w:p>
        </w:tc>
        <w:tc>
          <w:tcPr>
            <w:tcW w:w="2100" w:type="dxa"/>
            <w:vAlign w:val="center"/>
          </w:tcPr>
          <w:p>
            <w:pPr>
              <w:spacing w:line="500" w:lineRule="exact"/>
              <w:ind w:firstLine="0" w:firstLineChars="0"/>
              <w:jc w:val="center"/>
              <w:rPr>
                <w:rFonts w:hint="eastAsia" w:cs="宋体"/>
              </w:rPr>
            </w:pPr>
            <w:r>
              <w:rPr>
                <w:rFonts w:hint="eastAsia" w:cs="宋体"/>
              </w:rPr>
              <w:t>招标要求</w:t>
            </w:r>
          </w:p>
        </w:tc>
        <w:tc>
          <w:tcPr>
            <w:tcW w:w="2625" w:type="dxa"/>
            <w:vAlign w:val="center"/>
          </w:tcPr>
          <w:p>
            <w:pPr>
              <w:spacing w:line="500" w:lineRule="exact"/>
              <w:ind w:firstLine="0" w:firstLineChars="0"/>
              <w:jc w:val="center"/>
              <w:rPr>
                <w:rFonts w:hint="eastAsia" w:cs="宋体"/>
              </w:rPr>
            </w:pPr>
            <w:r>
              <w:rPr>
                <w:rFonts w:hint="eastAsia" w:cs="宋体"/>
              </w:rPr>
              <w:t xml:space="preserve">  投标响应</w:t>
            </w:r>
          </w:p>
        </w:tc>
        <w:tc>
          <w:tcPr>
            <w:tcW w:w="1890" w:type="dxa"/>
            <w:vAlign w:val="center"/>
          </w:tcPr>
          <w:p>
            <w:pPr>
              <w:spacing w:line="500" w:lineRule="exact"/>
              <w:ind w:firstLine="0" w:firstLineChars="0"/>
              <w:jc w:val="center"/>
              <w:rPr>
                <w:rFonts w:hint="eastAsia" w:cs="宋体"/>
              </w:rPr>
            </w:pPr>
            <w:r>
              <w:rPr>
                <w:rFonts w:hint="eastAsia"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bl>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5"/>
        <w:numPr>
          <w:ilvl w:val="0"/>
          <w:numId w:val="46"/>
        </w:numPr>
        <w:ind w:left="0" w:leftChars="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46"/>
        </w:numPr>
        <w:ind w:left="0" w:leftChars="0" w:firstLine="482" w:firstLineChars="200"/>
        <w:rPr>
          <w:rFonts w:hint="eastAsia" w:ascii="宋体" w:hAnsi="宋体" w:eastAsia="宋体" w:cs="宋体"/>
          <w:color w:val="auto"/>
          <w:highlight w:val="none"/>
        </w:rPr>
      </w:pPr>
      <w:r>
        <w:rPr>
          <w:rFonts w:hint="eastAsia" w:cs="宋体"/>
          <w:color w:val="auto"/>
          <w:highlight w:val="none"/>
          <w:lang w:eastAsia="zh-CN"/>
        </w:rPr>
        <w:t>商务要求</w:t>
      </w:r>
      <w:r>
        <w:rPr>
          <w:rFonts w:hint="eastAsia" w:ascii="宋体" w:hAnsi="宋体" w:eastAsia="宋体" w:cs="宋体"/>
          <w:color w:val="auto"/>
          <w:highlight w:val="none"/>
        </w:rPr>
        <w:t>偏离表</w:t>
      </w:r>
    </w:p>
    <w:p>
      <w:pPr>
        <w:spacing w:line="400" w:lineRule="exact"/>
        <w:ind w:firstLine="480"/>
        <w:rPr>
          <w:rFonts w:hint="eastAsia" w:cs="宋体"/>
        </w:rPr>
      </w:pPr>
    </w:p>
    <w:p>
      <w:pPr>
        <w:spacing w:line="400" w:lineRule="exact"/>
        <w:ind w:firstLine="480"/>
        <w:rPr>
          <w:rFonts w:hint="eastAsia" w:cs="宋体"/>
        </w:rPr>
      </w:pPr>
      <w:r>
        <w:rPr>
          <w:rFonts w:hint="eastAsia" w:cs="宋体"/>
        </w:rPr>
        <w:t xml:space="preserve">招标项目名称：                   招标编号：            </w:t>
      </w:r>
    </w:p>
    <w:tbl>
      <w:tblPr>
        <w:tblStyle w:val="46"/>
        <w:tblW w:w="7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500" w:lineRule="exact"/>
              <w:ind w:firstLine="0" w:firstLineChars="0"/>
              <w:jc w:val="center"/>
              <w:rPr>
                <w:rFonts w:hint="eastAsia" w:cs="宋体"/>
              </w:rPr>
            </w:pPr>
            <w:r>
              <w:rPr>
                <w:rFonts w:hint="eastAsia" w:cs="宋体"/>
              </w:rPr>
              <w:t>序号</w:t>
            </w:r>
          </w:p>
        </w:tc>
        <w:tc>
          <w:tcPr>
            <w:tcW w:w="2100" w:type="dxa"/>
            <w:vAlign w:val="center"/>
          </w:tcPr>
          <w:p>
            <w:pPr>
              <w:spacing w:line="500" w:lineRule="exact"/>
              <w:ind w:firstLine="0" w:firstLineChars="0"/>
              <w:jc w:val="center"/>
              <w:rPr>
                <w:rFonts w:hint="eastAsia" w:cs="宋体"/>
              </w:rPr>
            </w:pPr>
            <w:r>
              <w:rPr>
                <w:rFonts w:hint="eastAsia" w:cs="宋体"/>
              </w:rPr>
              <w:t>招标要求</w:t>
            </w:r>
          </w:p>
        </w:tc>
        <w:tc>
          <w:tcPr>
            <w:tcW w:w="2625" w:type="dxa"/>
            <w:vAlign w:val="center"/>
          </w:tcPr>
          <w:p>
            <w:pPr>
              <w:spacing w:line="500" w:lineRule="exact"/>
              <w:ind w:firstLine="0" w:firstLineChars="0"/>
              <w:jc w:val="center"/>
              <w:rPr>
                <w:rFonts w:hint="eastAsia" w:cs="宋体"/>
              </w:rPr>
            </w:pPr>
            <w:r>
              <w:rPr>
                <w:rFonts w:hint="eastAsia" w:cs="宋体"/>
              </w:rPr>
              <w:t xml:space="preserve">  投标响应</w:t>
            </w:r>
          </w:p>
        </w:tc>
        <w:tc>
          <w:tcPr>
            <w:tcW w:w="1890" w:type="dxa"/>
            <w:vAlign w:val="center"/>
          </w:tcPr>
          <w:p>
            <w:pPr>
              <w:spacing w:line="500" w:lineRule="exact"/>
              <w:ind w:firstLine="0" w:firstLineChars="0"/>
              <w:jc w:val="center"/>
              <w:rPr>
                <w:rFonts w:hint="eastAsia" w:cs="宋体"/>
              </w:rPr>
            </w:pPr>
            <w:r>
              <w:rPr>
                <w:rFonts w:hint="eastAsia"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bl>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46"/>
        </w:numPr>
        <w:bidi w:val="0"/>
        <w:ind w:left="0" w:leftChars="0" w:firstLine="482" w:firstLineChars="200"/>
        <w:rPr>
          <w:rFonts w:hint="eastAsia"/>
          <w:color w:val="auto"/>
          <w:highlight w:val="none"/>
          <w:lang w:val="en-US" w:eastAsia="zh-CN"/>
        </w:rPr>
      </w:pPr>
      <w:r>
        <w:rPr>
          <w:rFonts w:hint="eastAsia" w:ascii="宋体" w:hAnsi="宋体"/>
          <w:b/>
          <w:szCs w:val="21"/>
        </w:rPr>
        <w:t>项目实施方案</w:t>
      </w:r>
    </w:p>
    <w:p>
      <w:pPr>
        <w:bidi w:val="0"/>
        <w:rPr>
          <w:rFonts w:hint="eastAsia"/>
          <w:color w:val="auto"/>
          <w:highlight w:val="none"/>
          <w:lang w:val="en-US" w:eastAsia="zh-CN"/>
        </w:rPr>
      </w:pPr>
      <w:r>
        <w:rPr>
          <w:rFonts w:hint="eastAsia"/>
          <w:color w:val="auto"/>
          <w:highlight w:val="none"/>
          <w:lang w:val="en-US" w:eastAsia="zh-CN"/>
        </w:rPr>
        <w:t>说明：投标人须按照评分标准要求编写并提交相应证明材料</w:t>
      </w:r>
    </w:p>
    <w:p>
      <w:pPr>
        <w:pStyle w:val="11"/>
        <w:rPr>
          <w:rFonts w:hint="eastAsia"/>
          <w:color w:val="auto"/>
          <w:highlight w:val="none"/>
        </w:rPr>
      </w:pPr>
    </w:p>
    <w:p>
      <w:pPr>
        <w:pStyle w:val="5"/>
        <w:numPr>
          <w:ilvl w:val="0"/>
          <w:numId w:val="46"/>
        </w:numPr>
        <w:bidi w:val="0"/>
        <w:ind w:left="0" w:leftChars="0" w:firstLine="482" w:firstLineChars="200"/>
        <w:rPr>
          <w:rFonts w:hint="eastAsia"/>
          <w:b/>
          <w:bCs/>
          <w:color w:val="auto"/>
          <w:highlight w:val="none"/>
          <w:lang w:val="en-US" w:eastAsia="zh-CN"/>
        </w:rPr>
      </w:pPr>
      <w:r>
        <w:rPr>
          <w:rFonts w:hint="eastAsia" w:ascii="宋体" w:hAnsi="宋体" w:eastAsia="宋体" w:cs="宋体"/>
          <w:color w:val="auto"/>
          <w:highlight w:val="none"/>
          <w:lang w:eastAsia="zh-CN"/>
        </w:rPr>
        <w:t>产品认证证书</w:t>
      </w:r>
    </w:p>
    <w:p>
      <w:pPr>
        <w:numPr>
          <w:ilvl w:val="0"/>
          <w:numId w:val="0"/>
        </w:numPr>
        <w:tabs>
          <w:tab w:val="clear" w:pos="360"/>
          <w:tab w:val="clear" w:pos="420"/>
          <w:tab w:val="clear" w:pos="1620"/>
        </w:tabs>
        <w:bidi w:val="0"/>
        <w:ind w:leftChars="200"/>
        <w:rPr>
          <w:rFonts w:hint="eastAsia"/>
          <w:color w:val="auto"/>
          <w:highlight w:val="none"/>
          <w:lang w:val="en-US" w:eastAsia="zh-CN"/>
        </w:rPr>
      </w:pPr>
      <w:r>
        <w:rPr>
          <w:rFonts w:hint="eastAsia"/>
          <w:color w:val="auto"/>
          <w:highlight w:val="none"/>
          <w:lang w:val="en-US" w:eastAsia="zh-CN"/>
        </w:rPr>
        <w:t>说明：投标人须按照评分标准要求编写并提交相应证明材料</w:t>
      </w:r>
    </w:p>
    <w:p>
      <w:pPr>
        <w:rPr>
          <w:rFonts w:hint="eastAsia"/>
          <w:color w:val="auto"/>
          <w:highlight w:val="none"/>
          <w:lang w:val="en-US" w:eastAsia="zh-CN"/>
        </w:rPr>
      </w:pPr>
    </w:p>
    <w:p>
      <w:pPr>
        <w:pStyle w:val="5"/>
        <w:numPr>
          <w:ilvl w:val="0"/>
          <w:numId w:val="46"/>
        </w:numPr>
        <w:bidi w:val="0"/>
        <w:ind w:left="0" w:leftChars="0" w:firstLine="482" w:firstLineChars="200"/>
        <w:rPr>
          <w:rFonts w:hint="eastAsia"/>
          <w:color w:val="auto"/>
          <w:highlight w:val="none"/>
          <w:lang w:val="en-US" w:eastAsia="zh-CN"/>
        </w:rPr>
      </w:pPr>
      <w:r>
        <w:rPr>
          <w:rFonts w:hint="eastAsia" w:ascii="宋体" w:hAnsi="宋体" w:eastAsia="宋体" w:cs="宋体"/>
          <w:color w:val="auto"/>
          <w:highlight w:val="none"/>
        </w:rPr>
        <w:t>售后服务方案</w:t>
      </w:r>
    </w:p>
    <w:p>
      <w:pPr>
        <w:bidi w:val="0"/>
        <w:rPr>
          <w:rFonts w:hint="eastAsia"/>
          <w:color w:val="auto"/>
          <w:highlight w:val="none"/>
          <w:lang w:val="en-US" w:eastAsia="zh-CN"/>
        </w:rPr>
      </w:pPr>
      <w:r>
        <w:rPr>
          <w:rFonts w:hint="eastAsia"/>
          <w:color w:val="auto"/>
          <w:highlight w:val="none"/>
          <w:lang w:val="en-US" w:eastAsia="zh-CN"/>
        </w:rPr>
        <w:t>说明：投标人须按照评分标准要求编写并提交相应证明材料</w:t>
      </w:r>
    </w:p>
    <w:p>
      <w:pPr>
        <w:ind w:left="0" w:leftChars="0" w:firstLine="0" w:firstLineChars="0"/>
        <w:rPr>
          <w:rFonts w:hint="eastAsia"/>
          <w:color w:val="auto"/>
          <w:highlight w:val="none"/>
          <w:lang w:val="en-US" w:eastAsia="zh-CN"/>
        </w:rPr>
      </w:pPr>
    </w:p>
    <w:p>
      <w:pPr>
        <w:pStyle w:val="5"/>
        <w:numPr>
          <w:ilvl w:val="0"/>
          <w:numId w:val="46"/>
        </w:numPr>
        <w:bidi w:val="0"/>
        <w:ind w:left="0" w:leftChars="0" w:firstLine="482" w:firstLineChars="200"/>
        <w:rPr>
          <w:rFonts w:hint="eastAsia"/>
          <w:color w:val="auto"/>
          <w:highlight w:val="none"/>
          <w:lang w:val="en-US" w:eastAsia="zh-CN"/>
        </w:rPr>
      </w:pPr>
      <w:r>
        <w:rPr>
          <w:rFonts w:hint="eastAsia" w:ascii="宋体" w:hAnsi="宋体" w:eastAsia="宋体" w:cs="宋体"/>
          <w:color w:val="auto"/>
          <w:highlight w:val="none"/>
        </w:rPr>
        <w:t>政府采购政策分</w:t>
      </w:r>
    </w:p>
    <w:p>
      <w:pPr>
        <w:bidi w:val="0"/>
        <w:rPr>
          <w:rFonts w:hint="eastAsia"/>
          <w:color w:val="auto"/>
          <w:highlight w:val="none"/>
          <w:lang w:val="en-US" w:eastAsia="zh-CN"/>
        </w:rPr>
      </w:pPr>
      <w:r>
        <w:rPr>
          <w:rFonts w:hint="eastAsia"/>
          <w:color w:val="auto"/>
          <w:highlight w:val="none"/>
          <w:lang w:val="en-US" w:eastAsia="zh-CN"/>
        </w:rPr>
        <w:t>说明：投标人须按照评分标准要求编写并提交相应证明材料</w:t>
      </w:r>
    </w:p>
    <w:p>
      <w:pPr>
        <w:rPr>
          <w:rFonts w:hint="eastAsia"/>
          <w:color w:val="auto"/>
          <w:highlight w:val="none"/>
          <w:lang w:val="en-US" w:eastAsia="zh-CN"/>
        </w:rPr>
      </w:pPr>
    </w:p>
    <w:p>
      <w:pPr>
        <w:pStyle w:val="5"/>
        <w:numPr>
          <w:ilvl w:val="0"/>
          <w:numId w:val="46"/>
        </w:numPr>
        <w:bidi w:val="0"/>
        <w:ind w:left="0" w:leftChars="0" w:firstLine="482" w:firstLineChars="200"/>
        <w:rPr>
          <w:rFonts w:hint="eastAsia" w:ascii="宋体" w:hAnsi="宋体" w:eastAsia="宋体" w:cs="宋体"/>
          <w:color w:val="auto"/>
          <w:highlight w:val="none"/>
          <w:lang w:val="en-US" w:eastAsia="zh-CN"/>
        </w:rPr>
      </w:pPr>
      <w:bookmarkStart w:id="189" w:name="_Toc25327"/>
      <w:r>
        <w:rPr>
          <w:rFonts w:hint="eastAsia" w:ascii="宋体" w:hAnsi="宋体" w:eastAsia="宋体" w:cs="宋体"/>
          <w:color w:val="auto"/>
          <w:highlight w:val="none"/>
          <w:lang w:val="en-US" w:eastAsia="zh-CN"/>
        </w:rPr>
        <w:t>其他</w:t>
      </w:r>
      <w:bookmarkEnd w:id="189"/>
    </w:p>
    <w:p>
      <w:pPr>
        <w:bidi w:val="0"/>
        <w:rPr>
          <w:rFonts w:hint="eastAsia"/>
          <w:color w:val="auto"/>
          <w:highlight w:val="none"/>
          <w:lang w:val="en-US" w:eastAsia="zh-CN"/>
        </w:rPr>
      </w:pPr>
      <w:r>
        <w:rPr>
          <w:rFonts w:hint="eastAsia"/>
          <w:color w:val="auto"/>
          <w:highlight w:val="none"/>
          <w:lang w:val="en-US" w:eastAsia="zh-CN"/>
        </w:rPr>
        <w:t>说明：其它本招标文件评分表要求提供的材料或投标人认为需要的其他技术文件资料或说明</w:t>
      </w:r>
    </w:p>
    <w:p>
      <w:pPr>
        <w:ind w:left="-720" w:right="-958"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 </w:t>
      </w:r>
    </w:p>
    <w:p>
      <w:pPr>
        <w:pStyle w:val="5"/>
        <w:outlineLvl w:val="9"/>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bookmarkEnd w:id="56"/>
    <w:bookmarkEnd w:id="57"/>
    <w:bookmarkEnd w:id="58"/>
    <w:bookmarkEnd w:id="59"/>
    <w:bookmarkEnd w:id="60"/>
    <w:bookmarkEnd w:id="61"/>
    <w:bookmarkEnd w:id="62"/>
    <w:bookmarkEnd w:id="63"/>
    <w:p>
      <w:pPr>
        <w:pStyle w:val="5"/>
        <w:numPr>
          <w:ilvl w:val="0"/>
          <w:numId w:val="46"/>
        </w:numPr>
        <w:bidi w:val="0"/>
        <w:ind w:left="0" w:leftChars="0" w:firstLine="482" w:firstLineChars="200"/>
        <w:rPr>
          <w:rFonts w:hint="eastAsia" w:ascii="宋体" w:hAnsi="宋体" w:eastAsia="宋体" w:cs="宋体"/>
          <w:color w:val="auto"/>
          <w:highlight w:val="none"/>
        </w:rPr>
      </w:pPr>
      <w:bookmarkStart w:id="190" w:name="_Toc8358"/>
      <w:r>
        <w:rPr>
          <w:rFonts w:hint="eastAsia" w:ascii="宋体" w:hAnsi="宋体" w:eastAsia="宋体" w:cs="宋体"/>
          <w:color w:val="auto"/>
          <w:highlight w:val="none"/>
        </w:rPr>
        <w:t>质疑函</w:t>
      </w:r>
      <w:bookmarkEnd w:id="190"/>
    </w:p>
    <w:p>
      <w:pPr>
        <w:spacing w:line="240" w:lineRule="auto"/>
        <w:ind w:left="0" w:leftChars="0" w:right="0" w:rightChars="0" w:firstLine="0" w:firstLineChars="0"/>
        <w:jc w:val="center"/>
        <w:rPr>
          <w:rFonts w:hint="eastAsia" w:ascii="宋体" w:hAnsi="宋体" w:eastAsia="宋体" w:cs="宋体"/>
          <w:b/>
          <w:color w:val="auto"/>
          <w:kern w:val="0"/>
          <w:sz w:val="32"/>
          <w:highlight w:val="none"/>
          <w:lang w:eastAsia="zh-CN"/>
        </w:rPr>
      </w:pPr>
      <w:bookmarkStart w:id="191" w:name="_Toc4682"/>
      <w:r>
        <w:rPr>
          <w:rFonts w:hint="eastAsia" w:ascii="宋体" w:hAnsi="宋体" w:eastAsia="宋体" w:cs="宋体"/>
          <w:b/>
          <w:color w:val="auto"/>
          <w:kern w:val="0"/>
          <w:sz w:val="32"/>
          <w:highlight w:val="none"/>
          <w:lang w:eastAsia="zh-CN"/>
        </w:rPr>
        <w:t>质疑函</w:t>
      </w:r>
      <w:bookmarkEnd w:id="191"/>
    </w:p>
    <w:p>
      <w:pPr>
        <w:keepNext w:val="0"/>
        <w:keepLines w:val="0"/>
        <w:pageBreakBefore w:val="0"/>
        <w:widowControl w:val="0"/>
        <w:kinsoku/>
        <w:wordWrap/>
        <w:overflowPunct/>
        <w:topLinePunct w:val="0"/>
        <w:autoSpaceDE/>
        <w:autoSpaceDN/>
        <w:bidi w:val="0"/>
        <w:textAlignment w:val="auto"/>
        <w:rPr>
          <w:rFonts w:hint="eastAsia"/>
          <w:color w:val="auto"/>
          <w:highlight w:val="none"/>
          <w:lang w:eastAsia="zh-CN"/>
        </w:rPr>
      </w:pPr>
    </w:p>
    <w:p>
      <w:pPr>
        <w:bidi w:val="0"/>
        <w:rPr>
          <w:rFonts w:hint="eastAsia"/>
          <w:b/>
          <w:bCs/>
          <w:color w:val="auto"/>
          <w:highlight w:val="none"/>
        </w:rPr>
      </w:pPr>
      <w:bookmarkStart w:id="192" w:name="_Toc11431"/>
      <w:r>
        <w:rPr>
          <w:rFonts w:hint="eastAsia"/>
          <w:b/>
          <w:bCs/>
          <w:color w:val="auto"/>
          <w:highlight w:val="none"/>
        </w:rPr>
        <w:t>一、质疑供应商基本信息</w:t>
      </w:r>
      <w:bookmarkEnd w:id="192"/>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联系人：                        联系电话：</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bidi w:val="0"/>
        <w:rPr>
          <w:rFonts w:hint="eastAsia"/>
          <w:b/>
          <w:bCs/>
          <w:color w:val="auto"/>
          <w:highlight w:val="none"/>
        </w:rPr>
      </w:pPr>
      <w:bookmarkStart w:id="193" w:name="_Toc13602"/>
      <w:r>
        <w:rPr>
          <w:rFonts w:hint="eastAsia"/>
          <w:b/>
          <w:bCs/>
          <w:color w:val="auto"/>
          <w:highlight w:val="none"/>
        </w:rPr>
        <w:t>二、质疑项目基本情况</w:t>
      </w:r>
      <w:bookmarkEnd w:id="193"/>
    </w:p>
    <w:p>
      <w:pPr>
        <w:bidi w:val="0"/>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质疑项目的编号：                包号：</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dotted"/>
        </w:rPr>
        <w:t xml:space="preserve">                                           </w:t>
      </w:r>
    </w:p>
    <w:p>
      <w:pPr>
        <w:bidi w:val="0"/>
        <w:rPr>
          <w:rFonts w:hint="eastAsia"/>
          <w:b/>
          <w:bCs/>
          <w:color w:val="auto"/>
          <w:highlight w:val="none"/>
        </w:rPr>
      </w:pPr>
      <w:bookmarkStart w:id="194" w:name="_Toc25776"/>
      <w:r>
        <w:rPr>
          <w:rFonts w:hint="eastAsia"/>
          <w:b/>
          <w:bCs/>
          <w:color w:val="auto"/>
          <w:highlight w:val="none"/>
        </w:rPr>
        <w:t>三、质疑事项具体内容</w:t>
      </w:r>
      <w:bookmarkEnd w:id="194"/>
    </w:p>
    <w:p>
      <w:pPr>
        <w:bidi w:val="0"/>
        <w:rPr>
          <w:rFonts w:hint="eastAsia" w:ascii="宋体" w:hAnsi="宋体" w:eastAsia="宋体" w:cs="宋体"/>
          <w:color w:val="auto"/>
          <w:highlight w:val="none"/>
          <w:u w:val="singl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pPr>
        <w:bidi w:val="0"/>
        <w:rPr>
          <w:rFonts w:hint="eastAsia"/>
          <w:color w:val="auto"/>
          <w:highlight w:val="none"/>
        </w:rPr>
      </w:pPr>
      <w:r>
        <w:rPr>
          <w:rFonts w:hint="eastAsia"/>
          <w:color w:val="auto"/>
          <w:highlight w:val="none"/>
        </w:rPr>
        <w:t>质疑事项2</w:t>
      </w:r>
    </w:p>
    <w:p>
      <w:pPr>
        <w:bidi w:val="0"/>
        <w:rPr>
          <w:rFonts w:hint="eastAsia"/>
          <w:color w:val="auto"/>
          <w:highlight w:val="none"/>
        </w:rPr>
      </w:pPr>
      <w:r>
        <w:rPr>
          <w:rFonts w:hint="eastAsia"/>
          <w:color w:val="auto"/>
          <w:highlight w:val="none"/>
        </w:rPr>
        <w:t>……</w:t>
      </w:r>
    </w:p>
    <w:p>
      <w:pPr>
        <w:bidi w:val="0"/>
        <w:rPr>
          <w:rFonts w:hint="eastAsia"/>
          <w:b/>
          <w:bCs/>
          <w:color w:val="auto"/>
          <w:highlight w:val="none"/>
        </w:rPr>
      </w:pPr>
      <w:bookmarkStart w:id="195" w:name="_Toc19446"/>
      <w:r>
        <w:rPr>
          <w:rFonts w:hint="eastAsia"/>
          <w:b/>
          <w:bCs/>
          <w:color w:val="auto"/>
          <w:highlight w:val="none"/>
        </w:rPr>
        <w:t>四、与质疑事项相关的质疑请求</w:t>
      </w:r>
      <w:bookmarkEnd w:id="195"/>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pPr>
        <w:bidi w:val="0"/>
        <w:rPr>
          <w:rFonts w:hint="eastAsia"/>
          <w:color w:val="auto"/>
          <w:highlight w:val="none"/>
        </w:rPr>
      </w:pPr>
      <w:r>
        <w:rPr>
          <w:rFonts w:hint="eastAsia"/>
          <w:color w:val="auto"/>
          <w:highlight w:val="none"/>
        </w:rPr>
        <w:t xml:space="preserve">签字(签章)：                    公章：                      </w:t>
      </w:r>
    </w:p>
    <w:p>
      <w:pPr>
        <w:bidi w:val="0"/>
        <w:rPr>
          <w:rFonts w:hint="eastAsia"/>
          <w:color w:val="auto"/>
          <w:highlight w:val="none"/>
        </w:rPr>
      </w:pPr>
      <w:r>
        <w:rPr>
          <w:rFonts w:hint="eastAsia"/>
          <w:color w:val="auto"/>
          <w:highlight w:val="none"/>
        </w:rPr>
        <w:t xml:space="preserve">日期：     </w:t>
      </w:r>
    </w:p>
    <w:p>
      <w:pPr>
        <w:ind w:firstLine="643"/>
        <w:jc w:val="left"/>
        <w:rPr>
          <w:rFonts w:hint="eastAsia" w:ascii="宋体" w:hAnsi="宋体" w:eastAsia="宋体" w:cs="宋体"/>
          <w:b/>
          <w:color w:val="auto"/>
          <w:sz w:val="32"/>
          <w:highlight w:val="none"/>
        </w:rPr>
      </w:pPr>
    </w:p>
    <w:p>
      <w:pPr>
        <w:bidi w:val="0"/>
        <w:rPr>
          <w:rFonts w:hint="eastAsia"/>
          <w:i/>
          <w:iCs/>
          <w:color w:val="auto"/>
          <w:sz w:val="22"/>
          <w:szCs w:val="22"/>
          <w:highlight w:val="none"/>
        </w:rPr>
      </w:pPr>
      <w:bookmarkStart w:id="196" w:name="_Toc386"/>
      <w:r>
        <w:rPr>
          <w:rFonts w:hint="eastAsia"/>
          <w:i/>
          <w:iCs/>
          <w:color w:val="auto"/>
          <w:sz w:val="22"/>
          <w:szCs w:val="22"/>
          <w:highlight w:val="none"/>
        </w:rPr>
        <w:t>质疑函制作说明：</w:t>
      </w:r>
      <w:bookmarkEnd w:id="196"/>
    </w:p>
    <w:p>
      <w:pPr>
        <w:bidi w:val="0"/>
        <w:rPr>
          <w:rFonts w:hint="eastAsia"/>
          <w:i/>
          <w:iCs/>
          <w:color w:val="auto"/>
          <w:sz w:val="22"/>
          <w:szCs w:val="22"/>
          <w:highlight w:val="none"/>
        </w:rPr>
      </w:pPr>
      <w:r>
        <w:rPr>
          <w:rFonts w:hint="eastAsia"/>
          <w:i/>
          <w:iCs/>
          <w:color w:val="auto"/>
          <w:sz w:val="22"/>
          <w:szCs w:val="22"/>
          <w:highlight w:val="none"/>
        </w:rPr>
        <w:t>1.供应商提出质疑时，应提交质疑函和必要的证明材料。</w:t>
      </w:r>
    </w:p>
    <w:p>
      <w:pPr>
        <w:bidi w:val="0"/>
        <w:rPr>
          <w:rFonts w:hint="eastAsia"/>
          <w:i/>
          <w:iCs/>
          <w:color w:val="auto"/>
          <w:sz w:val="22"/>
          <w:szCs w:val="22"/>
          <w:highlight w:val="none"/>
        </w:rPr>
      </w:pPr>
      <w:r>
        <w:rPr>
          <w:rFonts w:hint="eastAsia"/>
          <w:i/>
          <w:iCs/>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bidi w:val="0"/>
        <w:rPr>
          <w:rFonts w:hint="eastAsia"/>
          <w:i/>
          <w:iCs/>
          <w:color w:val="auto"/>
          <w:sz w:val="22"/>
          <w:szCs w:val="22"/>
          <w:highlight w:val="none"/>
        </w:rPr>
      </w:pPr>
      <w:r>
        <w:rPr>
          <w:rFonts w:hint="eastAsia"/>
          <w:i/>
          <w:iCs/>
          <w:color w:val="auto"/>
          <w:sz w:val="22"/>
          <w:szCs w:val="22"/>
          <w:highlight w:val="none"/>
        </w:rPr>
        <w:t>3.质疑供应商若对项目的某一分包进行质疑，质疑函中应列明具体分包号。</w:t>
      </w:r>
    </w:p>
    <w:p>
      <w:pPr>
        <w:bidi w:val="0"/>
        <w:rPr>
          <w:rFonts w:hint="eastAsia"/>
          <w:i/>
          <w:iCs/>
          <w:color w:val="auto"/>
          <w:sz w:val="22"/>
          <w:szCs w:val="22"/>
          <w:highlight w:val="none"/>
        </w:rPr>
      </w:pPr>
      <w:r>
        <w:rPr>
          <w:rFonts w:hint="eastAsia"/>
          <w:i/>
          <w:iCs/>
          <w:color w:val="auto"/>
          <w:sz w:val="22"/>
          <w:szCs w:val="22"/>
          <w:highlight w:val="none"/>
        </w:rPr>
        <w:t>4.质疑函的质疑事项应具体、明确，并有必要的事实依据和法律依据。</w:t>
      </w:r>
    </w:p>
    <w:p>
      <w:pPr>
        <w:bidi w:val="0"/>
        <w:rPr>
          <w:rFonts w:hint="eastAsia"/>
          <w:i/>
          <w:iCs/>
          <w:color w:val="auto"/>
          <w:sz w:val="22"/>
          <w:szCs w:val="22"/>
          <w:highlight w:val="none"/>
        </w:rPr>
      </w:pPr>
      <w:r>
        <w:rPr>
          <w:rFonts w:hint="eastAsia"/>
          <w:i/>
          <w:iCs/>
          <w:color w:val="auto"/>
          <w:sz w:val="22"/>
          <w:szCs w:val="22"/>
          <w:highlight w:val="none"/>
        </w:rPr>
        <w:t>5.质疑函的质疑请求应与质疑事项相关。</w:t>
      </w:r>
    </w:p>
    <w:p>
      <w:pPr>
        <w:bidi w:val="0"/>
        <w:rPr>
          <w:rFonts w:hint="eastAsia"/>
          <w:i/>
          <w:iCs/>
          <w:color w:val="auto"/>
          <w:sz w:val="22"/>
          <w:szCs w:val="22"/>
          <w:highlight w:val="none"/>
        </w:rPr>
      </w:pPr>
      <w:r>
        <w:rPr>
          <w:rFonts w:hint="eastAsia"/>
          <w:i/>
          <w:iCs/>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eastAsia="宋体" w:cs="宋体"/>
          <w:color w:val="auto"/>
          <w:highlight w:val="none"/>
        </w:rPr>
      </w:pPr>
    </w:p>
    <w:sectPr>
      <w:footerReference r:id="rId18" w:type="default"/>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T Extra">
    <w:altName w:val="Symbol"/>
    <w:panose1 w:val="05050102010205020202"/>
    <w:charset w:val="02"/>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Agilent TT Cond">
    <w:altName w:val="Segoe Print"/>
    <w:panose1 w:val="020B0606020002020203"/>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0" w:csb1="00000000"/>
  </w:font>
  <w:font w:name="金山简黑体">
    <w:altName w:val="宋体"/>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Segoe UI">
    <w:panose1 w:val="020B0502040204020203"/>
    <w:charset w:val="00"/>
    <w:family w:val="swiss"/>
    <w:pitch w:val="default"/>
    <w:sig w:usb0="E10022FF" w:usb1="C000E47F" w:usb2="00000029" w:usb3="00000000" w:csb0="200001DF" w:csb1="20000000"/>
  </w:font>
  <w:font w:name="BatangChe">
    <w:panose1 w:val="02030609000101010101"/>
    <w:charset w:val="81"/>
    <w:family w:val="modern"/>
    <w:pitch w:val="default"/>
    <w:sig w:usb0="B00002AF" w:usb1="69D77CFB" w:usb2="00000030" w:usb3="00000000" w:csb0="4008009F" w:csb1="DFD70000"/>
  </w:font>
  <w:font w:name="Segoe Print">
    <w:panose1 w:val="02000600000000000000"/>
    <w:charset w:val="00"/>
    <w:family w:val="swiss"/>
    <w:pitch w:val="default"/>
    <w:sig w:usb0="0000028F" w:usb1="00000000" w:usb2="00000000" w:usb3="00000000" w:csb0="2000009F" w:csb1="47010000"/>
  </w:font>
  <w:font w:name="MicrosoftYaHei">
    <w:altName w:val="宋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Arial Unicode MS">
    <w:altName w:val="宋体"/>
    <w:panose1 w:val="020B0604020002020204"/>
    <w:charset w:val="86"/>
    <w:family w:val="swiss"/>
    <w:pitch w:val="default"/>
    <w:sig w:usb0="00000000" w:usb1="00000000" w:usb2="0000003F" w:usb3="00000000" w:csb0="003F01FF" w:csb1="00000000"/>
  </w:font>
  <w:font w:name="ˎ̥">
    <w:altName w:val="Times New Roman"/>
    <w:panose1 w:val="00000000000000000000"/>
    <w:charset w:val="00"/>
    <w:family w:val="decorative"/>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6"/>
                            <w:ind w:firstLine="360"/>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ApoRZm4AQAAVgMAAA4AAAAAAAAAAQAgAAAAHwEAAGRycy9lMm9Eb2MueG1sUEsFBgAAAAAGAAYA&#10;WQEAAEkFAAAAAA==&#10;">
              <v:fill on="f" focussize="0,0"/>
              <v:stroke on="f" weight="0.5pt"/>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6"/>
                            <w:ind w:firstLine="360"/>
                          </w:pPr>
                          <w:r>
                            <w:rPr>
                              <w:rFonts w:hint="eastAsia"/>
                            </w:rPr>
                            <w:t xml:space="preserve">第 </w:t>
                          </w:r>
                          <w:r>
                            <w:fldChar w:fldCharType="begin"/>
                          </w:r>
                          <w:r>
                            <w:instrText xml:space="preserve"> PAGE  \* MERGEFORMAT </w:instrText>
                          </w:r>
                          <w:r>
                            <w:fldChar w:fldCharType="separate"/>
                          </w:r>
                          <w:r>
                            <w:t>65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AJAa37cBAABWAwAADgAAAAAAAAABACAAAAAfAQAAZHJzL2Uyb0RvYy54bWxQSwUGAAAAAAYABgBZ&#10;AQAASAUAAAAA&#10;">
              <v:fill on="f" focussize="0,0"/>
              <v:stroke on="f" weight="0.5pt"/>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65</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ind w:firstLine="360"/>
                          </w:pPr>
                          <w:r>
                            <w:rPr>
                              <w:rFonts w:hint="eastAsia"/>
                            </w:rPr>
                            <w:t xml:space="preserve">第 </w:t>
                          </w:r>
                          <w:r>
                            <w:fldChar w:fldCharType="begin"/>
                          </w:r>
                          <w:r>
                            <w:instrText xml:space="preserve"> PAGE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Qrbgya8BAABM&#10;AwAADgAAAAAAAAABACAAAAAeAQAAZHJzL2Uyb0RvYy54bWxQSwUGAAAAAAYABgBZAQAAPwUAAAAA&#10;">
              <v:fill on="f" focussize="0,0"/>
              <v:stroke on="f"/>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69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ind w:firstLine="360"/>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9264;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wqZuS7ABAABMAwAADgAAAGRycy9lMm9Eb2MueG1srVPB&#10;btswDL0P2D8Iui9yjGE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MKmbkuwAQAATAMAAA4AAAAAAAAAAQAgAAAAJwEAAGRycy9lMm9Eb2MueG1sUEsFBgAAAAAGAAYA&#10;WQEAAEkFAAAAAA==&#10;">
              <v:fill on="f" focussize="0,0"/>
              <v:stroke on="f"/>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fldChar w:fldCharType="begin"/>
    </w:r>
    <w:r>
      <w:instrText xml:space="preserve"> PAGE   \* MERGEFORMAT </w:instrText>
    </w:r>
    <w:r>
      <w:fldChar w:fldCharType="separate"/>
    </w:r>
    <w:r>
      <w:rPr>
        <w:lang w:val="zh-CN"/>
      </w:rPr>
      <w:t>10</w:t>
    </w:r>
    <w:r>
      <w:rPr>
        <w:lang w:val="zh-CN"/>
      </w:rP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ind w:firstLine="360"/>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n/ZFiwAQAA&#10;TAMAAA4AAAAAAAAAAQAgAAAAHgEAAGRycy9lMm9Eb2MueG1sUEsFBgAAAAAGAAYAWQEAAEAFAAAA&#10;AA==&#10;">
              <v:fill on="f" focussize="0,0"/>
              <v:stroke on="f"/>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B829uq8BAABM&#10;AwAADgAAAAAAAAABACAAAAAeAQAAZHJzL2Uyb0RvYy54bWxQSwUGAAAAAAYABgBZAQAAPwUAAAAA&#10;">
              <v:fill on="f" focussize="0,0"/>
              <v:stroke on="f"/>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ind w:right="360" w:firstLine="0" w:firstLineChars="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FEY3kWwAQAA&#10;TQMAAA4AAAAAAAAAAQAgAAAAHgEAAGRycy9lMm9Eb2MueG1sUEsFBgAAAAAGAAYAWQEAAEAFAAAA&#10;AA==&#10;">
              <v:fill on="f" focussize="0,0"/>
              <v:stroke on="f"/>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6"/>
                            <w:ind w:firstLine="360"/>
                          </w:pPr>
                          <w:r>
                            <w:rPr>
                              <w:rFonts w:hint="eastAsia"/>
                            </w:rPr>
                            <w:t xml:space="preserve">第 </w:t>
                          </w:r>
                          <w:r>
                            <w:fldChar w:fldCharType="begin"/>
                          </w:r>
                          <w:r>
                            <w:instrText xml:space="preserve"> PAGE  \* MERGEFORMAT </w:instrText>
                          </w:r>
                          <w:r>
                            <w:fldChar w:fldCharType="separate"/>
                          </w:r>
                          <w:r>
                            <w:t>43</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7+USG4AQAAVgMAAA4AAAAAAAAAAQAgAAAAHwEAAGRycy9lMm9Eb2MueG1sUEsFBgAAAAAGAAYA&#10;WQEAAEkFAAAAAA==&#10;">
              <v:fill on="f" focussize="0,0"/>
              <v:stroke on="f" weight="0.5pt"/>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43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both"/>
    </w:pPr>
    <w:r>
      <w:rPr>
        <w:rFonts w:hint="eastAsia"/>
        <w:lang w:eastAsia="zh-CN"/>
      </w:rPr>
      <w:t>庵东镇教育办公室</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right"/>
    </w:pPr>
    <w:r>
      <w:rPr>
        <w:rFonts w:hint="eastAsia"/>
      </w:rPr>
      <w:t>浙江五石工程咨询有限公司招标文件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88297528">
    <w:nsid w:val="A6320B38"/>
    <w:multiLevelType w:val="singleLevel"/>
    <w:tmpl w:val="A6320B38"/>
    <w:lvl w:ilvl="0" w:tentative="1">
      <w:start w:val="1"/>
      <w:numFmt w:val="decimal"/>
      <w:suff w:val="nothing"/>
      <w:lvlText w:val="%1．"/>
      <w:lvlJc w:val="left"/>
      <w:pPr>
        <w:ind w:left="0" w:firstLine="403"/>
      </w:pPr>
      <w:rPr>
        <w:rFonts w:hint="default"/>
      </w:rPr>
    </w:lvl>
  </w:abstractNum>
  <w:abstractNum w:abstractNumId="321314494">
    <w:nsid w:val="1326DEBE"/>
    <w:multiLevelType w:val="singleLevel"/>
    <w:tmpl w:val="1326DEBE"/>
    <w:lvl w:ilvl="0" w:tentative="1">
      <w:start w:val="3"/>
      <w:numFmt w:val="chineseCounting"/>
      <w:suff w:val="nothing"/>
      <w:lvlText w:val="（%1）"/>
      <w:lvlJc w:val="left"/>
      <w:rPr>
        <w:rFonts w:hint="eastAsia"/>
      </w:rPr>
    </w:lvl>
  </w:abstractNum>
  <w:abstractNum w:abstractNumId="2397907278">
    <w:nsid w:val="8EED294E"/>
    <w:multiLevelType w:val="singleLevel"/>
    <w:tmpl w:val="8EED294E"/>
    <w:lvl w:ilvl="0" w:tentative="1">
      <w:start w:val="1"/>
      <w:numFmt w:val="decimal"/>
      <w:suff w:val="nothing"/>
      <w:lvlText w:val="%1．"/>
      <w:lvlJc w:val="left"/>
      <w:pPr>
        <w:ind w:left="0" w:firstLine="400"/>
      </w:pPr>
      <w:rPr>
        <w:rFonts w:hint="default"/>
      </w:rPr>
    </w:lvl>
  </w:abstractNum>
  <w:abstractNum w:abstractNumId="2117388409">
    <w:nsid w:val="7E34C879"/>
    <w:multiLevelType w:val="singleLevel"/>
    <w:tmpl w:val="7E34C879"/>
    <w:lvl w:ilvl="0" w:tentative="1">
      <w:start w:val="1"/>
      <w:numFmt w:val="decimal"/>
      <w:lvlText w:val="(%1)"/>
      <w:lvlJc w:val="left"/>
      <w:pPr>
        <w:tabs>
          <w:tab w:val="left" w:pos="420"/>
        </w:tabs>
        <w:ind w:left="845" w:hanging="425"/>
      </w:pPr>
      <w:rPr>
        <w:rFonts w:hint="default"/>
      </w:rPr>
    </w:lvl>
  </w:abstractNum>
  <w:abstractNum w:abstractNumId="272160722">
    <w:nsid w:val="1038D7D2"/>
    <w:multiLevelType w:val="singleLevel"/>
    <w:tmpl w:val="1038D7D2"/>
    <w:lvl w:ilvl="0" w:tentative="1">
      <w:start w:val="1"/>
      <w:numFmt w:val="decimal"/>
      <w:suff w:val="nothing"/>
      <w:lvlText w:val="%1．"/>
      <w:lvlJc w:val="left"/>
      <w:pPr>
        <w:ind w:left="0" w:firstLine="400"/>
      </w:pPr>
      <w:rPr>
        <w:rFonts w:hint="default"/>
      </w:rPr>
    </w:lvl>
  </w:abstractNum>
  <w:abstractNum w:abstractNumId="156379079">
    <w:nsid w:val="095227C7"/>
    <w:multiLevelType w:val="singleLevel"/>
    <w:tmpl w:val="095227C7"/>
    <w:lvl w:ilvl="0" w:tentative="1">
      <w:start w:val="1"/>
      <w:numFmt w:val="decimal"/>
      <w:suff w:val="nothing"/>
      <w:lvlText w:val="%1．"/>
      <w:lvlJc w:val="left"/>
      <w:pPr>
        <w:ind w:left="0" w:firstLine="400"/>
      </w:pPr>
      <w:rPr>
        <w:rFonts w:hint="default"/>
      </w:rPr>
    </w:lvl>
  </w:abstractNum>
  <w:abstractNum w:abstractNumId="1100508966">
    <w:nsid w:val="41986F26"/>
    <w:multiLevelType w:val="singleLevel"/>
    <w:tmpl w:val="41986F26"/>
    <w:lvl w:ilvl="0" w:tentative="1">
      <w:start w:val="1"/>
      <w:numFmt w:val="decimal"/>
      <w:suff w:val="nothing"/>
      <w:lvlText w:val="%1．"/>
      <w:lvlJc w:val="left"/>
      <w:pPr>
        <w:ind w:left="0" w:firstLine="400"/>
      </w:pPr>
      <w:rPr>
        <w:rFonts w:hint="default"/>
      </w:rPr>
    </w:lvl>
  </w:abstractNum>
  <w:abstractNum w:abstractNumId="2070534495">
    <w:nsid w:val="7B69D95F"/>
    <w:multiLevelType w:val="singleLevel"/>
    <w:tmpl w:val="7B69D95F"/>
    <w:lvl w:ilvl="0" w:tentative="1">
      <w:start w:val="1"/>
      <w:numFmt w:val="bullet"/>
      <w:lvlText w:val=""/>
      <w:lvlJc w:val="left"/>
      <w:pPr>
        <w:ind w:left="420" w:hanging="420"/>
      </w:pPr>
      <w:rPr>
        <w:rFonts w:hint="default" w:ascii="Wingdings" w:hAnsi="Wingdings"/>
      </w:rPr>
    </w:lvl>
  </w:abstractNum>
  <w:abstractNum w:abstractNumId="959072428">
    <w:nsid w:val="392A48AC"/>
    <w:multiLevelType w:val="singleLevel"/>
    <w:tmpl w:val="392A48AC"/>
    <w:lvl w:ilvl="0" w:tentative="1">
      <w:start w:val="1"/>
      <w:numFmt w:val="decimal"/>
      <w:suff w:val="nothing"/>
      <w:lvlText w:val="%1．"/>
      <w:lvlJc w:val="left"/>
      <w:pPr>
        <w:ind w:left="0" w:firstLine="400"/>
      </w:pPr>
      <w:rPr>
        <w:rFonts w:hint="default"/>
      </w:rPr>
    </w:lvl>
  </w:abstractNum>
  <w:abstractNum w:abstractNumId="2555468025">
    <w:nsid w:val="985158F9"/>
    <w:multiLevelType w:val="singleLevel"/>
    <w:tmpl w:val="985158F9"/>
    <w:lvl w:ilvl="0" w:tentative="1">
      <w:start w:val="1"/>
      <w:numFmt w:val="decimal"/>
      <w:suff w:val="nothing"/>
      <w:lvlText w:val="%1．"/>
      <w:lvlJc w:val="left"/>
      <w:pPr>
        <w:ind w:left="0" w:firstLine="400"/>
      </w:pPr>
      <w:rPr>
        <w:rFonts w:hint="default"/>
      </w:rPr>
    </w:lvl>
  </w:abstractNum>
  <w:abstractNum w:abstractNumId="2990805140">
    <w:nsid w:val="B2441094"/>
    <w:multiLevelType w:val="singleLevel"/>
    <w:tmpl w:val="B2441094"/>
    <w:lvl w:ilvl="0" w:tentative="1">
      <w:start w:val="1"/>
      <w:numFmt w:val="decimal"/>
      <w:suff w:val="nothing"/>
      <w:lvlText w:val="%1．"/>
      <w:lvlJc w:val="left"/>
      <w:pPr>
        <w:ind w:left="0" w:firstLine="400"/>
      </w:pPr>
      <w:rPr>
        <w:rFonts w:hint="default"/>
      </w:rPr>
    </w:lvl>
  </w:abstractNum>
  <w:abstractNum w:abstractNumId="1017928684">
    <w:nsid w:val="3CAC5BEC"/>
    <w:multiLevelType w:val="singleLevel"/>
    <w:tmpl w:val="3CAC5BEC"/>
    <w:lvl w:ilvl="0" w:tentative="1">
      <w:start w:val="1"/>
      <w:numFmt w:val="decimal"/>
      <w:suff w:val="nothing"/>
      <w:lvlText w:val="%1．"/>
      <w:lvlJc w:val="left"/>
      <w:pPr>
        <w:ind w:left="0" w:firstLine="400"/>
      </w:pPr>
      <w:rPr>
        <w:rFonts w:hint="default"/>
      </w:rPr>
    </w:lvl>
  </w:abstractNum>
  <w:abstractNum w:abstractNumId="3063048962">
    <w:nsid w:val="B6926B02"/>
    <w:multiLevelType w:val="singleLevel"/>
    <w:tmpl w:val="B6926B02"/>
    <w:lvl w:ilvl="0" w:tentative="1">
      <w:start w:val="1"/>
      <w:numFmt w:val="decimal"/>
      <w:suff w:val="nothing"/>
      <w:lvlText w:val="%1．"/>
      <w:lvlJc w:val="left"/>
      <w:pPr>
        <w:ind w:left="0" w:firstLine="400"/>
      </w:pPr>
      <w:rPr>
        <w:rFonts w:hint="default"/>
      </w:rPr>
    </w:lvl>
  </w:abstractNum>
  <w:abstractNum w:abstractNumId="3476090950">
    <w:nsid w:val="CF30F046"/>
    <w:multiLevelType w:val="singleLevel"/>
    <w:tmpl w:val="CF30F046"/>
    <w:lvl w:ilvl="0" w:tentative="1">
      <w:start w:val="1"/>
      <w:numFmt w:val="decimal"/>
      <w:suff w:val="nothing"/>
      <w:lvlText w:val="%1．"/>
      <w:lvlJc w:val="left"/>
      <w:pPr>
        <w:ind w:left="0" w:firstLine="400"/>
      </w:pPr>
      <w:rPr>
        <w:rFonts w:hint="default"/>
      </w:rPr>
    </w:lvl>
  </w:abstractNum>
  <w:abstractNum w:abstractNumId="43821387">
    <w:nsid w:val="029CA94B"/>
    <w:multiLevelType w:val="singleLevel"/>
    <w:tmpl w:val="029CA94B"/>
    <w:lvl w:ilvl="0" w:tentative="1">
      <w:start w:val="1"/>
      <w:numFmt w:val="decimal"/>
      <w:suff w:val="nothing"/>
      <w:lvlText w:val="%1．"/>
      <w:lvlJc w:val="left"/>
      <w:pPr>
        <w:ind w:left="0" w:firstLine="400"/>
      </w:pPr>
      <w:rPr>
        <w:rFonts w:hint="default"/>
      </w:rPr>
    </w:lvl>
  </w:abstractNum>
  <w:abstractNum w:abstractNumId="1245741555">
    <w:nsid w:val="4A4081F3"/>
    <w:multiLevelType w:val="singleLevel"/>
    <w:tmpl w:val="4A4081F3"/>
    <w:lvl w:ilvl="0" w:tentative="1">
      <w:start w:val="1"/>
      <w:numFmt w:val="decimal"/>
      <w:suff w:val="nothing"/>
      <w:lvlText w:val="%1．"/>
      <w:lvlJc w:val="left"/>
      <w:pPr>
        <w:ind w:left="0" w:firstLine="400"/>
      </w:pPr>
      <w:rPr>
        <w:rFonts w:hint="default"/>
      </w:rPr>
    </w:lvl>
  </w:abstractNum>
  <w:abstractNum w:abstractNumId="3057674480">
    <w:nsid w:val="B64068F0"/>
    <w:multiLevelType w:val="singleLevel"/>
    <w:tmpl w:val="B64068F0"/>
    <w:lvl w:ilvl="0" w:tentative="1">
      <w:start w:val="1"/>
      <w:numFmt w:val="decimal"/>
      <w:suff w:val="nothing"/>
      <w:lvlText w:val="%1．"/>
      <w:lvlJc w:val="left"/>
      <w:pPr>
        <w:ind w:left="0" w:firstLine="400"/>
      </w:pPr>
      <w:rPr>
        <w:rFonts w:hint="default"/>
      </w:rPr>
    </w:lvl>
  </w:abstractNum>
  <w:abstractNum w:abstractNumId="3748131752">
    <w:nsid w:val="DF67F3A8"/>
    <w:multiLevelType w:val="singleLevel"/>
    <w:tmpl w:val="DF67F3A8"/>
    <w:lvl w:ilvl="0" w:tentative="1">
      <w:start w:val="1"/>
      <w:numFmt w:val="decimal"/>
      <w:suff w:val="nothing"/>
      <w:lvlText w:val="%1．"/>
      <w:lvlJc w:val="left"/>
      <w:pPr>
        <w:ind w:left="0" w:firstLine="400"/>
      </w:pPr>
      <w:rPr>
        <w:rFonts w:hint="default"/>
      </w:rPr>
    </w:lvl>
  </w:abstractNum>
  <w:abstractNum w:abstractNumId="1086925691">
    <w:nsid w:val="40C92B7B"/>
    <w:multiLevelType w:val="singleLevel"/>
    <w:tmpl w:val="40C92B7B"/>
    <w:lvl w:ilvl="0" w:tentative="1">
      <w:start w:val="1"/>
      <w:numFmt w:val="decimal"/>
      <w:suff w:val="nothing"/>
      <w:lvlText w:val="%1．"/>
      <w:lvlJc w:val="left"/>
      <w:pPr>
        <w:ind w:left="0" w:firstLine="400"/>
      </w:pPr>
      <w:rPr>
        <w:rFonts w:hint="default"/>
      </w:rPr>
    </w:lvl>
  </w:abstractNum>
  <w:abstractNum w:abstractNumId="700876340">
    <w:nsid w:val="29C68634"/>
    <w:multiLevelType w:val="singleLevel"/>
    <w:tmpl w:val="29C68634"/>
    <w:lvl w:ilvl="0" w:tentative="1">
      <w:start w:val="1"/>
      <w:numFmt w:val="decimal"/>
      <w:suff w:val="nothing"/>
      <w:lvlText w:val="%1．"/>
      <w:lvlJc w:val="left"/>
      <w:pPr>
        <w:ind w:left="0" w:firstLine="400"/>
      </w:pPr>
      <w:rPr>
        <w:rFonts w:hint="default"/>
      </w:rPr>
    </w:lvl>
  </w:abstractNum>
  <w:abstractNum w:abstractNumId="206314393">
    <w:nsid w:val="0C4C1B99"/>
    <w:multiLevelType w:val="singleLevel"/>
    <w:tmpl w:val="0C4C1B99"/>
    <w:lvl w:ilvl="0" w:tentative="1">
      <w:start w:val="1"/>
      <w:numFmt w:val="decimal"/>
      <w:suff w:val="nothing"/>
      <w:lvlText w:val="%1．"/>
      <w:lvlJc w:val="left"/>
      <w:pPr>
        <w:ind w:left="0" w:firstLine="400"/>
      </w:pPr>
      <w:rPr>
        <w:rFonts w:hint="default"/>
      </w:rPr>
    </w:lvl>
  </w:abstractNum>
  <w:abstractNum w:abstractNumId="1709165102">
    <w:nsid w:val="65DFCA2E"/>
    <w:multiLevelType w:val="singleLevel"/>
    <w:tmpl w:val="65DFCA2E"/>
    <w:lvl w:ilvl="0" w:tentative="1">
      <w:start w:val="1"/>
      <w:numFmt w:val="decimal"/>
      <w:suff w:val="nothing"/>
      <w:lvlText w:val="%1．"/>
      <w:lvlJc w:val="left"/>
      <w:pPr>
        <w:ind w:left="0" w:firstLine="400"/>
      </w:pPr>
      <w:rPr>
        <w:rFonts w:hint="default"/>
      </w:rPr>
    </w:lvl>
  </w:abstractNum>
  <w:abstractNum w:abstractNumId="3547686211">
    <w:nsid w:val="D3756543"/>
    <w:multiLevelType w:val="singleLevel"/>
    <w:tmpl w:val="D3756543"/>
    <w:lvl w:ilvl="0" w:tentative="1">
      <w:start w:val="1"/>
      <w:numFmt w:val="decimal"/>
      <w:suff w:val="nothing"/>
      <w:lvlText w:val="%1．"/>
      <w:lvlJc w:val="left"/>
      <w:pPr>
        <w:ind w:left="0" w:firstLine="400"/>
      </w:pPr>
      <w:rPr>
        <w:rFonts w:hint="default"/>
      </w:rPr>
    </w:lvl>
  </w:abstractNum>
  <w:abstractNum w:abstractNumId="1837293531">
    <w:nsid w:val="6D82DFDB"/>
    <w:multiLevelType w:val="singleLevel"/>
    <w:tmpl w:val="6D82DFDB"/>
    <w:lvl w:ilvl="0" w:tentative="1">
      <w:start w:val="1"/>
      <w:numFmt w:val="decimal"/>
      <w:suff w:val="nothing"/>
      <w:lvlText w:val="%1．"/>
      <w:lvlJc w:val="left"/>
      <w:pPr>
        <w:ind w:left="0" w:firstLine="400"/>
      </w:pPr>
      <w:rPr>
        <w:rFonts w:hint="default"/>
      </w:rPr>
    </w:lvl>
  </w:abstractNum>
  <w:abstractNum w:abstractNumId="2716868673">
    <w:nsid w:val="A1F02041"/>
    <w:multiLevelType w:val="singleLevel"/>
    <w:tmpl w:val="A1F02041"/>
    <w:lvl w:ilvl="0" w:tentative="1">
      <w:start w:val="1"/>
      <w:numFmt w:val="decimal"/>
      <w:suff w:val="nothing"/>
      <w:lvlText w:val="%1．"/>
      <w:lvlJc w:val="left"/>
      <w:pPr>
        <w:ind w:left="0" w:firstLine="400"/>
      </w:pPr>
      <w:rPr>
        <w:rFonts w:hint="default"/>
      </w:rPr>
    </w:lvl>
  </w:abstractNum>
  <w:abstractNum w:abstractNumId="1873189603">
    <w:nsid w:val="6FA69AE3"/>
    <w:multiLevelType w:val="singleLevel"/>
    <w:tmpl w:val="6FA69AE3"/>
    <w:lvl w:ilvl="0" w:tentative="1">
      <w:start w:val="1"/>
      <w:numFmt w:val="decimal"/>
      <w:suff w:val="nothing"/>
      <w:lvlText w:val="%1．"/>
      <w:lvlJc w:val="left"/>
      <w:pPr>
        <w:ind w:left="0" w:firstLine="400"/>
      </w:pPr>
      <w:rPr>
        <w:rFonts w:hint="default"/>
      </w:rPr>
    </w:lvl>
  </w:abstractNum>
  <w:abstractNum w:abstractNumId="3962930202">
    <w:nsid w:val="EC35841A"/>
    <w:multiLevelType w:val="singleLevel"/>
    <w:tmpl w:val="EC35841A"/>
    <w:lvl w:ilvl="0" w:tentative="1">
      <w:start w:val="1"/>
      <w:numFmt w:val="decimal"/>
      <w:suff w:val="nothing"/>
      <w:lvlText w:val="%1．"/>
      <w:lvlJc w:val="left"/>
      <w:pPr>
        <w:ind w:left="0" w:firstLine="400"/>
      </w:pPr>
      <w:rPr>
        <w:rFonts w:hint="default"/>
      </w:rPr>
    </w:lvl>
  </w:abstractNum>
  <w:abstractNum w:abstractNumId="1390112629">
    <w:nsid w:val="52DB6F75"/>
    <w:multiLevelType w:val="singleLevel"/>
    <w:tmpl w:val="52DB6F75"/>
    <w:lvl w:ilvl="0" w:tentative="1">
      <w:start w:val="1"/>
      <w:numFmt w:val="decimal"/>
      <w:suff w:val="nothing"/>
      <w:lvlText w:val="%1．"/>
      <w:lvlJc w:val="left"/>
      <w:pPr>
        <w:ind w:left="0" w:firstLine="400"/>
      </w:pPr>
      <w:rPr>
        <w:rFonts w:hint="default"/>
      </w:rPr>
    </w:lvl>
  </w:abstractNum>
  <w:abstractNum w:abstractNumId="1679238143">
    <w:nsid w:val="641723FF"/>
    <w:multiLevelType w:val="multilevel"/>
    <w:tmpl w:val="641723FF"/>
    <w:lvl w:ilvl="0" w:tentative="1">
      <w:start w:val="1"/>
      <w:numFmt w:val="decimal"/>
      <w:pStyle w:val="15"/>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43468400">
    <w:nsid w:val="6DE11870"/>
    <w:multiLevelType w:val="multilevel"/>
    <w:tmpl w:val="6DE11870"/>
    <w:lvl w:ilvl="0" w:tentative="1">
      <w:start w:val="1"/>
      <w:numFmt w:val="decimal"/>
      <w:pStyle w:val="18"/>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23137771">
    <w:nsid w:val="2B1A34EB"/>
    <w:multiLevelType w:val="multilevel"/>
    <w:tmpl w:val="2B1A34EB"/>
    <w:lvl w:ilvl="0" w:tentative="1">
      <w:start w:val="1"/>
      <w:numFmt w:val="decimal"/>
      <w:lvlText w:val="%1."/>
      <w:lvlJc w:val="left"/>
      <w:pPr>
        <w:ind w:left="420" w:hanging="420"/>
      </w:pPr>
    </w:lvl>
    <w:lvl w:ilvl="1" w:tentative="1">
      <w:start w:val="1"/>
      <w:numFmt w:val="lowerLetter"/>
      <w:pStyle w:val="170"/>
      <w:lvlText w:val="%2)"/>
      <w:lvlJc w:val="left"/>
      <w:pPr>
        <w:ind w:left="840" w:hanging="420"/>
      </w:pPr>
    </w:lvl>
    <w:lvl w:ilvl="2" w:tentative="1">
      <w:start w:val="1"/>
      <w:numFmt w:val="lowerRoman"/>
      <w:pStyle w:val="172"/>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18995049">
    <w:nsid w:val="607FE769"/>
    <w:multiLevelType w:val="singleLevel"/>
    <w:tmpl w:val="607FE769"/>
    <w:lvl w:ilvl="0" w:tentative="1">
      <w:start w:val="2"/>
      <w:numFmt w:val="chineseCounting"/>
      <w:suff w:val="space"/>
      <w:lvlText w:val="第%1章"/>
      <w:lvlJc w:val="left"/>
    </w:lvl>
  </w:abstractNum>
  <w:abstractNum w:abstractNumId="2738153486">
    <w:nsid w:val="A334E80E"/>
    <w:multiLevelType w:val="singleLevel"/>
    <w:tmpl w:val="A334E80E"/>
    <w:lvl w:ilvl="0" w:tentative="1">
      <w:start w:val="1"/>
      <w:numFmt w:val="decimal"/>
      <w:suff w:val="nothing"/>
      <w:lvlText w:val="%1．"/>
      <w:lvlJc w:val="left"/>
      <w:pPr>
        <w:ind w:left="0" w:firstLine="400"/>
      </w:pPr>
      <w:rPr>
        <w:rFonts w:hint="default"/>
      </w:rPr>
    </w:lvl>
  </w:abstractNum>
  <w:abstractNum w:abstractNumId="2134979599">
    <w:nsid w:val="7F41340F"/>
    <w:multiLevelType w:val="singleLevel"/>
    <w:tmpl w:val="7F41340F"/>
    <w:lvl w:ilvl="0" w:tentative="1">
      <w:start w:val="2"/>
      <w:numFmt w:val="decimal"/>
      <w:lvlText w:val="%1、"/>
      <w:lvlJc w:val="left"/>
      <w:pPr>
        <w:tabs>
          <w:tab w:val="left" w:pos="1620"/>
        </w:tabs>
        <w:ind w:left="1620" w:hanging="720"/>
      </w:pPr>
      <w:rPr>
        <w:rFonts w:hint="eastAsia"/>
      </w:rPr>
    </w:lvl>
  </w:abstractNum>
  <w:abstractNum w:abstractNumId="1504493287">
    <w:nsid w:val="59ACBEE7"/>
    <w:multiLevelType w:val="singleLevel"/>
    <w:tmpl w:val="59ACBEE7"/>
    <w:lvl w:ilvl="0" w:tentative="1">
      <w:start w:val="1"/>
      <w:numFmt w:val="decimal"/>
      <w:suff w:val="nothing"/>
      <w:lvlText w:val="%1、"/>
      <w:lvlJc w:val="left"/>
      <w:rPr>
        <w:rFonts w:cs="Times New Roman"/>
      </w:rPr>
    </w:lvl>
  </w:abstractNum>
  <w:abstractNum w:abstractNumId="1610007584">
    <w:nsid w:val="5FF6C420"/>
    <w:multiLevelType w:val="singleLevel"/>
    <w:tmpl w:val="5FF6C420"/>
    <w:lvl w:ilvl="0" w:tentative="1">
      <w:start w:val="1"/>
      <w:numFmt w:val="decimal"/>
      <w:suff w:val="space"/>
      <w:lvlText w:val="%1."/>
      <w:lvlJc w:val="left"/>
    </w:lvl>
  </w:abstractNum>
  <w:abstractNum w:abstractNumId="507476516">
    <w:nsid w:val="1E3F7A24"/>
    <w:multiLevelType w:val="singleLevel"/>
    <w:tmpl w:val="1E3F7A24"/>
    <w:lvl w:ilvl="0" w:tentative="1">
      <w:start w:val="1"/>
      <w:numFmt w:val="decimal"/>
      <w:suff w:val="nothing"/>
      <w:lvlText w:val="%1．"/>
      <w:lvlJc w:val="left"/>
      <w:pPr>
        <w:ind w:left="0" w:firstLine="400"/>
      </w:pPr>
      <w:rPr>
        <w:rFonts w:hint="default"/>
      </w:rPr>
    </w:lvl>
  </w:abstractNum>
  <w:abstractNum w:abstractNumId="71061562">
    <w:nsid w:val="043C503A"/>
    <w:multiLevelType w:val="singleLevel"/>
    <w:tmpl w:val="043C503A"/>
    <w:lvl w:ilvl="0" w:tentative="1">
      <w:start w:val="1"/>
      <w:numFmt w:val="decimal"/>
      <w:suff w:val="nothing"/>
      <w:lvlText w:val="%1．"/>
      <w:lvlJc w:val="left"/>
      <w:pPr>
        <w:ind w:left="0" w:firstLine="400"/>
      </w:pPr>
      <w:rPr>
        <w:rFonts w:hint="default"/>
      </w:rPr>
    </w:lvl>
  </w:abstractNum>
  <w:abstractNum w:abstractNumId="267081633">
    <w:nsid w:val="0FEB57A1"/>
    <w:multiLevelType w:val="singleLevel"/>
    <w:tmpl w:val="0FEB57A1"/>
    <w:lvl w:ilvl="0" w:tentative="1">
      <w:start w:val="1"/>
      <w:numFmt w:val="decimal"/>
      <w:suff w:val="nothing"/>
      <w:lvlText w:val="%1．"/>
      <w:lvlJc w:val="left"/>
      <w:pPr>
        <w:ind w:left="0" w:firstLine="400"/>
      </w:pPr>
      <w:rPr>
        <w:rFonts w:hint="default"/>
      </w:rPr>
    </w:lvl>
  </w:abstractNum>
  <w:abstractNum w:abstractNumId="381169946">
    <w:nsid w:val="16B8311A"/>
    <w:multiLevelType w:val="singleLevel"/>
    <w:tmpl w:val="16B8311A"/>
    <w:lvl w:ilvl="0" w:tentative="1">
      <w:start w:val="1"/>
      <w:numFmt w:val="decimal"/>
      <w:suff w:val="nothing"/>
      <w:lvlText w:val="%1．"/>
      <w:lvlJc w:val="left"/>
      <w:pPr>
        <w:ind w:left="0" w:firstLine="400"/>
      </w:pPr>
      <w:rPr>
        <w:rFonts w:hint="default"/>
      </w:rPr>
    </w:lvl>
  </w:abstractNum>
  <w:abstractNum w:abstractNumId="2553498010">
    <w:nsid w:val="9833499A"/>
    <w:multiLevelType w:val="singleLevel"/>
    <w:tmpl w:val="9833499A"/>
    <w:lvl w:ilvl="0" w:tentative="1">
      <w:start w:val="1"/>
      <w:numFmt w:val="decimal"/>
      <w:suff w:val="nothing"/>
      <w:lvlText w:val="%1．"/>
      <w:lvlJc w:val="left"/>
      <w:pPr>
        <w:ind w:left="0" w:firstLine="400"/>
      </w:pPr>
      <w:rPr>
        <w:rFonts w:hint="default"/>
      </w:rPr>
    </w:lvl>
  </w:abstractNum>
  <w:abstractNum w:abstractNumId="1124848378">
    <w:nsid w:val="430BD2FA"/>
    <w:multiLevelType w:val="singleLevel"/>
    <w:tmpl w:val="430BD2FA"/>
    <w:lvl w:ilvl="0" w:tentative="1">
      <w:start w:val="1"/>
      <w:numFmt w:val="decimal"/>
      <w:suff w:val="nothing"/>
      <w:lvlText w:val="%1．"/>
      <w:lvlJc w:val="left"/>
      <w:pPr>
        <w:ind w:left="0" w:firstLine="400"/>
      </w:pPr>
      <w:rPr>
        <w:rFonts w:hint="default"/>
      </w:rPr>
    </w:lvl>
  </w:abstractNum>
  <w:abstractNum w:abstractNumId="3441117480">
    <w:nsid w:val="CD1B4928"/>
    <w:multiLevelType w:val="singleLevel"/>
    <w:tmpl w:val="CD1B4928"/>
    <w:lvl w:ilvl="0" w:tentative="1">
      <w:start w:val="1"/>
      <w:numFmt w:val="decimal"/>
      <w:suff w:val="nothing"/>
      <w:lvlText w:val="%1．"/>
      <w:lvlJc w:val="left"/>
      <w:pPr>
        <w:ind w:left="0" w:firstLine="400"/>
      </w:pPr>
      <w:rPr>
        <w:rFonts w:hint="default"/>
      </w:rPr>
    </w:lvl>
  </w:abstractNum>
  <w:abstractNum w:abstractNumId="1531814332">
    <w:nsid w:val="5B4DA1BC"/>
    <w:multiLevelType w:val="singleLevel"/>
    <w:tmpl w:val="5B4DA1BC"/>
    <w:lvl w:ilvl="0" w:tentative="1">
      <w:start w:val="2"/>
      <w:numFmt w:val="decimal"/>
      <w:suff w:val="nothing"/>
      <w:lvlText w:val="%1、"/>
      <w:lvlJc w:val="left"/>
    </w:lvl>
  </w:abstractNum>
  <w:abstractNum w:abstractNumId="3919687920">
    <w:nsid w:val="E9A1B0F0"/>
    <w:multiLevelType w:val="singleLevel"/>
    <w:tmpl w:val="E9A1B0F0"/>
    <w:lvl w:ilvl="0" w:tentative="1">
      <w:start w:val="1"/>
      <w:numFmt w:val="decimal"/>
      <w:suff w:val="nothing"/>
      <w:lvlText w:val="%1．"/>
      <w:lvlJc w:val="left"/>
      <w:pPr>
        <w:ind w:left="0" w:firstLine="400"/>
      </w:pPr>
      <w:rPr>
        <w:rFonts w:hint="default"/>
      </w:rPr>
    </w:lvl>
  </w:abstractNum>
  <w:abstractNum w:abstractNumId="1595849027">
    <w:nsid w:val="5F1EB943"/>
    <w:multiLevelType w:val="singleLevel"/>
    <w:tmpl w:val="5F1EB943"/>
    <w:lvl w:ilvl="0" w:tentative="1">
      <w:start w:val="1"/>
      <w:numFmt w:val="decimal"/>
      <w:suff w:val="nothing"/>
      <w:lvlText w:val="%1．"/>
      <w:lvlJc w:val="left"/>
      <w:pPr>
        <w:ind w:left="0" w:firstLine="400"/>
      </w:pPr>
      <w:rPr>
        <w:rFonts w:hint="default"/>
      </w:rPr>
    </w:lvl>
  </w:abstractNum>
  <w:num w:numId="1">
    <w:abstractNumId w:val="1679238143"/>
  </w:num>
  <w:num w:numId="2">
    <w:abstractNumId w:val="1843468400"/>
  </w:num>
  <w:num w:numId="3">
    <w:abstractNumId w:val="723137771"/>
  </w:num>
  <w:num w:numId="4">
    <w:abstractNumId w:val="1618995049"/>
  </w:num>
  <w:num w:numId="5">
    <w:abstractNumId w:val="156379079"/>
  </w:num>
  <w:num w:numId="6">
    <w:abstractNumId w:val="2738153486"/>
  </w:num>
  <w:num w:numId="7">
    <w:abstractNumId w:val="3962930202"/>
  </w:num>
  <w:num w:numId="8">
    <w:abstractNumId w:val="321314494"/>
  </w:num>
  <w:num w:numId="9">
    <w:abstractNumId w:val="2788297528"/>
  </w:num>
  <w:num w:numId="10">
    <w:abstractNumId w:val="959072428"/>
  </w:num>
  <w:num w:numId="11">
    <w:abstractNumId w:val="2117388409"/>
  </w:num>
  <w:num w:numId="12">
    <w:abstractNumId w:val="2397907278"/>
  </w:num>
  <w:num w:numId="13">
    <w:abstractNumId w:val="272160722"/>
  </w:num>
  <w:num w:numId="14">
    <w:abstractNumId w:val="1100508966"/>
  </w:num>
  <w:num w:numId="15">
    <w:abstractNumId w:val="2070534495"/>
  </w:num>
  <w:num w:numId="16">
    <w:abstractNumId w:val="2716868673"/>
  </w:num>
  <w:num w:numId="17">
    <w:abstractNumId w:val="1837293531"/>
  </w:num>
  <w:num w:numId="18">
    <w:abstractNumId w:val="3547686211"/>
  </w:num>
  <w:num w:numId="19">
    <w:abstractNumId w:val="1709165102"/>
  </w:num>
  <w:num w:numId="20">
    <w:abstractNumId w:val="206314393"/>
  </w:num>
  <w:num w:numId="21">
    <w:abstractNumId w:val="1086925691"/>
  </w:num>
  <w:num w:numId="22">
    <w:abstractNumId w:val="3748131752"/>
  </w:num>
  <w:num w:numId="23">
    <w:abstractNumId w:val="3057674480"/>
  </w:num>
  <w:num w:numId="24">
    <w:abstractNumId w:val="1245741555"/>
  </w:num>
  <w:num w:numId="25">
    <w:abstractNumId w:val="3476090950"/>
  </w:num>
  <w:num w:numId="26">
    <w:abstractNumId w:val="3063048962"/>
  </w:num>
  <w:num w:numId="27">
    <w:abstractNumId w:val="1017928684"/>
  </w:num>
  <w:num w:numId="28">
    <w:abstractNumId w:val="43821387"/>
  </w:num>
  <w:num w:numId="29">
    <w:abstractNumId w:val="700876340"/>
  </w:num>
  <w:num w:numId="30">
    <w:abstractNumId w:val="3441117480"/>
  </w:num>
  <w:num w:numId="31">
    <w:abstractNumId w:val="1124848378"/>
  </w:num>
  <w:num w:numId="32">
    <w:abstractNumId w:val="2553498010"/>
  </w:num>
  <w:num w:numId="33">
    <w:abstractNumId w:val="267081633"/>
  </w:num>
  <w:num w:numId="34">
    <w:abstractNumId w:val="71061562"/>
  </w:num>
  <w:num w:numId="35">
    <w:abstractNumId w:val="507476516"/>
  </w:num>
  <w:num w:numId="36">
    <w:abstractNumId w:val="381169946"/>
  </w:num>
  <w:num w:numId="37">
    <w:abstractNumId w:val="1390112629"/>
  </w:num>
  <w:num w:numId="38">
    <w:abstractNumId w:val="1873189603"/>
  </w:num>
  <w:num w:numId="39">
    <w:abstractNumId w:val="1595849027"/>
  </w:num>
  <w:num w:numId="40">
    <w:abstractNumId w:val="3919687920"/>
  </w:num>
  <w:num w:numId="41">
    <w:abstractNumId w:val="2134979599"/>
  </w:num>
  <w:num w:numId="42">
    <w:abstractNumId w:val="1610007584"/>
  </w:num>
  <w:num w:numId="43">
    <w:abstractNumId w:val="1504493287"/>
  </w:num>
  <w:num w:numId="44">
    <w:abstractNumId w:val="1531814332"/>
  </w:num>
  <w:num w:numId="45">
    <w:abstractNumId w:val="2555468025"/>
  </w:num>
  <w:num w:numId="46">
    <w:abstractNumId w:val="29908051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02BD"/>
    <w:rsid w:val="00025F4A"/>
    <w:rsid w:val="00026A02"/>
    <w:rsid w:val="00030E74"/>
    <w:rsid w:val="00031467"/>
    <w:rsid w:val="0003254D"/>
    <w:rsid w:val="00032E39"/>
    <w:rsid w:val="00034AF2"/>
    <w:rsid w:val="00036D69"/>
    <w:rsid w:val="000404A4"/>
    <w:rsid w:val="00041C10"/>
    <w:rsid w:val="00042B4E"/>
    <w:rsid w:val="00042EB3"/>
    <w:rsid w:val="00045487"/>
    <w:rsid w:val="0004607A"/>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55A"/>
    <w:rsid w:val="00134E45"/>
    <w:rsid w:val="0013792B"/>
    <w:rsid w:val="00140519"/>
    <w:rsid w:val="00144132"/>
    <w:rsid w:val="001443A3"/>
    <w:rsid w:val="0014477F"/>
    <w:rsid w:val="00144E22"/>
    <w:rsid w:val="00145FC1"/>
    <w:rsid w:val="00153938"/>
    <w:rsid w:val="00154FA3"/>
    <w:rsid w:val="001568D6"/>
    <w:rsid w:val="001603BB"/>
    <w:rsid w:val="00160F1A"/>
    <w:rsid w:val="001613F6"/>
    <w:rsid w:val="00161742"/>
    <w:rsid w:val="00162AC7"/>
    <w:rsid w:val="00163C6B"/>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4607"/>
    <w:rsid w:val="001B51FE"/>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1F7C4A"/>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7043"/>
    <w:rsid w:val="002A0D60"/>
    <w:rsid w:val="002A1458"/>
    <w:rsid w:val="002A2966"/>
    <w:rsid w:val="002A2D74"/>
    <w:rsid w:val="002A350A"/>
    <w:rsid w:val="002A5605"/>
    <w:rsid w:val="002A75FF"/>
    <w:rsid w:val="002B0321"/>
    <w:rsid w:val="002B1E3C"/>
    <w:rsid w:val="002B4EEF"/>
    <w:rsid w:val="002B510A"/>
    <w:rsid w:val="002B5196"/>
    <w:rsid w:val="002B5982"/>
    <w:rsid w:val="002B6139"/>
    <w:rsid w:val="002C1486"/>
    <w:rsid w:val="002C549E"/>
    <w:rsid w:val="002C55D2"/>
    <w:rsid w:val="002D39A3"/>
    <w:rsid w:val="002D3BB1"/>
    <w:rsid w:val="002D4566"/>
    <w:rsid w:val="002D4C27"/>
    <w:rsid w:val="002D4D08"/>
    <w:rsid w:val="002D6292"/>
    <w:rsid w:val="002D6B47"/>
    <w:rsid w:val="002D73CD"/>
    <w:rsid w:val="002E272E"/>
    <w:rsid w:val="002E2BEE"/>
    <w:rsid w:val="002E3121"/>
    <w:rsid w:val="002E3D90"/>
    <w:rsid w:val="002E41DB"/>
    <w:rsid w:val="002E5D7F"/>
    <w:rsid w:val="002F3D28"/>
    <w:rsid w:val="002F603A"/>
    <w:rsid w:val="003032C9"/>
    <w:rsid w:val="003034D2"/>
    <w:rsid w:val="00305221"/>
    <w:rsid w:val="00306305"/>
    <w:rsid w:val="0030784B"/>
    <w:rsid w:val="00311320"/>
    <w:rsid w:val="00312109"/>
    <w:rsid w:val="00313655"/>
    <w:rsid w:val="00313C6B"/>
    <w:rsid w:val="00314DA9"/>
    <w:rsid w:val="00317FBE"/>
    <w:rsid w:val="0032495C"/>
    <w:rsid w:val="00325B6A"/>
    <w:rsid w:val="0032613D"/>
    <w:rsid w:val="00327F94"/>
    <w:rsid w:val="00330393"/>
    <w:rsid w:val="0033149C"/>
    <w:rsid w:val="00335987"/>
    <w:rsid w:val="003451D5"/>
    <w:rsid w:val="00345C73"/>
    <w:rsid w:val="00345F39"/>
    <w:rsid w:val="0034601A"/>
    <w:rsid w:val="00347C07"/>
    <w:rsid w:val="00350C68"/>
    <w:rsid w:val="00353396"/>
    <w:rsid w:val="00354041"/>
    <w:rsid w:val="00356AA8"/>
    <w:rsid w:val="003618CD"/>
    <w:rsid w:val="003630D0"/>
    <w:rsid w:val="00366D40"/>
    <w:rsid w:val="00367C72"/>
    <w:rsid w:val="00367ED7"/>
    <w:rsid w:val="003751EF"/>
    <w:rsid w:val="00375E93"/>
    <w:rsid w:val="003977AF"/>
    <w:rsid w:val="00397FCB"/>
    <w:rsid w:val="003A118C"/>
    <w:rsid w:val="003A17D7"/>
    <w:rsid w:val="003A21C4"/>
    <w:rsid w:val="003A3CE9"/>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17342"/>
    <w:rsid w:val="0043001F"/>
    <w:rsid w:val="004307A3"/>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3CA6"/>
    <w:rsid w:val="004943E8"/>
    <w:rsid w:val="00495E2B"/>
    <w:rsid w:val="00495E3C"/>
    <w:rsid w:val="004A020F"/>
    <w:rsid w:val="004A2044"/>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3B1"/>
    <w:rsid w:val="004D150A"/>
    <w:rsid w:val="004D29FF"/>
    <w:rsid w:val="004D626B"/>
    <w:rsid w:val="004D6905"/>
    <w:rsid w:val="004D6F27"/>
    <w:rsid w:val="004D7553"/>
    <w:rsid w:val="004D7C4C"/>
    <w:rsid w:val="004E0302"/>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19B3"/>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37FA7"/>
    <w:rsid w:val="00541249"/>
    <w:rsid w:val="00541A28"/>
    <w:rsid w:val="00543072"/>
    <w:rsid w:val="005507B7"/>
    <w:rsid w:val="0055158F"/>
    <w:rsid w:val="005527B8"/>
    <w:rsid w:val="00557FFD"/>
    <w:rsid w:val="005618A8"/>
    <w:rsid w:val="00561DC5"/>
    <w:rsid w:val="005630BA"/>
    <w:rsid w:val="00565484"/>
    <w:rsid w:val="005661C0"/>
    <w:rsid w:val="00566AE5"/>
    <w:rsid w:val="00566D88"/>
    <w:rsid w:val="005701DE"/>
    <w:rsid w:val="0057111D"/>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06FB"/>
    <w:rsid w:val="005B350D"/>
    <w:rsid w:val="005B6142"/>
    <w:rsid w:val="005B681E"/>
    <w:rsid w:val="005C0C63"/>
    <w:rsid w:val="005C0E04"/>
    <w:rsid w:val="005C19C0"/>
    <w:rsid w:val="005C6B3F"/>
    <w:rsid w:val="005D46CD"/>
    <w:rsid w:val="005D4A96"/>
    <w:rsid w:val="005D5E1B"/>
    <w:rsid w:val="005D7FC7"/>
    <w:rsid w:val="005E654C"/>
    <w:rsid w:val="005E7132"/>
    <w:rsid w:val="005F26B4"/>
    <w:rsid w:val="005F2D62"/>
    <w:rsid w:val="005F2D88"/>
    <w:rsid w:val="005F4D1B"/>
    <w:rsid w:val="005F4FB8"/>
    <w:rsid w:val="005F6C39"/>
    <w:rsid w:val="005F79FD"/>
    <w:rsid w:val="00600060"/>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4780"/>
    <w:rsid w:val="00655B0E"/>
    <w:rsid w:val="006566B1"/>
    <w:rsid w:val="0065776D"/>
    <w:rsid w:val="0066048B"/>
    <w:rsid w:val="006607A7"/>
    <w:rsid w:val="00664BDC"/>
    <w:rsid w:val="00665DFD"/>
    <w:rsid w:val="00682742"/>
    <w:rsid w:val="0068504F"/>
    <w:rsid w:val="00690CFF"/>
    <w:rsid w:val="00690F83"/>
    <w:rsid w:val="0069131A"/>
    <w:rsid w:val="006923E4"/>
    <w:rsid w:val="00693444"/>
    <w:rsid w:val="006938F3"/>
    <w:rsid w:val="006A06BA"/>
    <w:rsid w:val="006A31FD"/>
    <w:rsid w:val="006A482E"/>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4513"/>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2CCB"/>
    <w:rsid w:val="007238B9"/>
    <w:rsid w:val="00723E53"/>
    <w:rsid w:val="007256CA"/>
    <w:rsid w:val="00731786"/>
    <w:rsid w:val="00740830"/>
    <w:rsid w:val="00741369"/>
    <w:rsid w:val="007420A7"/>
    <w:rsid w:val="00742819"/>
    <w:rsid w:val="00742F45"/>
    <w:rsid w:val="007454AA"/>
    <w:rsid w:val="00746398"/>
    <w:rsid w:val="00746A57"/>
    <w:rsid w:val="00747674"/>
    <w:rsid w:val="00747F36"/>
    <w:rsid w:val="00751D07"/>
    <w:rsid w:val="00751D77"/>
    <w:rsid w:val="00754AB3"/>
    <w:rsid w:val="00756186"/>
    <w:rsid w:val="007647EC"/>
    <w:rsid w:val="00765AAB"/>
    <w:rsid w:val="00770034"/>
    <w:rsid w:val="00771DDD"/>
    <w:rsid w:val="0077232D"/>
    <w:rsid w:val="00772782"/>
    <w:rsid w:val="00772943"/>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5D39"/>
    <w:rsid w:val="007C6A54"/>
    <w:rsid w:val="007C6DEE"/>
    <w:rsid w:val="007C797E"/>
    <w:rsid w:val="007D0365"/>
    <w:rsid w:val="007D3F32"/>
    <w:rsid w:val="007D40E3"/>
    <w:rsid w:val="007D6B9C"/>
    <w:rsid w:val="007E0CC3"/>
    <w:rsid w:val="007E1506"/>
    <w:rsid w:val="007E1B9A"/>
    <w:rsid w:val="007E410D"/>
    <w:rsid w:val="007E59B5"/>
    <w:rsid w:val="007E6600"/>
    <w:rsid w:val="007E752E"/>
    <w:rsid w:val="007F215E"/>
    <w:rsid w:val="007F622F"/>
    <w:rsid w:val="007F7FBD"/>
    <w:rsid w:val="00800DE7"/>
    <w:rsid w:val="0080561C"/>
    <w:rsid w:val="00806B0F"/>
    <w:rsid w:val="00812188"/>
    <w:rsid w:val="00813D5B"/>
    <w:rsid w:val="008143A5"/>
    <w:rsid w:val="008153C6"/>
    <w:rsid w:val="00816D37"/>
    <w:rsid w:val="00817EFC"/>
    <w:rsid w:val="00820225"/>
    <w:rsid w:val="00824D2A"/>
    <w:rsid w:val="00825638"/>
    <w:rsid w:val="00831D3E"/>
    <w:rsid w:val="00834967"/>
    <w:rsid w:val="00834AB9"/>
    <w:rsid w:val="00835A5B"/>
    <w:rsid w:val="00836D1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0F92"/>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0EAE"/>
    <w:rsid w:val="008B14D4"/>
    <w:rsid w:val="008B1740"/>
    <w:rsid w:val="008B36B7"/>
    <w:rsid w:val="008B3A60"/>
    <w:rsid w:val="008B3DCC"/>
    <w:rsid w:val="008B3EE4"/>
    <w:rsid w:val="008B4E9D"/>
    <w:rsid w:val="008B5CE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D7DB6"/>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6DFB"/>
    <w:rsid w:val="009073FB"/>
    <w:rsid w:val="009145A2"/>
    <w:rsid w:val="009153BC"/>
    <w:rsid w:val="00915E4E"/>
    <w:rsid w:val="00916BB0"/>
    <w:rsid w:val="0091775E"/>
    <w:rsid w:val="009178D0"/>
    <w:rsid w:val="00917E73"/>
    <w:rsid w:val="00917EF0"/>
    <w:rsid w:val="00921EB3"/>
    <w:rsid w:val="0092282C"/>
    <w:rsid w:val="00923A58"/>
    <w:rsid w:val="009249F8"/>
    <w:rsid w:val="00930BA8"/>
    <w:rsid w:val="0093281F"/>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4E74"/>
    <w:rsid w:val="00986CB3"/>
    <w:rsid w:val="0099174A"/>
    <w:rsid w:val="009946C9"/>
    <w:rsid w:val="00994B9D"/>
    <w:rsid w:val="00995EBC"/>
    <w:rsid w:val="00997A29"/>
    <w:rsid w:val="009A0068"/>
    <w:rsid w:val="009A1381"/>
    <w:rsid w:val="009A22B8"/>
    <w:rsid w:val="009A3005"/>
    <w:rsid w:val="009A5355"/>
    <w:rsid w:val="009A627B"/>
    <w:rsid w:val="009A6797"/>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2E7"/>
    <w:rsid w:val="009E25ED"/>
    <w:rsid w:val="009E3BB3"/>
    <w:rsid w:val="009E4587"/>
    <w:rsid w:val="009E5E84"/>
    <w:rsid w:val="009E6073"/>
    <w:rsid w:val="009F1945"/>
    <w:rsid w:val="009F1FBA"/>
    <w:rsid w:val="009F2A5C"/>
    <w:rsid w:val="009F4B23"/>
    <w:rsid w:val="009F4DCC"/>
    <w:rsid w:val="009F51EC"/>
    <w:rsid w:val="009F5A70"/>
    <w:rsid w:val="009F636D"/>
    <w:rsid w:val="00A02599"/>
    <w:rsid w:val="00A0280C"/>
    <w:rsid w:val="00A03400"/>
    <w:rsid w:val="00A06D5A"/>
    <w:rsid w:val="00A07964"/>
    <w:rsid w:val="00A1043F"/>
    <w:rsid w:val="00A12827"/>
    <w:rsid w:val="00A15FDB"/>
    <w:rsid w:val="00A208F6"/>
    <w:rsid w:val="00A220E2"/>
    <w:rsid w:val="00A26FA5"/>
    <w:rsid w:val="00A27D3E"/>
    <w:rsid w:val="00A27F2E"/>
    <w:rsid w:val="00A31392"/>
    <w:rsid w:val="00A35E28"/>
    <w:rsid w:val="00A416A5"/>
    <w:rsid w:val="00A41CDC"/>
    <w:rsid w:val="00A44F9F"/>
    <w:rsid w:val="00A4648E"/>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869A9"/>
    <w:rsid w:val="00A90B85"/>
    <w:rsid w:val="00A92DEE"/>
    <w:rsid w:val="00A93771"/>
    <w:rsid w:val="00A941EE"/>
    <w:rsid w:val="00A97026"/>
    <w:rsid w:val="00AA0F8D"/>
    <w:rsid w:val="00AA36B8"/>
    <w:rsid w:val="00AA587A"/>
    <w:rsid w:val="00AB202E"/>
    <w:rsid w:val="00AB20E9"/>
    <w:rsid w:val="00AB590A"/>
    <w:rsid w:val="00AB6F47"/>
    <w:rsid w:val="00AC0B0F"/>
    <w:rsid w:val="00AC194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6D01"/>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04FD"/>
    <w:rsid w:val="00B51B99"/>
    <w:rsid w:val="00B53BCC"/>
    <w:rsid w:val="00B56F8E"/>
    <w:rsid w:val="00B57506"/>
    <w:rsid w:val="00B613C7"/>
    <w:rsid w:val="00B627FD"/>
    <w:rsid w:val="00B72636"/>
    <w:rsid w:val="00B72B6B"/>
    <w:rsid w:val="00B734A3"/>
    <w:rsid w:val="00B74E07"/>
    <w:rsid w:val="00B757B0"/>
    <w:rsid w:val="00B774DD"/>
    <w:rsid w:val="00B7754F"/>
    <w:rsid w:val="00B81E5E"/>
    <w:rsid w:val="00B8205F"/>
    <w:rsid w:val="00B83A8F"/>
    <w:rsid w:val="00B84D2E"/>
    <w:rsid w:val="00B87A61"/>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054F"/>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4887"/>
    <w:rsid w:val="00C45722"/>
    <w:rsid w:val="00C47B02"/>
    <w:rsid w:val="00C5040F"/>
    <w:rsid w:val="00C53349"/>
    <w:rsid w:val="00C54AAD"/>
    <w:rsid w:val="00C564FA"/>
    <w:rsid w:val="00C5747E"/>
    <w:rsid w:val="00C57981"/>
    <w:rsid w:val="00C62C73"/>
    <w:rsid w:val="00C6573F"/>
    <w:rsid w:val="00C6688C"/>
    <w:rsid w:val="00C66F21"/>
    <w:rsid w:val="00C713DA"/>
    <w:rsid w:val="00C72AF5"/>
    <w:rsid w:val="00C75619"/>
    <w:rsid w:val="00C75EF1"/>
    <w:rsid w:val="00C7782D"/>
    <w:rsid w:val="00C82B0E"/>
    <w:rsid w:val="00C82F96"/>
    <w:rsid w:val="00C8440C"/>
    <w:rsid w:val="00C858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3300"/>
    <w:rsid w:val="00CB6D94"/>
    <w:rsid w:val="00CB6F74"/>
    <w:rsid w:val="00CB716F"/>
    <w:rsid w:val="00CC1016"/>
    <w:rsid w:val="00CC1641"/>
    <w:rsid w:val="00CC1A04"/>
    <w:rsid w:val="00CC1B34"/>
    <w:rsid w:val="00CC1B6E"/>
    <w:rsid w:val="00CC38DF"/>
    <w:rsid w:val="00CC3E73"/>
    <w:rsid w:val="00CC4133"/>
    <w:rsid w:val="00CC5980"/>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47DE8"/>
    <w:rsid w:val="00D50258"/>
    <w:rsid w:val="00D51912"/>
    <w:rsid w:val="00D51D81"/>
    <w:rsid w:val="00D5294D"/>
    <w:rsid w:val="00D551C7"/>
    <w:rsid w:val="00D56D8B"/>
    <w:rsid w:val="00D57109"/>
    <w:rsid w:val="00D57421"/>
    <w:rsid w:val="00D575E6"/>
    <w:rsid w:val="00D61D10"/>
    <w:rsid w:val="00D62454"/>
    <w:rsid w:val="00D70AC4"/>
    <w:rsid w:val="00D74CF3"/>
    <w:rsid w:val="00D75DB5"/>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344"/>
    <w:rsid w:val="00DB34B5"/>
    <w:rsid w:val="00DB45A5"/>
    <w:rsid w:val="00DB4CA6"/>
    <w:rsid w:val="00DB5C8D"/>
    <w:rsid w:val="00DB65A0"/>
    <w:rsid w:val="00DC1397"/>
    <w:rsid w:val="00DC3403"/>
    <w:rsid w:val="00DC4019"/>
    <w:rsid w:val="00DC78F1"/>
    <w:rsid w:val="00DD0004"/>
    <w:rsid w:val="00DD07CE"/>
    <w:rsid w:val="00DD53ED"/>
    <w:rsid w:val="00DD5C78"/>
    <w:rsid w:val="00DD6A80"/>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48EE"/>
    <w:rsid w:val="00DF6A10"/>
    <w:rsid w:val="00E00EA5"/>
    <w:rsid w:val="00E0462E"/>
    <w:rsid w:val="00E059D1"/>
    <w:rsid w:val="00E061C1"/>
    <w:rsid w:val="00E06CCA"/>
    <w:rsid w:val="00E116B6"/>
    <w:rsid w:val="00E127AF"/>
    <w:rsid w:val="00E1516B"/>
    <w:rsid w:val="00E16DE7"/>
    <w:rsid w:val="00E16F67"/>
    <w:rsid w:val="00E20612"/>
    <w:rsid w:val="00E221EF"/>
    <w:rsid w:val="00E27ED1"/>
    <w:rsid w:val="00E30ACB"/>
    <w:rsid w:val="00E32B9F"/>
    <w:rsid w:val="00E33708"/>
    <w:rsid w:val="00E33F4B"/>
    <w:rsid w:val="00E35027"/>
    <w:rsid w:val="00E36879"/>
    <w:rsid w:val="00E36B29"/>
    <w:rsid w:val="00E37772"/>
    <w:rsid w:val="00E37FA9"/>
    <w:rsid w:val="00E40758"/>
    <w:rsid w:val="00E40F88"/>
    <w:rsid w:val="00E45E27"/>
    <w:rsid w:val="00E46FF9"/>
    <w:rsid w:val="00E479F6"/>
    <w:rsid w:val="00E50C26"/>
    <w:rsid w:val="00E51177"/>
    <w:rsid w:val="00E521C8"/>
    <w:rsid w:val="00E544B2"/>
    <w:rsid w:val="00E57012"/>
    <w:rsid w:val="00E666C3"/>
    <w:rsid w:val="00E66AD8"/>
    <w:rsid w:val="00E67979"/>
    <w:rsid w:val="00E714B1"/>
    <w:rsid w:val="00E721E4"/>
    <w:rsid w:val="00E74F68"/>
    <w:rsid w:val="00E755D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6E50"/>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453"/>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19A"/>
    <w:rsid w:val="00F5451B"/>
    <w:rsid w:val="00F54B05"/>
    <w:rsid w:val="00F54B6A"/>
    <w:rsid w:val="00F555FF"/>
    <w:rsid w:val="00F57BC7"/>
    <w:rsid w:val="00F57ED1"/>
    <w:rsid w:val="00F609CD"/>
    <w:rsid w:val="00F61148"/>
    <w:rsid w:val="00F61C38"/>
    <w:rsid w:val="00F627DC"/>
    <w:rsid w:val="00F629C7"/>
    <w:rsid w:val="00F63C23"/>
    <w:rsid w:val="00F655E3"/>
    <w:rsid w:val="00F715F2"/>
    <w:rsid w:val="00F721E7"/>
    <w:rsid w:val="00F73D12"/>
    <w:rsid w:val="00F756C6"/>
    <w:rsid w:val="00F77980"/>
    <w:rsid w:val="00F779AA"/>
    <w:rsid w:val="00F82AF1"/>
    <w:rsid w:val="00F83187"/>
    <w:rsid w:val="00F84082"/>
    <w:rsid w:val="00F86BA5"/>
    <w:rsid w:val="00F87C39"/>
    <w:rsid w:val="00F902D3"/>
    <w:rsid w:val="00F905B6"/>
    <w:rsid w:val="00F92AF7"/>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B6B80"/>
    <w:rsid w:val="01604E80"/>
    <w:rsid w:val="016D3985"/>
    <w:rsid w:val="0175612D"/>
    <w:rsid w:val="01A01AFA"/>
    <w:rsid w:val="01A9153E"/>
    <w:rsid w:val="01B42AF7"/>
    <w:rsid w:val="01C06A4B"/>
    <w:rsid w:val="01C64642"/>
    <w:rsid w:val="01CB5453"/>
    <w:rsid w:val="01E27923"/>
    <w:rsid w:val="02062B58"/>
    <w:rsid w:val="02132159"/>
    <w:rsid w:val="02531163"/>
    <w:rsid w:val="02546A97"/>
    <w:rsid w:val="025F5776"/>
    <w:rsid w:val="02644C33"/>
    <w:rsid w:val="0269067C"/>
    <w:rsid w:val="02751313"/>
    <w:rsid w:val="02857F1F"/>
    <w:rsid w:val="02B779DA"/>
    <w:rsid w:val="02C741EC"/>
    <w:rsid w:val="02CB255D"/>
    <w:rsid w:val="02D70676"/>
    <w:rsid w:val="02F01C71"/>
    <w:rsid w:val="02F04BCE"/>
    <w:rsid w:val="02F95629"/>
    <w:rsid w:val="03137D7E"/>
    <w:rsid w:val="03210061"/>
    <w:rsid w:val="034657EF"/>
    <w:rsid w:val="034F488B"/>
    <w:rsid w:val="03A92A2C"/>
    <w:rsid w:val="03BD6858"/>
    <w:rsid w:val="03C26658"/>
    <w:rsid w:val="03D21196"/>
    <w:rsid w:val="03D52124"/>
    <w:rsid w:val="043B11C4"/>
    <w:rsid w:val="04415EE3"/>
    <w:rsid w:val="044D726A"/>
    <w:rsid w:val="046B6B89"/>
    <w:rsid w:val="04707F81"/>
    <w:rsid w:val="0476275B"/>
    <w:rsid w:val="047775AF"/>
    <w:rsid w:val="04805806"/>
    <w:rsid w:val="0492451B"/>
    <w:rsid w:val="04960FA1"/>
    <w:rsid w:val="04CE27B5"/>
    <w:rsid w:val="04D12AAC"/>
    <w:rsid w:val="04DB3BDB"/>
    <w:rsid w:val="04DD2267"/>
    <w:rsid w:val="04F02C74"/>
    <w:rsid w:val="050A4816"/>
    <w:rsid w:val="05242276"/>
    <w:rsid w:val="05273450"/>
    <w:rsid w:val="053C4BD7"/>
    <w:rsid w:val="053E5083"/>
    <w:rsid w:val="05407F0F"/>
    <w:rsid w:val="054B15E0"/>
    <w:rsid w:val="056F500B"/>
    <w:rsid w:val="05AC2718"/>
    <w:rsid w:val="05B01605"/>
    <w:rsid w:val="06362A67"/>
    <w:rsid w:val="066A7233"/>
    <w:rsid w:val="067C248B"/>
    <w:rsid w:val="067F331E"/>
    <w:rsid w:val="06872211"/>
    <w:rsid w:val="0690677F"/>
    <w:rsid w:val="069912C7"/>
    <w:rsid w:val="06AF039D"/>
    <w:rsid w:val="06C705E9"/>
    <w:rsid w:val="06CB2A63"/>
    <w:rsid w:val="06CC3B1B"/>
    <w:rsid w:val="06D909EF"/>
    <w:rsid w:val="06E6032A"/>
    <w:rsid w:val="06F32C4C"/>
    <w:rsid w:val="07221759"/>
    <w:rsid w:val="072C1DB9"/>
    <w:rsid w:val="072E5B90"/>
    <w:rsid w:val="0755005F"/>
    <w:rsid w:val="07845EBA"/>
    <w:rsid w:val="078B11F7"/>
    <w:rsid w:val="078E7909"/>
    <w:rsid w:val="07996EB4"/>
    <w:rsid w:val="079E733B"/>
    <w:rsid w:val="07A36F1B"/>
    <w:rsid w:val="07A94598"/>
    <w:rsid w:val="07CC0035"/>
    <w:rsid w:val="07D945DC"/>
    <w:rsid w:val="07DB537C"/>
    <w:rsid w:val="08107785"/>
    <w:rsid w:val="082825E5"/>
    <w:rsid w:val="082D669C"/>
    <w:rsid w:val="088912F7"/>
    <w:rsid w:val="08902B73"/>
    <w:rsid w:val="08B057F3"/>
    <w:rsid w:val="08BA6E3E"/>
    <w:rsid w:val="08D35F71"/>
    <w:rsid w:val="08FD503D"/>
    <w:rsid w:val="09293151"/>
    <w:rsid w:val="092D4ADB"/>
    <w:rsid w:val="093247D0"/>
    <w:rsid w:val="094B0040"/>
    <w:rsid w:val="094F2BAF"/>
    <w:rsid w:val="096B7ED1"/>
    <w:rsid w:val="096D0679"/>
    <w:rsid w:val="09874ADA"/>
    <w:rsid w:val="099E3911"/>
    <w:rsid w:val="09A13A7B"/>
    <w:rsid w:val="09BB15AB"/>
    <w:rsid w:val="09C02513"/>
    <w:rsid w:val="09C943AD"/>
    <w:rsid w:val="09D51869"/>
    <w:rsid w:val="09E06DF4"/>
    <w:rsid w:val="09F129F2"/>
    <w:rsid w:val="0A1B07A8"/>
    <w:rsid w:val="0A453641"/>
    <w:rsid w:val="0A5A0A93"/>
    <w:rsid w:val="0A676977"/>
    <w:rsid w:val="0A6952B7"/>
    <w:rsid w:val="0A7E19BC"/>
    <w:rsid w:val="0A801E5D"/>
    <w:rsid w:val="0A9500F7"/>
    <w:rsid w:val="0AA07475"/>
    <w:rsid w:val="0ACF7D96"/>
    <w:rsid w:val="0ADB794D"/>
    <w:rsid w:val="0ADF300F"/>
    <w:rsid w:val="0AE36BBE"/>
    <w:rsid w:val="0AEB2A60"/>
    <w:rsid w:val="0AF461CA"/>
    <w:rsid w:val="0AFE662A"/>
    <w:rsid w:val="0B2769D5"/>
    <w:rsid w:val="0B3A136F"/>
    <w:rsid w:val="0B504A69"/>
    <w:rsid w:val="0B5673B8"/>
    <w:rsid w:val="0B656F36"/>
    <w:rsid w:val="0B6C28C5"/>
    <w:rsid w:val="0B955563"/>
    <w:rsid w:val="0B9C4FEC"/>
    <w:rsid w:val="0BA33880"/>
    <w:rsid w:val="0BA81580"/>
    <w:rsid w:val="0BEA1AC9"/>
    <w:rsid w:val="0BF243BC"/>
    <w:rsid w:val="0C175E9D"/>
    <w:rsid w:val="0C317937"/>
    <w:rsid w:val="0C3B2575"/>
    <w:rsid w:val="0C5F1564"/>
    <w:rsid w:val="0C68672E"/>
    <w:rsid w:val="0C6C2EEC"/>
    <w:rsid w:val="0C7737E5"/>
    <w:rsid w:val="0C7C407F"/>
    <w:rsid w:val="0C890F4D"/>
    <w:rsid w:val="0C94198B"/>
    <w:rsid w:val="0C974616"/>
    <w:rsid w:val="0C986D75"/>
    <w:rsid w:val="0CA8083B"/>
    <w:rsid w:val="0CA83953"/>
    <w:rsid w:val="0CD26A47"/>
    <w:rsid w:val="0CE64047"/>
    <w:rsid w:val="0D0431A0"/>
    <w:rsid w:val="0D105CC0"/>
    <w:rsid w:val="0D236955"/>
    <w:rsid w:val="0D387753"/>
    <w:rsid w:val="0D684C0C"/>
    <w:rsid w:val="0D7366E4"/>
    <w:rsid w:val="0D7B4EC7"/>
    <w:rsid w:val="0D8D0D41"/>
    <w:rsid w:val="0DA11273"/>
    <w:rsid w:val="0DA30FAE"/>
    <w:rsid w:val="0DA424D8"/>
    <w:rsid w:val="0DDE177A"/>
    <w:rsid w:val="0DDE6170"/>
    <w:rsid w:val="0E1359FA"/>
    <w:rsid w:val="0E1B53A5"/>
    <w:rsid w:val="0E274777"/>
    <w:rsid w:val="0E305776"/>
    <w:rsid w:val="0E3777BE"/>
    <w:rsid w:val="0E3B795C"/>
    <w:rsid w:val="0E6827C3"/>
    <w:rsid w:val="0E6E1C90"/>
    <w:rsid w:val="0E8A4737"/>
    <w:rsid w:val="0E933D26"/>
    <w:rsid w:val="0E971D46"/>
    <w:rsid w:val="0EB05D52"/>
    <w:rsid w:val="0ECB3208"/>
    <w:rsid w:val="0EE43718"/>
    <w:rsid w:val="0EE90B68"/>
    <w:rsid w:val="0EEC50BC"/>
    <w:rsid w:val="0F081F0E"/>
    <w:rsid w:val="0F223A71"/>
    <w:rsid w:val="0F333C8A"/>
    <w:rsid w:val="0F441053"/>
    <w:rsid w:val="0F6415F3"/>
    <w:rsid w:val="0F6D01FB"/>
    <w:rsid w:val="0F80584B"/>
    <w:rsid w:val="0F9124E8"/>
    <w:rsid w:val="0FBC0D1A"/>
    <w:rsid w:val="0FDF298A"/>
    <w:rsid w:val="102927A5"/>
    <w:rsid w:val="102942B6"/>
    <w:rsid w:val="10377139"/>
    <w:rsid w:val="10432E57"/>
    <w:rsid w:val="10475F34"/>
    <w:rsid w:val="104C58A2"/>
    <w:rsid w:val="10620D5D"/>
    <w:rsid w:val="10671982"/>
    <w:rsid w:val="108D7D74"/>
    <w:rsid w:val="10910D2D"/>
    <w:rsid w:val="10AF3D07"/>
    <w:rsid w:val="10B95459"/>
    <w:rsid w:val="10C770AD"/>
    <w:rsid w:val="10CB2801"/>
    <w:rsid w:val="10D23EDD"/>
    <w:rsid w:val="10F03067"/>
    <w:rsid w:val="11331221"/>
    <w:rsid w:val="114138F4"/>
    <w:rsid w:val="117F1B35"/>
    <w:rsid w:val="118544BA"/>
    <w:rsid w:val="11957DC7"/>
    <w:rsid w:val="11970C71"/>
    <w:rsid w:val="11A842FF"/>
    <w:rsid w:val="11A84BDA"/>
    <w:rsid w:val="11BA4DA3"/>
    <w:rsid w:val="11C03118"/>
    <w:rsid w:val="11E5015A"/>
    <w:rsid w:val="11E72657"/>
    <w:rsid w:val="120B1F32"/>
    <w:rsid w:val="120E0E48"/>
    <w:rsid w:val="12265805"/>
    <w:rsid w:val="123F4C14"/>
    <w:rsid w:val="124B51C6"/>
    <w:rsid w:val="12567E7B"/>
    <w:rsid w:val="126A132E"/>
    <w:rsid w:val="1276067B"/>
    <w:rsid w:val="12B1627A"/>
    <w:rsid w:val="12C36FD4"/>
    <w:rsid w:val="12CB1F54"/>
    <w:rsid w:val="12F12AA5"/>
    <w:rsid w:val="12F8774F"/>
    <w:rsid w:val="13094C4A"/>
    <w:rsid w:val="132450B4"/>
    <w:rsid w:val="13416B2E"/>
    <w:rsid w:val="136254A2"/>
    <w:rsid w:val="136F32AE"/>
    <w:rsid w:val="13816691"/>
    <w:rsid w:val="13893CE1"/>
    <w:rsid w:val="13934DF1"/>
    <w:rsid w:val="13953125"/>
    <w:rsid w:val="13B8461E"/>
    <w:rsid w:val="13F61959"/>
    <w:rsid w:val="1402655C"/>
    <w:rsid w:val="140734F7"/>
    <w:rsid w:val="141A42B8"/>
    <w:rsid w:val="14211693"/>
    <w:rsid w:val="14376E43"/>
    <w:rsid w:val="14525069"/>
    <w:rsid w:val="14541696"/>
    <w:rsid w:val="145D6A8B"/>
    <w:rsid w:val="145F7E28"/>
    <w:rsid w:val="14780D27"/>
    <w:rsid w:val="147A2410"/>
    <w:rsid w:val="14852C6F"/>
    <w:rsid w:val="1488358C"/>
    <w:rsid w:val="148F2F85"/>
    <w:rsid w:val="14982EB8"/>
    <w:rsid w:val="14A502EF"/>
    <w:rsid w:val="14AF54DA"/>
    <w:rsid w:val="14C64C59"/>
    <w:rsid w:val="14D20FC7"/>
    <w:rsid w:val="14F740A3"/>
    <w:rsid w:val="150724B3"/>
    <w:rsid w:val="15074434"/>
    <w:rsid w:val="15227A32"/>
    <w:rsid w:val="152B4D84"/>
    <w:rsid w:val="153049D7"/>
    <w:rsid w:val="153769F7"/>
    <w:rsid w:val="155301FE"/>
    <w:rsid w:val="15871E93"/>
    <w:rsid w:val="15930009"/>
    <w:rsid w:val="159E521A"/>
    <w:rsid w:val="15C91F5E"/>
    <w:rsid w:val="15D315F3"/>
    <w:rsid w:val="15DF3010"/>
    <w:rsid w:val="15F003C1"/>
    <w:rsid w:val="15F61009"/>
    <w:rsid w:val="15FC3115"/>
    <w:rsid w:val="164A49E5"/>
    <w:rsid w:val="16883A58"/>
    <w:rsid w:val="168A004B"/>
    <w:rsid w:val="168C48D6"/>
    <w:rsid w:val="16A27000"/>
    <w:rsid w:val="16A705A2"/>
    <w:rsid w:val="16B20B12"/>
    <w:rsid w:val="16BE1FF6"/>
    <w:rsid w:val="16C83D17"/>
    <w:rsid w:val="16E311A5"/>
    <w:rsid w:val="16E3518A"/>
    <w:rsid w:val="16E952DD"/>
    <w:rsid w:val="17252E73"/>
    <w:rsid w:val="172E63EE"/>
    <w:rsid w:val="173D752B"/>
    <w:rsid w:val="173E3BF5"/>
    <w:rsid w:val="173F377F"/>
    <w:rsid w:val="17435E46"/>
    <w:rsid w:val="17441767"/>
    <w:rsid w:val="17445402"/>
    <w:rsid w:val="17721C8E"/>
    <w:rsid w:val="178E71CD"/>
    <w:rsid w:val="17912574"/>
    <w:rsid w:val="179A05A8"/>
    <w:rsid w:val="179D7FD7"/>
    <w:rsid w:val="179E173F"/>
    <w:rsid w:val="17A650FC"/>
    <w:rsid w:val="17AB40AE"/>
    <w:rsid w:val="17BA677B"/>
    <w:rsid w:val="17CA2B8F"/>
    <w:rsid w:val="17D82FD7"/>
    <w:rsid w:val="17E65EE9"/>
    <w:rsid w:val="17F405EB"/>
    <w:rsid w:val="180339A2"/>
    <w:rsid w:val="18040F10"/>
    <w:rsid w:val="18264A50"/>
    <w:rsid w:val="183E076F"/>
    <w:rsid w:val="18644505"/>
    <w:rsid w:val="18761DAB"/>
    <w:rsid w:val="18967A84"/>
    <w:rsid w:val="189E3D12"/>
    <w:rsid w:val="18B00122"/>
    <w:rsid w:val="18B20BDD"/>
    <w:rsid w:val="18B951B3"/>
    <w:rsid w:val="18C35170"/>
    <w:rsid w:val="18D21A5A"/>
    <w:rsid w:val="18D61B96"/>
    <w:rsid w:val="18E00489"/>
    <w:rsid w:val="18E7252F"/>
    <w:rsid w:val="18FB5A21"/>
    <w:rsid w:val="19282791"/>
    <w:rsid w:val="192939F8"/>
    <w:rsid w:val="192C2D7A"/>
    <w:rsid w:val="19353DEC"/>
    <w:rsid w:val="19677AF7"/>
    <w:rsid w:val="19810432"/>
    <w:rsid w:val="19BA2109"/>
    <w:rsid w:val="19BE3086"/>
    <w:rsid w:val="19C3541C"/>
    <w:rsid w:val="19E21D1C"/>
    <w:rsid w:val="19E92539"/>
    <w:rsid w:val="19EB3CD8"/>
    <w:rsid w:val="19F45009"/>
    <w:rsid w:val="1A093B60"/>
    <w:rsid w:val="1A135EB3"/>
    <w:rsid w:val="1A190153"/>
    <w:rsid w:val="1A216042"/>
    <w:rsid w:val="1A26575C"/>
    <w:rsid w:val="1A4C0E92"/>
    <w:rsid w:val="1A5E1863"/>
    <w:rsid w:val="1A7F3A58"/>
    <w:rsid w:val="1A84474A"/>
    <w:rsid w:val="1A8B60FB"/>
    <w:rsid w:val="1A9B3C6B"/>
    <w:rsid w:val="1AB83062"/>
    <w:rsid w:val="1AC502CF"/>
    <w:rsid w:val="1AD05C11"/>
    <w:rsid w:val="1ADE6AC9"/>
    <w:rsid w:val="1B05587E"/>
    <w:rsid w:val="1B187A1B"/>
    <w:rsid w:val="1B200375"/>
    <w:rsid w:val="1B2F2124"/>
    <w:rsid w:val="1B3419FD"/>
    <w:rsid w:val="1B51069C"/>
    <w:rsid w:val="1B52032C"/>
    <w:rsid w:val="1B87118E"/>
    <w:rsid w:val="1B8F29D9"/>
    <w:rsid w:val="1BA47383"/>
    <w:rsid w:val="1BD20383"/>
    <w:rsid w:val="1BE06630"/>
    <w:rsid w:val="1BF90E89"/>
    <w:rsid w:val="1BFF3FFC"/>
    <w:rsid w:val="1C6A6D50"/>
    <w:rsid w:val="1C7C1550"/>
    <w:rsid w:val="1C7F50C5"/>
    <w:rsid w:val="1C9A6C63"/>
    <w:rsid w:val="1CBF63C3"/>
    <w:rsid w:val="1CC13EB1"/>
    <w:rsid w:val="1D2C4F1B"/>
    <w:rsid w:val="1D47273F"/>
    <w:rsid w:val="1D492F27"/>
    <w:rsid w:val="1D643026"/>
    <w:rsid w:val="1D6541DB"/>
    <w:rsid w:val="1D7C153E"/>
    <w:rsid w:val="1D7C22EC"/>
    <w:rsid w:val="1D7F48E1"/>
    <w:rsid w:val="1D866B79"/>
    <w:rsid w:val="1D99014B"/>
    <w:rsid w:val="1DA65B4D"/>
    <w:rsid w:val="1DE35CF5"/>
    <w:rsid w:val="1DE42E39"/>
    <w:rsid w:val="1E055C9E"/>
    <w:rsid w:val="1E3646C2"/>
    <w:rsid w:val="1E3C0371"/>
    <w:rsid w:val="1E404244"/>
    <w:rsid w:val="1E646060"/>
    <w:rsid w:val="1E6E033F"/>
    <w:rsid w:val="1E796F89"/>
    <w:rsid w:val="1E895CEE"/>
    <w:rsid w:val="1E8D072E"/>
    <w:rsid w:val="1EB76F1A"/>
    <w:rsid w:val="1EDF3101"/>
    <w:rsid w:val="1EE47B86"/>
    <w:rsid w:val="1F0136F8"/>
    <w:rsid w:val="1F0565C7"/>
    <w:rsid w:val="1F136BA5"/>
    <w:rsid w:val="1F1C1A13"/>
    <w:rsid w:val="1F1F54B2"/>
    <w:rsid w:val="1F1F564E"/>
    <w:rsid w:val="1F4A727D"/>
    <w:rsid w:val="1F51638C"/>
    <w:rsid w:val="1F890B51"/>
    <w:rsid w:val="1F8A0112"/>
    <w:rsid w:val="1FE63033"/>
    <w:rsid w:val="1FF35231"/>
    <w:rsid w:val="20015A6D"/>
    <w:rsid w:val="200C1A5C"/>
    <w:rsid w:val="200C3AA1"/>
    <w:rsid w:val="20211C45"/>
    <w:rsid w:val="202911D7"/>
    <w:rsid w:val="20654C19"/>
    <w:rsid w:val="206B546A"/>
    <w:rsid w:val="206C2DEB"/>
    <w:rsid w:val="20847C38"/>
    <w:rsid w:val="20974516"/>
    <w:rsid w:val="20AE211E"/>
    <w:rsid w:val="20B34AC6"/>
    <w:rsid w:val="20CB3924"/>
    <w:rsid w:val="20CD5726"/>
    <w:rsid w:val="20ED63C9"/>
    <w:rsid w:val="20F12941"/>
    <w:rsid w:val="21220D3E"/>
    <w:rsid w:val="213C1A3B"/>
    <w:rsid w:val="214A3DCF"/>
    <w:rsid w:val="215E76DF"/>
    <w:rsid w:val="216D7B97"/>
    <w:rsid w:val="217C182D"/>
    <w:rsid w:val="2189394D"/>
    <w:rsid w:val="21944711"/>
    <w:rsid w:val="21B53A1F"/>
    <w:rsid w:val="21BF72A1"/>
    <w:rsid w:val="21C3592D"/>
    <w:rsid w:val="21C55F53"/>
    <w:rsid w:val="21C60013"/>
    <w:rsid w:val="21C76285"/>
    <w:rsid w:val="21E166C7"/>
    <w:rsid w:val="21FB6F9B"/>
    <w:rsid w:val="21FC530F"/>
    <w:rsid w:val="22080498"/>
    <w:rsid w:val="22430EB2"/>
    <w:rsid w:val="224F077B"/>
    <w:rsid w:val="225A2932"/>
    <w:rsid w:val="225B318C"/>
    <w:rsid w:val="226A25E4"/>
    <w:rsid w:val="22740558"/>
    <w:rsid w:val="228A54AE"/>
    <w:rsid w:val="22955C48"/>
    <w:rsid w:val="22A84E37"/>
    <w:rsid w:val="22AC4EAC"/>
    <w:rsid w:val="22B4304D"/>
    <w:rsid w:val="22BC6A0C"/>
    <w:rsid w:val="22F34B2F"/>
    <w:rsid w:val="232E4270"/>
    <w:rsid w:val="23356F82"/>
    <w:rsid w:val="233A2E59"/>
    <w:rsid w:val="23420192"/>
    <w:rsid w:val="23594B35"/>
    <w:rsid w:val="23655DFC"/>
    <w:rsid w:val="2379757D"/>
    <w:rsid w:val="23815AAD"/>
    <w:rsid w:val="23B534DB"/>
    <w:rsid w:val="23C27A95"/>
    <w:rsid w:val="23C515B0"/>
    <w:rsid w:val="23CC45FC"/>
    <w:rsid w:val="23E12668"/>
    <w:rsid w:val="23EA5690"/>
    <w:rsid w:val="23F933BF"/>
    <w:rsid w:val="23FB5BA9"/>
    <w:rsid w:val="23FC0AA0"/>
    <w:rsid w:val="240F127A"/>
    <w:rsid w:val="24222A24"/>
    <w:rsid w:val="244157BB"/>
    <w:rsid w:val="247240E4"/>
    <w:rsid w:val="247B62DB"/>
    <w:rsid w:val="249027F9"/>
    <w:rsid w:val="24BC0B8C"/>
    <w:rsid w:val="24D54DB0"/>
    <w:rsid w:val="24DD44A9"/>
    <w:rsid w:val="24E625D6"/>
    <w:rsid w:val="24F82B87"/>
    <w:rsid w:val="24FA3F62"/>
    <w:rsid w:val="251E6CB6"/>
    <w:rsid w:val="2530104D"/>
    <w:rsid w:val="25471A46"/>
    <w:rsid w:val="25834A03"/>
    <w:rsid w:val="259879AE"/>
    <w:rsid w:val="25A328BE"/>
    <w:rsid w:val="25A34005"/>
    <w:rsid w:val="25A66195"/>
    <w:rsid w:val="25D27E7B"/>
    <w:rsid w:val="25E20F3C"/>
    <w:rsid w:val="25E777B3"/>
    <w:rsid w:val="25F7768D"/>
    <w:rsid w:val="25FE59B1"/>
    <w:rsid w:val="26061971"/>
    <w:rsid w:val="26111D68"/>
    <w:rsid w:val="26307E6E"/>
    <w:rsid w:val="264008E8"/>
    <w:rsid w:val="26433F7F"/>
    <w:rsid w:val="264721D8"/>
    <w:rsid w:val="2666771E"/>
    <w:rsid w:val="26700C16"/>
    <w:rsid w:val="267A2D17"/>
    <w:rsid w:val="267F4830"/>
    <w:rsid w:val="26BD493E"/>
    <w:rsid w:val="26EE45DB"/>
    <w:rsid w:val="26F37DB0"/>
    <w:rsid w:val="26F541F1"/>
    <w:rsid w:val="270F5095"/>
    <w:rsid w:val="27144105"/>
    <w:rsid w:val="271C5FC6"/>
    <w:rsid w:val="27484D00"/>
    <w:rsid w:val="274F2171"/>
    <w:rsid w:val="275D6367"/>
    <w:rsid w:val="275E0F3C"/>
    <w:rsid w:val="2760568F"/>
    <w:rsid w:val="27610A07"/>
    <w:rsid w:val="27797DE0"/>
    <w:rsid w:val="27965B8B"/>
    <w:rsid w:val="27992D09"/>
    <w:rsid w:val="27A742B2"/>
    <w:rsid w:val="27D00352"/>
    <w:rsid w:val="27FD025A"/>
    <w:rsid w:val="282657F7"/>
    <w:rsid w:val="2856652E"/>
    <w:rsid w:val="2867494D"/>
    <w:rsid w:val="287E2C12"/>
    <w:rsid w:val="287F59EE"/>
    <w:rsid w:val="2884100B"/>
    <w:rsid w:val="28874CE8"/>
    <w:rsid w:val="28FC2B68"/>
    <w:rsid w:val="29147CD7"/>
    <w:rsid w:val="29172B11"/>
    <w:rsid w:val="291B7E44"/>
    <w:rsid w:val="29223179"/>
    <w:rsid w:val="292863C0"/>
    <w:rsid w:val="294A4308"/>
    <w:rsid w:val="29523F82"/>
    <w:rsid w:val="297728FC"/>
    <w:rsid w:val="297F63E2"/>
    <w:rsid w:val="298D40D9"/>
    <w:rsid w:val="29AA4023"/>
    <w:rsid w:val="29D506B9"/>
    <w:rsid w:val="29D815F7"/>
    <w:rsid w:val="29FF498C"/>
    <w:rsid w:val="2A155A4E"/>
    <w:rsid w:val="2A307C1D"/>
    <w:rsid w:val="2A37666B"/>
    <w:rsid w:val="2A3B1864"/>
    <w:rsid w:val="2A456589"/>
    <w:rsid w:val="2A475E62"/>
    <w:rsid w:val="2A4B2DEC"/>
    <w:rsid w:val="2A5B4807"/>
    <w:rsid w:val="2A837B23"/>
    <w:rsid w:val="2A8B619D"/>
    <w:rsid w:val="2A981F0C"/>
    <w:rsid w:val="2AC46B39"/>
    <w:rsid w:val="2AD311B2"/>
    <w:rsid w:val="2ADE0C2E"/>
    <w:rsid w:val="2B0717DF"/>
    <w:rsid w:val="2B16314B"/>
    <w:rsid w:val="2B1745E1"/>
    <w:rsid w:val="2B314EE4"/>
    <w:rsid w:val="2B53670E"/>
    <w:rsid w:val="2B7B1662"/>
    <w:rsid w:val="2B8C17C6"/>
    <w:rsid w:val="2B8E3C1B"/>
    <w:rsid w:val="2B8E7455"/>
    <w:rsid w:val="2BFF3A07"/>
    <w:rsid w:val="2C010002"/>
    <w:rsid w:val="2C0E274C"/>
    <w:rsid w:val="2C1864B9"/>
    <w:rsid w:val="2C2104A7"/>
    <w:rsid w:val="2C3042EA"/>
    <w:rsid w:val="2C53238E"/>
    <w:rsid w:val="2C5466FC"/>
    <w:rsid w:val="2C65290D"/>
    <w:rsid w:val="2C7B0F46"/>
    <w:rsid w:val="2C913ADA"/>
    <w:rsid w:val="2C99767D"/>
    <w:rsid w:val="2C9F349F"/>
    <w:rsid w:val="2CAC0753"/>
    <w:rsid w:val="2CD441D3"/>
    <w:rsid w:val="2CDA7A1A"/>
    <w:rsid w:val="2D0779A7"/>
    <w:rsid w:val="2D2F5557"/>
    <w:rsid w:val="2D401642"/>
    <w:rsid w:val="2D4477EE"/>
    <w:rsid w:val="2D513389"/>
    <w:rsid w:val="2D7E2FF7"/>
    <w:rsid w:val="2D7E7EA2"/>
    <w:rsid w:val="2D8A7EEE"/>
    <w:rsid w:val="2DAC120D"/>
    <w:rsid w:val="2DAE6D54"/>
    <w:rsid w:val="2DB51D8C"/>
    <w:rsid w:val="2DBE157E"/>
    <w:rsid w:val="2DC41DAC"/>
    <w:rsid w:val="2DD2364E"/>
    <w:rsid w:val="2DD4300E"/>
    <w:rsid w:val="2DDB036C"/>
    <w:rsid w:val="2DE31F3E"/>
    <w:rsid w:val="2DFF5078"/>
    <w:rsid w:val="2E175D83"/>
    <w:rsid w:val="2E413F38"/>
    <w:rsid w:val="2E5E191E"/>
    <w:rsid w:val="2E6E0A25"/>
    <w:rsid w:val="2E720553"/>
    <w:rsid w:val="2E966933"/>
    <w:rsid w:val="2EC14611"/>
    <w:rsid w:val="2ED26A84"/>
    <w:rsid w:val="2EF6340A"/>
    <w:rsid w:val="2F1F63D3"/>
    <w:rsid w:val="2F507973"/>
    <w:rsid w:val="2F782D47"/>
    <w:rsid w:val="2F883C62"/>
    <w:rsid w:val="2FA13846"/>
    <w:rsid w:val="2FA45F18"/>
    <w:rsid w:val="2FA662AC"/>
    <w:rsid w:val="2FC16D53"/>
    <w:rsid w:val="2FD44650"/>
    <w:rsid w:val="2FDE3293"/>
    <w:rsid w:val="2FDF5C9D"/>
    <w:rsid w:val="3009331C"/>
    <w:rsid w:val="301D5C97"/>
    <w:rsid w:val="30277C8E"/>
    <w:rsid w:val="30300320"/>
    <w:rsid w:val="30364EE2"/>
    <w:rsid w:val="30381F9E"/>
    <w:rsid w:val="30402949"/>
    <w:rsid w:val="304A74D6"/>
    <w:rsid w:val="30532E5A"/>
    <w:rsid w:val="305E4CC4"/>
    <w:rsid w:val="308640EB"/>
    <w:rsid w:val="30921EDF"/>
    <w:rsid w:val="309F49B3"/>
    <w:rsid w:val="30D61929"/>
    <w:rsid w:val="30D77E04"/>
    <w:rsid w:val="30E36619"/>
    <w:rsid w:val="30E44E75"/>
    <w:rsid w:val="30F77156"/>
    <w:rsid w:val="31070840"/>
    <w:rsid w:val="311753BD"/>
    <w:rsid w:val="311A734D"/>
    <w:rsid w:val="312B7B5C"/>
    <w:rsid w:val="31394AA3"/>
    <w:rsid w:val="31421613"/>
    <w:rsid w:val="314B5255"/>
    <w:rsid w:val="3157644A"/>
    <w:rsid w:val="315B6D60"/>
    <w:rsid w:val="3174505E"/>
    <w:rsid w:val="318A347D"/>
    <w:rsid w:val="318C4F08"/>
    <w:rsid w:val="31914894"/>
    <w:rsid w:val="31956A66"/>
    <w:rsid w:val="31C072B8"/>
    <w:rsid w:val="31DA45C8"/>
    <w:rsid w:val="31E4797E"/>
    <w:rsid w:val="31EE4BAA"/>
    <w:rsid w:val="31F521F6"/>
    <w:rsid w:val="31F5436E"/>
    <w:rsid w:val="31F857BF"/>
    <w:rsid w:val="320107D3"/>
    <w:rsid w:val="32243194"/>
    <w:rsid w:val="3224417B"/>
    <w:rsid w:val="32330ED1"/>
    <w:rsid w:val="324662CB"/>
    <w:rsid w:val="324C3A59"/>
    <w:rsid w:val="3263631F"/>
    <w:rsid w:val="32687D16"/>
    <w:rsid w:val="327331BC"/>
    <w:rsid w:val="32864611"/>
    <w:rsid w:val="32877675"/>
    <w:rsid w:val="329A5FA7"/>
    <w:rsid w:val="32A355BC"/>
    <w:rsid w:val="32C00D78"/>
    <w:rsid w:val="32DA49E4"/>
    <w:rsid w:val="32F653B6"/>
    <w:rsid w:val="33033068"/>
    <w:rsid w:val="331550E0"/>
    <w:rsid w:val="33222A9A"/>
    <w:rsid w:val="33273336"/>
    <w:rsid w:val="332D1CBE"/>
    <w:rsid w:val="33385D65"/>
    <w:rsid w:val="33480719"/>
    <w:rsid w:val="335F1874"/>
    <w:rsid w:val="336D05B7"/>
    <w:rsid w:val="3370375F"/>
    <w:rsid w:val="337D3E97"/>
    <w:rsid w:val="33805A44"/>
    <w:rsid w:val="338D6656"/>
    <w:rsid w:val="339D5261"/>
    <w:rsid w:val="339F59B9"/>
    <w:rsid w:val="33E6096F"/>
    <w:rsid w:val="33FD75CB"/>
    <w:rsid w:val="341374B8"/>
    <w:rsid w:val="3474243E"/>
    <w:rsid w:val="34802C16"/>
    <w:rsid w:val="34955EDA"/>
    <w:rsid w:val="349A334C"/>
    <w:rsid w:val="34C21BC2"/>
    <w:rsid w:val="34CA78C0"/>
    <w:rsid w:val="34E7352B"/>
    <w:rsid w:val="34E94C24"/>
    <w:rsid w:val="34FC01FE"/>
    <w:rsid w:val="35491DE7"/>
    <w:rsid w:val="354D799B"/>
    <w:rsid w:val="35586223"/>
    <w:rsid w:val="359A1ED5"/>
    <w:rsid w:val="35A418C4"/>
    <w:rsid w:val="35C43DE3"/>
    <w:rsid w:val="35D55562"/>
    <w:rsid w:val="35E55B5D"/>
    <w:rsid w:val="35EF33C5"/>
    <w:rsid w:val="36127C2E"/>
    <w:rsid w:val="36130454"/>
    <w:rsid w:val="361325D6"/>
    <w:rsid w:val="361C7D06"/>
    <w:rsid w:val="36253B84"/>
    <w:rsid w:val="36401A4A"/>
    <w:rsid w:val="368920CF"/>
    <w:rsid w:val="36FE5573"/>
    <w:rsid w:val="37071254"/>
    <w:rsid w:val="3707184A"/>
    <w:rsid w:val="37412D5B"/>
    <w:rsid w:val="37424084"/>
    <w:rsid w:val="37524F3E"/>
    <w:rsid w:val="376533BD"/>
    <w:rsid w:val="37741B80"/>
    <w:rsid w:val="37795A76"/>
    <w:rsid w:val="378B2E6F"/>
    <w:rsid w:val="37C26EEE"/>
    <w:rsid w:val="37D078F7"/>
    <w:rsid w:val="37EB0089"/>
    <w:rsid w:val="37F76452"/>
    <w:rsid w:val="37FB7082"/>
    <w:rsid w:val="380E52E1"/>
    <w:rsid w:val="38423923"/>
    <w:rsid w:val="384F744A"/>
    <w:rsid w:val="38735C94"/>
    <w:rsid w:val="38A87CD8"/>
    <w:rsid w:val="38AB7652"/>
    <w:rsid w:val="38C0661D"/>
    <w:rsid w:val="38CE707C"/>
    <w:rsid w:val="38DD2EEF"/>
    <w:rsid w:val="38E93272"/>
    <w:rsid w:val="38FB4AF5"/>
    <w:rsid w:val="390F41D1"/>
    <w:rsid w:val="39104B12"/>
    <w:rsid w:val="39150974"/>
    <w:rsid w:val="39253DBF"/>
    <w:rsid w:val="398F11DA"/>
    <w:rsid w:val="39985420"/>
    <w:rsid w:val="39A33546"/>
    <w:rsid w:val="39C01D61"/>
    <w:rsid w:val="39C16CB7"/>
    <w:rsid w:val="39E502D1"/>
    <w:rsid w:val="3A1B1AFA"/>
    <w:rsid w:val="3A1B760C"/>
    <w:rsid w:val="3A34051D"/>
    <w:rsid w:val="3A3B1E69"/>
    <w:rsid w:val="3A541B4B"/>
    <w:rsid w:val="3A60333A"/>
    <w:rsid w:val="3A6359E6"/>
    <w:rsid w:val="3A7D171B"/>
    <w:rsid w:val="3A7E7A19"/>
    <w:rsid w:val="3A920D31"/>
    <w:rsid w:val="3A9B60C5"/>
    <w:rsid w:val="3ACD10F0"/>
    <w:rsid w:val="3AF0613B"/>
    <w:rsid w:val="3B03762C"/>
    <w:rsid w:val="3B216441"/>
    <w:rsid w:val="3B2C0F24"/>
    <w:rsid w:val="3B334458"/>
    <w:rsid w:val="3B35199F"/>
    <w:rsid w:val="3B48554F"/>
    <w:rsid w:val="3B4E7C42"/>
    <w:rsid w:val="3B594BC0"/>
    <w:rsid w:val="3B644769"/>
    <w:rsid w:val="3B663E14"/>
    <w:rsid w:val="3B866206"/>
    <w:rsid w:val="3B8845D7"/>
    <w:rsid w:val="3B8B6665"/>
    <w:rsid w:val="3B917707"/>
    <w:rsid w:val="3B9C2E5C"/>
    <w:rsid w:val="3BA15D36"/>
    <w:rsid w:val="3BAD6AD3"/>
    <w:rsid w:val="3BC15D5C"/>
    <w:rsid w:val="3BDF17BD"/>
    <w:rsid w:val="3BE060F4"/>
    <w:rsid w:val="3BFB42C7"/>
    <w:rsid w:val="3C005EAA"/>
    <w:rsid w:val="3C0C25C4"/>
    <w:rsid w:val="3C21682D"/>
    <w:rsid w:val="3C277DFD"/>
    <w:rsid w:val="3C2D6E50"/>
    <w:rsid w:val="3C3079FF"/>
    <w:rsid w:val="3C513234"/>
    <w:rsid w:val="3C7556F3"/>
    <w:rsid w:val="3CAA46F7"/>
    <w:rsid w:val="3CC223A3"/>
    <w:rsid w:val="3CC96375"/>
    <w:rsid w:val="3CCB77E5"/>
    <w:rsid w:val="3CD25CFD"/>
    <w:rsid w:val="3CE57D2D"/>
    <w:rsid w:val="3CE77BA9"/>
    <w:rsid w:val="3CF4275A"/>
    <w:rsid w:val="3D024C8D"/>
    <w:rsid w:val="3D07311F"/>
    <w:rsid w:val="3D0B19D3"/>
    <w:rsid w:val="3D1E133E"/>
    <w:rsid w:val="3D5170E9"/>
    <w:rsid w:val="3D8E3347"/>
    <w:rsid w:val="3DA64913"/>
    <w:rsid w:val="3DAB6021"/>
    <w:rsid w:val="3DBB5ECC"/>
    <w:rsid w:val="3DFE1A79"/>
    <w:rsid w:val="3E091CA6"/>
    <w:rsid w:val="3E1D71D8"/>
    <w:rsid w:val="3E217459"/>
    <w:rsid w:val="3E2230B8"/>
    <w:rsid w:val="3E251B70"/>
    <w:rsid w:val="3E263650"/>
    <w:rsid w:val="3E2805F5"/>
    <w:rsid w:val="3E2A4E15"/>
    <w:rsid w:val="3E3B4014"/>
    <w:rsid w:val="3E586698"/>
    <w:rsid w:val="3EA24223"/>
    <w:rsid w:val="3EB1354E"/>
    <w:rsid w:val="3EED7585"/>
    <w:rsid w:val="3F055097"/>
    <w:rsid w:val="3F161199"/>
    <w:rsid w:val="3F255D56"/>
    <w:rsid w:val="3F416A26"/>
    <w:rsid w:val="3F4A3E88"/>
    <w:rsid w:val="3F761504"/>
    <w:rsid w:val="3F892D8A"/>
    <w:rsid w:val="3FA54CBA"/>
    <w:rsid w:val="3FB26EF8"/>
    <w:rsid w:val="3FD0776A"/>
    <w:rsid w:val="3FFC0DC4"/>
    <w:rsid w:val="3FFF7676"/>
    <w:rsid w:val="400B0253"/>
    <w:rsid w:val="401E7C74"/>
    <w:rsid w:val="40223FBC"/>
    <w:rsid w:val="404F40EA"/>
    <w:rsid w:val="40775629"/>
    <w:rsid w:val="4082593F"/>
    <w:rsid w:val="40843549"/>
    <w:rsid w:val="40A72F7F"/>
    <w:rsid w:val="41474308"/>
    <w:rsid w:val="41681941"/>
    <w:rsid w:val="416E4242"/>
    <w:rsid w:val="417C534F"/>
    <w:rsid w:val="41815287"/>
    <w:rsid w:val="418F3223"/>
    <w:rsid w:val="41A46743"/>
    <w:rsid w:val="41BA6E38"/>
    <w:rsid w:val="41CF22D5"/>
    <w:rsid w:val="41E06904"/>
    <w:rsid w:val="41E47D60"/>
    <w:rsid w:val="41FB3940"/>
    <w:rsid w:val="41FE4EBD"/>
    <w:rsid w:val="421B0517"/>
    <w:rsid w:val="421C002D"/>
    <w:rsid w:val="421E7906"/>
    <w:rsid w:val="422024E8"/>
    <w:rsid w:val="422E6A18"/>
    <w:rsid w:val="42313AD0"/>
    <w:rsid w:val="423D6569"/>
    <w:rsid w:val="42762B0E"/>
    <w:rsid w:val="42796D6D"/>
    <w:rsid w:val="42965151"/>
    <w:rsid w:val="42B8066C"/>
    <w:rsid w:val="42C70EAB"/>
    <w:rsid w:val="42D50F2A"/>
    <w:rsid w:val="431F44D2"/>
    <w:rsid w:val="43410AEC"/>
    <w:rsid w:val="43440507"/>
    <w:rsid w:val="43606A91"/>
    <w:rsid w:val="437468EC"/>
    <w:rsid w:val="437635E3"/>
    <w:rsid w:val="437B3C36"/>
    <w:rsid w:val="437D2796"/>
    <w:rsid w:val="43A56EBD"/>
    <w:rsid w:val="43A6733A"/>
    <w:rsid w:val="43C85A23"/>
    <w:rsid w:val="43DB21A0"/>
    <w:rsid w:val="43E22693"/>
    <w:rsid w:val="43F6552A"/>
    <w:rsid w:val="44082B2A"/>
    <w:rsid w:val="44191691"/>
    <w:rsid w:val="444C4862"/>
    <w:rsid w:val="44560F40"/>
    <w:rsid w:val="44565344"/>
    <w:rsid w:val="446B1522"/>
    <w:rsid w:val="44720E16"/>
    <w:rsid w:val="44B24538"/>
    <w:rsid w:val="44B40707"/>
    <w:rsid w:val="44BF37DC"/>
    <w:rsid w:val="44C41913"/>
    <w:rsid w:val="44CE1408"/>
    <w:rsid w:val="44D619FA"/>
    <w:rsid w:val="44F4553C"/>
    <w:rsid w:val="450874FC"/>
    <w:rsid w:val="450A7A4F"/>
    <w:rsid w:val="453A6E98"/>
    <w:rsid w:val="45476EA5"/>
    <w:rsid w:val="455D71A8"/>
    <w:rsid w:val="456553DD"/>
    <w:rsid w:val="459F2609"/>
    <w:rsid w:val="45C33C42"/>
    <w:rsid w:val="45CC2621"/>
    <w:rsid w:val="45D10164"/>
    <w:rsid w:val="45E54860"/>
    <w:rsid w:val="460878E8"/>
    <w:rsid w:val="461203B6"/>
    <w:rsid w:val="46205844"/>
    <w:rsid w:val="4627075D"/>
    <w:rsid w:val="466C6EAA"/>
    <w:rsid w:val="469D0412"/>
    <w:rsid w:val="469D53BB"/>
    <w:rsid w:val="469F108B"/>
    <w:rsid w:val="46B249C0"/>
    <w:rsid w:val="46CF5EFF"/>
    <w:rsid w:val="46EF1849"/>
    <w:rsid w:val="46FB2F42"/>
    <w:rsid w:val="46FB4409"/>
    <w:rsid w:val="471C603E"/>
    <w:rsid w:val="47237C1D"/>
    <w:rsid w:val="47345EF6"/>
    <w:rsid w:val="473D6B0A"/>
    <w:rsid w:val="476E4CA0"/>
    <w:rsid w:val="478148E6"/>
    <w:rsid w:val="47821C82"/>
    <w:rsid w:val="4784369C"/>
    <w:rsid w:val="47AD7740"/>
    <w:rsid w:val="47D951E8"/>
    <w:rsid w:val="47F47478"/>
    <w:rsid w:val="480D10C9"/>
    <w:rsid w:val="481F428B"/>
    <w:rsid w:val="48216BFC"/>
    <w:rsid w:val="482B2304"/>
    <w:rsid w:val="4853715D"/>
    <w:rsid w:val="485C724A"/>
    <w:rsid w:val="485F31E9"/>
    <w:rsid w:val="48857FBF"/>
    <w:rsid w:val="48981C64"/>
    <w:rsid w:val="489E3D1D"/>
    <w:rsid w:val="48AB513B"/>
    <w:rsid w:val="48B828AA"/>
    <w:rsid w:val="48BE652C"/>
    <w:rsid w:val="48C21E3A"/>
    <w:rsid w:val="48CC0ED2"/>
    <w:rsid w:val="48DE11B8"/>
    <w:rsid w:val="48F112AB"/>
    <w:rsid w:val="48F36F3B"/>
    <w:rsid w:val="48F91BE2"/>
    <w:rsid w:val="490D4FEC"/>
    <w:rsid w:val="49186926"/>
    <w:rsid w:val="491A3B93"/>
    <w:rsid w:val="49205619"/>
    <w:rsid w:val="4922547B"/>
    <w:rsid w:val="4923483E"/>
    <w:rsid w:val="49280E7A"/>
    <w:rsid w:val="49336412"/>
    <w:rsid w:val="493F0195"/>
    <w:rsid w:val="495113FA"/>
    <w:rsid w:val="4969085B"/>
    <w:rsid w:val="4969756D"/>
    <w:rsid w:val="49777618"/>
    <w:rsid w:val="497A1477"/>
    <w:rsid w:val="49862A25"/>
    <w:rsid w:val="49893CAB"/>
    <w:rsid w:val="49AE4A8C"/>
    <w:rsid w:val="49D54F3C"/>
    <w:rsid w:val="4A1F67CA"/>
    <w:rsid w:val="4A3100F0"/>
    <w:rsid w:val="4A503ED1"/>
    <w:rsid w:val="4A5E0E3F"/>
    <w:rsid w:val="4A620A37"/>
    <w:rsid w:val="4A7B772D"/>
    <w:rsid w:val="4A852A32"/>
    <w:rsid w:val="4A8D5A66"/>
    <w:rsid w:val="4AAE265D"/>
    <w:rsid w:val="4AB7573A"/>
    <w:rsid w:val="4AC63524"/>
    <w:rsid w:val="4AC97099"/>
    <w:rsid w:val="4ACC0576"/>
    <w:rsid w:val="4AE3407E"/>
    <w:rsid w:val="4AE81506"/>
    <w:rsid w:val="4AEA4ED1"/>
    <w:rsid w:val="4AF02574"/>
    <w:rsid w:val="4B1E70A8"/>
    <w:rsid w:val="4B2A2B69"/>
    <w:rsid w:val="4B3512FE"/>
    <w:rsid w:val="4B373D3C"/>
    <w:rsid w:val="4B3E7C24"/>
    <w:rsid w:val="4B4B0FFC"/>
    <w:rsid w:val="4B505EFA"/>
    <w:rsid w:val="4B74669C"/>
    <w:rsid w:val="4B7859E7"/>
    <w:rsid w:val="4B7F3A41"/>
    <w:rsid w:val="4B860513"/>
    <w:rsid w:val="4B8A72CF"/>
    <w:rsid w:val="4B972445"/>
    <w:rsid w:val="4BB70AA8"/>
    <w:rsid w:val="4BCF396B"/>
    <w:rsid w:val="4BED66CC"/>
    <w:rsid w:val="4C1065B5"/>
    <w:rsid w:val="4C217E66"/>
    <w:rsid w:val="4C3A49DA"/>
    <w:rsid w:val="4C6C4B2C"/>
    <w:rsid w:val="4C6D3334"/>
    <w:rsid w:val="4C70027F"/>
    <w:rsid w:val="4C723944"/>
    <w:rsid w:val="4C8937D3"/>
    <w:rsid w:val="4C92636C"/>
    <w:rsid w:val="4C987B90"/>
    <w:rsid w:val="4CAE2139"/>
    <w:rsid w:val="4CB3686B"/>
    <w:rsid w:val="4CC05C71"/>
    <w:rsid w:val="4CC51258"/>
    <w:rsid w:val="4CD9331E"/>
    <w:rsid w:val="4CDD791C"/>
    <w:rsid w:val="4CE92D4E"/>
    <w:rsid w:val="4D094E39"/>
    <w:rsid w:val="4D0E5386"/>
    <w:rsid w:val="4D1E6158"/>
    <w:rsid w:val="4D527A3F"/>
    <w:rsid w:val="4D6D5854"/>
    <w:rsid w:val="4D7D3ADC"/>
    <w:rsid w:val="4D834573"/>
    <w:rsid w:val="4D943011"/>
    <w:rsid w:val="4DA33AAF"/>
    <w:rsid w:val="4DB4337B"/>
    <w:rsid w:val="4DCB3EE4"/>
    <w:rsid w:val="4DDF3F73"/>
    <w:rsid w:val="4DE01E40"/>
    <w:rsid w:val="4E043932"/>
    <w:rsid w:val="4E1C1B71"/>
    <w:rsid w:val="4E361A67"/>
    <w:rsid w:val="4E680901"/>
    <w:rsid w:val="4EAC0101"/>
    <w:rsid w:val="4EB0535F"/>
    <w:rsid w:val="4EDC13F9"/>
    <w:rsid w:val="4F2D03BA"/>
    <w:rsid w:val="4F3E4EE5"/>
    <w:rsid w:val="4F522D7B"/>
    <w:rsid w:val="4F8046F1"/>
    <w:rsid w:val="4F8119B1"/>
    <w:rsid w:val="4F92238A"/>
    <w:rsid w:val="4FB93F22"/>
    <w:rsid w:val="4FC7629C"/>
    <w:rsid w:val="4FD42702"/>
    <w:rsid w:val="4FE062A3"/>
    <w:rsid w:val="4FFD0A59"/>
    <w:rsid w:val="4FFF755C"/>
    <w:rsid w:val="50223E9C"/>
    <w:rsid w:val="502D6DB0"/>
    <w:rsid w:val="5043798C"/>
    <w:rsid w:val="506F22A9"/>
    <w:rsid w:val="50731BAF"/>
    <w:rsid w:val="50892AE1"/>
    <w:rsid w:val="508A28EA"/>
    <w:rsid w:val="50A05FBD"/>
    <w:rsid w:val="50A56264"/>
    <w:rsid w:val="50D310E7"/>
    <w:rsid w:val="50FE681F"/>
    <w:rsid w:val="51074EDB"/>
    <w:rsid w:val="510E0E2A"/>
    <w:rsid w:val="510E6480"/>
    <w:rsid w:val="51197F18"/>
    <w:rsid w:val="51547ADE"/>
    <w:rsid w:val="51570B9A"/>
    <w:rsid w:val="515B5BAE"/>
    <w:rsid w:val="516F68B9"/>
    <w:rsid w:val="517A494B"/>
    <w:rsid w:val="518A04D2"/>
    <w:rsid w:val="51B8400A"/>
    <w:rsid w:val="51C25525"/>
    <w:rsid w:val="51F5627A"/>
    <w:rsid w:val="52107F84"/>
    <w:rsid w:val="52264C68"/>
    <w:rsid w:val="522C4211"/>
    <w:rsid w:val="52586942"/>
    <w:rsid w:val="527511EB"/>
    <w:rsid w:val="5298489A"/>
    <w:rsid w:val="52BF7035"/>
    <w:rsid w:val="52C34F5E"/>
    <w:rsid w:val="52CD2457"/>
    <w:rsid w:val="52E223AA"/>
    <w:rsid w:val="5305770A"/>
    <w:rsid w:val="537C1E5C"/>
    <w:rsid w:val="53834532"/>
    <w:rsid w:val="53B25B95"/>
    <w:rsid w:val="53BC65C2"/>
    <w:rsid w:val="53C24FBF"/>
    <w:rsid w:val="53C3751C"/>
    <w:rsid w:val="53E91DA0"/>
    <w:rsid w:val="53FD089E"/>
    <w:rsid w:val="540508D6"/>
    <w:rsid w:val="54321EEE"/>
    <w:rsid w:val="54453B17"/>
    <w:rsid w:val="544A03D8"/>
    <w:rsid w:val="54670714"/>
    <w:rsid w:val="54707003"/>
    <w:rsid w:val="54765614"/>
    <w:rsid w:val="548536F4"/>
    <w:rsid w:val="54934A30"/>
    <w:rsid w:val="54963849"/>
    <w:rsid w:val="54B2488E"/>
    <w:rsid w:val="54BA7426"/>
    <w:rsid w:val="54DD61CF"/>
    <w:rsid w:val="54DF2E0B"/>
    <w:rsid w:val="54E76C3E"/>
    <w:rsid w:val="54EF4663"/>
    <w:rsid w:val="550F5286"/>
    <w:rsid w:val="5518177A"/>
    <w:rsid w:val="55323649"/>
    <w:rsid w:val="556A2FD5"/>
    <w:rsid w:val="557668CE"/>
    <w:rsid w:val="5593631B"/>
    <w:rsid w:val="55946AD4"/>
    <w:rsid w:val="55CA3EEC"/>
    <w:rsid w:val="55D634ED"/>
    <w:rsid w:val="55E62651"/>
    <w:rsid w:val="560C1958"/>
    <w:rsid w:val="564C06F4"/>
    <w:rsid w:val="567910F3"/>
    <w:rsid w:val="568E7A95"/>
    <w:rsid w:val="56986CF3"/>
    <w:rsid w:val="569A13D1"/>
    <w:rsid w:val="56A05000"/>
    <w:rsid w:val="56A331CD"/>
    <w:rsid w:val="56B13420"/>
    <w:rsid w:val="56B332E9"/>
    <w:rsid w:val="56CA16A1"/>
    <w:rsid w:val="56EA6035"/>
    <w:rsid w:val="56F0146F"/>
    <w:rsid w:val="56F25C5D"/>
    <w:rsid w:val="571826D1"/>
    <w:rsid w:val="572610A1"/>
    <w:rsid w:val="57436AF9"/>
    <w:rsid w:val="57633CFD"/>
    <w:rsid w:val="577517E8"/>
    <w:rsid w:val="577F25EF"/>
    <w:rsid w:val="578204BE"/>
    <w:rsid w:val="5785395A"/>
    <w:rsid w:val="57902474"/>
    <w:rsid w:val="57A1541B"/>
    <w:rsid w:val="57C20060"/>
    <w:rsid w:val="57C62622"/>
    <w:rsid w:val="57DA3EA0"/>
    <w:rsid w:val="57E435FE"/>
    <w:rsid w:val="57FF1EAD"/>
    <w:rsid w:val="580D088A"/>
    <w:rsid w:val="5829224E"/>
    <w:rsid w:val="5834256D"/>
    <w:rsid w:val="583643B6"/>
    <w:rsid w:val="585C04F2"/>
    <w:rsid w:val="585D5FB5"/>
    <w:rsid w:val="58733088"/>
    <w:rsid w:val="58790B40"/>
    <w:rsid w:val="58805921"/>
    <w:rsid w:val="58B15802"/>
    <w:rsid w:val="58D74C96"/>
    <w:rsid w:val="58D76CBA"/>
    <w:rsid w:val="58E12CBB"/>
    <w:rsid w:val="58FA6822"/>
    <w:rsid w:val="58FC2C37"/>
    <w:rsid w:val="592734D1"/>
    <w:rsid w:val="59383ADA"/>
    <w:rsid w:val="593B0594"/>
    <w:rsid w:val="594B38A6"/>
    <w:rsid w:val="5953365B"/>
    <w:rsid w:val="59563AD8"/>
    <w:rsid w:val="5961766F"/>
    <w:rsid w:val="596F4C72"/>
    <w:rsid w:val="597074BB"/>
    <w:rsid w:val="59781953"/>
    <w:rsid w:val="599020E6"/>
    <w:rsid w:val="59950669"/>
    <w:rsid w:val="59AD3357"/>
    <w:rsid w:val="59BF3C49"/>
    <w:rsid w:val="59C373D1"/>
    <w:rsid w:val="59E15D3D"/>
    <w:rsid w:val="59F51CED"/>
    <w:rsid w:val="5A0A5ECA"/>
    <w:rsid w:val="5A1222DD"/>
    <w:rsid w:val="5A1F08E3"/>
    <w:rsid w:val="5A284D2A"/>
    <w:rsid w:val="5A3A0457"/>
    <w:rsid w:val="5A437242"/>
    <w:rsid w:val="5A7C1A33"/>
    <w:rsid w:val="5A7D7AFF"/>
    <w:rsid w:val="5A911489"/>
    <w:rsid w:val="5AD311F6"/>
    <w:rsid w:val="5AF968C7"/>
    <w:rsid w:val="5B0C31E8"/>
    <w:rsid w:val="5B252510"/>
    <w:rsid w:val="5B291FCE"/>
    <w:rsid w:val="5BC14505"/>
    <w:rsid w:val="5BC270D8"/>
    <w:rsid w:val="5BD72738"/>
    <w:rsid w:val="5BD76AB6"/>
    <w:rsid w:val="5BD87A5F"/>
    <w:rsid w:val="5BE24E20"/>
    <w:rsid w:val="5BFF7AE6"/>
    <w:rsid w:val="5C0B789C"/>
    <w:rsid w:val="5C372F37"/>
    <w:rsid w:val="5C3A48B6"/>
    <w:rsid w:val="5C410A77"/>
    <w:rsid w:val="5CA95EEB"/>
    <w:rsid w:val="5CAB0CD0"/>
    <w:rsid w:val="5CAB7727"/>
    <w:rsid w:val="5CBE6758"/>
    <w:rsid w:val="5CC441E1"/>
    <w:rsid w:val="5CE760ED"/>
    <w:rsid w:val="5D2113E8"/>
    <w:rsid w:val="5D673A5A"/>
    <w:rsid w:val="5D6B1009"/>
    <w:rsid w:val="5D836428"/>
    <w:rsid w:val="5D8D5661"/>
    <w:rsid w:val="5DAA473B"/>
    <w:rsid w:val="5DBD32BE"/>
    <w:rsid w:val="5DBF5D4F"/>
    <w:rsid w:val="5DC55B3F"/>
    <w:rsid w:val="5DCB065B"/>
    <w:rsid w:val="5DCB4D6D"/>
    <w:rsid w:val="5DD97AD5"/>
    <w:rsid w:val="5E2524A8"/>
    <w:rsid w:val="5E2A7441"/>
    <w:rsid w:val="5E2E2912"/>
    <w:rsid w:val="5E567403"/>
    <w:rsid w:val="5E813DB6"/>
    <w:rsid w:val="5E851E72"/>
    <w:rsid w:val="5E8972BA"/>
    <w:rsid w:val="5EA62EF7"/>
    <w:rsid w:val="5EB441A9"/>
    <w:rsid w:val="5EBA517D"/>
    <w:rsid w:val="5EBD202B"/>
    <w:rsid w:val="5ED6420B"/>
    <w:rsid w:val="5EE43E9B"/>
    <w:rsid w:val="5EE822FC"/>
    <w:rsid w:val="5EEC4DA1"/>
    <w:rsid w:val="5EF442CA"/>
    <w:rsid w:val="5EF715EB"/>
    <w:rsid w:val="5EFC796F"/>
    <w:rsid w:val="5F281498"/>
    <w:rsid w:val="5F4C13E6"/>
    <w:rsid w:val="5F4C71F9"/>
    <w:rsid w:val="5F530F9F"/>
    <w:rsid w:val="5F544D91"/>
    <w:rsid w:val="5F7D5ED3"/>
    <w:rsid w:val="5FA81A4B"/>
    <w:rsid w:val="5FB55DAF"/>
    <w:rsid w:val="5FC42AD9"/>
    <w:rsid w:val="5FFA1888"/>
    <w:rsid w:val="5FFB56DE"/>
    <w:rsid w:val="600960AF"/>
    <w:rsid w:val="601B7031"/>
    <w:rsid w:val="604407BF"/>
    <w:rsid w:val="60486347"/>
    <w:rsid w:val="60566B33"/>
    <w:rsid w:val="60580D25"/>
    <w:rsid w:val="60B179AB"/>
    <w:rsid w:val="60BF3DA2"/>
    <w:rsid w:val="60BF626C"/>
    <w:rsid w:val="60E92F0A"/>
    <w:rsid w:val="60EB09BA"/>
    <w:rsid w:val="60F41E9F"/>
    <w:rsid w:val="61072CD2"/>
    <w:rsid w:val="611D59EE"/>
    <w:rsid w:val="611D7C5B"/>
    <w:rsid w:val="61454633"/>
    <w:rsid w:val="617B0BB5"/>
    <w:rsid w:val="618E396B"/>
    <w:rsid w:val="61910762"/>
    <w:rsid w:val="61B05D45"/>
    <w:rsid w:val="61BE7D2A"/>
    <w:rsid w:val="61C015E9"/>
    <w:rsid w:val="61E74D6C"/>
    <w:rsid w:val="61F57174"/>
    <w:rsid w:val="623449FC"/>
    <w:rsid w:val="62355655"/>
    <w:rsid w:val="623F08B8"/>
    <w:rsid w:val="62523266"/>
    <w:rsid w:val="62595EC7"/>
    <w:rsid w:val="627177CD"/>
    <w:rsid w:val="627511AF"/>
    <w:rsid w:val="62770624"/>
    <w:rsid w:val="62814A14"/>
    <w:rsid w:val="62CE0974"/>
    <w:rsid w:val="62D54B71"/>
    <w:rsid w:val="62E0024A"/>
    <w:rsid w:val="62E02E1C"/>
    <w:rsid w:val="631D2AC7"/>
    <w:rsid w:val="633F1142"/>
    <w:rsid w:val="63463232"/>
    <w:rsid w:val="634D48DE"/>
    <w:rsid w:val="636B19CD"/>
    <w:rsid w:val="63780F55"/>
    <w:rsid w:val="63A1609E"/>
    <w:rsid w:val="63A22ADD"/>
    <w:rsid w:val="63BA5239"/>
    <w:rsid w:val="63F25AAD"/>
    <w:rsid w:val="63F71532"/>
    <w:rsid w:val="63F769F2"/>
    <w:rsid w:val="64045B83"/>
    <w:rsid w:val="641724DD"/>
    <w:rsid w:val="642C33B8"/>
    <w:rsid w:val="644F09B6"/>
    <w:rsid w:val="64516D3E"/>
    <w:rsid w:val="645C797F"/>
    <w:rsid w:val="64867737"/>
    <w:rsid w:val="648D4DC3"/>
    <w:rsid w:val="64937B40"/>
    <w:rsid w:val="64951845"/>
    <w:rsid w:val="64A7189D"/>
    <w:rsid w:val="64A93377"/>
    <w:rsid w:val="64B94457"/>
    <w:rsid w:val="64C10B7B"/>
    <w:rsid w:val="64C72A0B"/>
    <w:rsid w:val="64E414E0"/>
    <w:rsid w:val="64F81386"/>
    <w:rsid w:val="652524D0"/>
    <w:rsid w:val="652A3F85"/>
    <w:rsid w:val="652C15E3"/>
    <w:rsid w:val="656B25DE"/>
    <w:rsid w:val="656E0AFF"/>
    <w:rsid w:val="65744A67"/>
    <w:rsid w:val="657D496C"/>
    <w:rsid w:val="65965311"/>
    <w:rsid w:val="65991807"/>
    <w:rsid w:val="65A0142C"/>
    <w:rsid w:val="65C71253"/>
    <w:rsid w:val="65EA707A"/>
    <w:rsid w:val="663228BD"/>
    <w:rsid w:val="665C7E71"/>
    <w:rsid w:val="665F1C74"/>
    <w:rsid w:val="66722C55"/>
    <w:rsid w:val="66730C34"/>
    <w:rsid w:val="668E5827"/>
    <w:rsid w:val="66A43656"/>
    <w:rsid w:val="66AD46B9"/>
    <w:rsid w:val="66B3502D"/>
    <w:rsid w:val="66C806BD"/>
    <w:rsid w:val="66C873FE"/>
    <w:rsid w:val="66EF7312"/>
    <w:rsid w:val="66F44D63"/>
    <w:rsid w:val="67173F59"/>
    <w:rsid w:val="67256520"/>
    <w:rsid w:val="67267A59"/>
    <w:rsid w:val="67520F7A"/>
    <w:rsid w:val="67822F4A"/>
    <w:rsid w:val="67A04650"/>
    <w:rsid w:val="67A9516E"/>
    <w:rsid w:val="67D544FF"/>
    <w:rsid w:val="67F50961"/>
    <w:rsid w:val="68014D26"/>
    <w:rsid w:val="680F0D3C"/>
    <w:rsid w:val="68297331"/>
    <w:rsid w:val="683A43E2"/>
    <w:rsid w:val="68631F9E"/>
    <w:rsid w:val="68F212CB"/>
    <w:rsid w:val="68F63773"/>
    <w:rsid w:val="69010518"/>
    <w:rsid w:val="69272D88"/>
    <w:rsid w:val="69274894"/>
    <w:rsid w:val="69331F88"/>
    <w:rsid w:val="693F120E"/>
    <w:rsid w:val="69440073"/>
    <w:rsid w:val="6954065E"/>
    <w:rsid w:val="695C41D8"/>
    <w:rsid w:val="6980463C"/>
    <w:rsid w:val="69A971A8"/>
    <w:rsid w:val="69B6146E"/>
    <w:rsid w:val="69BA6CE6"/>
    <w:rsid w:val="69C81951"/>
    <w:rsid w:val="69E1043D"/>
    <w:rsid w:val="69E105C7"/>
    <w:rsid w:val="69E67861"/>
    <w:rsid w:val="69ED7FCE"/>
    <w:rsid w:val="69F603A4"/>
    <w:rsid w:val="69F677D1"/>
    <w:rsid w:val="6A122522"/>
    <w:rsid w:val="6A225BCB"/>
    <w:rsid w:val="6A4A00DD"/>
    <w:rsid w:val="6A5945EB"/>
    <w:rsid w:val="6A5B554E"/>
    <w:rsid w:val="6A6019CC"/>
    <w:rsid w:val="6A6F0C2B"/>
    <w:rsid w:val="6A8E441C"/>
    <w:rsid w:val="6A9834B2"/>
    <w:rsid w:val="6AA07311"/>
    <w:rsid w:val="6AA3203F"/>
    <w:rsid w:val="6AAC6B9E"/>
    <w:rsid w:val="6AC2507F"/>
    <w:rsid w:val="6ACB3A67"/>
    <w:rsid w:val="6B0D754B"/>
    <w:rsid w:val="6B161984"/>
    <w:rsid w:val="6B287EA8"/>
    <w:rsid w:val="6B2B5BD2"/>
    <w:rsid w:val="6B2F2DA6"/>
    <w:rsid w:val="6B385122"/>
    <w:rsid w:val="6B556307"/>
    <w:rsid w:val="6B865118"/>
    <w:rsid w:val="6B871777"/>
    <w:rsid w:val="6B8C65AF"/>
    <w:rsid w:val="6BA33D7F"/>
    <w:rsid w:val="6BC703C0"/>
    <w:rsid w:val="6BC8237B"/>
    <w:rsid w:val="6BCB7818"/>
    <w:rsid w:val="6BE26F6A"/>
    <w:rsid w:val="6BF23043"/>
    <w:rsid w:val="6BF32268"/>
    <w:rsid w:val="6BFB7D72"/>
    <w:rsid w:val="6BFC2786"/>
    <w:rsid w:val="6C08695F"/>
    <w:rsid w:val="6C0D546E"/>
    <w:rsid w:val="6C0D5A20"/>
    <w:rsid w:val="6C1E03F6"/>
    <w:rsid w:val="6C2C2459"/>
    <w:rsid w:val="6C3D3F2D"/>
    <w:rsid w:val="6C3F0B24"/>
    <w:rsid w:val="6C454CBD"/>
    <w:rsid w:val="6C4B7810"/>
    <w:rsid w:val="6C887360"/>
    <w:rsid w:val="6C941171"/>
    <w:rsid w:val="6CD27CEA"/>
    <w:rsid w:val="6CD57E78"/>
    <w:rsid w:val="6CEF70A2"/>
    <w:rsid w:val="6CF266C6"/>
    <w:rsid w:val="6D104C89"/>
    <w:rsid w:val="6D1A4E80"/>
    <w:rsid w:val="6D3343BE"/>
    <w:rsid w:val="6D37574E"/>
    <w:rsid w:val="6D46263C"/>
    <w:rsid w:val="6D476454"/>
    <w:rsid w:val="6D484037"/>
    <w:rsid w:val="6D5A55A1"/>
    <w:rsid w:val="6D6D18F5"/>
    <w:rsid w:val="6D710B57"/>
    <w:rsid w:val="6D8F6200"/>
    <w:rsid w:val="6DB07064"/>
    <w:rsid w:val="6DB94322"/>
    <w:rsid w:val="6DC45C8A"/>
    <w:rsid w:val="6E040055"/>
    <w:rsid w:val="6E39307B"/>
    <w:rsid w:val="6E3F2CCE"/>
    <w:rsid w:val="6E405F4A"/>
    <w:rsid w:val="6E704D3B"/>
    <w:rsid w:val="6E721AC2"/>
    <w:rsid w:val="6E875598"/>
    <w:rsid w:val="6E8E28B2"/>
    <w:rsid w:val="6EB25336"/>
    <w:rsid w:val="6EBC51F3"/>
    <w:rsid w:val="6ECB2092"/>
    <w:rsid w:val="6ECB75C0"/>
    <w:rsid w:val="6ECD2F7C"/>
    <w:rsid w:val="6EE06940"/>
    <w:rsid w:val="6EF9226B"/>
    <w:rsid w:val="6F0247A4"/>
    <w:rsid w:val="6F075F3D"/>
    <w:rsid w:val="6F094974"/>
    <w:rsid w:val="6F0C2BFB"/>
    <w:rsid w:val="6F17672B"/>
    <w:rsid w:val="6F1B2BD3"/>
    <w:rsid w:val="6F2C13F5"/>
    <w:rsid w:val="6F2C770E"/>
    <w:rsid w:val="6F5B3495"/>
    <w:rsid w:val="6F6144E0"/>
    <w:rsid w:val="6FB8455F"/>
    <w:rsid w:val="6FB91458"/>
    <w:rsid w:val="6FBE7455"/>
    <w:rsid w:val="6FCB62BA"/>
    <w:rsid w:val="6FFA1703"/>
    <w:rsid w:val="70151F71"/>
    <w:rsid w:val="70206BB3"/>
    <w:rsid w:val="702D243B"/>
    <w:rsid w:val="703644CA"/>
    <w:rsid w:val="70730315"/>
    <w:rsid w:val="70784492"/>
    <w:rsid w:val="709A551D"/>
    <w:rsid w:val="70AA763C"/>
    <w:rsid w:val="70B10BBB"/>
    <w:rsid w:val="70B34E7A"/>
    <w:rsid w:val="70CB12D9"/>
    <w:rsid w:val="70CF1289"/>
    <w:rsid w:val="70D079F5"/>
    <w:rsid w:val="70EC036D"/>
    <w:rsid w:val="70FF4E43"/>
    <w:rsid w:val="71000A51"/>
    <w:rsid w:val="71137217"/>
    <w:rsid w:val="714149A1"/>
    <w:rsid w:val="715D41FB"/>
    <w:rsid w:val="71687318"/>
    <w:rsid w:val="71CD678B"/>
    <w:rsid w:val="71E963C9"/>
    <w:rsid w:val="71F372EB"/>
    <w:rsid w:val="71F97AA3"/>
    <w:rsid w:val="71FB2F3F"/>
    <w:rsid w:val="723C40E2"/>
    <w:rsid w:val="7242273F"/>
    <w:rsid w:val="72473C63"/>
    <w:rsid w:val="72524DC3"/>
    <w:rsid w:val="72574340"/>
    <w:rsid w:val="727C1491"/>
    <w:rsid w:val="72967050"/>
    <w:rsid w:val="72980ABC"/>
    <w:rsid w:val="72A031B5"/>
    <w:rsid w:val="72B27DED"/>
    <w:rsid w:val="72B566B1"/>
    <w:rsid w:val="72BC0BF9"/>
    <w:rsid w:val="72C9415F"/>
    <w:rsid w:val="72D14842"/>
    <w:rsid w:val="72D37761"/>
    <w:rsid w:val="72D717C0"/>
    <w:rsid w:val="72F45438"/>
    <w:rsid w:val="730456BB"/>
    <w:rsid w:val="73177AF3"/>
    <w:rsid w:val="7330204A"/>
    <w:rsid w:val="735220C5"/>
    <w:rsid w:val="736A47A3"/>
    <w:rsid w:val="73853395"/>
    <w:rsid w:val="73863414"/>
    <w:rsid w:val="738C2387"/>
    <w:rsid w:val="73A078A8"/>
    <w:rsid w:val="73A7045C"/>
    <w:rsid w:val="73CA51E6"/>
    <w:rsid w:val="73CE6911"/>
    <w:rsid w:val="73CF5E6E"/>
    <w:rsid w:val="73EF6AF6"/>
    <w:rsid w:val="74131685"/>
    <w:rsid w:val="742346B4"/>
    <w:rsid w:val="742413AD"/>
    <w:rsid w:val="74245699"/>
    <w:rsid w:val="742837D4"/>
    <w:rsid w:val="74425093"/>
    <w:rsid w:val="74672F69"/>
    <w:rsid w:val="746A2482"/>
    <w:rsid w:val="746D17A9"/>
    <w:rsid w:val="747576EC"/>
    <w:rsid w:val="74870825"/>
    <w:rsid w:val="748A490D"/>
    <w:rsid w:val="74C55558"/>
    <w:rsid w:val="74F060ED"/>
    <w:rsid w:val="75101554"/>
    <w:rsid w:val="751D2BEE"/>
    <w:rsid w:val="755D3BE5"/>
    <w:rsid w:val="7562116D"/>
    <w:rsid w:val="757C7A9C"/>
    <w:rsid w:val="757D33CC"/>
    <w:rsid w:val="758461E8"/>
    <w:rsid w:val="759A19ED"/>
    <w:rsid w:val="75A042AA"/>
    <w:rsid w:val="75AA3778"/>
    <w:rsid w:val="75C36B26"/>
    <w:rsid w:val="75CD37C6"/>
    <w:rsid w:val="75DC2DB7"/>
    <w:rsid w:val="75E32B1D"/>
    <w:rsid w:val="75EC2E8A"/>
    <w:rsid w:val="76032837"/>
    <w:rsid w:val="76125315"/>
    <w:rsid w:val="76154506"/>
    <w:rsid w:val="7638520B"/>
    <w:rsid w:val="765066A5"/>
    <w:rsid w:val="76525FF1"/>
    <w:rsid w:val="76687AB8"/>
    <w:rsid w:val="766E3BB5"/>
    <w:rsid w:val="76897870"/>
    <w:rsid w:val="76AA37AA"/>
    <w:rsid w:val="76C67EF9"/>
    <w:rsid w:val="76C84CCD"/>
    <w:rsid w:val="76F01E2B"/>
    <w:rsid w:val="76F22868"/>
    <w:rsid w:val="76F2757F"/>
    <w:rsid w:val="76FA5A69"/>
    <w:rsid w:val="76FD42C7"/>
    <w:rsid w:val="770A2942"/>
    <w:rsid w:val="77360CB3"/>
    <w:rsid w:val="77410D37"/>
    <w:rsid w:val="774F0625"/>
    <w:rsid w:val="77672932"/>
    <w:rsid w:val="7782776C"/>
    <w:rsid w:val="77C60B09"/>
    <w:rsid w:val="77E047BF"/>
    <w:rsid w:val="77E57096"/>
    <w:rsid w:val="78087C0A"/>
    <w:rsid w:val="783402FB"/>
    <w:rsid w:val="783B409E"/>
    <w:rsid w:val="784A0948"/>
    <w:rsid w:val="78595B08"/>
    <w:rsid w:val="78783252"/>
    <w:rsid w:val="787852A2"/>
    <w:rsid w:val="7892463D"/>
    <w:rsid w:val="78B44EA8"/>
    <w:rsid w:val="78CF67C4"/>
    <w:rsid w:val="78DA641E"/>
    <w:rsid w:val="78E131DA"/>
    <w:rsid w:val="78E81464"/>
    <w:rsid w:val="79026409"/>
    <w:rsid w:val="79076B57"/>
    <w:rsid w:val="791B26B4"/>
    <w:rsid w:val="795F5CCF"/>
    <w:rsid w:val="79F124F2"/>
    <w:rsid w:val="7A0B537A"/>
    <w:rsid w:val="7A3610CC"/>
    <w:rsid w:val="7A60697D"/>
    <w:rsid w:val="7A7D176C"/>
    <w:rsid w:val="7A7D43E3"/>
    <w:rsid w:val="7A9651DE"/>
    <w:rsid w:val="7A9E1199"/>
    <w:rsid w:val="7AA01F48"/>
    <w:rsid w:val="7AA37705"/>
    <w:rsid w:val="7ABA4D69"/>
    <w:rsid w:val="7ADB1D8A"/>
    <w:rsid w:val="7AE1116D"/>
    <w:rsid w:val="7AF62569"/>
    <w:rsid w:val="7B0A05EE"/>
    <w:rsid w:val="7B1D7382"/>
    <w:rsid w:val="7B3F01F5"/>
    <w:rsid w:val="7B7F7CAC"/>
    <w:rsid w:val="7B835C42"/>
    <w:rsid w:val="7BDA6932"/>
    <w:rsid w:val="7BE121BC"/>
    <w:rsid w:val="7BF25336"/>
    <w:rsid w:val="7BFB40BE"/>
    <w:rsid w:val="7BFC10C4"/>
    <w:rsid w:val="7C053EEA"/>
    <w:rsid w:val="7C4D5033"/>
    <w:rsid w:val="7C510967"/>
    <w:rsid w:val="7C660A57"/>
    <w:rsid w:val="7C6B6D07"/>
    <w:rsid w:val="7C83738D"/>
    <w:rsid w:val="7C8B5068"/>
    <w:rsid w:val="7CC21E81"/>
    <w:rsid w:val="7CDE1C69"/>
    <w:rsid w:val="7D082E8B"/>
    <w:rsid w:val="7D2F14F1"/>
    <w:rsid w:val="7D7E530B"/>
    <w:rsid w:val="7D8442D2"/>
    <w:rsid w:val="7D95465E"/>
    <w:rsid w:val="7D9A6D7A"/>
    <w:rsid w:val="7DA5350B"/>
    <w:rsid w:val="7DB75509"/>
    <w:rsid w:val="7DD124DB"/>
    <w:rsid w:val="7E100392"/>
    <w:rsid w:val="7E192C83"/>
    <w:rsid w:val="7E253160"/>
    <w:rsid w:val="7E2A13A3"/>
    <w:rsid w:val="7E4176C5"/>
    <w:rsid w:val="7EAB487A"/>
    <w:rsid w:val="7EB4068F"/>
    <w:rsid w:val="7EBE12A4"/>
    <w:rsid w:val="7EC77481"/>
    <w:rsid w:val="7F29120C"/>
    <w:rsid w:val="7F3B7177"/>
    <w:rsid w:val="7F3D0996"/>
    <w:rsid w:val="7F4D6B12"/>
    <w:rsid w:val="7F5D2459"/>
    <w:rsid w:val="7F6711ED"/>
    <w:rsid w:val="7F753532"/>
    <w:rsid w:val="7F9830B0"/>
    <w:rsid w:val="7FC976D0"/>
    <w:rsid w:val="7FCD59AE"/>
    <w:rsid w:val="7FE27484"/>
    <w:rsid w:val="7FF31F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left"/>
    </w:pPr>
    <w:rPr>
      <w:rFonts w:ascii="宋体" w:hAnsi="宋体" w:eastAsia="宋体" w:cs="Times New Roman"/>
      <w:kern w:val="2"/>
      <w:sz w:val="24"/>
      <w:szCs w:val="24"/>
      <w:lang w:val="en-US" w:eastAsia="zh-CN" w:bidi="ar-SA"/>
    </w:rPr>
  </w:style>
  <w:style w:type="paragraph" w:styleId="3">
    <w:name w:val="heading 1"/>
    <w:basedOn w:val="1"/>
    <w:next w:val="1"/>
    <w:link w:val="70"/>
    <w:qFormat/>
    <w:uiPriority w:val="0"/>
    <w:pPr>
      <w:keepNext/>
      <w:keepLines/>
      <w:adjustRightInd w:val="0"/>
      <w:snapToGrid w:val="0"/>
      <w:ind w:firstLine="0" w:firstLineChars="0"/>
      <w:jc w:val="center"/>
      <w:outlineLvl w:val="0"/>
    </w:pPr>
    <w:rPr>
      <w:rFonts w:ascii="宋体" w:hAnsi="宋体" w:eastAsia="宋体"/>
      <w:b/>
      <w:bCs/>
      <w:kern w:val="44"/>
      <w:sz w:val="32"/>
      <w:szCs w:val="52"/>
    </w:rPr>
  </w:style>
  <w:style w:type="paragraph" w:styleId="4">
    <w:name w:val="heading 2"/>
    <w:basedOn w:val="1"/>
    <w:next w:val="1"/>
    <w:link w:val="107"/>
    <w:qFormat/>
    <w:uiPriority w:val="0"/>
    <w:pPr>
      <w:keepNext/>
      <w:keepLines/>
      <w:adjustRightInd w:val="0"/>
      <w:snapToGrid w:val="0"/>
      <w:ind w:firstLine="0" w:firstLineChars="0"/>
      <w:jc w:val="left"/>
      <w:outlineLvl w:val="1"/>
    </w:pPr>
    <w:rPr>
      <w:rFonts w:ascii="宋体" w:hAnsi="宋体" w:eastAsia="宋体"/>
      <w:b/>
      <w:bCs/>
      <w:sz w:val="28"/>
      <w:szCs w:val="32"/>
    </w:rPr>
  </w:style>
  <w:style w:type="paragraph" w:styleId="5">
    <w:name w:val="heading 3"/>
    <w:basedOn w:val="1"/>
    <w:next w:val="1"/>
    <w:link w:val="71"/>
    <w:qFormat/>
    <w:uiPriority w:val="0"/>
    <w:pPr>
      <w:keepNext/>
      <w:keepLines/>
      <w:adjustRightInd w:val="0"/>
      <w:snapToGrid w:val="0"/>
      <w:ind w:firstLine="0" w:firstLineChars="0"/>
      <w:outlineLvl w:val="2"/>
    </w:pPr>
    <w:rPr>
      <w:rFonts w:ascii="宋体" w:hAnsi="宋体" w:eastAsia="宋体"/>
      <w:b/>
      <w:bCs/>
      <w:szCs w:val="32"/>
    </w:rPr>
  </w:style>
  <w:style w:type="paragraph" w:styleId="6">
    <w:name w:val="heading 4"/>
    <w:basedOn w:val="1"/>
    <w:next w:val="1"/>
    <w:link w:val="94"/>
    <w:qFormat/>
    <w:uiPriority w:val="9"/>
    <w:pPr>
      <w:keepNext/>
      <w:keepLines/>
      <w:adjustRightInd w:val="0"/>
      <w:snapToGrid w:val="0"/>
      <w:outlineLvl w:val="3"/>
    </w:pPr>
    <w:rPr>
      <w:rFonts w:ascii="Cambria" w:hAnsi="Cambria"/>
      <w:b/>
      <w:bCs/>
      <w:sz w:val="21"/>
      <w:szCs w:val="28"/>
    </w:rPr>
  </w:style>
  <w:style w:type="paragraph" w:styleId="7">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40">
    <w:name w:val="Default Paragraph Font"/>
    <w:unhideWhenUsed/>
    <w:qFormat/>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link w:val="79"/>
    <w:unhideWhenUsed/>
    <w:qFormat/>
    <w:uiPriority w:val="0"/>
    <w:pPr>
      <w:spacing w:line="240" w:lineRule="auto"/>
      <w:ind w:firstLine="420" w:firstLineChars="0"/>
    </w:pPr>
    <w:rPr>
      <w:sz w:val="21"/>
    </w:rPr>
  </w:style>
  <w:style w:type="paragraph" w:styleId="8">
    <w:name w:val="annotation subject"/>
    <w:basedOn w:val="9"/>
    <w:next w:val="9"/>
    <w:link w:val="103"/>
    <w:unhideWhenUsed/>
    <w:qFormat/>
    <w:uiPriority w:val="0"/>
    <w:rPr>
      <w:b/>
      <w:bCs/>
    </w:rPr>
  </w:style>
  <w:style w:type="paragraph" w:styleId="9">
    <w:name w:val="annotation text"/>
    <w:basedOn w:val="1"/>
    <w:link w:val="55"/>
    <w:unhideWhenUsed/>
    <w:qFormat/>
    <w:uiPriority w:val="0"/>
    <w:pPr>
      <w:spacing w:line="240" w:lineRule="auto"/>
      <w:ind w:firstLine="0" w:firstLineChars="0"/>
      <w:jc w:val="left"/>
    </w:pPr>
    <w:rPr>
      <w:sz w:val="21"/>
    </w:rPr>
  </w:style>
  <w:style w:type="paragraph" w:styleId="10">
    <w:name w:val="toc 7"/>
    <w:basedOn w:val="1"/>
    <w:next w:val="1"/>
    <w:unhideWhenUsed/>
    <w:qFormat/>
    <w:uiPriority w:val="39"/>
    <w:pPr>
      <w:spacing w:line="240" w:lineRule="auto"/>
      <w:ind w:left="1260" w:firstLine="0" w:firstLineChars="0"/>
      <w:jc w:val="left"/>
    </w:pPr>
    <w:rPr>
      <w:szCs w:val="21"/>
    </w:rPr>
  </w:style>
  <w:style w:type="paragraph" w:styleId="11">
    <w:name w:val="Body Text First Indent"/>
    <w:basedOn w:val="12"/>
    <w:unhideWhenUsed/>
    <w:qFormat/>
    <w:uiPriority w:val="99"/>
    <w:pPr>
      <w:ind w:firstLine="420" w:firstLineChars="100"/>
    </w:pPr>
  </w:style>
  <w:style w:type="paragraph" w:styleId="12">
    <w:name w:val="Body Text"/>
    <w:basedOn w:val="1"/>
    <w:next w:val="1"/>
    <w:link w:val="50"/>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13">
    <w:name w:val="Document Map"/>
    <w:basedOn w:val="1"/>
    <w:link w:val="102"/>
    <w:unhideWhenUsed/>
    <w:qFormat/>
    <w:uiPriority w:val="0"/>
    <w:rPr>
      <w:rFonts w:ascii="宋体"/>
      <w:kern w:val="0"/>
      <w:sz w:val="18"/>
      <w:szCs w:val="18"/>
    </w:rPr>
  </w:style>
  <w:style w:type="paragraph" w:styleId="14">
    <w:name w:val="Body Text 3"/>
    <w:basedOn w:val="1"/>
    <w:link w:val="106"/>
    <w:unhideWhenUsed/>
    <w:qFormat/>
    <w:uiPriority w:val="0"/>
    <w:pPr>
      <w:spacing w:line="440" w:lineRule="atLeast"/>
      <w:ind w:firstLine="0" w:firstLineChars="0"/>
      <w:jc w:val="center"/>
    </w:pPr>
    <w:rPr>
      <w:rFonts w:ascii="楷体_GB2312" w:eastAsia="楷体_GB2312"/>
      <w:b/>
      <w:color w:val="000000"/>
      <w:sz w:val="30"/>
    </w:rPr>
  </w:style>
  <w:style w:type="paragraph" w:styleId="15">
    <w:name w:val="List Bullet 3"/>
    <w:basedOn w:val="1"/>
    <w:unhideWhenUsed/>
    <w:qFormat/>
    <w:uiPriority w:val="0"/>
    <w:pPr>
      <w:numPr>
        <w:ilvl w:val="0"/>
        <w:numId w:val="1"/>
      </w:numPr>
      <w:tabs>
        <w:tab w:val="left" w:pos="720"/>
      </w:tabs>
      <w:spacing w:line="240" w:lineRule="auto"/>
      <w:ind w:firstLine="0" w:firstLineChars="0"/>
    </w:pPr>
  </w:style>
  <w:style w:type="paragraph" w:styleId="16">
    <w:name w:val="Body Text Indent"/>
    <w:basedOn w:val="1"/>
    <w:next w:val="1"/>
    <w:link w:val="56"/>
    <w:unhideWhenUsed/>
    <w:qFormat/>
    <w:uiPriority w:val="0"/>
    <w:pPr>
      <w:widowControl/>
      <w:autoSpaceDE w:val="0"/>
      <w:autoSpaceDN w:val="0"/>
      <w:snapToGrid w:val="0"/>
      <w:spacing w:before="120" w:line="400" w:lineRule="atLeast"/>
      <w:ind w:firstLine="570" w:firstLineChars="0"/>
    </w:pPr>
    <w:rPr>
      <w:rFonts w:ascii="宋体"/>
      <w:kern w:val="0"/>
      <w:szCs w:val="20"/>
    </w:rPr>
  </w:style>
  <w:style w:type="paragraph" w:styleId="17">
    <w:name w:val="List 2"/>
    <w:basedOn w:val="1"/>
    <w:unhideWhenUsed/>
    <w:qFormat/>
    <w:uiPriority w:val="0"/>
    <w:pPr>
      <w:spacing w:line="240" w:lineRule="auto"/>
      <w:ind w:left="100" w:leftChars="200" w:hanging="200" w:hangingChars="200"/>
    </w:pPr>
  </w:style>
  <w:style w:type="paragraph" w:styleId="18">
    <w:name w:val="List Bullet 2"/>
    <w:basedOn w:val="1"/>
    <w:next w:val="15"/>
    <w:unhideWhenUsed/>
    <w:qFormat/>
    <w:uiPriority w:val="0"/>
    <w:pPr>
      <w:numPr>
        <w:ilvl w:val="0"/>
        <w:numId w:val="2"/>
      </w:numPr>
      <w:tabs>
        <w:tab w:val="left" w:pos="360"/>
        <w:tab w:val="left" w:pos="780"/>
      </w:tabs>
      <w:spacing w:after="100" w:afterAutospacing="1" w:line="240" w:lineRule="auto"/>
      <w:ind w:firstLine="0" w:firstLineChars="0"/>
    </w:pPr>
    <w:rPr>
      <w:rFonts w:eastAsia="仿宋_GB2312"/>
    </w:rPr>
  </w:style>
  <w:style w:type="paragraph" w:styleId="19">
    <w:name w:val="toc 5"/>
    <w:basedOn w:val="1"/>
    <w:next w:val="1"/>
    <w:unhideWhenUsed/>
    <w:qFormat/>
    <w:uiPriority w:val="39"/>
    <w:pPr>
      <w:spacing w:line="240" w:lineRule="auto"/>
      <w:ind w:left="840" w:firstLine="0" w:firstLineChars="0"/>
      <w:jc w:val="left"/>
    </w:pPr>
    <w:rPr>
      <w:szCs w:val="21"/>
    </w:rPr>
  </w:style>
  <w:style w:type="paragraph" w:styleId="20">
    <w:name w:val="toc 3"/>
    <w:basedOn w:val="1"/>
    <w:next w:val="1"/>
    <w:unhideWhenUsed/>
    <w:qFormat/>
    <w:uiPriority w:val="39"/>
    <w:pPr>
      <w:spacing w:line="240" w:lineRule="auto"/>
      <w:ind w:left="420" w:firstLine="0" w:firstLineChars="0"/>
      <w:jc w:val="left"/>
    </w:pPr>
    <w:rPr>
      <w:i/>
      <w:iCs/>
    </w:rPr>
  </w:style>
  <w:style w:type="paragraph" w:styleId="21">
    <w:name w:val="Plain Text"/>
    <w:basedOn w:val="1"/>
    <w:link w:val="61"/>
    <w:unhideWhenUsed/>
    <w:qFormat/>
    <w:uiPriority w:val="0"/>
    <w:pPr>
      <w:spacing w:line="240" w:lineRule="auto"/>
      <w:ind w:firstLine="0" w:firstLineChars="0"/>
    </w:pPr>
    <w:rPr>
      <w:rFonts w:ascii="宋体" w:hAnsi="Courier New"/>
      <w:sz w:val="21"/>
      <w:szCs w:val="20"/>
    </w:rPr>
  </w:style>
  <w:style w:type="paragraph" w:styleId="22">
    <w:name w:val="toc 8"/>
    <w:basedOn w:val="1"/>
    <w:next w:val="1"/>
    <w:unhideWhenUsed/>
    <w:qFormat/>
    <w:uiPriority w:val="39"/>
    <w:pPr>
      <w:spacing w:line="240" w:lineRule="auto"/>
      <w:ind w:left="1470" w:firstLine="0" w:firstLineChars="0"/>
      <w:jc w:val="left"/>
    </w:pPr>
    <w:rPr>
      <w:szCs w:val="21"/>
    </w:rPr>
  </w:style>
  <w:style w:type="paragraph" w:styleId="23">
    <w:name w:val="Date"/>
    <w:basedOn w:val="1"/>
    <w:next w:val="1"/>
    <w:link w:val="65"/>
    <w:unhideWhenUsed/>
    <w:qFormat/>
    <w:uiPriority w:val="0"/>
    <w:pPr>
      <w:spacing w:line="240" w:lineRule="auto"/>
      <w:ind w:left="100" w:leftChars="2500" w:firstLine="0" w:firstLineChars="0"/>
    </w:pPr>
    <w:rPr>
      <w:color w:val="000000"/>
    </w:rPr>
  </w:style>
  <w:style w:type="paragraph" w:styleId="24">
    <w:name w:val="Body Text Indent 2"/>
    <w:basedOn w:val="1"/>
    <w:link w:val="53"/>
    <w:unhideWhenUsed/>
    <w:qFormat/>
    <w:uiPriority w:val="0"/>
    <w:pPr>
      <w:widowControl/>
      <w:spacing w:line="480" w:lineRule="atLeast"/>
      <w:ind w:firstLine="480" w:firstLineChars="0"/>
    </w:pPr>
    <w:rPr>
      <w:rFonts w:ascii="宋体"/>
      <w:kern w:val="0"/>
      <w:szCs w:val="20"/>
    </w:rPr>
  </w:style>
  <w:style w:type="paragraph" w:styleId="25">
    <w:name w:val="Balloon Text"/>
    <w:basedOn w:val="1"/>
    <w:link w:val="84"/>
    <w:unhideWhenUsed/>
    <w:qFormat/>
    <w:uiPriority w:val="0"/>
    <w:rPr>
      <w:kern w:val="0"/>
      <w:sz w:val="18"/>
      <w:szCs w:val="18"/>
    </w:rPr>
  </w:style>
  <w:style w:type="paragraph" w:styleId="26">
    <w:name w:val="footer"/>
    <w:basedOn w:val="1"/>
    <w:link w:val="92"/>
    <w:unhideWhenUsed/>
    <w:qFormat/>
    <w:uiPriority w:val="99"/>
    <w:pPr>
      <w:tabs>
        <w:tab w:val="center" w:pos="4153"/>
        <w:tab w:val="right" w:pos="8306"/>
      </w:tabs>
      <w:snapToGrid w:val="0"/>
      <w:jc w:val="left"/>
    </w:pPr>
    <w:rPr>
      <w:kern w:val="0"/>
      <w:sz w:val="18"/>
      <w:szCs w:val="18"/>
    </w:rPr>
  </w:style>
  <w:style w:type="paragraph" w:styleId="27">
    <w:name w:val="Body Text First Indent 2"/>
    <w:basedOn w:val="16"/>
    <w:qFormat/>
    <w:uiPriority w:val="0"/>
    <w:pPr>
      <w:ind w:firstLine="420" w:firstLineChars="200"/>
    </w:pPr>
  </w:style>
  <w:style w:type="paragraph" w:styleId="28">
    <w:name w:val="header"/>
    <w:basedOn w:val="1"/>
    <w:link w:val="8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right" w:leader="dot" w:pos="8296"/>
      </w:tabs>
      <w:ind w:firstLine="0" w:firstLineChars="0"/>
    </w:pPr>
  </w:style>
  <w:style w:type="paragraph" w:styleId="30">
    <w:name w:val="toc 4"/>
    <w:basedOn w:val="1"/>
    <w:next w:val="1"/>
    <w:unhideWhenUsed/>
    <w:qFormat/>
    <w:uiPriority w:val="39"/>
    <w:pPr>
      <w:spacing w:line="240" w:lineRule="auto"/>
      <w:ind w:left="630" w:firstLine="0" w:firstLineChars="0"/>
      <w:jc w:val="left"/>
    </w:pPr>
    <w:rPr>
      <w:szCs w:val="21"/>
    </w:rPr>
  </w:style>
  <w:style w:type="paragraph" w:styleId="31">
    <w:name w:val="List"/>
    <w:basedOn w:val="1"/>
    <w:unhideWhenUsed/>
    <w:qFormat/>
    <w:uiPriority w:val="0"/>
    <w:pPr>
      <w:spacing w:line="240" w:lineRule="auto"/>
      <w:ind w:left="420" w:hanging="420" w:firstLineChars="0"/>
    </w:pPr>
    <w:rPr>
      <w:szCs w:val="20"/>
    </w:rPr>
  </w:style>
  <w:style w:type="paragraph" w:styleId="32">
    <w:name w:val="toc 6"/>
    <w:basedOn w:val="1"/>
    <w:next w:val="1"/>
    <w:unhideWhenUsed/>
    <w:qFormat/>
    <w:uiPriority w:val="39"/>
    <w:pPr>
      <w:spacing w:line="240" w:lineRule="auto"/>
      <w:ind w:left="1050" w:firstLine="0" w:firstLineChars="0"/>
      <w:jc w:val="left"/>
    </w:pPr>
    <w:rPr>
      <w:szCs w:val="21"/>
    </w:rPr>
  </w:style>
  <w:style w:type="paragraph" w:styleId="33">
    <w:name w:val="Body Text Indent 3"/>
    <w:basedOn w:val="1"/>
    <w:link w:val="93"/>
    <w:unhideWhenUsed/>
    <w:qFormat/>
    <w:uiPriority w:val="0"/>
    <w:pPr>
      <w:autoSpaceDE w:val="0"/>
      <w:autoSpaceDN w:val="0"/>
      <w:spacing w:line="400" w:lineRule="atLeast"/>
      <w:ind w:firstLine="443"/>
    </w:pPr>
    <w:rPr>
      <w:rFonts w:eastAsia="黑体"/>
      <w:color w:val="000000"/>
    </w:rPr>
  </w:style>
  <w:style w:type="paragraph" w:styleId="34">
    <w:name w:val="toc 2"/>
    <w:basedOn w:val="1"/>
    <w:next w:val="1"/>
    <w:unhideWhenUsed/>
    <w:qFormat/>
    <w:uiPriority w:val="39"/>
    <w:pPr>
      <w:tabs>
        <w:tab w:val="right" w:leader="dot" w:pos="8296"/>
      </w:tabs>
      <w:ind w:left="420" w:leftChars="200" w:firstLine="0" w:firstLineChars="0"/>
    </w:pPr>
  </w:style>
  <w:style w:type="paragraph" w:styleId="35">
    <w:name w:val="toc 9"/>
    <w:basedOn w:val="1"/>
    <w:next w:val="1"/>
    <w:unhideWhenUsed/>
    <w:qFormat/>
    <w:uiPriority w:val="39"/>
    <w:pPr>
      <w:spacing w:line="240" w:lineRule="auto"/>
      <w:ind w:left="1680" w:firstLine="0" w:firstLineChars="0"/>
      <w:jc w:val="left"/>
    </w:pPr>
    <w:rPr>
      <w:szCs w:val="21"/>
    </w:rPr>
  </w:style>
  <w:style w:type="paragraph" w:styleId="36">
    <w:name w:val="Body Text 2"/>
    <w:basedOn w:val="1"/>
    <w:link w:val="100"/>
    <w:unhideWhenUsed/>
    <w:qFormat/>
    <w:uiPriority w:val="0"/>
    <w:pPr>
      <w:spacing w:line="240" w:lineRule="auto"/>
      <w:ind w:firstLine="0" w:firstLineChars="0"/>
    </w:pPr>
    <w:rPr>
      <w:b/>
      <w:bCs/>
      <w:color w:val="000000"/>
      <w:sz w:val="28"/>
    </w:rPr>
  </w:style>
  <w:style w:type="paragraph" w:styleId="37">
    <w:name w:val="HTML Preformatted"/>
    <w:basedOn w:val="1"/>
    <w:link w:val="6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8">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9">
    <w:name w:val="Title"/>
    <w:basedOn w:val="1"/>
    <w:link w:val="87"/>
    <w:qFormat/>
    <w:uiPriority w:val="0"/>
    <w:pPr>
      <w:spacing w:line="240" w:lineRule="auto"/>
      <w:ind w:firstLine="0" w:firstLineChars="0"/>
      <w:jc w:val="center"/>
    </w:pPr>
    <w:rPr>
      <w:sz w:val="30"/>
    </w:rPr>
  </w:style>
  <w:style w:type="character" w:styleId="41">
    <w:name w:val="Strong"/>
    <w:qFormat/>
    <w:uiPriority w:val="22"/>
    <w:rPr>
      <w:b/>
    </w:rPr>
  </w:style>
  <w:style w:type="character" w:styleId="42">
    <w:name w:val="page number"/>
    <w:basedOn w:val="40"/>
    <w:qFormat/>
    <w:uiPriority w:val="0"/>
  </w:style>
  <w:style w:type="character" w:styleId="43">
    <w:name w:val="FollowedHyperlink"/>
    <w:unhideWhenUsed/>
    <w:qFormat/>
    <w:uiPriority w:val="0"/>
    <w:rPr>
      <w:color w:val="800080"/>
      <w:u w:val="single"/>
    </w:rPr>
  </w:style>
  <w:style w:type="character" w:styleId="44">
    <w:name w:val="Hyperlink"/>
    <w:unhideWhenUsed/>
    <w:qFormat/>
    <w:uiPriority w:val="99"/>
    <w:rPr>
      <w:color w:val="0000FF"/>
      <w:u w:val="single"/>
    </w:rPr>
  </w:style>
  <w:style w:type="character" w:styleId="45">
    <w:name w:val="annotation reference"/>
    <w:unhideWhenUsed/>
    <w:qFormat/>
    <w:uiPriority w:val="0"/>
    <w:rPr>
      <w:sz w:val="21"/>
      <w:szCs w:val="21"/>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8">
    <w:name w:val="Default"/>
    <w:next w:val="4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0">
    <w:name w:val="正文文本 Char"/>
    <w:link w:val="12"/>
    <w:semiHidden/>
    <w:qFormat/>
    <w:uiPriority w:val="0"/>
    <w:rPr>
      <w:rFonts w:ascii="仿宋_GB2312" w:hAnsi="Times New Roman" w:eastAsia="仿宋_GB2312"/>
      <w:sz w:val="28"/>
    </w:rPr>
  </w:style>
  <w:style w:type="character" w:customStyle="1" w:styleId="51">
    <w:name w:val="Char Char2"/>
    <w:qFormat/>
    <w:uiPriority w:val="0"/>
    <w:rPr>
      <w:rFonts w:hint="eastAsia" w:ascii="宋体" w:hAnsi="Courier New" w:eastAsia="宋体"/>
      <w:kern w:val="2"/>
      <w:sz w:val="21"/>
    </w:rPr>
  </w:style>
  <w:style w:type="character" w:customStyle="1" w:styleId="52">
    <w:name w:val="页脚 字符"/>
    <w:qFormat/>
    <w:uiPriority w:val="99"/>
    <w:rPr>
      <w:rFonts w:eastAsia="宋体"/>
      <w:kern w:val="2"/>
      <w:sz w:val="18"/>
      <w:lang w:val="en-US" w:eastAsia="zh-CN" w:bidi="ar-SA"/>
    </w:rPr>
  </w:style>
  <w:style w:type="character" w:customStyle="1" w:styleId="53">
    <w:name w:val="正文文本缩进 2 Char"/>
    <w:link w:val="24"/>
    <w:semiHidden/>
    <w:qFormat/>
    <w:uiPriority w:val="0"/>
    <w:rPr>
      <w:rFonts w:ascii="宋体" w:hAnsi="Times New Roman"/>
      <w:sz w:val="24"/>
    </w:rPr>
  </w:style>
  <w:style w:type="character" w:customStyle="1" w:styleId="54">
    <w:name w:val="unnamed51"/>
    <w:qFormat/>
    <w:uiPriority w:val="0"/>
    <w:rPr>
      <w:sz w:val="22"/>
      <w:szCs w:val="22"/>
    </w:rPr>
  </w:style>
  <w:style w:type="character" w:customStyle="1" w:styleId="55">
    <w:name w:val="批注文字 Char1"/>
    <w:link w:val="9"/>
    <w:semiHidden/>
    <w:qFormat/>
    <w:uiPriority w:val="0"/>
    <w:rPr>
      <w:rFonts w:ascii="Times New Roman" w:hAnsi="Times New Roman"/>
      <w:kern w:val="2"/>
      <w:sz w:val="21"/>
      <w:szCs w:val="24"/>
    </w:rPr>
  </w:style>
  <w:style w:type="character" w:customStyle="1" w:styleId="56">
    <w:name w:val="正文文本缩进 Char"/>
    <w:link w:val="16"/>
    <w:semiHidden/>
    <w:qFormat/>
    <w:uiPriority w:val="0"/>
    <w:rPr>
      <w:rFonts w:ascii="宋体" w:hAnsi="Times New Roman"/>
      <w:sz w:val="24"/>
    </w:rPr>
  </w:style>
  <w:style w:type="character" w:customStyle="1" w:styleId="57">
    <w:name w:val="纯文本 Char"/>
    <w:qFormat/>
    <w:uiPriority w:val="0"/>
    <w:rPr>
      <w:rFonts w:ascii="宋体" w:hAnsi="Courier New" w:cs="Courier New"/>
      <w:kern w:val="2"/>
      <w:sz w:val="21"/>
      <w:szCs w:val="21"/>
    </w:rPr>
  </w:style>
  <w:style w:type="character" w:customStyle="1" w:styleId="58">
    <w:name w:val="author-p-368601"/>
    <w:qFormat/>
    <w:uiPriority w:val="0"/>
  </w:style>
  <w:style w:type="character" w:customStyle="1" w:styleId="59">
    <w:name w:val="Char Char"/>
    <w:qFormat/>
    <w:uiPriority w:val="0"/>
    <w:rPr>
      <w:rFonts w:hint="eastAsia" w:ascii="宋体" w:hAnsi="Courier New" w:eastAsia="宋体"/>
      <w:kern w:val="2"/>
      <w:sz w:val="21"/>
      <w:lang w:val="en-US" w:eastAsia="zh-CN" w:bidi="ar-SA"/>
    </w:rPr>
  </w:style>
  <w:style w:type="character" w:customStyle="1" w:styleId="60">
    <w:name w:val="font01"/>
    <w:qFormat/>
    <w:uiPriority w:val="0"/>
    <w:rPr>
      <w:rFonts w:hint="eastAsia" w:ascii="宋体" w:hAnsi="宋体" w:eastAsia="宋体" w:cs="宋体"/>
      <w:b/>
      <w:color w:val="333333"/>
      <w:sz w:val="20"/>
      <w:szCs w:val="20"/>
      <w:u w:val="none"/>
    </w:rPr>
  </w:style>
  <w:style w:type="character" w:customStyle="1" w:styleId="61">
    <w:name w:val="纯文本 Char1"/>
    <w:link w:val="21"/>
    <w:qFormat/>
    <w:locked/>
    <w:uiPriority w:val="0"/>
    <w:rPr>
      <w:rFonts w:ascii="宋体" w:hAnsi="Courier New"/>
      <w:kern w:val="2"/>
      <w:sz w:val="21"/>
    </w:rPr>
  </w:style>
  <w:style w:type="character" w:customStyle="1" w:styleId="62">
    <w:name w:val="button1"/>
    <w:qFormat/>
    <w:uiPriority w:val="0"/>
    <w:rPr>
      <w:rFonts w:hint="default" w:ascii="Verdana" w:hAnsi="Verdana"/>
      <w:b/>
      <w:bCs/>
      <w:sz w:val="20"/>
      <w:szCs w:val="20"/>
    </w:rPr>
  </w:style>
  <w:style w:type="character" w:customStyle="1" w:styleId="63">
    <w:name w:val="HTML 预设格式 Char"/>
    <w:link w:val="37"/>
    <w:semiHidden/>
    <w:qFormat/>
    <w:uiPriority w:val="0"/>
    <w:rPr>
      <w:rFonts w:ascii="Arial Unicode MS" w:hAnsi="Arial Unicode MS" w:eastAsia="Arial Unicode MS" w:cs="Arial Unicode MS"/>
    </w:rPr>
  </w:style>
  <w:style w:type="character" w:customStyle="1" w:styleId="64">
    <w:name w:val="search_content1"/>
    <w:qFormat/>
    <w:uiPriority w:val="0"/>
    <w:rPr>
      <w:sz w:val="20"/>
      <w:szCs w:val="20"/>
    </w:rPr>
  </w:style>
  <w:style w:type="character" w:customStyle="1" w:styleId="65">
    <w:name w:val="日期 Char"/>
    <w:link w:val="23"/>
    <w:semiHidden/>
    <w:qFormat/>
    <w:uiPriority w:val="0"/>
    <w:rPr>
      <w:rFonts w:ascii="Times New Roman" w:hAnsi="Times New Roman"/>
      <w:color w:val="000000"/>
      <w:kern w:val="2"/>
      <w:sz w:val="24"/>
      <w:szCs w:val="24"/>
    </w:rPr>
  </w:style>
  <w:style w:type="character" w:customStyle="1" w:styleId="66">
    <w:name w:val="标题 4 Char"/>
    <w:qFormat/>
    <w:uiPriority w:val="9"/>
    <w:rPr>
      <w:rFonts w:ascii="Cambria" w:hAnsi="Cambria" w:eastAsia="宋体" w:cs="Times New Roman"/>
      <w:b/>
      <w:bCs/>
      <w:kern w:val="2"/>
      <w:sz w:val="21"/>
      <w:szCs w:val="28"/>
    </w:rPr>
  </w:style>
  <w:style w:type="character" w:customStyle="1" w:styleId="67">
    <w:name w:val="纯文本 字符"/>
    <w:qFormat/>
    <w:uiPriority w:val="0"/>
    <w:rPr>
      <w:rFonts w:ascii="宋体" w:hAnsi="Courier New" w:eastAsia="宋体" w:cs="Courier New"/>
      <w:kern w:val="2"/>
      <w:sz w:val="21"/>
      <w:szCs w:val="21"/>
      <w:lang w:val="en-US" w:eastAsia="zh-CN" w:bidi="ar-SA"/>
    </w:rPr>
  </w:style>
  <w:style w:type="character" w:customStyle="1" w:styleId="68">
    <w:name w:val="不明显强调1"/>
    <w:qFormat/>
    <w:uiPriority w:val="0"/>
    <w:rPr>
      <w:i/>
      <w:iCs/>
      <w:color w:val="808080"/>
    </w:rPr>
  </w:style>
  <w:style w:type="character" w:customStyle="1" w:styleId="69">
    <w:name w:val="font101"/>
    <w:qFormat/>
    <w:uiPriority w:val="0"/>
    <w:rPr>
      <w:rFonts w:hint="eastAsia" w:ascii="宋体" w:hAnsi="宋体" w:eastAsia="宋体" w:cs="宋体"/>
      <w:color w:val="000000"/>
      <w:sz w:val="18"/>
      <w:szCs w:val="18"/>
      <w:u w:val="none"/>
    </w:rPr>
  </w:style>
  <w:style w:type="character" w:customStyle="1" w:styleId="70">
    <w:name w:val="标题 1 Char"/>
    <w:link w:val="3"/>
    <w:qFormat/>
    <w:uiPriority w:val="0"/>
    <w:rPr>
      <w:rFonts w:ascii="宋体" w:hAnsi="宋体" w:eastAsia="宋体" w:cs="宋体"/>
      <w:b/>
      <w:bCs/>
      <w:kern w:val="44"/>
      <w:sz w:val="32"/>
      <w:szCs w:val="52"/>
    </w:rPr>
  </w:style>
  <w:style w:type="character" w:customStyle="1" w:styleId="71">
    <w:name w:val="标题 3 Char1"/>
    <w:link w:val="5"/>
    <w:qFormat/>
    <w:uiPriority w:val="0"/>
    <w:rPr>
      <w:rFonts w:ascii="宋体" w:hAnsi="宋体" w:eastAsia="宋体"/>
      <w:b/>
      <w:bCs/>
      <w:kern w:val="2"/>
      <w:sz w:val="24"/>
      <w:szCs w:val="32"/>
    </w:rPr>
  </w:style>
  <w:style w:type="character" w:customStyle="1" w:styleId="72">
    <w:name w:val="font11"/>
    <w:qFormat/>
    <w:uiPriority w:val="0"/>
    <w:rPr>
      <w:rFonts w:hint="eastAsia" w:ascii="宋体" w:hAnsi="宋体" w:eastAsia="宋体" w:cs="宋体"/>
      <w:color w:val="000000"/>
      <w:sz w:val="40"/>
      <w:szCs w:val="40"/>
      <w:u w:val="none"/>
    </w:rPr>
  </w:style>
  <w:style w:type="character" w:customStyle="1" w:styleId="73">
    <w:name w:val="style8"/>
    <w:basedOn w:val="40"/>
    <w:qFormat/>
    <w:uiPriority w:val="0"/>
  </w:style>
  <w:style w:type="character" w:customStyle="1" w:styleId="74">
    <w:name w:val="hei16b1"/>
    <w:qFormat/>
    <w:uiPriority w:val="0"/>
    <w:rPr>
      <w:rFonts w:hint="default" w:ascii="Arial" w:hAnsi="Arial" w:cs="Arial"/>
      <w:b/>
      <w:bCs/>
      <w:color w:val="000000"/>
      <w:sz w:val="24"/>
      <w:szCs w:val="24"/>
    </w:rPr>
  </w:style>
  <w:style w:type="character" w:customStyle="1" w:styleId="75">
    <w:name w:val="无间隔 Char"/>
    <w:link w:val="76"/>
    <w:qFormat/>
    <w:locked/>
    <w:uiPriority w:val="0"/>
    <w:rPr>
      <w:rFonts w:cs="Calibri"/>
      <w:kern w:val="2"/>
      <w:sz w:val="21"/>
      <w:szCs w:val="22"/>
      <w:lang w:val="en-US" w:eastAsia="zh-CN" w:bidi="ar-SA"/>
    </w:rPr>
  </w:style>
  <w:style w:type="paragraph" w:customStyle="1" w:styleId="76">
    <w:name w:val="No Spacing"/>
    <w:link w:val="75"/>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77">
    <w:name w:val="s"/>
    <w:basedOn w:val="40"/>
    <w:qFormat/>
    <w:uiPriority w:val="0"/>
  </w:style>
  <w:style w:type="character" w:customStyle="1" w:styleId="78">
    <w:name w:val="font71"/>
    <w:qFormat/>
    <w:uiPriority w:val="0"/>
    <w:rPr>
      <w:rFonts w:ascii="Arial" w:hAnsi="Arial" w:cs="Arial"/>
      <w:b/>
      <w:color w:val="333333"/>
      <w:sz w:val="20"/>
      <w:szCs w:val="20"/>
      <w:u w:val="none"/>
    </w:rPr>
  </w:style>
  <w:style w:type="character" w:customStyle="1" w:styleId="79">
    <w:name w:val="正文缩进 Char"/>
    <w:link w:val="2"/>
    <w:semiHidden/>
    <w:qFormat/>
    <w:locked/>
    <w:uiPriority w:val="0"/>
    <w:rPr>
      <w:kern w:val="2"/>
      <w:sz w:val="21"/>
      <w:szCs w:val="24"/>
    </w:rPr>
  </w:style>
  <w:style w:type="character" w:customStyle="1" w:styleId="80">
    <w:name w:val="标题 Char"/>
    <w:qFormat/>
    <w:uiPriority w:val="0"/>
    <w:rPr>
      <w:rFonts w:ascii="Cambria" w:hAnsi="Cambria" w:cs="Times New Roman"/>
      <w:b/>
      <w:bCs/>
      <w:kern w:val="2"/>
      <w:sz w:val="32"/>
      <w:szCs w:val="32"/>
    </w:rPr>
  </w:style>
  <w:style w:type="character" w:customStyle="1" w:styleId="81">
    <w:name w:val="正文文本首行缩进 字符"/>
    <w:link w:val="82"/>
    <w:semiHidden/>
    <w:qFormat/>
    <w:uiPriority w:val="0"/>
    <w:rPr>
      <w:rFonts w:ascii="Times New Roman" w:hAnsi="Times New Roman" w:eastAsia="仿宋_GB2312"/>
      <w:kern w:val="2"/>
      <w:sz w:val="21"/>
      <w:szCs w:val="24"/>
    </w:rPr>
  </w:style>
  <w:style w:type="paragraph" w:customStyle="1" w:styleId="82">
    <w:name w:val="正文文本首行缩进1"/>
    <w:basedOn w:val="12"/>
    <w:link w:val="8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83">
    <w:name w:val="正文文本缩进 字符"/>
    <w:qFormat/>
    <w:uiPriority w:val="0"/>
    <w:rPr>
      <w:rFonts w:ascii="仿宋_GB2312" w:eastAsia="仿宋_GB2312"/>
      <w:kern w:val="2"/>
      <w:sz w:val="28"/>
      <w:lang w:val="en-US" w:eastAsia="zh-CN" w:bidi="ar-SA"/>
    </w:rPr>
  </w:style>
  <w:style w:type="character" w:customStyle="1" w:styleId="84">
    <w:name w:val="批注框文本 Char"/>
    <w:link w:val="25"/>
    <w:semiHidden/>
    <w:qFormat/>
    <w:uiPriority w:val="0"/>
    <w:rPr>
      <w:rFonts w:ascii="Times New Roman" w:hAnsi="Times New Roman" w:eastAsia="宋体" w:cs="Times New Roman"/>
      <w:sz w:val="18"/>
      <w:szCs w:val="18"/>
    </w:rPr>
  </w:style>
  <w:style w:type="character" w:customStyle="1" w:styleId="85">
    <w:name w:val="body001"/>
    <w:qFormat/>
    <w:uiPriority w:val="0"/>
    <w:rPr>
      <w:rFonts w:hint="default" w:ascii="ˎ̥" w:hAnsi="ˎ̥"/>
      <w:color w:val="333333"/>
      <w:sz w:val="18"/>
      <w:szCs w:val="18"/>
    </w:rPr>
  </w:style>
  <w:style w:type="character" w:customStyle="1" w:styleId="86">
    <w:name w:val="Char Char3"/>
    <w:qFormat/>
    <w:uiPriority w:val="0"/>
    <w:rPr>
      <w:rFonts w:hint="eastAsia" w:ascii="宋体" w:hAnsi="Courier New" w:eastAsia="宋体"/>
      <w:kern w:val="2"/>
      <w:sz w:val="21"/>
      <w:lang w:val="en-US" w:eastAsia="zh-CN" w:bidi="ar-SA"/>
    </w:rPr>
  </w:style>
  <w:style w:type="character" w:customStyle="1" w:styleId="87">
    <w:name w:val="标题 Char1"/>
    <w:link w:val="39"/>
    <w:qFormat/>
    <w:locked/>
    <w:uiPriority w:val="0"/>
    <w:rPr>
      <w:rFonts w:ascii="Times New Roman" w:hAnsi="Times New Roman"/>
      <w:kern w:val="2"/>
      <w:sz w:val="30"/>
      <w:szCs w:val="24"/>
    </w:rPr>
  </w:style>
  <w:style w:type="character" w:customStyle="1" w:styleId="88">
    <w:name w:val="l17"/>
    <w:basedOn w:val="40"/>
    <w:qFormat/>
    <w:uiPriority w:val="0"/>
  </w:style>
  <w:style w:type="character" w:customStyle="1" w:styleId="89">
    <w:name w:val="页眉 Char"/>
    <w:link w:val="28"/>
    <w:qFormat/>
    <w:uiPriority w:val="99"/>
    <w:rPr>
      <w:sz w:val="18"/>
      <w:szCs w:val="18"/>
    </w:rPr>
  </w:style>
  <w:style w:type="character" w:customStyle="1" w:styleId="90">
    <w:name w:val="style1"/>
    <w:basedOn w:val="40"/>
    <w:qFormat/>
    <w:uiPriority w:val="0"/>
  </w:style>
  <w:style w:type="character" w:customStyle="1" w:styleId="91">
    <w:name w:val="huei12b1"/>
    <w:qFormat/>
    <w:uiPriority w:val="0"/>
    <w:rPr>
      <w:b/>
      <w:bCs/>
      <w:color w:val="333333"/>
      <w:sz w:val="20"/>
      <w:szCs w:val="20"/>
    </w:rPr>
  </w:style>
  <w:style w:type="character" w:customStyle="1" w:styleId="92">
    <w:name w:val="页脚 Char"/>
    <w:link w:val="26"/>
    <w:qFormat/>
    <w:uiPriority w:val="99"/>
    <w:rPr>
      <w:sz w:val="18"/>
      <w:szCs w:val="18"/>
    </w:rPr>
  </w:style>
  <w:style w:type="character" w:customStyle="1" w:styleId="93">
    <w:name w:val="正文文本缩进 3 Char"/>
    <w:link w:val="33"/>
    <w:semiHidden/>
    <w:qFormat/>
    <w:uiPriority w:val="0"/>
    <w:rPr>
      <w:rFonts w:ascii="Times New Roman" w:hAnsi="Times New Roman" w:eastAsia="黑体"/>
      <w:color w:val="000000"/>
      <w:kern w:val="2"/>
      <w:sz w:val="24"/>
      <w:szCs w:val="24"/>
    </w:rPr>
  </w:style>
  <w:style w:type="character" w:customStyle="1" w:styleId="94">
    <w:name w:val="标题 4 Char1"/>
    <w:link w:val="6"/>
    <w:qFormat/>
    <w:uiPriority w:val="9"/>
    <w:rPr>
      <w:rFonts w:ascii="Cambria" w:hAnsi="Cambria" w:eastAsia="宋体" w:cs="Times New Roman"/>
      <w:b/>
      <w:bCs/>
      <w:kern w:val="2"/>
      <w:sz w:val="21"/>
      <w:szCs w:val="28"/>
    </w:rPr>
  </w:style>
  <w:style w:type="character" w:customStyle="1" w:styleId="95">
    <w:name w:val="wz1"/>
    <w:basedOn w:val="40"/>
    <w:qFormat/>
    <w:uiPriority w:val="0"/>
  </w:style>
  <w:style w:type="character" w:customStyle="1" w:styleId="96">
    <w:name w:val="标题 3 字符"/>
    <w:qFormat/>
    <w:uiPriority w:val="0"/>
    <w:rPr>
      <w:b/>
      <w:bCs/>
      <w:kern w:val="2"/>
      <w:sz w:val="24"/>
      <w:szCs w:val="32"/>
    </w:rPr>
  </w:style>
  <w:style w:type="character" w:customStyle="1" w:styleId="97">
    <w:name w:val="unnamed1"/>
    <w:basedOn w:val="40"/>
    <w:qFormat/>
    <w:uiPriority w:val="0"/>
  </w:style>
  <w:style w:type="character" w:customStyle="1" w:styleId="98">
    <w:name w:val="(aNormal) + 宋体 Char"/>
    <w:link w:val="99"/>
    <w:qFormat/>
    <w:locked/>
    <w:uiPriority w:val="0"/>
    <w:rPr>
      <w:rFonts w:ascii="宋体" w:hAnsi="宋体"/>
      <w:lang w:val="en-GB"/>
    </w:rPr>
  </w:style>
  <w:style w:type="paragraph" w:customStyle="1" w:styleId="99">
    <w:name w:val="(aNormal) + 宋体"/>
    <w:basedOn w:val="1"/>
    <w:link w:val="9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100">
    <w:name w:val="正文文本 2 Char"/>
    <w:link w:val="36"/>
    <w:semiHidden/>
    <w:qFormat/>
    <w:uiPriority w:val="0"/>
    <w:rPr>
      <w:rFonts w:ascii="Times New Roman" w:hAnsi="Times New Roman"/>
      <w:b/>
      <w:bCs/>
      <w:color w:val="000000"/>
      <w:kern w:val="2"/>
      <w:sz w:val="28"/>
      <w:szCs w:val="24"/>
    </w:rPr>
  </w:style>
  <w:style w:type="character" w:customStyle="1" w:styleId="101">
    <w:name w:val="页眉 字符"/>
    <w:qFormat/>
    <w:locked/>
    <w:uiPriority w:val="0"/>
    <w:rPr>
      <w:rFonts w:eastAsia="宋体"/>
      <w:kern w:val="2"/>
      <w:sz w:val="18"/>
      <w:lang w:val="en-US" w:eastAsia="zh-CN" w:bidi="ar-SA"/>
    </w:rPr>
  </w:style>
  <w:style w:type="character" w:customStyle="1" w:styleId="102">
    <w:name w:val="文档结构图 Char"/>
    <w:link w:val="13"/>
    <w:semiHidden/>
    <w:qFormat/>
    <w:uiPriority w:val="0"/>
    <w:rPr>
      <w:rFonts w:ascii="宋体" w:hAnsi="Times New Roman" w:eastAsia="宋体" w:cs="Times New Roman"/>
      <w:sz w:val="18"/>
      <w:szCs w:val="18"/>
    </w:rPr>
  </w:style>
  <w:style w:type="character" w:customStyle="1" w:styleId="103">
    <w:name w:val="批注主题 Char"/>
    <w:link w:val="8"/>
    <w:semiHidden/>
    <w:qFormat/>
    <w:uiPriority w:val="0"/>
    <w:rPr>
      <w:rFonts w:ascii="Times New Roman" w:hAnsi="Times New Roman"/>
      <w:b/>
      <w:bCs/>
      <w:kern w:val="2"/>
      <w:sz w:val="21"/>
      <w:szCs w:val="24"/>
    </w:rPr>
  </w:style>
  <w:style w:type="character" w:customStyle="1" w:styleId="104">
    <w:name w:val="apple-converted-space"/>
    <w:basedOn w:val="40"/>
    <w:qFormat/>
    <w:uiPriority w:val="0"/>
  </w:style>
  <w:style w:type="character" w:customStyle="1" w:styleId="105">
    <w:name w:val="标题 3 Char"/>
    <w:qFormat/>
    <w:uiPriority w:val="0"/>
    <w:rPr>
      <w:rFonts w:ascii="Times New Roman" w:hAnsi="Times New Roman"/>
      <w:b/>
      <w:bCs/>
      <w:kern w:val="2"/>
      <w:sz w:val="21"/>
      <w:szCs w:val="32"/>
    </w:rPr>
  </w:style>
  <w:style w:type="character" w:customStyle="1" w:styleId="106">
    <w:name w:val="正文文本 3 Char"/>
    <w:link w:val="14"/>
    <w:semiHidden/>
    <w:qFormat/>
    <w:uiPriority w:val="0"/>
    <w:rPr>
      <w:rFonts w:ascii="楷体_GB2312" w:hAnsi="Times New Roman" w:eastAsia="楷体_GB2312"/>
      <w:b/>
      <w:color w:val="000000"/>
      <w:kern w:val="2"/>
      <w:sz w:val="30"/>
      <w:szCs w:val="24"/>
    </w:rPr>
  </w:style>
  <w:style w:type="character" w:customStyle="1" w:styleId="107">
    <w:name w:val="标题 2 Char"/>
    <w:link w:val="4"/>
    <w:qFormat/>
    <w:uiPriority w:val="0"/>
    <w:rPr>
      <w:rFonts w:ascii="宋体" w:hAnsi="宋体" w:eastAsia="宋体"/>
      <w:b/>
      <w:bCs/>
      <w:kern w:val="2"/>
      <w:sz w:val="28"/>
      <w:szCs w:val="32"/>
    </w:rPr>
  </w:style>
  <w:style w:type="character" w:customStyle="1" w:styleId="108">
    <w:name w:val="content"/>
    <w:basedOn w:val="40"/>
    <w:qFormat/>
    <w:uiPriority w:val="0"/>
  </w:style>
  <w:style w:type="character" w:customStyle="1" w:styleId="109">
    <w:name w:val="search_result_snap1"/>
    <w:qFormat/>
    <w:uiPriority w:val="0"/>
    <w:rPr>
      <w:sz w:val="21"/>
      <w:szCs w:val="21"/>
    </w:rPr>
  </w:style>
  <w:style w:type="character" w:customStyle="1" w:styleId="110">
    <w:name w:val="批注文字 Char"/>
    <w:semiHidden/>
    <w:qFormat/>
    <w:uiPriority w:val="0"/>
    <w:rPr>
      <w:rFonts w:ascii="Times New Roman" w:hAnsi="Times New Roman"/>
      <w:kern w:val="2"/>
      <w:sz w:val="21"/>
      <w:szCs w:val="24"/>
    </w:rPr>
  </w:style>
  <w:style w:type="paragraph" w:customStyle="1" w:styleId="111">
    <w:name w:val="_Style 40"/>
    <w:basedOn w:val="1"/>
    <w:qFormat/>
    <w:uiPriority w:val="0"/>
    <w:pPr>
      <w:spacing w:line="240" w:lineRule="auto"/>
      <w:ind w:firstLine="0" w:firstLineChars="0"/>
    </w:pPr>
  </w:style>
  <w:style w:type="paragraph" w:customStyle="1" w:styleId="1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13">
    <w:name w:val="标题3"/>
    <w:basedOn w:val="5"/>
    <w:qFormat/>
    <w:uiPriority w:val="0"/>
    <w:pPr>
      <w:spacing w:before="260" w:after="260" w:line="415" w:lineRule="auto"/>
    </w:pPr>
    <w:rPr>
      <w:rFonts w:ascii="宋体" w:hAnsi="宋体"/>
      <w:sz w:val="28"/>
      <w:szCs w:val="28"/>
    </w:rPr>
  </w:style>
  <w:style w:type="paragraph" w:customStyle="1" w:styleId="114">
    <w:name w:val="TOC 标题1"/>
    <w:basedOn w:val="4"/>
    <w:next w:val="1"/>
    <w:qFormat/>
    <w:uiPriority w:val="39"/>
    <w:pPr>
      <w:widowControl/>
      <w:spacing w:line="240" w:lineRule="auto"/>
      <w:outlineLvl w:val="9"/>
    </w:pPr>
    <w:rPr>
      <w:kern w:val="0"/>
      <w:sz w:val="21"/>
      <w:szCs w:val="28"/>
    </w:rPr>
  </w:style>
  <w:style w:type="paragraph" w:customStyle="1" w:styleId="115">
    <w:name w:val="列出段落1"/>
    <w:basedOn w:val="1"/>
    <w:qFormat/>
    <w:uiPriority w:val="0"/>
    <w:pPr>
      <w:spacing w:line="240" w:lineRule="auto"/>
      <w:ind w:firstLine="420"/>
    </w:pPr>
  </w:style>
  <w:style w:type="paragraph" w:customStyle="1" w:styleId="11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17">
    <w:name w:val="正文2"/>
    <w:basedOn w:val="1"/>
    <w:qFormat/>
    <w:uiPriority w:val="0"/>
    <w:pPr>
      <w:spacing w:before="156"/>
      <w:ind w:firstLine="510"/>
    </w:pPr>
    <w:rPr>
      <w:rFonts w:ascii="MT Extra" w:hAnsi="MT Extra" w:cs="MT Extra"/>
    </w:rPr>
  </w:style>
  <w:style w:type="paragraph" w:customStyle="1" w:styleId="118">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19">
    <w:name w:val="样式1"/>
    <w:basedOn w:val="1"/>
    <w:qFormat/>
    <w:uiPriority w:val="0"/>
    <w:pPr>
      <w:spacing w:line="360" w:lineRule="exact"/>
    </w:pPr>
    <w:rPr>
      <w:rFonts w:ascii="Arial" w:hAnsi="Arial"/>
      <w:sz w:val="21"/>
    </w:rPr>
  </w:style>
  <w:style w:type="paragraph" w:customStyle="1" w:styleId="120">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21">
    <w:name w:val="正文缩进1"/>
    <w:basedOn w:val="1"/>
    <w:next w:val="16"/>
    <w:qFormat/>
    <w:uiPriority w:val="0"/>
    <w:pPr>
      <w:autoSpaceDE w:val="0"/>
      <w:autoSpaceDN w:val="0"/>
      <w:adjustRightInd w:val="0"/>
      <w:snapToGrid w:val="0"/>
      <w:spacing w:after="120"/>
      <w:ind w:left="420" w:firstLine="480" w:firstLineChars="0"/>
    </w:pPr>
    <w:rPr>
      <w:szCs w:val="20"/>
    </w:rPr>
  </w:style>
  <w:style w:type="paragraph" w:customStyle="1" w:styleId="12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3">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24">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5">
    <w:name w:val="_Style 54"/>
    <w:basedOn w:val="1"/>
    <w:qFormat/>
    <w:uiPriority w:val="0"/>
    <w:pPr>
      <w:spacing w:line="240" w:lineRule="auto"/>
      <w:ind w:firstLine="0" w:firstLineChars="0"/>
    </w:pPr>
  </w:style>
  <w:style w:type="paragraph" w:customStyle="1" w:styleId="1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2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8">
    <w:name w:val="List Paragraph"/>
    <w:basedOn w:val="1"/>
    <w:qFormat/>
    <w:uiPriority w:val="34"/>
    <w:pPr>
      <w:ind w:firstLine="420"/>
    </w:pPr>
    <w:rPr>
      <w:szCs w:val="22"/>
    </w:rPr>
  </w:style>
  <w:style w:type="paragraph" w:customStyle="1" w:styleId="12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31">
    <w:name w:val="表格"/>
    <w:basedOn w:val="12"/>
    <w:next w:val="1"/>
    <w:qFormat/>
    <w:uiPriority w:val="0"/>
    <w:pPr>
      <w:spacing w:line="240" w:lineRule="auto"/>
      <w:jc w:val="center"/>
    </w:pPr>
    <w:rPr>
      <w:rFonts w:ascii="Times New Roman"/>
    </w:rPr>
  </w:style>
  <w:style w:type="paragraph" w:customStyle="1" w:styleId="132">
    <w:name w:val="Revision"/>
    <w:unhideWhenUsed/>
    <w:qFormat/>
    <w:uiPriority w:val="99"/>
    <w:rPr>
      <w:rFonts w:ascii="Times New Roman" w:hAnsi="Times New Roman" w:eastAsia="宋体" w:cs="Times New Roman"/>
      <w:kern w:val="2"/>
      <w:sz w:val="24"/>
      <w:szCs w:val="24"/>
      <w:lang w:val="en-US" w:eastAsia="zh-CN" w:bidi="ar-SA"/>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35">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36">
    <w:name w:val="Char"/>
    <w:basedOn w:val="1"/>
    <w:qFormat/>
    <w:uiPriority w:val="0"/>
    <w:pPr>
      <w:spacing w:line="240" w:lineRule="auto"/>
      <w:ind w:firstLine="0" w:firstLineChars="0"/>
    </w:pPr>
    <w:rPr>
      <w:rFonts w:ascii="仿宋_GB2312" w:eastAsia="仿宋_GB2312"/>
      <w:b/>
      <w:sz w:val="32"/>
      <w:szCs w:val="32"/>
    </w:rPr>
  </w:style>
  <w:style w:type="paragraph" w:customStyle="1" w:styleId="1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38">
    <w:name w:val="_Style 3"/>
    <w:basedOn w:val="1"/>
    <w:next w:val="128"/>
    <w:qFormat/>
    <w:uiPriority w:val="34"/>
    <w:pPr>
      <w:ind w:firstLine="420"/>
    </w:pPr>
    <w:rPr>
      <w:szCs w:val="22"/>
    </w:rPr>
  </w:style>
  <w:style w:type="paragraph" w:customStyle="1" w:styleId="139">
    <w:name w:val="默认段落字体 Para Char"/>
    <w:basedOn w:val="1"/>
    <w:qFormat/>
    <w:uiPriority w:val="0"/>
    <w:pPr>
      <w:spacing w:line="240" w:lineRule="auto"/>
      <w:ind w:firstLine="0" w:firstLineChars="0"/>
    </w:pPr>
  </w:style>
  <w:style w:type="paragraph" w:customStyle="1" w:styleId="140">
    <w:name w:val="部分1"/>
    <w:basedOn w:val="1"/>
    <w:qFormat/>
    <w:uiPriority w:val="99"/>
    <w:pPr>
      <w:keepNext/>
      <w:pageBreakBefore/>
      <w:tabs>
        <w:tab w:val="left" w:pos="720"/>
      </w:tabs>
      <w:jc w:val="center"/>
      <w:outlineLvl w:val="0"/>
    </w:pPr>
    <w:rPr>
      <w:rFonts w:eastAsia="黑体"/>
      <w:b/>
      <w:kern w:val="44"/>
      <w:sz w:val="36"/>
    </w:rPr>
  </w:style>
  <w:style w:type="paragraph" w:customStyle="1" w:styleId="141">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4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3">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44">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45">
    <w:name w:val="小标题2"/>
    <w:basedOn w:val="1"/>
    <w:next w:val="1"/>
    <w:qFormat/>
    <w:uiPriority w:val="0"/>
    <w:pPr>
      <w:spacing w:beforeLines="20" w:afterLines="20" w:line="400" w:lineRule="exact"/>
    </w:pPr>
    <w:rPr>
      <w:rFonts w:eastAsia="楷体_GB2312"/>
    </w:rPr>
  </w:style>
  <w:style w:type="paragraph" w:customStyle="1" w:styleId="14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7">
    <w:name w:val="Blockquote"/>
    <w:basedOn w:val="1"/>
    <w:qFormat/>
    <w:uiPriority w:val="0"/>
    <w:pPr>
      <w:autoSpaceDE w:val="0"/>
      <w:autoSpaceDN w:val="0"/>
      <w:adjustRightInd w:val="0"/>
      <w:spacing w:before="100" w:after="100"/>
      <w:ind w:left="360" w:right="360"/>
      <w:jc w:val="left"/>
    </w:pPr>
    <w:rPr>
      <w:kern w:val="0"/>
    </w:rPr>
  </w:style>
  <w:style w:type="paragraph" w:customStyle="1" w:styleId="14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9">
    <w:name w:val="p16"/>
    <w:basedOn w:val="1"/>
    <w:qFormat/>
    <w:uiPriority w:val="0"/>
    <w:pPr>
      <w:widowControl/>
      <w:spacing w:line="240" w:lineRule="auto"/>
      <w:ind w:left="420" w:hanging="420" w:firstLineChars="0"/>
    </w:pPr>
    <w:rPr>
      <w:kern w:val="0"/>
      <w:szCs w:val="21"/>
    </w:rPr>
  </w:style>
  <w:style w:type="paragraph" w:customStyle="1" w:styleId="15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51">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3">
    <w:name w:val="p0"/>
    <w:basedOn w:val="1"/>
    <w:qFormat/>
    <w:uiPriority w:val="0"/>
    <w:pPr>
      <w:widowControl/>
      <w:spacing w:line="240" w:lineRule="auto"/>
      <w:ind w:firstLine="0" w:firstLineChars="0"/>
    </w:pPr>
    <w:rPr>
      <w:kern w:val="0"/>
      <w:szCs w:val="21"/>
    </w:rPr>
  </w:style>
  <w:style w:type="paragraph" w:customStyle="1" w:styleId="154">
    <w:name w:val="彩色列表 - 强调文字颜色 11"/>
    <w:basedOn w:val="1"/>
    <w:qFormat/>
    <w:uiPriority w:val="34"/>
    <w:pPr>
      <w:ind w:firstLine="420"/>
    </w:pPr>
  </w:style>
  <w:style w:type="paragraph" w:customStyle="1" w:styleId="1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6">
    <w:name w:val="Char Char Char Char Char Char Char Char"/>
    <w:basedOn w:val="1"/>
    <w:qFormat/>
    <w:uiPriority w:val="0"/>
    <w:pPr>
      <w:tabs>
        <w:tab w:val="left" w:pos="360"/>
      </w:tabs>
      <w:spacing w:line="240" w:lineRule="auto"/>
      <w:ind w:firstLine="0" w:firstLineChars="0"/>
    </w:pPr>
    <w:rPr>
      <w:szCs w:val="20"/>
    </w:rPr>
  </w:style>
  <w:style w:type="paragraph" w:customStyle="1" w:styleId="157">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58">
    <w:name w:val="Char Char Char Char Char Char Char Char Char Char"/>
    <w:basedOn w:val="13"/>
    <w:qFormat/>
    <w:uiPriority w:val="0"/>
    <w:pPr>
      <w:shd w:val="clear" w:color="auto" w:fill="000080"/>
      <w:spacing w:line="240" w:lineRule="auto"/>
      <w:ind w:firstLine="0" w:firstLineChars="0"/>
    </w:pPr>
    <w:rPr>
      <w:rFonts w:ascii="Tahoma" w:hAnsi="Tahoma"/>
      <w:sz w:val="24"/>
      <w:szCs w:val="24"/>
    </w:rPr>
  </w:style>
  <w:style w:type="paragraph" w:customStyle="1" w:styleId="15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60">
    <w:name w:val="1"/>
    <w:basedOn w:val="1"/>
    <w:next w:val="38"/>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正文1"/>
    <w:basedOn w:val="1"/>
    <w:qFormat/>
    <w:uiPriority w:val="0"/>
    <w:pPr>
      <w:widowControl/>
      <w:spacing w:after="200" w:line="300" w:lineRule="atLeast"/>
      <w:jc w:val="left"/>
    </w:pPr>
    <w:rPr>
      <w:rFonts w:cs="宋体"/>
      <w:kern w:val="0"/>
      <w:sz w:val="22"/>
      <w:szCs w:val="22"/>
    </w:rPr>
  </w:style>
  <w:style w:type="paragraph" w:customStyle="1" w:styleId="163">
    <w:name w:val="正文－恩普"/>
    <w:basedOn w:val="2"/>
    <w:qFormat/>
    <w:uiPriority w:val="0"/>
    <w:pPr>
      <w:widowControl/>
      <w:spacing w:afterLines="50" w:line="360" w:lineRule="auto"/>
      <w:ind w:firstLine="480" w:firstLineChars="200"/>
      <w:jc w:val="left"/>
    </w:pPr>
  </w:style>
  <w:style w:type="paragraph" w:customStyle="1" w:styleId="164">
    <w:name w:val="Char Char Char"/>
    <w:basedOn w:val="1"/>
    <w:qFormat/>
    <w:uiPriority w:val="0"/>
    <w:pPr>
      <w:spacing w:line="240" w:lineRule="auto"/>
      <w:ind w:firstLine="0" w:firstLineChars="0"/>
    </w:pPr>
    <w:rPr>
      <w:rFonts w:ascii="Tahoma" w:hAnsi="Tahoma"/>
      <w:szCs w:val="20"/>
    </w:rPr>
  </w:style>
  <w:style w:type="paragraph" w:customStyle="1" w:styleId="16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67">
    <w:name w:val="列表段落1"/>
    <w:basedOn w:val="1"/>
    <w:qFormat/>
    <w:uiPriority w:val="0"/>
    <w:pPr>
      <w:ind w:firstLine="420"/>
    </w:pPr>
  </w:style>
  <w:style w:type="paragraph" w:customStyle="1" w:styleId="16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9">
    <w:name w:val="正文格式"/>
    <w:basedOn w:val="1"/>
    <w:qFormat/>
    <w:uiPriority w:val="0"/>
    <w:pPr>
      <w:widowControl/>
      <w:adjustRightInd w:val="0"/>
      <w:snapToGrid w:val="0"/>
      <w:ind w:firstLine="482" w:firstLineChars="0"/>
    </w:pPr>
    <w:rPr>
      <w:kern w:val="0"/>
      <w:szCs w:val="20"/>
    </w:rPr>
  </w:style>
  <w:style w:type="paragraph" w:customStyle="1" w:styleId="170">
    <w:name w:val="head 1.1"/>
    <w:basedOn w:val="167"/>
    <w:qFormat/>
    <w:uiPriority w:val="0"/>
    <w:pPr>
      <w:numPr>
        <w:ilvl w:val="1"/>
        <w:numId w:val="3"/>
      </w:numPr>
      <w:spacing w:before="260" w:after="260" w:line="240" w:lineRule="auto"/>
      <w:ind w:firstLine="0" w:firstLineChars="0"/>
    </w:pPr>
    <w:rPr>
      <w:rFonts w:ascii="宋体" w:hAnsi="宋体"/>
      <w:bCs/>
      <w:szCs w:val="22"/>
    </w:rPr>
  </w:style>
  <w:style w:type="paragraph" w:customStyle="1" w:styleId="1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72">
    <w:name w:val="head 1.1.1"/>
    <w:basedOn w:val="167"/>
    <w:qFormat/>
    <w:uiPriority w:val="0"/>
    <w:pPr>
      <w:numPr>
        <w:ilvl w:val="2"/>
        <w:numId w:val="3"/>
      </w:numPr>
      <w:spacing w:line="240" w:lineRule="auto"/>
      <w:ind w:firstLine="0" w:firstLineChars="0"/>
    </w:pPr>
    <w:rPr>
      <w:bCs/>
      <w:szCs w:val="22"/>
    </w:rPr>
  </w:style>
  <w:style w:type="paragraph" w:customStyle="1" w:styleId="173">
    <w:name w:val="默认段落字体 Para Char Char Char Char Char Char Char Char Char1 Char Char Char Char"/>
    <w:basedOn w:val="1"/>
    <w:qFormat/>
    <w:uiPriority w:val="0"/>
    <w:rPr>
      <w:rFonts w:ascii="Tahoma" w:hAnsi="Tahoma"/>
      <w:szCs w:val="20"/>
    </w:rPr>
  </w:style>
  <w:style w:type="paragraph" w:customStyle="1" w:styleId="174">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75">
    <w:name w:val="Char1"/>
    <w:basedOn w:val="1"/>
    <w:qFormat/>
    <w:uiPriority w:val="0"/>
    <w:rPr>
      <w:rFonts w:ascii="Tahoma" w:hAnsi="Tahoma"/>
      <w:szCs w:val="20"/>
    </w:rPr>
  </w:style>
  <w:style w:type="paragraph" w:customStyle="1" w:styleId="17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78">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79">
    <w:name w:val="Char2"/>
    <w:basedOn w:val="1"/>
    <w:qFormat/>
    <w:uiPriority w:val="0"/>
    <w:pPr>
      <w:spacing w:line="240" w:lineRule="auto"/>
      <w:ind w:firstLine="0" w:firstLineChars="0"/>
    </w:pPr>
    <w:rPr>
      <w:rFonts w:ascii="仿宋_GB2312" w:eastAsia="仿宋_GB2312"/>
      <w:b/>
      <w:sz w:val="32"/>
      <w:szCs w:val="32"/>
    </w:rPr>
  </w:style>
  <w:style w:type="paragraph" w:customStyle="1" w:styleId="180">
    <w:name w:val="小标题"/>
    <w:basedOn w:val="1"/>
    <w:qFormat/>
    <w:uiPriority w:val="0"/>
    <w:pPr>
      <w:autoSpaceDE w:val="0"/>
      <w:autoSpaceDN w:val="0"/>
      <w:spacing w:before="240" w:line="300" w:lineRule="auto"/>
      <w:ind w:firstLine="480"/>
      <w:textAlignment w:val="center"/>
    </w:pPr>
    <w:rPr>
      <w:rFonts w:ascii="仿宋" w:hAnsi="仿宋" w:eastAsia="仿宋" w:cs="宋体"/>
      <w:b/>
      <w:bCs/>
      <w:szCs w:val="20"/>
    </w:rPr>
  </w:style>
  <w:style w:type="paragraph" w:customStyle="1" w:styleId="181">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82">
    <w:name w:val="Char Char Char Char Char Char"/>
    <w:basedOn w:val="1"/>
    <w:qFormat/>
    <w:uiPriority w:val="0"/>
    <w:pPr>
      <w:spacing w:line="240" w:lineRule="auto"/>
    </w:pPr>
    <w:rPr>
      <w:rFonts w:ascii="Tahoma" w:hAnsi="Tahoma"/>
      <w:szCs w:val="20"/>
    </w:rPr>
  </w:style>
  <w:style w:type="paragraph" w:customStyle="1" w:styleId="183">
    <w:name w:val="正文段"/>
    <w:basedOn w:val="1"/>
    <w:qFormat/>
    <w:uiPriority w:val="0"/>
    <w:pPr>
      <w:widowControl/>
      <w:snapToGrid w:val="0"/>
      <w:spacing w:afterLines="50"/>
    </w:pPr>
    <w:rPr>
      <w:kern w:val="0"/>
    </w:rPr>
  </w:style>
  <w:style w:type="paragraph" w:customStyle="1" w:styleId="184">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8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86">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87">
    <w:name w:val="WPSOffice手动目录 1"/>
    <w:qFormat/>
    <w:uiPriority w:val="0"/>
    <w:pPr>
      <w:ind w:leftChars="0"/>
    </w:pPr>
    <w:rPr>
      <w:rFonts w:ascii="Times New Roman" w:hAnsi="Times New Roman" w:eastAsia="宋体" w:cs="Times New Roman"/>
      <w:sz w:val="20"/>
      <w:szCs w:val="20"/>
    </w:rPr>
  </w:style>
  <w:style w:type="paragraph" w:customStyle="1" w:styleId="188">
    <w:name w:val="WPSOffice手动目录 2"/>
    <w:qFormat/>
    <w:uiPriority w:val="0"/>
    <w:pPr>
      <w:ind w:leftChars="200"/>
    </w:pPr>
    <w:rPr>
      <w:rFonts w:ascii="Times New Roman" w:hAnsi="Times New Roman" w:eastAsia="宋体" w:cs="Times New Roman"/>
      <w:sz w:val="20"/>
      <w:szCs w:val="20"/>
    </w:rPr>
  </w:style>
  <w:style w:type="paragraph" w:customStyle="1" w:styleId="189">
    <w:name w:val="WPSOffice手动目录 3"/>
    <w:qFormat/>
    <w:uiPriority w:val="0"/>
    <w:pPr>
      <w:ind w:leftChars="400"/>
    </w:pPr>
    <w:rPr>
      <w:rFonts w:ascii="Times New Roman" w:hAnsi="Times New Roman" w:eastAsia="宋体" w:cs="Times New Roman"/>
      <w:sz w:val="20"/>
      <w:szCs w:val="20"/>
    </w:rPr>
  </w:style>
  <w:style w:type="paragraph" w:customStyle="1" w:styleId="190">
    <w:name w:val="Char Char Char Char Char Char Char1"/>
    <w:basedOn w:val="1"/>
    <w:qFormat/>
    <w:uiPriority w:val="0"/>
    <w:pPr>
      <w:tabs>
        <w:tab w:val="left" w:pos="432"/>
      </w:tabs>
      <w:ind w:left="432" w:hanging="432"/>
    </w:pPr>
    <w:rPr>
      <w:rFonts w:ascii="Tahoma" w:hAnsi="Tahoma"/>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6347</Words>
  <Characters>36178</Characters>
  <Lines>301</Lines>
  <Paragraphs>84</Paragraphs>
  <ScaleCrop>false</ScaleCrop>
  <LinksUpToDate>false</LinksUpToDate>
  <CharactersWithSpaces>42441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2021-03-17T08:05:00Z</dcterms:created>
  <dc:creator>Administrator</dc:creator>
  <cp:lastModifiedBy>Administrator</cp:lastModifiedBy>
  <cp:lastPrinted>2019-08-14T12:21:00Z</cp:lastPrinted>
  <dcterms:modified xsi:type="dcterms:W3CDTF">2021-08-10T07:09:07Z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6B37AB17D735450F912D0F3A8C7357CB</vt:lpwstr>
  </property>
</Properties>
</file>