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auto"/>
        <w:ind w:firstLine="0" w:firstLineChars="0"/>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 xml:space="preserve"> </w:t>
      </w:r>
    </w:p>
    <w:p>
      <w:pPr>
        <w:spacing w:line="600" w:lineRule="auto"/>
        <w:ind w:firstLine="0" w:firstLineChars="0"/>
        <w:jc w:val="center"/>
        <w:rPr>
          <w:rFonts w:hint="eastAsia" w:ascii="宋体" w:hAnsi="宋体" w:eastAsia="宋体" w:cs="宋体"/>
          <w:b/>
          <w:bCs/>
          <w:color w:val="auto"/>
          <w:sz w:val="48"/>
          <w:szCs w:val="48"/>
          <w:highlight w:val="none"/>
        </w:rPr>
      </w:pPr>
      <w:r>
        <w:rPr>
          <w:rFonts w:hint="eastAsia" w:cs="宋体"/>
          <w:b/>
          <w:bCs/>
          <w:color w:val="auto"/>
          <w:sz w:val="48"/>
          <w:szCs w:val="48"/>
          <w:highlight w:val="none"/>
          <w:lang w:eastAsia="zh-CN"/>
        </w:rPr>
        <w:t>浙江海洋大学</w:t>
      </w:r>
    </w:p>
    <w:p>
      <w:pPr>
        <w:spacing w:line="600" w:lineRule="auto"/>
        <w:ind w:firstLine="964"/>
        <w:jc w:val="center"/>
        <w:rPr>
          <w:rFonts w:hint="eastAsia" w:ascii="宋体" w:hAnsi="宋体" w:eastAsia="宋体" w:cs="宋体"/>
          <w:b/>
          <w:bCs/>
          <w:color w:val="auto"/>
          <w:sz w:val="48"/>
          <w:szCs w:val="48"/>
          <w:highlight w:val="none"/>
        </w:rPr>
      </w:pPr>
    </w:p>
    <w:p>
      <w:pPr>
        <w:snapToGrid w:val="0"/>
        <w:ind w:firstLine="0" w:firstLineChars="0"/>
        <w:rPr>
          <w:rFonts w:hint="eastAsia" w:ascii="宋体" w:hAnsi="宋体" w:eastAsia="宋体" w:cs="宋体"/>
          <w:b/>
          <w:color w:val="auto"/>
          <w:sz w:val="72"/>
          <w:szCs w:val="72"/>
          <w:highlight w:val="none"/>
        </w:rPr>
      </w:pPr>
    </w:p>
    <w:p>
      <w:pPr>
        <w:pStyle w:val="48"/>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snapToGrid w:val="0"/>
        <w:ind w:firstLine="0" w:firstLineChars="0"/>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公开招标文件</w:t>
      </w:r>
    </w:p>
    <w:p>
      <w:pPr>
        <w:pStyle w:val="12"/>
        <w:rPr>
          <w:rFonts w:hint="eastAsia" w:ascii="宋体" w:hAnsi="宋体" w:eastAsia="宋体" w:cs="宋体"/>
          <w:b/>
          <w:color w:val="auto"/>
          <w:sz w:val="40"/>
          <w:szCs w:val="28"/>
          <w:highlight w:val="none"/>
        </w:rPr>
      </w:pPr>
    </w:p>
    <w:p>
      <w:pPr>
        <w:pStyle w:val="12"/>
        <w:rPr>
          <w:rFonts w:hint="eastAsia" w:ascii="宋体" w:hAnsi="宋体" w:eastAsia="宋体" w:cs="宋体"/>
          <w:b/>
          <w:color w:val="auto"/>
          <w:sz w:val="40"/>
          <w:szCs w:val="28"/>
          <w:highlight w:val="none"/>
        </w:rPr>
      </w:pPr>
    </w:p>
    <w:p>
      <w:pPr>
        <w:pStyle w:val="48"/>
        <w:rPr>
          <w:rFonts w:hint="eastAsia" w:ascii="宋体" w:hAnsi="宋体" w:eastAsia="宋体" w:cs="宋体"/>
          <w:color w:val="auto"/>
          <w:highlight w:val="none"/>
        </w:rPr>
      </w:pPr>
    </w:p>
    <w:p>
      <w:pPr>
        <w:pStyle w:val="49"/>
        <w:rPr>
          <w:rFonts w:hint="eastAsia" w:ascii="宋体" w:hAnsi="宋体" w:eastAsia="宋体" w:cs="宋体"/>
          <w:color w:val="auto"/>
          <w:highlight w:val="none"/>
        </w:rPr>
      </w:pPr>
    </w:p>
    <w:p>
      <w:pPr>
        <w:snapToGrid w:val="0"/>
        <w:ind w:firstLine="0" w:firstLineChars="0"/>
        <w:rPr>
          <w:rFonts w:hint="eastAsia" w:ascii="宋体" w:hAnsi="宋体" w:eastAsia="宋体" w:cs="宋体"/>
          <w:b/>
          <w:color w:val="auto"/>
          <w:sz w:val="40"/>
          <w:szCs w:val="28"/>
          <w:highlight w:val="none"/>
        </w:rPr>
      </w:pPr>
    </w:p>
    <w:p>
      <w:pPr>
        <w:snapToGrid w:val="0"/>
        <w:ind w:firstLine="643"/>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项目名称：</w:t>
      </w:r>
      <w:r>
        <w:rPr>
          <w:rFonts w:hint="eastAsia" w:cs="宋体"/>
          <w:b/>
          <w:bCs/>
          <w:color w:val="auto"/>
          <w:sz w:val="32"/>
          <w:szCs w:val="32"/>
          <w:highlight w:val="none"/>
          <w:lang w:eastAsia="zh-CN"/>
        </w:rPr>
        <w:t>浙江海洋大学海洋食品质量安全溯源与区块链技术科研平台设备采购项目</w:t>
      </w:r>
    </w:p>
    <w:p>
      <w:pPr>
        <w:snapToGrid w:val="0"/>
        <w:ind w:firstLine="643"/>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招标编号：</w:t>
      </w:r>
      <w:r>
        <w:rPr>
          <w:rFonts w:hint="eastAsia" w:cs="宋体"/>
          <w:b/>
          <w:bCs/>
          <w:color w:val="auto"/>
          <w:sz w:val="32"/>
          <w:szCs w:val="32"/>
          <w:highlight w:val="none"/>
          <w:lang w:eastAsia="zh-CN"/>
        </w:rPr>
        <w:t>ZJWS-20210140HY</w:t>
      </w:r>
    </w:p>
    <w:p>
      <w:pPr>
        <w:snapToGrid w:val="0"/>
        <w:ind w:firstLine="643"/>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采</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eastAsia="zh-CN"/>
        </w:rPr>
        <w:t>购</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人：</w:t>
      </w:r>
      <w:r>
        <w:rPr>
          <w:rFonts w:hint="eastAsia" w:cs="宋体"/>
          <w:b/>
          <w:bCs/>
          <w:color w:val="auto"/>
          <w:sz w:val="32"/>
          <w:szCs w:val="32"/>
          <w:highlight w:val="none"/>
          <w:lang w:eastAsia="zh-CN"/>
        </w:rPr>
        <w:t>浙江海洋大学</w:t>
      </w:r>
    </w:p>
    <w:p>
      <w:pPr>
        <w:snapToGrid w:val="0"/>
        <w:ind w:firstLine="643"/>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代理机构：浙江五石工程咨询有限公司</w:t>
      </w:r>
    </w:p>
    <w:p>
      <w:pPr>
        <w:snapToGrid w:val="0"/>
        <w:ind w:firstLine="643"/>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时    间：二〇二一年</w:t>
      </w:r>
      <w:r>
        <w:rPr>
          <w:rFonts w:hint="eastAsia" w:cs="宋体"/>
          <w:b/>
          <w:bCs/>
          <w:color w:val="auto"/>
          <w:sz w:val="32"/>
          <w:szCs w:val="32"/>
          <w:highlight w:val="none"/>
          <w:lang w:eastAsia="zh-CN"/>
        </w:rPr>
        <w:t>八</w:t>
      </w:r>
      <w:r>
        <w:rPr>
          <w:rFonts w:hint="eastAsia" w:ascii="宋体" w:hAnsi="宋体" w:eastAsia="宋体" w:cs="宋体"/>
          <w:b/>
          <w:bCs/>
          <w:color w:val="auto"/>
          <w:sz w:val="32"/>
          <w:szCs w:val="32"/>
          <w:highlight w:val="none"/>
        </w:rPr>
        <w:t>月</w:t>
      </w:r>
    </w:p>
    <w:p>
      <w:pPr>
        <w:pStyle w:val="48"/>
        <w:rPr>
          <w:rFonts w:hint="eastAsia" w:ascii="宋体" w:hAnsi="宋体" w:eastAsia="宋体" w:cs="宋体"/>
          <w:color w:val="auto"/>
          <w:highlight w:val="none"/>
        </w:rPr>
      </w:pPr>
    </w:p>
    <w:p>
      <w:pPr>
        <w:snapToGrid w:val="0"/>
        <w:ind w:firstLine="643"/>
        <w:rPr>
          <w:rFonts w:hint="eastAsia" w:ascii="宋体" w:hAnsi="宋体" w:eastAsia="宋体" w:cs="宋体"/>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pgBorders>
            <w:top w:val="none" w:color="auto" w:sz="0" w:space="0"/>
            <w:left w:val="none" w:color="auto" w:sz="0" w:space="0"/>
            <w:bottom w:val="none" w:color="auto" w:sz="0" w:space="0"/>
            <w:right w:val="none" w:color="auto" w:sz="0" w:space="0"/>
          </w:pgBorders>
          <w:pgNumType w:start="1"/>
          <w:cols w:space="720" w:num="1"/>
          <w:docGrid w:type="lines" w:linePitch="312" w:charSpace="0"/>
        </w:sectPr>
      </w:pPr>
    </w:p>
    <w:p>
      <w:pPr>
        <w:pStyle w:val="34"/>
        <w:tabs>
          <w:tab w:val="right" w:leader="dot" w:pos="8306"/>
          <w:tab w:val="clear" w:pos="8296"/>
        </w:tabs>
        <w:ind w:left="480"/>
        <w:jc w:val="center"/>
        <w:rPr>
          <w:rFonts w:hint="eastAsia" w:ascii="宋体" w:hAnsi="宋体" w:eastAsia="宋体" w:cs="宋体"/>
          <w:b/>
          <w:bCs/>
          <w:color w:val="auto"/>
          <w:sz w:val="36"/>
          <w:szCs w:val="36"/>
          <w:highlight w:val="none"/>
          <w:lang w:val="zh-CN"/>
        </w:rPr>
      </w:pPr>
      <w:bookmarkStart w:id="0" w:name="_Toc32639"/>
      <w:r>
        <w:rPr>
          <w:rFonts w:hint="eastAsia" w:ascii="宋体" w:hAnsi="宋体" w:eastAsia="宋体" w:cs="宋体"/>
          <w:b/>
          <w:bCs/>
          <w:color w:val="auto"/>
          <w:sz w:val="36"/>
          <w:szCs w:val="36"/>
          <w:highlight w:val="none"/>
          <w:lang w:val="zh-CN"/>
        </w:rPr>
        <w:t>目</w:t>
      </w:r>
      <w:r>
        <w:rPr>
          <w:rFonts w:hint="eastAsia" w:ascii="宋体" w:hAnsi="宋体" w:eastAsia="宋体" w:cs="宋体"/>
          <w:b/>
          <w:bCs/>
          <w:color w:val="auto"/>
          <w:sz w:val="36"/>
          <w:szCs w:val="36"/>
          <w:highlight w:val="none"/>
        </w:rPr>
        <w:t xml:space="preserve">  </w:t>
      </w:r>
      <w:r>
        <w:rPr>
          <w:rFonts w:hint="eastAsia" w:ascii="宋体" w:hAnsi="宋体" w:eastAsia="宋体" w:cs="宋体"/>
          <w:b/>
          <w:bCs/>
          <w:color w:val="auto"/>
          <w:sz w:val="36"/>
          <w:szCs w:val="36"/>
          <w:highlight w:val="none"/>
          <w:lang w:val="zh-CN"/>
        </w:rPr>
        <w:t>录</w:t>
      </w:r>
      <w:bookmarkEnd w:id="0"/>
    </w:p>
    <w:p>
      <w:pPr>
        <w:bidi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TOC \o "1-2" \h \z \u </w:instrText>
      </w:r>
      <w:r>
        <w:rPr>
          <w:rFonts w:hint="eastAsia" w:ascii="宋体" w:hAnsi="宋体" w:eastAsia="宋体" w:cs="宋体"/>
          <w:color w:val="auto"/>
          <w:highlight w:val="none"/>
        </w:rPr>
        <w:fldChar w:fldCharType="separate"/>
      </w:r>
    </w:p>
    <w:p>
      <w:pPr>
        <w:pStyle w:val="29"/>
        <w:tabs>
          <w:tab w:val="right" w:leader="dot" w:pos="974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_Toc19596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第一章 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_Toc19596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9"/>
        <w:tabs>
          <w:tab w:val="right" w:leader="dot" w:pos="974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_Toc6146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eastAsia="zh-CN"/>
        </w:rPr>
        <w:t>第二章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项目需求说明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_Toc6146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9"/>
        <w:tabs>
          <w:tab w:val="right" w:leader="dot" w:pos="974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_Toc5760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6"/>
          <w:highlight w:val="none"/>
        </w:rPr>
        <w:t>第三章 投标人须知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_Toc5760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4"/>
        <w:tabs>
          <w:tab w:val="right" w:leader="dot" w:pos="974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_Toc8778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前 附 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_Toc8778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4"/>
        <w:tabs>
          <w:tab w:val="right" w:leader="dot" w:pos="974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_Toc14541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第一节 总 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_Toc14541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4"/>
        <w:tabs>
          <w:tab w:val="right" w:leader="dot" w:pos="974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_Toc27084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第二节 招标文件的构成、澄清、修改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_Toc27084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4"/>
        <w:tabs>
          <w:tab w:val="right" w:leader="dot" w:pos="974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_Toc21160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第三节 投标文件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_Toc21160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4"/>
        <w:tabs>
          <w:tab w:val="right" w:leader="dot" w:pos="974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_Toc22584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第四节 投标文件的递交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_Toc22584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4"/>
        <w:tabs>
          <w:tab w:val="right" w:leader="dot" w:pos="974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_Toc11276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第五节 开标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_Toc11276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4"/>
        <w:tabs>
          <w:tab w:val="right" w:leader="dot" w:pos="974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_Toc21559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第六节 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_Toc21559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4"/>
        <w:tabs>
          <w:tab w:val="right" w:leader="dot" w:pos="974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_Toc15663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第七节 授予合同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_Toc15663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4"/>
        <w:tabs>
          <w:tab w:val="right" w:leader="dot" w:pos="974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_Toc14481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第八节 例外处理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_Toc14481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9"/>
        <w:tabs>
          <w:tab w:val="right" w:leader="dot" w:pos="974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_Toc21368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第四章 评标办法及评分标准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_Toc21368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4"/>
        <w:tabs>
          <w:tab w:val="right" w:leader="dot" w:pos="974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_Toc3017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一、评分总则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_Toc3017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4"/>
        <w:tabs>
          <w:tab w:val="right" w:leader="dot" w:pos="974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_Toc30520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二、评分内容及标准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_Toc30520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9"/>
        <w:tabs>
          <w:tab w:val="right" w:leader="dot" w:pos="974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_Toc10616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第五章 合同格式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_Toc10616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9"/>
        <w:tabs>
          <w:tab w:val="right" w:leader="dot" w:pos="974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_Toc24575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第六章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_Toc24575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4"/>
        <w:tabs>
          <w:tab w:val="right" w:leader="dot" w:pos="8306"/>
          <w:tab w:val="clear" w:pos="8296"/>
        </w:tabs>
        <w:ind w:left="480"/>
        <w:jc w:val="center"/>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p>
      <w:pPr>
        <w:rPr>
          <w:rFonts w:hint="eastAsia" w:ascii="宋体" w:hAnsi="宋体" w:eastAsia="宋体" w:cs="宋体"/>
          <w:color w:val="auto"/>
          <w:highlight w:val="none"/>
        </w:rPr>
      </w:pPr>
    </w:p>
    <w:p>
      <w:pPr>
        <w:pStyle w:val="12"/>
        <w:rPr>
          <w:rFonts w:hint="eastAsia" w:ascii="宋体" w:hAnsi="宋体" w:eastAsia="宋体" w:cs="宋体"/>
          <w:color w:val="auto"/>
          <w:highlight w:val="none"/>
        </w:rPr>
        <w:sectPr>
          <w:footerReference r:id="rId10" w:type="default"/>
          <w:headerReference r:id="rId9" w:type="even"/>
          <w:footerReference r:id="rId11" w:type="even"/>
          <w:pgSz w:w="11906" w:h="16838"/>
          <w:pgMar w:top="1440" w:right="1080" w:bottom="1440" w:left="1080" w:header="851" w:footer="992" w:gutter="0"/>
          <w:pgBorders>
            <w:top w:val="none" w:color="auto" w:sz="0" w:space="0"/>
            <w:left w:val="none" w:color="auto" w:sz="0" w:space="0"/>
            <w:bottom w:val="none" w:color="auto" w:sz="0" w:space="0"/>
            <w:right w:val="none" w:color="auto" w:sz="0" w:space="0"/>
          </w:pgBorders>
          <w:cols w:space="720" w:num="1"/>
          <w:docGrid w:type="lines" w:linePitch="312" w:charSpace="0"/>
        </w:sectPr>
      </w:pPr>
    </w:p>
    <w:p>
      <w:pPr>
        <w:pStyle w:val="4"/>
        <w:bidi w:val="0"/>
        <w:rPr>
          <w:rFonts w:hint="eastAsia" w:ascii="宋体" w:hAnsi="宋体" w:eastAsia="宋体" w:cs="宋体"/>
          <w:color w:val="auto"/>
          <w:highlight w:val="none"/>
        </w:rPr>
      </w:pPr>
      <w:bookmarkStart w:id="1" w:name="_Toc24232"/>
      <w:bookmarkStart w:id="2" w:name="_Toc12653"/>
      <w:bookmarkStart w:id="3" w:name="_Toc19596"/>
      <w:bookmarkStart w:id="4" w:name="_Toc452457411"/>
      <w:r>
        <w:rPr>
          <w:rFonts w:hint="eastAsia" w:ascii="宋体" w:hAnsi="宋体" w:eastAsia="宋体" w:cs="宋体"/>
          <w:color w:val="auto"/>
          <w:highlight w:val="none"/>
        </w:rPr>
        <w:t>第一章 招标公告</w:t>
      </w:r>
      <w:bookmarkEnd w:id="1"/>
      <w:bookmarkEnd w:id="2"/>
      <w:bookmarkEnd w:id="3"/>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bCs/>
          <w:sz w:val="24"/>
          <w:szCs w:val="24"/>
        </w:rPr>
      </w:pPr>
      <w:r>
        <w:rPr>
          <w:rFonts w:hint="eastAsia" w:cs="宋体"/>
          <w:sz w:val="24"/>
          <w:szCs w:val="24"/>
          <w:u w:val="single"/>
          <w:lang w:eastAsia="zh-CN"/>
        </w:rPr>
        <w:t>浙江海洋大学海洋食品质量安全溯源与区块链技术科研平台设备</w:t>
      </w:r>
      <w:r>
        <w:rPr>
          <w:rFonts w:hint="eastAsia" w:ascii="宋体" w:hAnsi="宋体" w:eastAsia="宋体" w:cs="宋体"/>
          <w:sz w:val="24"/>
          <w:szCs w:val="24"/>
        </w:rPr>
        <w:t>招标项目的潜在投标人应在</w:t>
      </w:r>
      <w:r>
        <w:rPr>
          <w:rFonts w:hint="eastAsia" w:ascii="宋体" w:hAnsi="宋体" w:eastAsia="宋体" w:cs="宋体"/>
          <w:sz w:val="24"/>
          <w:szCs w:val="24"/>
          <w:u w:val="single"/>
        </w:rPr>
        <w:t>政采云平台（http://zfcg.czt.zj.gov.cn）</w:t>
      </w:r>
      <w:r>
        <w:rPr>
          <w:rFonts w:hint="eastAsia" w:ascii="宋体" w:hAnsi="宋体" w:eastAsia="宋体" w:cs="宋体"/>
          <w:sz w:val="24"/>
          <w:szCs w:val="24"/>
        </w:rPr>
        <w:t>获取招标文件，并于</w:t>
      </w:r>
      <w:r>
        <w:rPr>
          <w:rFonts w:hint="eastAsia" w:ascii="宋体" w:hAnsi="宋体" w:eastAsia="宋体" w:cs="宋体"/>
          <w:sz w:val="24"/>
          <w:szCs w:val="24"/>
          <w:u w:val="single"/>
        </w:rPr>
        <w:t>2021</w:t>
      </w:r>
      <w:r>
        <w:rPr>
          <w:rFonts w:hint="eastAsia" w:ascii="宋体" w:hAnsi="宋体" w:eastAsia="宋体" w:cs="宋体"/>
          <w:bCs/>
          <w:sz w:val="24"/>
          <w:szCs w:val="24"/>
          <w:u w:val="single"/>
        </w:rPr>
        <w:t>年</w:t>
      </w:r>
      <w:r>
        <w:rPr>
          <w:rFonts w:hint="eastAsia" w:cs="宋体"/>
          <w:bCs/>
          <w:sz w:val="24"/>
          <w:szCs w:val="24"/>
          <w:u w:val="single"/>
          <w:lang w:val="en-US" w:eastAsia="zh-CN"/>
        </w:rPr>
        <w:t>9</w:t>
      </w:r>
      <w:r>
        <w:rPr>
          <w:rFonts w:hint="eastAsia" w:ascii="宋体" w:hAnsi="宋体" w:eastAsia="宋体" w:cs="宋体"/>
          <w:bCs/>
          <w:sz w:val="24"/>
          <w:szCs w:val="24"/>
          <w:u w:val="single"/>
        </w:rPr>
        <w:t>月</w:t>
      </w:r>
      <w:r>
        <w:rPr>
          <w:rFonts w:hint="eastAsia" w:cs="宋体"/>
          <w:bCs/>
          <w:sz w:val="24"/>
          <w:szCs w:val="24"/>
          <w:u w:val="single"/>
          <w:lang w:val="en-US" w:eastAsia="zh-CN"/>
        </w:rPr>
        <w:t>16</w:t>
      </w:r>
      <w:r>
        <w:rPr>
          <w:rFonts w:hint="eastAsia" w:ascii="宋体" w:hAnsi="宋体" w:eastAsia="宋体" w:cs="宋体"/>
          <w:bCs/>
          <w:sz w:val="24"/>
          <w:szCs w:val="24"/>
          <w:u w:val="single"/>
        </w:rPr>
        <w:t>日1</w:t>
      </w:r>
      <w:r>
        <w:rPr>
          <w:rFonts w:hint="eastAsia" w:cs="宋体"/>
          <w:bCs/>
          <w:sz w:val="24"/>
          <w:szCs w:val="24"/>
          <w:u w:val="single"/>
          <w:lang w:val="en-US" w:eastAsia="zh-CN"/>
        </w:rPr>
        <w:t>3</w:t>
      </w:r>
      <w:r>
        <w:rPr>
          <w:rFonts w:hint="eastAsia" w:ascii="宋体" w:hAnsi="宋体" w:eastAsia="宋体" w:cs="宋体"/>
          <w:bCs/>
          <w:sz w:val="24"/>
          <w:szCs w:val="24"/>
          <w:u w:val="single"/>
        </w:rPr>
        <w:t>点</w:t>
      </w:r>
      <w:r>
        <w:rPr>
          <w:rFonts w:hint="eastAsia" w:cs="宋体"/>
          <w:bCs/>
          <w:sz w:val="24"/>
          <w:szCs w:val="24"/>
          <w:u w:val="single"/>
          <w:lang w:val="en-US" w:eastAsia="zh-CN"/>
        </w:rPr>
        <w:t>30</w:t>
      </w:r>
      <w:r>
        <w:rPr>
          <w:rFonts w:hint="eastAsia" w:ascii="宋体" w:hAnsi="宋体" w:eastAsia="宋体" w:cs="宋体"/>
          <w:bCs/>
          <w:sz w:val="24"/>
          <w:szCs w:val="24"/>
          <w:u w:val="single"/>
        </w:rPr>
        <w:t>分（</w:t>
      </w:r>
      <w:r>
        <w:rPr>
          <w:rFonts w:hint="eastAsia" w:ascii="宋体" w:hAnsi="宋体" w:eastAsia="宋体" w:cs="宋体"/>
          <w:bCs/>
          <w:sz w:val="24"/>
          <w:szCs w:val="24"/>
        </w:rPr>
        <w:t>北京时间）前递交（上传）投标文件。</w:t>
      </w:r>
    </w:p>
    <w:p>
      <w:pPr>
        <w:pStyle w:val="5"/>
        <w:spacing w:before="0" w:after="0"/>
        <w:rPr>
          <w:rFonts w:hint="eastAsia" w:ascii="宋体" w:hAnsi="宋体" w:eastAsia="宋体" w:cs="宋体"/>
          <w:sz w:val="24"/>
          <w:szCs w:val="24"/>
        </w:rPr>
      </w:pPr>
      <w:bookmarkStart w:id="5" w:name="_Toc35393621"/>
      <w:bookmarkStart w:id="6" w:name="_Toc35393790"/>
      <w:bookmarkStart w:id="7" w:name="_Toc28359002"/>
      <w:bookmarkStart w:id="8" w:name="_Toc25244"/>
      <w:bookmarkStart w:id="9" w:name="_Toc28359079"/>
      <w:r>
        <w:rPr>
          <w:rFonts w:hint="eastAsia" w:ascii="宋体" w:hAnsi="宋体" w:eastAsia="宋体" w:cs="宋体"/>
          <w:sz w:val="24"/>
          <w:szCs w:val="24"/>
        </w:rPr>
        <w:t>一、项目基本情况</w:t>
      </w:r>
      <w:bookmarkEnd w:id="5"/>
      <w:bookmarkEnd w:id="6"/>
      <w:bookmarkEnd w:id="7"/>
      <w:bookmarkEnd w:id="8"/>
      <w:bookmarkEnd w:id="9"/>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项目编号：</w:t>
      </w:r>
      <w:r>
        <w:rPr>
          <w:rFonts w:hint="eastAsia" w:cs="宋体"/>
          <w:sz w:val="24"/>
          <w:szCs w:val="24"/>
          <w:lang w:eastAsia="zh-CN"/>
        </w:rPr>
        <w:t>ZJWS-20210140HY</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项目名称：</w:t>
      </w:r>
      <w:r>
        <w:rPr>
          <w:rFonts w:hint="eastAsia" w:cs="宋体"/>
          <w:sz w:val="24"/>
          <w:szCs w:val="24"/>
          <w:lang w:eastAsia="zh-CN"/>
        </w:rPr>
        <w:t>浙江海洋大学海洋食品质量安全溯源与区块链技术科研平台设备采购项目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预算金额：</w:t>
      </w:r>
      <w:r>
        <w:rPr>
          <w:rFonts w:hint="eastAsia" w:cs="宋体"/>
          <w:sz w:val="24"/>
          <w:szCs w:val="24"/>
          <w:lang w:val="en-US" w:eastAsia="zh-CN"/>
        </w:rPr>
        <w:t>305万元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采购需求：</w:t>
      </w:r>
    </w:p>
    <w:tbl>
      <w:tblPr>
        <w:tblStyle w:val="46"/>
        <w:tblW w:w="9819" w:type="dxa"/>
        <w:tblInd w:w="91"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40"/>
        <w:gridCol w:w="2883"/>
        <w:gridCol w:w="1817"/>
        <w:gridCol w:w="983"/>
        <w:gridCol w:w="2217"/>
        <w:gridCol w:w="12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13" w:hRule="exact"/>
        </w:trPr>
        <w:tc>
          <w:tcPr>
            <w:tcW w:w="640" w:type="dxa"/>
            <w:shd w:val="clear" w:color="000000" w:fill="auto"/>
            <w:vAlign w:val="center"/>
          </w:tcPr>
          <w:p>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标项</w:t>
            </w:r>
          </w:p>
        </w:tc>
        <w:tc>
          <w:tcPr>
            <w:tcW w:w="2883" w:type="dxa"/>
            <w:shd w:val="clear" w:color="000000" w:fill="auto"/>
            <w:vAlign w:val="center"/>
          </w:tcPr>
          <w:p>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采购内容</w:t>
            </w:r>
          </w:p>
        </w:tc>
        <w:tc>
          <w:tcPr>
            <w:tcW w:w="1817" w:type="dxa"/>
            <w:shd w:val="clear" w:color="000000" w:fill="auto"/>
            <w:vAlign w:val="center"/>
          </w:tcPr>
          <w:p>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技术要求</w:t>
            </w:r>
          </w:p>
        </w:tc>
        <w:tc>
          <w:tcPr>
            <w:tcW w:w="983" w:type="dxa"/>
            <w:shd w:val="clear" w:color="000000" w:fill="auto"/>
            <w:vAlign w:val="center"/>
          </w:tcPr>
          <w:p>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数量</w:t>
            </w:r>
          </w:p>
        </w:tc>
        <w:tc>
          <w:tcPr>
            <w:tcW w:w="2217" w:type="dxa"/>
            <w:shd w:val="clear" w:color="000000" w:fill="auto"/>
            <w:vAlign w:val="center"/>
          </w:tcPr>
          <w:p>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合同履行期限</w:t>
            </w:r>
          </w:p>
        </w:tc>
        <w:tc>
          <w:tcPr>
            <w:tcW w:w="1279" w:type="dxa"/>
            <w:shd w:val="clear" w:color="000000" w:fill="auto"/>
            <w:vAlign w:val="center"/>
          </w:tcPr>
          <w:p>
            <w:pPr>
              <w:ind w:left="0" w:leftChars="0" w:firstLine="0" w:firstLineChars="0"/>
              <w:jc w:val="center"/>
              <w:rPr>
                <w:rFonts w:hint="eastAsia" w:ascii="宋体" w:hAnsi="宋体" w:eastAsia="宋体" w:cs="宋体"/>
                <w:sz w:val="21"/>
                <w:szCs w:val="21"/>
                <w:lang w:eastAsia="zh-CN"/>
              </w:rPr>
            </w:pPr>
            <w:r>
              <w:rPr>
                <w:rFonts w:hint="eastAsia" w:cs="宋体"/>
                <w:sz w:val="21"/>
                <w:szCs w:val="21"/>
                <w:lang w:eastAsia="zh-CN"/>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82" w:hRule="exact"/>
        </w:trPr>
        <w:tc>
          <w:tcPr>
            <w:tcW w:w="640" w:type="dxa"/>
            <w:vAlign w:val="center"/>
          </w:tcPr>
          <w:p>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一</w:t>
            </w:r>
          </w:p>
        </w:tc>
        <w:tc>
          <w:tcPr>
            <w:tcW w:w="2883" w:type="dxa"/>
            <w:vAlign w:val="center"/>
          </w:tcPr>
          <w:p>
            <w:pPr>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"https://www.zcygov.cn/bidding-entrust/" \l "/order/orderDetail/6684269099491124685/look" \t "https://www.zcygov.cn/bidding-entrust/" \l "/order/_blank" </w:instrText>
            </w:r>
            <w:r>
              <w:rPr>
                <w:rFonts w:hint="eastAsia" w:ascii="宋体" w:hAnsi="宋体" w:eastAsia="宋体" w:cs="宋体"/>
                <w:sz w:val="21"/>
                <w:szCs w:val="21"/>
              </w:rPr>
              <w:fldChar w:fldCharType="separate"/>
            </w:r>
            <w:r>
              <w:rPr>
                <w:rFonts w:hint="eastAsia" w:cs="宋体"/>
                <w:sz w:val="21"/>
                <w:szCs w:val="21"/>
                <w:lang w:eastAsia="zh-CN"/>
              </w:rPr>
              <w:t>海洋食品质量安全溯源与区块链技术科研平台设备</w:t>
            </w:r>
            <w:r>
              <w:rPr>
                <w:rFonts w:hint="eastAsia" w:ascii="宋体" w:hAnsi="宋体" w:eastAsia="宋体" w:cs="宋体"/>
                <w:sz w:val="21"/>
                <w:szCs w:val="21"/>
              </w:rPr>
              <w:fldChar w:fldCharType="end"/>
            </w:r>
          </w:p>
        </w:tc>
        <w:tc>
          <w:tcPr>
            <w:tcW w:w="1817" w:type="dxa"/>
            <w:vAlign w:val="center"/>
          </w:tcPr>
          <w:p>
            <w:pPr>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详见采购文件</w:t>
            </w:r>
          </w:p>
        </w:tc>
        <w:tc>
          <w:tcPr>
            <w:tcW w:w="983" w:type="dxa"/>
            <w:vAlign w:val="center"/>
          </w:tcPr>
          <w:p>
            <w:pPr>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1批</w:t>
            </w:r>
          </w:p>
        </w:tc>
        <w:tc>
          <w:tcPr>
            <w:tcW w:w="2217" w:type="dxa"/>
            <w:vAlign w:val="center"/>
          </w:tcPr>
          <w:p>
            <w:pPr>
              <w:ind w:left="0" w:leftChars="0" w:firstLine="0" w:firstLineChars="0"/>
              <w:jc w:val="center"/>
              <w:rPr>
                <w:rFonts w:hint="eastAsia" w:ascii="宋体" w:hAnsi="宋体" w:eastAsia="宋体" w:cs="宋体"/>
                <w:sz w:val="21"/>
                <w:szCs w:val="21"/>
                <w:lang w:eastAsia="zh-CN"/>
              </w:rPr>
            </w:pPr>
            <w:r>
              <w:rPr>
                <w:rFonts w:hint="eastAsia" w:cs="宋体"/>
                <w:sz w:val="21"/>
                <w:szCs w:val="21"/>
                <w:lang w:eastAsia="zh-CN"/>
              </w:rPr>
              <w:t>自合同签订生效后</w:t>
            </w:r>
            <w:r>
              <w:rPr>
                <w:rFonts w:hint="eastAsia" w:cs="宋体"/>
                <w:sz w:val="21"/>
                <w:szCs w:val="21"/>
                <w:lang w:val="en-US" w:eastAsia="zh-CN"/>
              </w:rPr>
              <w:t>3</w:t>
            </w:r>
            <w:r>
              <w:rPr>
                <w:rFonts w:hint="eastAsia" w:cs="宋体"/>
                <w:sz w:val="21"/>
                <w:szCs w:val="21"/>
                <w:lang w:eastAsia="zh-CN"/>
              </w:rPr>
              <w:t>个月内完成交货安装</w:t>
            </w:r>
          </w:p>
        </w:tc>
        <w:tc>
          <w:tcPr>
            <w:tcW w:w="1279" w:type="dxa"/>
            <w:vAlign w:val="center"/>
          </w:tcPr>
          <w:p>
            <w:pPr>
              <w:ind w:left="0" w:leftChars="0" w:firstLine="0" w:firstLineChars="0"/>
              <w:jc w:val="center"/>
              <w:rPr>
                <w:rFonts w:hint="eastAsia" w:cs="宋体"/>
                <w:sz w:val="21"/>
                <w:szCs w:val="21"/>
                <w:lang w:eastAsia="zh-CN"/>
              </w:rPr>
            </w:pPr>
            <w:r>
              <w:rPr>
                <w:rFonts w:hint="eastAsia" w:cs="宋体"/>
                <w:sz w:val="21"/>
                <w:szCs w:val="21"/>
                <w:lang w:eastAsia="zh-CN"/>
              </w:rPr>
              <w:t>允许采购进口设备</w:t>
            </w:r>
          </w:p>
        </w:tc>
      </w:tr>
    </w:tbl>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本项目不接受联合体投标。</w:t>
      </w:r>
    </w:p>
    <w:p>
      <w:pPr>
        <w:pStyle w:val="5"/>
        <w:spacing w:before="0" w:after="0"/>
        <w:rPr>
          <w:rFonts w:hint="eastAsia" w:ascii="宋体" w:hAnsi="宋体" w:eastAsia="宋体" w:cs="宋体"/>
          <w:sz w:val="24"/>
          <w:szCs w:val="24"/>
        </w:rPr>
      </w:pPr>
      <w:bookmarkStart w:id="10" w:name="_Toc35393791"/>
      <w:bookmarkStart w:id="11" w:name="_Toc28359080"/>
      <w:bookmarkStart w:id="12" w:name="_Toc35393622"/>
      <w:bookmarkStart w:id="13" w:name="_Toc28359003"/>
      <w:bookmarkStart w:id="14" w:name="_Toc3134"/>
      <w:r>
        <w:rPr>
          <w:rFonts w:hint="eastAsia" w:ascii="宋体" w:hAnsi="宋体" w:eastAsia="宋体" w:cs="宋体"/>
          <w:sz w:val="24"/>
          <w:szCs w:val="24"/>
        </w:rPr>
        <w:t>二、申请人的资格要求：</w:t>
      </w:r>
      <w:bookmarkEnd w:id="10"/>
      <w:bookmarkEnd w:id="11"/>
      <w:bookmarkEnd w:id="12"/>
      <w:bookmarkEnd w:id="13"/>
      <w:bookmarkEnd w:id="14"/>
    </w:p>
    <w:p>
      <w:pPr>
        <w:pStyle w:val="22"/>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且未列入“www.creditchina.gov.cn、www.ccgp.gov.cn”网站失信被执行人、重大税收违法案件当事人名单、政府采购严重违法失信记录名单在禁止参加采购期限的供应商；</w:t>
      </w:r>
    </w:p>
    <w:p>
      <w:pPr>
        <w:spacing w:line="360" w:lineRule="auto"/>
        <w:ind w:firstLine="480" w:firstLineChars="200"/>
        <w:rPr>
          <w:rFonts w:hint="eastAsia" w:ascii="宋体" w:hAnsi="宋体" w:eastAsia="宋体" w:cs="宋体"/>
          <w:sz w:val="24"/>
          <w:szCs w:val="24"/>
        </w:rPr>
      </w:pPr>
      <w:bookmarkStart w:id="15" w:name="_Toc28359081"/>
      <w:bookmarkStart w:id="16" w:name="_Toc28359004"/>
      <w:r>
        <w:rPr>
          <w:rFonts w:hint="eastAsia" w:ascii="宋体" w:hAnsi="宋体" w:eastAsia="宋体" w:cs="宋体"/>
          <w:sz w:val="24"/>
          <w:szCs w:val="24"/>
        </w:rPr>
        <w:t>2.落实政府采购政策需满足的资格要求：</w:t>
      </w:r>
      <w:r>
        <w:rPr>
          <w:rFonts w:hint="eastAsia" w:ascii="宋体" w:hAnsi="宋体" w:eastAsia="宋体" w:cs="宋体"/>
          <w:sz w:val="24"/>
          <w:szCs w:val="24"/>
          <w:u w:val="single"/>
        </w:rPr>
        <w:t>无</w:t>
      </w:r>
    </w:p>
    <w:p>
      <w:pPr>
        <w:spacing w:line="360" w:lineRule="auto"/>
        <w:ind w:firstLine="480" w:firstLineChars="200"/>
        <w:rPr>
          <w:rFonts w:hint="eastAsia" w:ascii="宋体" w:hAnsi="宋体" w:eastAsia="宋体" w:cs="宋体"/>
          <w:i/>
          <w:iCs/>
          <w:sz w:val="24"/>
          <w:szCs w:val="24"/>
          <w:u w:val="single"/>
        </w:rPr>
      </w:pPr>
      <w:r>
        <w:rPr>
          <w:rFonts w:hint="eastAsia" w:ascii="宋体" w:hAnsi="宋体" w:eastAsia="宋体" w:cs="宋体"/>
          <w:sz w:val="24"/>
          <w:szCs w:val="24"/>
        </w:rPr>
        <w:t>3.本项目的特定资格要求：</w:t>
      </w:r>
      <w:r>
        <w:rPr>
          <w:rFonts w:hint="eastAsia" w:ascii="宋体" w:hAnsi="宋体" w:eastAsia="宋体" w:cs="宋体"/>
          <w:sz w:val="24"/>
          <w:szCs w:val="24"/>
          <w:u w:val="single"/>
        </w:rPr>
        <w:t>无</w:t>
      </w:r>
    </w:p>
    <w:p>
      <w:pPr>
        <w:pStyle w:val="5"/>
        <w:spacing w:before="0" w:after="0"/>
        <w:rPr>
          <w:rFonts w:hint="eastAsia" w:ascii="宋体" w:hAnsi="宋体" w:eastAsia="宋体" w:cs="宋体"/>
          <w:bCs w:val="0"/>
          <w:sz w:val="24"/>
          <w:szCs w:val="24"/>
        </w:rPr>
      </w:pPr>
      <w:bookmarkStart w:id="17" w:name="_Toc35393623"/>
      <w:bookmarkStart w:id="18" w:name="_Toc35393792"/>
      <w:bookmarkStart w:id="19" w:name="_Toc29705"/>
      <w:r>
        <w:rPr>
          <w:rFonts w:hint="eastAsia" w:ascii="宋体" w:hAnsi="宋体" w:eastAsia="宋体" w:cs="宋体"/>
          <w:bCs w:val="0"/>
          <w:sz w:val="24"/>
          <w:szCs w:val="24"/>
        </w:rPr>
        <w:t>三、获取招标文件</w:t>
      </w:r>
      <w:bookmarkEnd w:id="15"/>
      <w:bookmarkEnd w:id="16"/>
      <w:bookmarkEnd w:id="17"/>
      <w:bookmarkEnd w:id="18"/>
      <w:bookmarkEnd w:id="19"/>
    </w:p>
    <w:p>
      <w:pPr>
        <w:spacing w:line="360" w:lineRule="auto"/>
        <w:ind w:firstLine="540"/>
        <w:rPr>
          <w:rFonts w:hint="eastAsia" w:ascii="宋体" w:hAnsi="宋体" w:eastAsia="宋体" w:cs="宋体"/>
          <w:sz w:val="24"/>
          <w:szCs w:val="24"/>
        </w:rPr>
      </w:pPr>
      <w:r>
        <w:rPr>
          <w:rFonts w:hint="eastAsia" w:ascii="宋体" w:hAnsi="宋体" w:eastAsia="宋体" w:cs="宋体"/>
          <w:sz w:val="24"/>
          <w:szCs w:val="24"/>
        </w:rPr>
        <w:t>时间：</w:t>
      </w:r>
      <w:r>
        <w:rPr>
          <w:rFonts w:hint="eastAsia" w:cs="宋体"/>
          <w:sz w:val="24"/>
          <w:szCs w:val="24"/>
          <w:u w:val="single"/>
          <w:lang w:val="en-US" w:eastAsia="zh-CN"/>
        </w:rPr>
        <w:t>/</w:t>
      </w:r>
      <w:r>
        <w:rPr>
          <w:rFonts w:hint="eastAsia" w:ascii="宋体" w:hAnsi="宋体" w:eastAsia="宋体" w:cs="宋体"/>
          <w:sz w:val="24"/>
          <w:szCs w:val="24"/>
        </w:rPr>
        <w:t>至</w:t>
      </w:r>
      <w:r>
        <w:rPr>
          <w:rFonts w:hint="eastAsia" w:ascii="宋体" w:hAnsi="宋体" w:eastAsia="宋体" w:cs="宋体"/>
          <w:sz w:val="24"/>
          <w:szCs w:val="24"/>
          <w:u w:val="single"/>
        </w:rPr>
        <w:t xml:space="preserve"> 2021年</w:t>
      </w:r>
      <w:r>
        <w:rPr>
          <w:rFonts w:hint="eastAsia" w:cs="宋体"/>
          <w:sz w:val="24"/>
          <w:szCs w:val="24"/>
          <w:u w:val="single"/>
          <w:lang w:val="en-US" w:eastAsia="zh-CN"/>
        </w:rPr>
        <w:t>9</w:t>
      </w:r>
      <w:r>
        <w:rPr>
          <w:rFonts w:hint="eastAsia" w:ascii="宋体" w:hAnsi="宋体" w:eastAsia="宋体" w:cs="宋体"/>
          <w:sz w:val="24"/>
          <w:szCs w:val="24"/>
          <w:u w:val="single"/>
        </w:rPr>
        <w:t>月</w:t>
      </w:r>
      <w:r>
        <w:rPr>
          <w:rFonts w:hint="eastAsia" w:cs="宋体"/>
          <w:sz w:val="24"/>
          <w:szCs w:val="24"/>
          <w:u w:val="single"/>
          <w:lang w:val="en-US" w:eastAsia="zh-CN"/>
        </w:rPr>
        <w:t>16</w:t>
      </w:r>
      <w:r>
        <w:rPr>
          <w:rFonts w:hint="eastAsia" w:ascii="宋体" w:hAnsi="宋体" w:eastAsia="宋体" w:cs="宋体"/>
          <w:sz w:val="24"/>
          <w:szCs w:val="24"/>
          <w:u w:val="single"/>
        </w:rPr>
        <w:t>日</w:t>
      </w:r>
      <w:r>
        <w:rPr>
          <w:rFonts w:hint="eastAsia" w:ascii="宋体" w:hAnsi="宋体" w:eastAsia="宋体" w:cs="宋体"/>
          <w:sz w:val="24"/>
          <w:szCs w:val="24"/>
        </w:rPr>
        <w:t>（北京时间，法定节假日除外）</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地点：政采云平台（http://zfcg.czt.zj.gov.cn）；</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方式：</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1、本项目招标文件实行“政府采购云平台”在线获取，不提供招标文件纸质版。供应商获取招标文件前应先完成“政府采购云平台”的账号注册；</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3、招标公告附件内的招标文件（或采购需求）仅供阅览使用，投标人只有在“政府采购云平台”完成获取招标文件申请并下载了招标文件后才视作依法获取招标文件（法律法规所指的供应商获取招标文件时间以供应商完成获取招标文件申请后下载招标文件的时间为准）。</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注：请投标人按上述要求获取招标文件，如未在“政采云”系统内完成相关流程，引起的投标无效责任自负。</w:t>
      </w:r>
    </w:p>
    <w:p>
      <w:pPr>
        <w:pStyle w:val="5"/>
        <w:spacing w:before="0" w:after="0"/>
        <w:rPr>
          <w:rFonts w:hint="eastAsia" w:ascii="宋体" w:hAnsi="宋体" w:eastAsia="宋体" w:cs="宋体"/>
          <w:sz w:val="24"/>
          <w:szCs w:val="24"/>
        </w:rPr>
      </w:pPr>
      <w:bookmarkStart w:id="20" w:name="_Toc28359005"/>
      <w:bookmarkStart w:id="21" w:name="_Toc28359082"/>
      <w:bookmarkStart w:id="22" w:name="_Toc24835"/>
      <w:bookmarkStart w:id="23" w:name="_Toc35393624"/>
      <w:bookmarkStart w:id="24" w:name="_Toc35393793"/>
      <w:r>
        <w:rPr>
          <w:rFonts w:hint="eastAsia" w:ascii="宋体" w:hAnsi="宋体" w:eastAsia="宋体" w:cs="宋体"/>
          <w:sz w:val="24"/>
          <w:szCs w:val="24"/>
        </w:rPr>
        <w:t>四、提交投标文件</w:t>
      </w:r>
      <w:bookmarkEnd w:id="20"/>
      <w:bookmarkEnd w:id="21"/>
      <w:r>
        <w:rPr>
          <w:rFonts w:hint="eastAsia" w:ascii="宋体" w:hAnsi="宋体" w:eastAsia="宋体" w:cs="宋体"/>
          <w:sz w:val="24"/>
          <w:szCs w:val="24"/>
        </w:rPr>
        <w:t>截止时间、开标时间和地点</w:t>
      </w:r>
      <w:bookmarkEnd w:id="22"/>
      <w:bookmarkEnd w:id="23"/>
      <w:bookmarkEnd w:id="24"/>
    </w:p>
    <w:p>
      <w:pPr>
        <w:spacing w:line="360" w:lineRule="auto"/>
        <w:ind w:firstLine="480"/>
        <w:rPr>
          <w:rFonts w:hint="eastAsia" w:ascii="宋体" w:hAnsi="宋体" w:eastAsia="宋体" w:cs="宋体"/>
          <w:sz w:val="24"/>
          <w:szCs w:val="24"/>
        </w:rPr>
      </w:pPr>
      <w:bookmarkStart w:id="25" w:name="_Toc35393794"/>
      <w:bookmarkStart w:id="26" w:name="_Toc35393625"/>
      <w:bookmarkStart w:id="27" w:name="_Toc28359084"/>
      <w:bookmarkStart w:id="28" w:name="_Toc28359007"/>
      <w:r>
        <w:rPr>
          <w:rFonts w:hint="eastAsia" w:ascii="宋体" w:hAnsi="宋体" w:eastAsia="宋体" w:cs="宋体"/>
          <w:sz w:val="24"/>
          <w:szCs w:val="24"/>
        </w:rPr>
        <w:t>1、投标文件递交截止时间：2021年</w:t>
      </w:r>
      <w:r>
        <w:rPr>
          <w:rFonts w:hint="eastAsia" w:cs="宋体"/>
          <w:sz w:val="24"/>
          <w:szCs w:val="24"/>
          <w:lang w:val="en-US" w:eastAsia="zh-CN"/>
        </w:rPr>
        <w:t>9</w:t>
      </w:r>
      <w:r>
        <w:rPr>
          <w:rFonts w:hint="eastAsia" w:ascii="宋体" w:hAnsi="宋体" w:eastAsia="宋体" w:cs="宋体"/>
          <w:sz w:val="24"/>
          <w:szCs w:val="24"/>
        </w:rPr>
        <w:t>月</w:t>
      </w:r>
      <w:r>
        <w:rPr>
          <w:rFonts w:hint="eastAsia" w:cs="宋体"/>
          <w:sz w:val="24"/>
          <w:szCs w:val="24"/>
          <w:lang w:val="en-US" w:eastAsia="zh-CN"/>
        </w:rPr>
        <w:t>16</w:t>
      </w:r>
      <w:r>
        <w:rPr>
          <w:rFonts w:hint="eastAsia" w:ascii="宋体" w:hAnsi="宋体" w:eastAsia="宋体" w:cs="宋体"/>
          <w:sz w:val="24"/>
          <w:szCs w:val="24"/>
        </w:rPr>
        <w:t>日1</w:t>
      </w:r>
      <w:r>
        <w:rPr>
          <w:rFonts w:hint="eastAsia" w:cs="宋体"/>
          <w:sz w:val="24"/>
          <w:szCs w:val="24"/>
          <w:lang w:val="en-US" w:eastAsia="zh-CN"/>
        </w:rPr>
        <w:t>3</w:t>
      </w:r>
      <w:r>
        <w:rPr>
          <w:rFonts w:hint="eastAsia" w:ascii="宋体" w:hAnsi="宋体" w:eastAsia="宋体" w:cs="宋体"/>
          <w:sz w:val="24"/>
          <w:szCs w:val="24"/>
        </w:rPr>
        <w:t>时</w:t>
      </w:r>
      <w:r>
        <w:rPr>
          <w:rFonts w:hint="eastAsia" w:cs="宋体"/>
          <w:sz w:val="24"/>
          <w:szCs w:val="24"/>
          <w:lang w:val="en-US" w:eastAsia="zh-CN"/>
        </w:rPr>
        <w:t>3</w:t>
      </w:r>
      <w:r>
        <w:rPr>
          <w:rFonts w:hint="eastAsia" w:ascii="宋体" w:hAnsi="宋体" w:eastAsia="宋体" w:cs="宋体"/>
          <w:sz w:val="24"/>
          <w:szCs w:val="24"/>
        </w:rPr>
        <w:t>0分（北京时间）</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2、投标地点：</w:t>
      </w:r>
      <w:r>
        <w:rPr>
          <w:rFonts w:hint="eastAsia" w:cs="宋体"/>
          <w:sz w:val="24"/>
          <w:szCs w:val="24"/>
          <w:lang w:eastAsia="zh-CN"/>
        </w:rPr>
        <w:t>杭州市</w:t>
      </w:r>
      <w:r>
        <w:rPr>
          <w:rFonts w:hint="eastAsia" w:ascii="宋体" w:hAnsi="宋体" w:cs="宋体"/>
          <w:highlight w:val="none"/>
        </w:rPr>
        <w:t>天目山路7号一号楼裙楼302室</w:t>
      </w:r>
      <w:r>
        <w:rPr>
          <w:rFonts w:hint="eastAsia" w:ascii="宋体" w:hAnsi="宋体" w:eastAsia="宋体" w:cs="宋体"/>
          <w:sz w:val="24"/>
          <w:szCs w:val="24"/>
        </w:rPr>
        <w:t>。</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3、开标时间： 2021年</w:t>
      </w:r>
      <w:r>
        <w:rPr>
          <w:rFonts w:hint="eastAsia" w:cs="宋体"/>
          <w:sz w:val="24"/>
          <w:szCs w:val="24"/>
          <w:lang w:val="en-US" w:eastAsia="zh-CN"/>
        </w:rPr>
        <w:t>9</w:t>
      </w:r>
      <w:r>
        <w:rPr>
          <w:rFonts w:hint="eastAsia" w:ascii="宋体" w:hAnsi="宋体" w:eastAsia="宋体" w:cs="宋体"/>
          <w:sz w:val="24"/>
          <w:szCs w:val="24"/>
        </w:rPr>
        <w:t>月</w:t>
      </w:r>
      <w:r>
        <w:rPr>
          <w:rFonts w:hint="eastAsia" w:cs="宋体"/>
          <w:sz w:val="24"/>
          <w:szCs w:val="24"/>
          <w:lang w:val="en-US" w:eastAsia="zh-CN"/>
        </w:rPr>
        <w:t>16</w:t>
      </w:r>
      <w:r>
        <w:rPr>
          <w:rFonts w:hint="eastAsia" w:ascii="宋体" w:hAnsi="宋体" w:eastAsia="宋体" w:cs="宋体"/>
          <w:sz w:val="24"/>
          <w:szCs w:val="24"/>
        </w:rPr>
        <w:t>日1</w:t>
      </w:r>
      <w:r>
        <w:rPr>
          <w:rFonts w:hint="eastAsia" w:cs="宋体"/>
          <w:sz w:val="24"/>
          <w:szCs w:val="24"/>
          <w:lang w:val="en-US" w:eastAsia="zh-CN"/>
        </w:rPr>
        <w:t>3</w:t>
      </w:r>
      <w:r>
        <w:rPr>
          <w:rFonts w:hint="eastAsia" w:ascii="宋体" w:hAnsi="宋体" w:eastAsia="宋体" w:cs="宋体"/>
          <w:sz w:val="24"/>
          <w:szCs w:val="24"/>
        </w:rPr>
        <w:t>时</w:t>
      </w:r>
      <w:r>
        <w:rPr>
          <w:rFonts w:hint="eastAsia" w:cs="宋体"/>
          <w:sz w:val="24"/>
          <w:szCs w:val="24"/>
          <w:lang w:val="en-US" w:eastAsia="zh-CN"/>
        </w:rPr>
        <w:t>3</w:t>
      </w:r>
      <w:r>
        <w:rPr>
          <w:rFonts w:hint="eastAsia" w:ascii="宋体" w:hAnsi="宋体" w:eastAsia="宋体" w:cs="宋体"/>
          <w:sz w:val="24"/>
          <w:szCs w:val="24"/>
        </w:rPr>
        <w:t>0分（北京时间）</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4、开标地点：</w:t>
      </w:r>
      <w:r>
        <w:rPr>
          <w:rFonts w:hint="eastAsia" w:cs="宋体"/>
          <w:sz w:val="24"/>
          <w:szCs w:val="24"/>
          <w:lang w:eastAsia="zh-CN"/>
        </w:rPr>
        <w:t>杭州市</w:t>
      </w:r>
      <w:r>
        <w:rPr>
          <w:rFonts w:hint="eastAsia" w:ascii="宋体" w:hAnsi="宋体" w:cs="宋体"/>
          <w:highlight w:val="none"/>
        </w:rPr>
        <w:t>天目山路7号一号楼裙楼302室</w:t>
      </w:r>
      <w:r>
        <w:rPr>
          <w:rFonts w:hint="eastAsia" w:ascii="宋体" w:hAnsi="宋体" w:eastAsia="宋体" w:cs="宋体"/>
          <w:sz w:val="24"/>
          <w:szCs w:val="24"/>
        </w:rPr>
        <w:t>。</w:t>
      </w:r>
    </w:p>
    <w:p>
      <w:pPr>
        <w:pStyle w:val="5"/>
        <w:spacing w:before="0" w:after="0"/>
        <w:rPr>
          <w:rFonts w:hint="eastAsia" w:ascii="宋体" w:hAnsi="宋体" w:eastAsia="宋体" w:cs="宋体"/>
          <w:sz w:val="24"/>
          <w:szCs w:val="24"/>
        </w:rPr>
      </w:pPr>
      <w:r>
        <w:rPr>
          <w:rFonts w:hint="eastAsia" w:ascii="宋体" w:hAnsi="宋体" w:eastAsia="宋体" w:cs="宋体"/>
          <w:sz w:val="24"/>
          <w:szCs w:val="24"/>
        </w:rPr>
        <w:t>五、公告期限</w:t>
      </w:r>
      <w:bookmarkEnd w:id="25"/>
      <w:bookmarkEnd w:id="26"/>
      <w:bookmarkEnd w:id="27"/>
      <w:bookmarkEnd w:id="28"/>
      <w:r>
        <w:rPr>
          <w:rFonts w:hint="eastAsia" w:ascii="宋体" w:hAnsi="宋体" w:eastAsia="宋体" w:cs="宋体"/>
          <w:sz w:val="24"/>
          <w:szCs w:val="24"/>
        </w:rPr>
        <w:t>(招标文件公告期限)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pPr>
        <w:pStyle w:val="5"/>
        <w:spacing w:before="0" w:after="0"/>
        <w:rPr>
          <w:rFonts w:hint="eastAsia" w:ascii="宋体" w:hAnsi="宋体" w:eastAsia="宋体" w:cs="宋体"/>
          <w:sz w:val="24"/>
          <w:szCs w:val="24"/>
        </w:rPr>
      </w:pPr>
      <w:bookmarkStart w:id="29" w:name="_Toc30132"/>
      <w:bookmarkStart w:id="30" w:name="_Toc35393626"/>
      <w:bookmarkStart w:id="31" w:name="_Toc35393795"/>
      <w:r>
        <w:rPr>
          <w:rFonts w:hint="eastAsia" w:ascii="宋体" w:hAnsi="宋体" w:eastAsia="宋体" w:cs="宋体"/>
          <w:sz w:val="24"/>
          <w:szCs w:val="24"/>
        </w:rPr>
        <w:t>六、其他补充事宜</w:t>
      </w:r>
      <w:bookmarkEnd w:id="29"/>
      <w:bookmarkEnd w:id="30"/>
      <w:bookmarkEnd w:id="31"/>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1、本次政府采购活动有关信息在浙江政府采购网和浙江五石工程咨询有限公司网公布，视同送达所有潜在投标人。</w:t>
      </w:r>
    </w:p>
    <w:p>
      <w:pPr>
        <w:pStyle w:val="5"/>
        <w:spacing w:before="0" w:after="0"/>
        <w:rPr>
          <w:rFonts w:hint="eastAsia" w:ascii="宋体" w:hAnsi="宋体" w:eastAsia="宋体" w:cs="宋体"/>
          <w:sz w:val="24"/>
          <w:szCs w:val="24"/>
        </w:rPr>
      </w:pPr>
      <w:bookmarkStart w:id="32" w:name="_Toc28359085"/>
      <w:bookmarkStart w:id="33" w:name="_Toc28359008"/>
      <w:bookmarkStart w:id="34" w:name="_Toc35393627"/>
      <w:bookmarkStart w:id="35" w:name="_Toc35393796"/>
      <w:bookmarkStart w:id="36" w:name="_Toc2735"/>
      <w:r>
        <w:rPr>
          <w:rFonts w:hint="eastAsia" w:ascii="宋体" w:hAnsi="宋体" w:eastAsia="宋体" w:cs="宋体"/>
          <w:sz w:val="24"/>
          <w:szCs w:val="24"/>
        </w:rPr>
        <w:t>七、对本次招标提出询问，请按以下方式联系。</w:t>
      </w:r>
      <w:bookmarkEnd w:id="32"/>
      <w:bookmarkEnd w:id="33"/>
      <w:bookmarkEnd w:id="34"/>
      <w:bookmarkEnd w:id="35"/>
      <w:bookmarkEnd w:id="36"/>
    </w:p>
    <w:p>
      <w:pPr>
        <w:spacing w:line="360" w:lineRule="auto"/>
        <w:rPr>
          <w:rFonts w:hint="eastAsia" w:ascii="宋体" w:hAnsi="宋体" w:eastAsia="宋体" w:cs="宋体"/>
          <w:sz w:val="24"/>
          <w:lang w:eastAsia="zh-CN"/>
        </w:rPr>
      </w:pPr>
      <w:r>
        <w:rPr>
          <w:rFonts w:hint="eastAsia" w:ascii="宋体" w:hAnsi="宋体" w:eastAsia="宋体" w:cs="宋体"/>
          <w:sz w:val="24"/>
          <w:lang w:eastAsia="zh-CN"/>
        </w:rPr>
        <w:t>1.采购人：</w:t>
      </w:r>
      <w:r>
        <w:rPr>
          <w:rFonts w:hint="eastAsia" w:cs="宋体"/>
          <w:sz w:val="24"/>
          <w:lang w:eastAsia="zh-CN"/>
        </w:rPr>
        <w:t>浙江海洋大学</w:t>
      </w:r>
    </w:p>
    <w:p>
      <w:pPr>
        <w:spacing w:line="360" w:lineRule="auto"/>
        <w:rPr>
          <w:rFonts w:hint="eastAsia" w:ascii="宋体" w:hAnsi="宋体" w:eastAsia="宋体" w:cs="宋体"/>
          <w:sz w:val="24"/>
          <w:lang w:eastAsia="zh-CN"/>
        </w:rPr>
      </w:pPr>
      <w:r>
        <w:rPr>
          <w:rFonts w:hint="eastAsia" w:ascii="宋体" w:hAnsi="宋体" w:eastAsia="宋体" w:cs="宋体"/>
          <w:sz w:val="24"/>
          <w:lang w:eastAsia="zh-CN"/>
        </w:rPr>
        <w:t>地    址：</w:t>
      </w:r>
      <w:r>
        <w:rPr>
          <w:rFonts w:hint="eastAsia" w:ascii="宋体" w:hAnsi="宋体" w:eastAsia="宋体" w:cs="宋体"/>
          <w:i w:val="0"/>
          <w:caps w:val="0"/>
          <w:color w:val="000000"/>
          <w:spacing w:val="0"/>
          <w:sz w:val="24"/>
          <w:szCs w:val="24"/>
        </w:rPr>
        <w:t>舟山市定海区临城街道长峙岛海大南路1号</w:t>
      </w:r>
    </w:p>
    <w:p>
      <w:pPr>
        <w:spacing w:line="360" w:lineRule="auto"/>
        <w:rPr>
          <w:rFonts w:hint="eastAsia" w:ascii="宋体" w:hAnsi="宋体" w:eastAsia="宋体" w:cs="宋体"/>
          <w:sz w:val="24"/>
          <w:lang w:eastAsia="zh-CN"/>
        </w:rPr>
      </w:pPr>
      <w:r>
        <w:rPr>
          <w:rFonts w:hint="eastAsia" w:ascii="宋体" w:hAnsi="宋体" w:eastAsia="宋体" w:cs="宋体"/>
          <w:sz w:val="24"/>
          <w:lang w:eastAsia="zh-CN"/>
        </w:rPr>
        <w:t>传 真：</w:t>
      </w:r>
      <w:r>
        <w:rPr>
          <w:rFonts w:hint="eastAsia" w:ascii="宋体" w:hAnsi="宋体" w:eastAsia="宋体" w:cs="宋体"/>
          <w:i w:val="0"/>
          <w:caps w:val="0"/>
          <w:color w:val="000000"/>
          <w:spacing w:val="0"/>
          <w:sz w:val="24"/>
          <w:szCs w:val="24"/>
        </w:rPr>
        <w:t>0580-8180348</w:t>
      </w:r>
    </w:p>
    <w:p>
      <w:pPr>
        <w:spacing w:line="360" w:lineRule="auto"/>
        <w:rPr>
          <w:rFonts w:hint="eastAsia" w:ascii="宋体" w:hAnsi="宋体" w:cs="宋体"/>
          <w:sz w:val="24"/>
        </w:rPr>
      </w:pPr>
      <w:r>
        <w:rPr>
          <w:rFonts w:hint="eastAsia" w:ascii="宋体" w:hAnsi="宋体" w:cs="宋体"/>
          <w:sz w:val="24"/>
        </w:rPr>
        <w:t>项目联系人（询问）：</w:t>
      </w:r>
      <w:r>
        <w:rPr>
          <w:rFonts w:hint="eastAsia" w:cs="宋体"/>
          <w:sz w:val="24"/>
          <w:lang w:eastAsia="zh-CN"/>
        </w:rPr>
        <w:t>李</w:t>
      </w:r>
      <w:r>
        <w:rPr>
          <w:rFonts w:hint="eastAsia" w:ascii="宋体" w:hAnsi="宋体" w:cs="宋体"/>
          <w:sz w:val="24"/>
        </w:rPr>
        <w:t xml:space="preserve">老师 </w:t>
      </w:r>
    </w:p>
    <w:p>
      <w:pPr>
        <w:spacing w:line="360" w:lineRule="auto"/>
        <w:rPr>
          <w:rFonts w:hint="eastAsia" w:ascii="宋体" w:hAnsi="宋体" w:cs="宋体"/>
          <w:sz w:val="24"/>
        </w:rPr>
      </w:pPr>
      <w:r>
        <w:rPr>
          <w:rFonts w:hint="eastAsia" w:ascii="宋体" w:hAnsi="宋体" w:cs="宋体"/>
          <w:sz w:val="24"/>
        </w:rPr>
        <w:t>项目联系方式（询问）：</w:t>
      </w:r>
      <w:r>
        <w:rPr>
          <w:rFonts w:hint="eastAsia" w:ascii="宋体" w:hAnsi="宋体" w:eastAsia="宋体" w:cs="宋体"/>
          <w:i w:val="0"/>
          <w:caps w:val="0"/>
          <w:color w:val="000000"/>
          <w:spacing w:val="0"/>
          <w:sz w:val="24"/>
          <w:szCs w:val="24"/>
        </w:rPr>
        <w:t>0580-8180348</w:t>
      </w:r>
    </w:p>
    <w:p>
      <w:pPr>
        <w:spacing w:line="360" w:lineRule="auto"/>
        <w:rPr>
          <w:rFonts w:hint="eastAsia" w:ascii="宋体" w:hAnsi="宋体" w:cs="宋体"/>
          <w:sz w:val="24"/>
        </w:rPr>
      </w:pPr>
      <w:r>
        <w:rPr>
          <w:rFonts w:hint="eastAsia" w:ascii="宋体" w:hAnsi="宋体" w:cs="宋体"/>
          <w:sz w:val="24"/>
        </w:rPr>
        <w:t>质疑联系人：</w:t>
      </w:r>
      <w:r>
        <w:rPr>
          <w:rFonts w:hint="eastAsia" w:cs="宋体"/>
          <w:sz w:val="24"/>
          <w:lang w:eastAsia="zh-CN"/>
        </w:rPr>
        <w:t>肖老师</w:t>
      </w:r>
    </w:p>
    <w:p>
      <w:pPr>
        <w:spacing w:line="360" w:lineRule="auto"/>
        <w:rPr>
          <w:rFonts w:hint="eastAsia" w:ascii="宋体" w:hAnsi="宋体" w:cs="宋体"/>
          <w:sz w:val="24"/>
        </w:rPr>
      </w:pPr>
      <w:r>
        <w:rPr>
          <w:rFonts w:hint="eastAsia" w:ascii="宋体" w:hAnsi="宋体" w:cs="宋体"/>
          <w:sz w:val="24"/>
        </w:rPr>
        <w:t>质疑联系方式：</w:t>
      </w:r>
      <w:r>
        <w:rPr>
          <w:rFonts w:hint="eastAsia" w:ascii="宋体" w:hAnsi="宋体" w:eastAsia="宋体" w:cs="宋体"/>
          <w:i w:val="0"/>
          <w:caps w:val="0"/>
          <w:color w:val="000000"/>
          <w:spacing w:val="0"/>
          <w:sz w:val="24"/>
          <w:szCs w:val="24"/>
        </w:rPr>
        <w:t>0580-8180348</w:t>
      </w:r>
    </w:p>
    <w:p>
      <w:pPr>
        <w:spacing w:line="360" w:lineRule="auto"/>
        <w:rPr>
          <w:rFonts w:hint="eastAsia" w:ascii="宋体" w:hAnsi="宋体" w:eastAsia="宋体" w:cs="宋体"/>
          <w:sz w:val="24"/>
          <w:szCs w:val="24"/>
        </w:rPr>
      </w:pPr>
      <w:r>
        <w:rPr>
          <w:rFonts w:hint="eastAsia" w:ascii="宋体" w:hAnsi="宋体" w:eastAsia="宋体" w:cs="宋体"/>
          <w:sz w:val="24"/>
          <w:szCs w:val="24"/>
        </w:rPr>
        <w:t>2.招标代理机构名称：浙江五石工程咨询有限公司</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地    址：宁波市鄞州区宁穿路1679号金融硅谷9号楼1402室。</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业务联系人：毛</w:t>
      </w:r>
      <w:r>
        <w:rPr>
          <w:rFonts w:hint="eastAsia" w:ascii="宋体" w:hAnsi="宋体" w:eastAsia="宋体" w:cs="宋体"/>
          <w:color w:val="auto"/>
          <w:sz w:val="24"/>
          <w:szCs w:val="24"/>
          <w:lang w:eastAsia="zh-CN"/>
        </w:rPr>
        <w:t>建华</w:t>
      </w:r>
      <w:r>
        <w:rPr>
          <w:rFonts w:hint="eastAsia" w:ascii="宋体" w:hAnsi="宋体" w:eastAsia="宋体" w:cs="宋体"/>
          <w:color w:val="auto"/>
          <w:sz w:val="24"/>
          <w:szCs w:val="24"/>
        </w:rPr>
        <w:t>、毕</w:t>
      </w:r>
      <w:r>
        <w:rPr>
          <w:rFonts w:hint="eastAsia" w:ascii="宋体" w:hAnsi="宋体" w:eastAsia="宋体" w:cs="宋体"/>
          <w:color w:val="auto"/>
          <w:sz w:val="24"/>
          <w:szCs w:val="24"/>
          <w:lang w:eastAsia="zh-CN"/>
        </w:rPr>
        <w:t>夏凤</w:t>
      </w:r>
      <w:r>
        <w:rPr>
          <w:rFonts w:hint="eastAsia" w:ascii="宋体" w:hAnsi="宋体" w:eastAsia="宋体" w:cs="宋体"/>
          <w:color w:val="auto"/>
          <w:sz w:val="24"/>
          <w:szCs w:val="24"/>
        </w:rPr>
        <w:t>、章</w:t>
      </w:r>
      <w:r>
        <w:rPr>
          <w:rFonts w:hint="eastAsia" w:ascii="宋体" w:hAnsi="宋体" w:eastAsia="宋体" w:cs="宋体"/>
          <w:color w:val="auto"/>
          <w:sz w:val="24"/>
          <w:szCs w:val="24"/>
          <w:lang w:eastAsia="zh-CN"/>
        </w:rPr>
        <w:t>小丽</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联系电话：0574-83896188、87645885      传    真：0574-87520151</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质疑联系人：毛先生          联系电话：0574-87208097</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邮箱：</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"mailto:hzwsgc@163.com"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hzwsgc@163.com</w:t>
      </w:r>
      <w:r>
        <w:rPr>
          <w:rFonts w:hint="eastAsia" w:ascii="宋体" w:hAnsi="宋体" w:eastAsia="宋体" w:cs="宋体"/>
          <w:color w:val="auto"/>
          <w:sz w:val="24"/>
          <w:szCs w:val="24"/>
        </w:rPr>
        <w:fldChar w:fldCharType="end"/>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网站系统问题咨询：注册、账号等， 4008817190</w:t>
      </w:r>
      <w:r>
        <w:rPr>
          <w:rFonts w:hint="eastAsia" w:ascii="宋体" w:hAnsi="宋体" w:eastAsia="宋体" w:cs="宋体"/>
          <w:color w:val="auto"/>
          <w:sz w:val="24"/>
          <w:szCs w:val="24"/>
        </w:rPr>
        <w:tab/>
      </w:r>
      <w:r>
        <w:rPr>
          <w:rFonts w:hint="eastAsia" w:ascii="宋体" w:hAnsi="宋体" w:eastAsia="宋体" w:cs="宋体"/>
          <w:color w:val="auto"/>
          <w:sz w:val="24"/>
          <w:szCs w:val="24"/>
        </w:rPr>
        <w:t>；其它，4008371020。</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3.同级政府采购监督管理部门</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名    称：浙江省财政厅政府采购监管处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地    址：杭州市环城西路37号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传    真：/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联系人 ：倪文良、吴聪瑜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监督投诉电话：0571-87057615、87058489</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bidi w:val="0"/>
        <w:rPr>
          <w:rFonts w:hint="eastAsia" w:ascii="宋体" w:hAnsi="宋体" w:eastAsia="宋体" w:cs="宋体"/>
          <w:color w:val="auto"/>
          <w:highlight w:val="none"/>
        </w:rPr>
      </w:pPr>
    </w:p>
    <w:p>
      <w:pPr>
        <w:pStyle w:val="48"/>
        <w:rPr>
          <w:rFonts w:hint="eastAsia" w:ascii="宋体" w:hAnsi="宋体" w:eastAsia="宋体" w:cs="宋体"/>
          <w:color w:val="auto"/>
          <w:highlight w:val="none"/>
        </w:rPr>
      </w:pPr>
    </w:p>
    <w:p>
      <w:pPr>
        <w:pStyle w:val="48"/>
        <w:rPr>
          <w:rFonts w:hint="eastAsia" w:ascii="宋体" w:hAnsi="宋体" w:eastAsia="宋体" w:cs="宋体"/>
          <w:color w:val="auto"/>
          <w:highlight w:val="none"/>
        </w:rPr>
        <w:sectPr>
          <w:footerReference r:id="rId12" w:type="default"/>
          <w:pgSz w:w="11906" w:h="16838"/>
          <w:pgMar w:top="1440" w:right="1080" w:bottom="1440" w:left="1080" w:header="850" w:footer="992" w:gutter="0"/>
          <w:pgBorders>
            <w:top w:val="none" w:color="auto" w:sz="0" w:space="0"/>
            <w:left w:val="none" w:color="auto" w:sz="0" w:space="0"/>
            <w:bottom w:val="none" w:color="auto" w:sz="0" w:space="0"/>
            <w:right w:val="none" w:color="auto" w:sz="0" w:space="0"/>
          </w:pgBorders>
          <w:pgNumType w:start="1"/>
          <w:cols w:space="720" w:num="1"/>
          <w:docGrid w:linePitch="381" w:charSpace="0"/>
        </w:sectPr>
      </w:pPr>
    </w:p>
    <w:bookmarkEnd w:id="4"/>
    <w:p>
      <w:pPr>
        <w:pStyle w:val="4"/>
        <w:numPr>
          <w:ilvl w:val="0"/>
          <w:numId w:val="4"/>
        </w:numPr>
        <w:bidi w:val="0"/>
        <w:ind w:left="0" w:leftChars="0" w:right="0" w:rightChars="0" w:firstLine="0" w:firstLineChars="0"/>
        <w:jc w:val="center"/>
        <w:rPr>
          <w:rFonts w:hint="eastAsia" w:ascii="宋体" w:hAnsi="宋体" w:eastAsia="宋体" w:cs="宋体"/>
          <w:color w:val="auto"/>
          <w:highlight w:val="none"/>
        </w:rPr>
      </w:pPr>
      <w:bookmarkStart w:id="37" w:name="_Toc6146"/>
      <w:bookmarkStart w:id="38" w:name="_Toc26040"/>
      <w:r>
        <w:rPr>
          <w:rFonts w:hint="eastAsia" w:ascii="宋体" w:hAnsi="宋体" w:eastAsia="宋体" w:cs="宋体"/>
          <w:color w:val="auto"/>
          <w:highlight w:val="none"/>
        </w:rPr>
        <w:t>项目需求说明</w:t>
      </w:r>
      <w:bookmarkEnd w:id="37"/>
      <w:bookmarkEnd w:id="38"/>
    </w:p>
    <w:tbl>
      <w:tblPr>
        <w:tblStyle w:val="46"/>
        <w:tblW w:w="9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533"/>
        <w:gridCol w:w="6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440" w:lineRule="exact"/>
              <w:ind w:firstLine="0" w:firstLineChars="0"/>
              <w:jc w:val="center"/>
              <w:rPr>
                <w:rFonts w:hint="eastAsia" w:cs="宋体"/>
                <w:bCs/>
                <w:sz w:val="21"/>
                <w:szCs w:val="21"/>
              </w:rPr>
            </w:pPr>
            <w:bookmarkStart w:id="39" w:name="_Toc24825"/>
            <w:bookmarkStart w:id="40" w:name="_Toc5760"/>
            <w:r>
              <w:rPr>
                <w:rFonts w:hint="eastAsia" w:cs="宋体"/>
                <w:bCs/>
                <w:sz w:val="21"/>
                <w:szCs w:val="21"/>
              </w:rPr>
              <w:t>序号</w:t>
            </w:r>
          </w:p>
        </w:tc>
        <w:tc>
          <w:tcPr>
            <w:tcW w:w="2533" w:type="dxa"/>
            <w:vAlign w:val="center"/>
          </w:tcPr>
          <w:p>
            <w:pPr>
              <w:spacing w:line="440" w:lineRule="exact"/>
              <w:ind w:firstLine="0" w:firstLineChars="0"/>
              <w:jc w:val="center"/>
              <w:rPr>
                <w:rFonts w:hint="eastAsia" w:cs="宋体"/>
                <w:bCs/>
                <w:sz w:val="21"/>
                <w:szCs w:val="21"/>
              </w:rPr>
            </w:pPr>
            <w:r>
              <w:rPr>
                <w:rFonts w:hint="eastAsia" w:cs="宋体"/>
                <w:bCs/>
                <w:sz w:val="21"/>
                <w:szCs w:val="21"/>
              </w:rPr>
              <w:t>项目</w:t>
            </w:r>
          </w:p>
        </w:tc>
        <w:tc>
          <w:tcPr>
            <w:tcW w:w="6593" w:type="dxa"/>
            <w:vAlign w:val="center"/>
          </w:tcPr>
          <w:p>
            <w:pPr>
              <w:spacing w:line="440" w:lineRule="exact"/>
              <w:ind w:firstLine="0" w:firstLineChars="0"/>
              <w:jc w:val="center"/>
              <w:rPr>
                <w:rFonts w:hint="eastAsia" w:cs="宋体"/>
                <w:bCs/>
                <w:sz w:val="21"/>
                <w:szCs w:val="21"/>
              </w:rPr>
            </w:pPr>
            <w:r>
              <w:rPr>
                <w:rFonts w:hint="eastAsia" w:cs="宋体"/>
                <w:bCs/>
                <w:sz w:val="21"/>
                <w:szCs w:val="21"/>
              </w:rPr>
              <w:t>招标需求内容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749" w:type="dxa"/>
            <w:vAlign w:val="center"/>
          </w:tcPr>
          <w:p>
            <w:pPr>
              <w:spacing w:line="440" w:lineRule="exact"/>
              <w:ind w:firstLine="0" w:firstLineChars="0"/>
              <w:jc w:val="center"/>
              <w:rPr>
                <w:rFonts w:hint="eastAsia" w:cs="宋体"/>
                <w:bCs/>
                <w:sz w:val="21"/>
                <w:szCs w:val="21"/>
              </w:rPr>
            </w:pPr>
            <w:r>
              <w:rPr>
                <w:rFonts w:hint="eastAsia" w:cs="宋体"/>
                <w:bCs/>
                <w:sz w:val="21"/>
                <w:szCs w:val="21"/>
              </w:rPr>
              <w:t>1</w:t>
            </w:r>
          </w:p>
        </w:tc>
        <w:tc>
          <w:tcPr>
            <w:tcW w:w="2533" w:type="dxa"/>
            <w:vAlign w:val="center"/>
          </w:tcPr>
          <w:p>
            <w:pPr>
              <w:spacing w:line="440" w:lineRule="exact"/>
              <w:ind w:firstLine="0" w:firstLineChars="0"/>
              <w:jc w:val="center"/>
              <w:rPr>
                <w:rFonts w:hint="eastAsia" w:cs="宋体"/>
                <w:bCs/>
                <w:sz w:val="21"/>
                <w:szCs w:val="21"/>
              </w:rPr>
            </w:pPr>
            <w:r>
              <w:rPr>
                <w:rFonts w:hint="eastAsia" w:cs="宋体"/>
                <w:bCs/>
                <w:sz w:val="21"/>
                <w:szCs w:val="21"/>
              </w:rPr>
              <w:t>项目内容</w:t>
            </w:r>
          </w:p>
        </w:tc>
        <w:tc>
          <w:tcPr>
            <w:tcW w:w="6593" w:type="dxa"/>
            <w:vAlign w:val="center"/>
          </w:tcPr>
          <w:p>
            <w:pPr>
              <w:spacing w:line="440" w:lineRule="exact"/>
              <w:ind w:firstLine="0" w:firstLineChars="0"/>
              <w:jc w:val="left"/>
              <w:rPr>
                <w:rFonts w:hint="eastAsia" w:cs="宋体"/>
                <w:bCs/>
                <w:sz w:val="21"/>
                <w:szCs w:val="21"/>
              </w:rPr>
            </w:pPr>
            <w:r>
              <w:rPr>
                <w:rFonts w:hint="eastAsia" w:cs="宋体"/>
                <w:bCs/>
                <w:sz w:val="21"/>
                <w:szCs w:val="21"/>
                <w:lang w:eastAsia="zh-CN"/>
              </w:rPr>
              <w:t>浙江海洋大学海洋食品质量安全溯源与区块链技术科研平台设备采购项目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749" w:type="dxa"/>
            <w:vAlign w:val="center"/>
          </w:tcPr>
          <w:p>
            <w:pPr>
              <w:spacing w:line="440" w:lineRule="exact"/>
              <w:ind w:firstLine="0" w:firstLineChars="0"/>
              <w:jc w:val="center"/>
              <w:rPr>
                <w:rFonts w:hint="eastAsia" w:cs="宋体"/>
                <w:bCs/>
                <w:sz w:val="21"/>
                <w:szCs w:val="21"/>
              </w:rPr>
            </w:pPr>
            <w:r>
              <w:rPr>
                <w:rFonts w:hint="eastAsia" w:cs="宋体"/>
                <w:bCs/>
                <w:sz w:val="21"/>
                <w:szCs w:val="21"/>
              </w:rPr>
              <w:t>2</w:t>
            </w:r>
          </w:p>
        </w:tc>
        <w:tc>
          <w:tcPr>
            <w:tcW w:w="2533" w:type="dxa"/>
            <w:vAlign w:val="center"/>
          </w:tcPr>
          <w:p>
            <w:pPr>
              <w:spacing w:line="440" w:lineRule="exact"/>
              <w:ind w:firstLine="0" w:firstLineChars="0"/>
              <w:jc w:val="center"/>
              <w:rPr>
                <w:rFonts w:hint="eastAsia" w:cs="宋体"/>
                <w:bCs/>
                <w:sz w:val="21"/>
                <w:szCs w:val="21"/>
              </w:rPr>
            </w:pPr>
            <w:r>
              <w:rPr>
                <w:rFonts w:hint="eastAsia" w:cs="宋体"/>
                <w:bCs/>
                <w:sz w:val="21"/>
                <w:szCs w:val="21"/>
              </w:rPr>
              <w:t>★交付时间和地点</w:t>
            </w:r>
          </w:p>
        </w:tc>
        <w:tc>
          <w:tcPr>
            <w:tcW w:w="6593" w:type="dxa"/>
            <w:vAlign w:val="center"/>
          </w:tcPr>
          <w:p>
            <w:pPr>
              <w:spacing w:line="440" w:lineRule="exact"/>
              <w:ind w:firstLine="0" w:firstLineChars="0"/>
              <w:jc w:val="left"/>
              <w:rPr>
                <w:rFonts w:hint="eastAsia" w:cs="宋体"/>
                <w:bCs/>
                <w:sz w:val="21"/>
                <w:szCs w:val="21"/>
              </w:rPr>
            </w:pPr>
            <w:r>
              <w:rPr>
                <w:rFonts w:hint="eastAsia" w:cs="宋体"/>
                <w:bCs/>
                <w:sz w:val="21"/>
                <w:szCs w:val="21"/>
              </w:rPr>
              <w:t>交付时间：合同签订后</w:t>
            </w:r>
            <w:r>
              <w:rPr>
                <w:rFonts w:hint="eastAsia" w:cs="宋体"/>
                <w:bCs/>
                <w:sz w:val="21"/>
                <w:szCs w:val="21"/>
                <w:lang w:val="en-US" w:eastAsia="zh-CN"/>
              </w:rPr>
              <w:t>3个月</w:t>
            </w:r>
            <w:r>
              <w:rPr>
                <w:rFonts w:hint="eastAsia" w:cs="宋体"/>
                <w:bCs/>
                <w:sz w:val="21"/>
                <w:szCs w:val="21"/>
              </w:rPr>
              <w:t>内供货</w:t>
            </w:r>
            <w:r>
              <w:rPr>
                <w:rFonts w:hint="eastAsia" w:cs="宋体"/>
                <w:bCs/>
                <w:sz w:val="21"/>
                <w:szCs w:val="21"/>
                <w:lang w:eastAsia="zh-CN"/>
              </w:rPr>
              <w:t>安装</w:t>
            </w:r>
            <w:r>
              <w:rPr>
                <w:rFonts w:hint="eastAsia" w:cs="宋体"/>
                <w:bCs/>
                <w:sz w:val="21"/>
                <w:szCs w:val="21"/>
              </w:rPr>
              <w:t>。</w:t>
            </w:r>
          </w:p>
          <w:p>
            <w:pPr>
              <w:spacing w:line="440" w:lineRule="exact"/>
              <w:ind w:firstLine="0" w:firstLineChars="0"/>
              <w:jc w:val="left"/>
              <w:rPr>
                <w:rFonts w:hint="eastAsia" w:cs="宋体"/>
                <w:bCs/>
                <w:sz w:val="21"/>
                <w:szCs w:val="21"/>
              </w:rPr>
            </w:pPr>
            <w:r>
              <w:rPr>
                <w:rFonts w:hint="eastAsia" w:cs="宋体"/>
                <w:bCs/>
                <w:sz w:val="21"/>
                <w:szCs w:val="21"/>
              </w:rPr>
              <w:t>交货地点：业主指定地点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440" w:lineRule="exact"/>
              <w:ind w:firstLine="0" w:firstLineChars="0"/>
              <w:jc w:val="center"/>
              <w:rPr>
                <w:rFonts w:hint="eastAsia" w:cs="宋体"/>
                <w:bCs/>
                <w:sz w:val="21"/>
                <w:szCs w:val="21"/>
              </w:rPr>
            </w:pPr>
            <w:r>
              <w:rPr>
                <w:rFonts w:hint="eastAsia" w:cs="宋体"/>
                <w:bCs/>
                <w:sz w:val="21"/>
                <w:szCs w:val="21"/>
              </w:rPr>
              <w:t>3</w:t>
            </w:r>
          </w:p>
        </w:tc>
        <w:tc>
          <w:tcPr>
            <w:tcW w:w="2533" w:type="dxa"/>
            <w:vAlign w:val="center"/>
          </w:tcPr>
          <w:p>
            <w:pPr>
              <w:spacing w:line="440" w:lineRule="exact"/>
              <w:ind w:firstLine="0" w:firstLineChars="0"/>
              <w:jc w:val="center"/>
              <w:rPr>
                <w:rFonts w:hint="eastAsia" w:cs="宋体"/>
                <w:bCs/>
                <w:sz w:val="21"/>
                <w:szCs w:val="21"/>
              </w:rPr>
            </w:pPr>
            <w:r>
              <w:rPr>
                <w:rFonts w:hint="eastAsia" w:cs="宋体"/>
                <w:bCs/>
                <w:sz w:val="21"/>
                <w:szCs w:val="21"/>
              </w:rPr>
              <w:t>需实现的功能或者目标</w:t>
            </w:r>
          </w:p>
        </w:tc>
        <w:tc>
          <w:tcPr>
            <w:tcW w:w="6593" w:type="dxa"/>
            <w:vAlign w:val="center"/>
          </w:tcPr>
          <w:p>
            <w:pPr>
              <w:spacing w:line="440" w:lineRule="exact"/>
              <w:ind w:firstLine="0" w:firstLineChars="0"/>
              <w:jc w:val="left"/>
              <w:rPr>
                <w:rFonts w:hint="eastAsia" w:cs="宋体"/>
                <w:bCs/>
                <w:sz w:val="21"/>
                <w:szCs w:val="21"/>
              </w:rPr>
            </w:pPr>
            <w:r>
              <w:rPr>
                <w:rFonts w:hint="eastAsia" w:cs="宋体"/>
                <w:bCs/>
                <w:sz w:val="21"/>
                <w:szCs w:val="21"/>
              </w:rPr>
              <w:t>详见采购内容及技术要求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440" w:lineRule="exact"/>
              <w:ind w:firstLine="0" w:firstLineChars="0"/>
              <w:jc w:val="center"/>
              <w:rPr>
                <w:rFonts w:hint="eastAsia" w:cs="宋体"/>
                <w:bCs/>
                <w:sz w:val="21"/>
                <w:szCs w:val="21"/>
              </w:rPr>
            </w:pPr>
            <w:r>
              <w:rPr>
                <w:rFonts w:hint="eastAsia" w:cs="宋体"/>
                <w:bCs/>
                <w:sz w:val="21"/>
                <w:szCs w:val="21"/>
              </w:rPr>
              <w:t>4</w:t>
            </w:r>
          </w:p>
        </w:tc>
        <w:tc>
          <w:tcPr>
            <w:tcW w:w="2533" w:type="dxa"/>
            <w:vAlign w:val="center"/>
          </w:tcPr>
          <w:p>
            <w:pPr>
              <w:spacing w:line="440" w:lineRule="exact"/>
              <w:ind w:firstLine="0" w:firstLineChars="0"/>
              <w:jc w:val="center"/>
              <w:rPr>
                <w:rFonts w:hint="eastAsia" w:cs="宋体"/>
                <w:bCs/>
                <w:sz w:val="21"/>
                <w:szCs w:val="21"/>
              </w:rPr>
            </w:pPr>
            <w:r>
              <w:rPr>
                <w:rFonts w:hint="eastAsia" w:cs="宋体"/>
                <w:bCs/>
                <w:sz w:val="21"/>
                <w:szCs w:val="21"/>
              </w:rPr>
              <w:t>执行的国家相关标准、行业标准、地方标准或者其它标准、规范</w:t>
            </w:r>
          </w:p>
        </w:tc>
        <w:tc>
          <w:tcPr>
            <w:tcW w:w="6593" w:type="dxa"/>
            <w:vAlign w:val="center"/>
          </w:tcPr>
          <w:p>
            <w:pPr>
              <w:spacing w:line="440" w:lineRule="exact"/>
              <w:ind w:firstLine="0" w:firstLineChars="0"/>
              <w:jc w:val="left"/>
              <w:rPr>
                <w:rFonts w:hint="eastAsia" w:cs="宋体"/>
                <w:bCs/>
                <w:sz w:val="21"/>
                <w:szCs w:val="21"/>
              </w:rPr>
            </w:pPr>
            <w:r>
              <w:rPr>
                <w:rFonts w:hint="eastAsia" w:cs="宋体"/>
                <w:bCs/>
                <w:sz w:val="21"/>
                <w:szCs w:val="21"/>
              </w:rPr>
              <w:t>详见采购内容及技术要求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440" w:lineRule="exact"/>
              <w:ind w:firstLine="0" w:firstLineChars="0"/>
              <w:jc w:val="center"/>
              <w:rPr>
                <w:rFonts w:hint="eastAsia" w:cs="宋体"/>
                <w:bCs/>
                <w:sz w:val="21"/>
                <w:szCs w:val="21"/>
              </w:rPr>
            </w:pPr>
            <w:r>
              <w:rPr>
                <w:rFonts w:hint="eastAsia" w:cs="宋体"/>
                <w:bCs/>
                <w:sz w:val="21"/>
                <w:szCs w:val="21"/>
              </w:rPr>
              <w:t>5</w:t>
            </w:r>
          </w:p>
        </w:tc>
        <w:tc>
          <w:tcPr>
            <w:tcW w:w="2533" w:type="dxa"/>
            <w:vAlign w:val="center"/>
          </w:tcPr>
          <w:p>
            <w:pPr>
              <w:spacing w:line="440" w:lineRule="exact"/>
              <w:ind w:firstLine="0" w:firstLineChars="0"/>
              <w:jc w:val="center"/>
              <w:rPr>
                <w:rFonts w:hint="eastAsia" w:cs="宋体"/>
                <w:bCs/>
                <w:sz w:val="21"/>
                <w:szCs w:val="21"/>
              </w:rPr>
            </w:pPr>
            <w:r>
              <w:rPr>
                <w:rFonts w:hint="eastAsia" w:cs="宋体"/>
                <w:bCs/>
                <w:sz w:val="21"/>
                <w:szCs w:val="21"/>
              </w:rPr>
              <w:t>服务要求</w:t>
            </w:r>
          </w:p>
        </w:tc>
        <w:tc>
          <w:tcPr>
            <w:tcW w:w="6593" w:type="dxa"/>
            <w:vAlign w:val="center"/>
          </w:tcPr>
          <w:p>
            <w:pPr>
              <w:spacing w:line="440" w:lineRule="exact"/>
              <w:ind w:firstLine="0" w:firstLineChars="0"/>
              <w:jc w:val="left"/>
              <w:rPr>
                <w:rFonts w:hint="eastAsia" w:cs="宋体"/>
                <w:bCs/>
                <w:sz w:val="21"/>
                <w:szCs w:val="21"/>
                <w:lang w:val="en-US" w:eastAsia="zh-CN"/>
              </w:rPr>
            </w:pPr>
            <w:r>
              <w:rPr>
                <w:rFonts w:hint="eastAsia" w:cs="宋体"/>
                <w:bCs/>
                <w:sz w:val="21"/>
                <w:szCs w:val="21"/>
                <w:lang w:val="en-US" w:eastAsia="zh-CN"/>
              </w:rPr>
              <w:t>一、质量保证期（或保修期）：自合同签订生效，设备（或软件）安装调试完毕并经甲方验收合格之日起免费质保3年，质保期内上门对损坏的设备（或软件）进行安装、升级、更换、调试，包括配件费、材料费、软件升级费、人工费等全部免费。质保期内被免费更换的零部件质量保证期再延续3年。卖方承诺所提供的设备提供终身维修服务。</w:t>
            </w:r>
          </w:p>
          <w:p>
            <w:pPr>
              <w:spacing w:line="440" w:lineRule="exact"/>
              <w:ind w:firstLine="0" w:firstLineChars="0"/>
              <w:jc w:val="left"/>
              <w:rPr>
                <w:rFonts w:hint="eastAsia" w:cs="宋体"/>
                <w:bCs/>
                <w:sz w:val="21"/>
                <w:szCs w:val="21"/>
                <w:lang w:val="en-US" w:eastAsia="zh-CN"/>
              </w:rPr>
            </w:pPr>
            <w:r>
              <w:rPr>
                <w:rFonts w:hint="eastAsia" w:cs="宋体"/>
                <w:bCs/>
                <w:sz w:val="21"/>
                <w:szCs w:val="21"/>
                <w:lang w:val="en-US" w:eastAsia="zh-CN"/>
              </w:rPr>
              <w:t>二、售后服务：</w:t>
            </w:r>
          </w:p>
          <w:p>
            <w:pPr>
              <w:spacing w:line="440" w:lineRule="exact"/>
              <w:ind w:firstLine="0" w:firstLineChars="0"/>
              <w:jc w:val="left"/>
              <w:rPr>
                <w:rFonts w:hint="eastAsia" w:cs="宋体"/>
                <w:bCs/>
                <w:sz w:val="21"/>
                <w:szCs w:val="21"/>
                <w:lang w:val="en-US" w:eastAsia="zh-CN"/>
              </w:rPr>
            </w:pPr>
            <w:r>
              <w:rPr>
                <w:rFonts w:hint="eastAsia" w:cs="宋体"/>
                <w:bCs/>
                <w:sz w:val="21"/>
                <w:szCs w:val="21"/>
                <w:lang w:val="en-US" w:eastAsia="zh-CN"/>
              </w:rPr>
              <w:t>1、质量保证期（或保修期）期满后，乙方承诺对设备维修所更换的零配件按成本价收取；软件升级，如因为产品本身性能缺陷、兼容性不够等原因造成的则免费升级更新；如因为有新功能增加而升级版本的，则视甲方要求进行更新，其软件升级总费用按不高于原合同供应价的3%收取。</w:t>
            </w:r>
          </w:p>
          <w:p>
            <w:pPr>
              <w:spacing w:line="440" w:lineRule="exact"/>
              <w:ind w:firstLine="0" w:firstLineChars="0"/>
              <w:jc w:val="left"/>
              <w:rPr>
                <w:rFonts w:hint="eastAsia" w:cs="宋体"/>
                <w:bCs/>
                <w:sz w:val="21"/>
                <w:szCs w:val="21"/>
                <w:lang w:val="en-US" w:eastAsia="zh-CN"/>
              </w:rPr>
            </w:pPr>
            <w:r>
              <w:rPr>
                <w:rFonts w:hint="eastAsia" w:cs="宋体"/>
                <w:bCs/>
                <w:sz w:val="21"/>
                <w:szCs w:val="21"/>
                <w:lang w:val="en-US" w:eastAsia="zh-CN"/>
              </w:rPr>
              <w:t>2、投标人（乙方）应保证所提供的软件或子模块或子功能，其任何一部分均不会侵犯任何第三方的知识产权；如果涉及到侵权行为，由此产生的一切法律纠纷及后果由投标人（乙方）承担。</w:t>
            </w:r>
          </w:p>
          <w:p>
            <w:pPr>
              <w:spacing w:line="440" w:lineRule="exact"/>
              <w:ind w:firstLine="0" w:firstLineChars="0"/>
              <w:jc w:val="left"/>
              <w:rPr>
                <w:rFonts w:hint="eastAsia" w:cs="宋体"/>
                <w:bCs/>
                <w:sz w:val="21"/>
                <w:szCs w:val="21"/>
                <w:lang w:val="en-US" w:eastAsia="zh-CN"/>
              </w:rPr>
            </w:pPr>
            <w:r>
              <w:rPr>
                <w:rFonts w:hint="eastAsia" w:cs="宋体"/>
                <w:bCs/>
                <w:sz w:val="21"/>
                <w:szCs w:val="21"/>
                <w:lang w:val="en-US" w:eastAsia="zh-CN"/>
              </w:rPr>
              <w:t>3、乙方所提供产品如存在影响甲方正常使用的BUG或功能缺陷，乙方必须无条件在2个工作日内给予修复。</w:t>
            </w:r>
          </w:p>
          <w:p>
            <w:pPr>
              <w:spacing w:line="440" w:lineRule="exact"/>
              <w:ind w:firstLine="0" w:firstLineChars="0"/>
              <w:jc w:val="left"/>
              <w:rPr>
                <w:rFonts w:hint="eastAsia" w:cs="宋体"/>
                <w:bCs/>
                <w:sz w:val="21"/>
                <w:szCs w:val="21"/>
                <w:lang w:val="en-US" w:eastAsia="zh-CN"/>
              </w:rPr>
            </w:pPr>
            <w:r>
              <w:rPr>
                <w:rFonts w:hint="eastAsia" w:cs="宋体"/>
                <w:bCs/>
                <w:sz w:val="21"/>
                <w:szCs w:val="21"/>
                <w:lang w:val="en-US" w:eastAsia="zh-CN"/>
              </w:rPr>
              <w:t>4、提供与数字校园平台终身免费对接服务。</w:t>
            </w:r>
          </w:p>
          <w:p>
            <w:pPr>
              <w:spacing w:line="440" w:lineRule="exact"/>
              <w:ind w:firstLine="0" w:firstLineChars="0"/>
              <w:jc w:val="left"/>
              <w:rPr>
                <w:rFonts w:hint="eastAsia" w:cs="宋体"/>
                <w:bCs/>
                <w:sz w:val="21"/>
                <w:szCs w:val="21"/>
                <w:lang w:val="en-US" w:eastAsia="zh-CN"/>
              </w:rPr>
            </w:pPr>
            <w:r>
              <w:rPr>
                <w:rFonts w:hint="eastAsia" w:cs="宋体"/>
                <w:bCs/>
                <w:sz w:val="21"/>
                <w:szCs w:val="21"/>
                <w:lang w:val="en-US" w:eastAsia="zh-CN"/>
              </w:rPr>
              <w:t>5、免费维护或更换缺陷部件的时间为卖方收到买方通知后 2 小时内响应，24小时内到达现场。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440" w:lineRule="exact"/>
              <w:ind w:firstLine="0" w:firstLineChars="0"/>
              <w:jc w:val="center"/>
              <w:rPr>
                <w:rFonts w:hint="eastAsia" w:cs="宋体"/>
                <w:bCs/>
                <w:sz w:val="21"/>
                <w:szCs w:val="21"/>
              </w:rPr>
            </w:pPr>
            <w:r>
              <w:rPr>
                <w:rFonts w:hint="eastAsia" w:cs="宋体"/>
                <w:bCs/>
                <w:sz w:val="21"/>
                <w:szCs w:val="21"/>
              </w:rPr>
              <w:t>6</w:t>
            </w:r>
          </w:p>
        </w:tc>
        <w:tc>
          <w:tcPr>
            <w:tcW w:w="2533" w:type="dxa"/>
            <w:vAlign w:val="center"/>
          </w:tcPr>
          <w:p>
            <w:pPr>
              <w:spacing w:line="440" w:lineRule="exact"/>
              <w:ind w:firstLine="0" w:firstLineChars="0"/>
              <w:jc w:val="center"/>
              <w:rPr>
                <w:rFonts w:hint="eastAsia" w:cs="宋体"/>
                <w:bCs/>
                <w:sz w:val="21"/>
                <w:szCs w:val="21"/>
              </w:rPr>
            </w:pPr>
            <w:r>
              <w:rPr>
                <w:rFonts w:hint="eastAsia" w:cs="宋体"/>
                <w:bCs/>
                <w:sz w:val="21"/>
                <w:szCs w:val="21"/>
              </w:rPr>
              <w:t>物理特性要求</w:t>
            </w:r>
          </w:p>
        </w:tc>
        <w:tc>
          <w:tcPr>
            <w:tcW w:w="6593" w:type="dxa"/>
            <w:vAlign w:val="center"/>
          </w:tcPr>
          <w:p>
            <w:pPr>
              <w:spacing w:line="440" w:lineRule="exact"/>
              <w:ind w:firstLine="0" w:firstLineChars="0"/>
              <w:jc w:val="left"/>
              <w:rPr>
                <w:rFonts w:hint="eastAsia" w:cs="宋体"/>
                <w:bCs/>
                <w:sz w:val="21"/>
                <w:szCs w:val="21"/>
              </w:rPr>
            </w:pPr>
            <w:r>
              <w:rPr>
                <w:rFonts w:hint="eastAsia" w:cs="宋体"/>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440" w:lineRule="exact"/>
              <w:ind w:firstLine="0" w:firstLineChars="0"/>
              <w:jc w:val="center"/>
              <w:rPr>
                <w:rFonts w:hint="eastAsia" w:cs="宋体"/>
                <w:bCs/>
                <w:sz w:val="21"/>
                <w:szCs w:val="21"/>
              </w:rPr>
            </w:pPr>
            <w:r>
              <w:rPr>
                <w:rFonts w:hint="eastAsia" w:cs="宋体"/>
                <w:bCs/>
                <w:sz w:val="21"/>
                <w:szCs w:val="21"/>
              </w:rPr>
              <w:t>7</w:t>
            </w:r>
          </w:p>
        </w:tc>
        <w:tc>
          <w:tcPr>
            <w:tcW w:w="2533" w:type="dxa"/>
            <w:vAlign w:val="center"/>
          </w:tcPr>
          <w:p>
            <w:pPr>
              <w:spacing w:line="440" w:lineRule="exact"/>
              <w:ind w:firstLine="0" w:firstLineChars="0"/>
              <w:jc w:val="center"/>
              <w:rPr>
                <w:rFonts w:hint="eastAsia" w:cs="宋体"/>
                <w:bCs/>
                <w:sz w:val="21"/>
                <w:szCs w:val="21"/>
              </w:rPr>
            </w:pPr>
            <w:r>
              <w:rPr>
                <w:rFonts w:hint="eastAsia" w:cs="宋体"/>
                <w:bCs/>
                <w:sz w:val="21"/>
                <w:szCs w:val="21"/>
              </w:rPr>
              <w:t>质量、安全要求</w:t>
            </w:r>
          </w:p>
        </w:tc>
        <w:tc>
          <w:tcPr>
            <w:tcW w:w="6593" w:type="dxa"/>
            <w:vAlign w:val="center"/>
          </w:tcPr>
          <w:p>
            <w:pPr>
              <w:spacing w:line="440" w:lineRule="exact"/>
              <w:ind w:firstLine="0" w:firstLineChars="0"/>
              <w:jc w:val="left"/>
              <w:rPr>
                <w:rFonts w:hint="eastAsia" w:cs="宋体"/>
                <w:bCs/>
                <w:sz w:val="21"/>
                <w:szCs w:val="21"/>
              </w:rPr>
            </w:pPr>
            <w:r>
              <w:rPr>
                <w:rFonts w:hint="eastAsia" w:cs="宋体"/>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440" w:lineRule="exact"/>
              <w:ind w:firstLine="0" w:firstLineChars="0"/>
              <w:jc w:val="center"/>
              <w:rPr>
                <w:rFonts w:hint="eastAsia" w:cs="宋体"/>
                <w:bCs/>
                <w:sz w:val="21"/>
                <w:szCs w:val="21"/>
              </w:rPr>
            </w:pPr>
            <w:r>
              <w:rPr>
                <w:rFonts w:hint="eastAsia" w:cs="宋体"/>
                <w:bCs/>
                <w:sz w:val="21"/>
                <w:szCs w:val="21"/>
              </w:rPr>
              <w:t>8</w:t>
            </w:r>
          </w:p>
        </w:tc>
        <w:tc>
          <w:tcPr>
            <w:tcW w:w="2533" w:type="dxa"/>
            <w:vAlign w:val="center"/>
          </w:tcPr>
          <w:p>
            <w:pPr>
              <w:spacing w:line="440" w:lineRule="exact"/>
              <w:ind w:firstLine="0" w:firstLineChars="0"/>
              <w:jc w:val="center"/>
              <w:rPr>
                <w:rFonts w:hint="eastAsia" w:cs="宋体"/>
                <w:bCs/>
                <w:sz w:val="21"/>
                <w:szCs w:val="21"/>
              </w:rPr>
            </w:pPr>
            <w:r>
              <w:rPr>
                <w:rFonts w:hint="eastAsia" w:cs="宋体"/>
                <w:bCs/>
                <w:sz w:val="21"/>
                <w:szCs w:val="21"/>
              </w:rPr>
              <w:t>服务标准、期限、效率</w:t>
            </w:r>
          </w:p>
        </w:tc>
        <w:tc>
          <w:tcPr>
            <w:tcW w:w="6593" w:type="dxa"/>
            <w:vAlign w:val="center"/>
          </w:tcPr>
          <w:p>
            <w:pPr>
              <w:spacing w:line="440" w:lineRule="exact"/>
              <w:ind w:firstLine="0" w:firstLineChars="0"/>
              <w:jc w:val="left"/>
              <w:rPr>
                <w:rFonts w:hint="eastAsia" w:cs="宋体"/>
                <w:bCs/>
                <w:sz w:val="21"/>
                <w:szCs w:val="21"/>
              </w:rPr>
            </w:pPr>
            <w:r>
              <w:rPr>
                <w:rFonts w:hint="eastAsia" w:cs="宋体"/>
                <w:bCs/>
                <w:sz w:val="21"/>
                <w:szCs w:val="21"/>
              </w:rPr>
              <w:t>详见采购内容及技术要求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440" w:lineRule="exact"/>
              <w:ind w:firstLine="0" w:firstLineChars="0"/>
              <w:jc w:val="center"/>
              <w:rPr>
                <w:rFonts w:hint="eastAsia" w:cs="宋体"/>
                <w:bCs/>
                <w:sz w:val="21"/>
                <w:szCs w:val="21"/>
              </w:rPr>
            </w:pPr>
            <w:r>
              <w:rPr>
                <w:rFonts w:hint="eastAsia" w:cs="宋体"/>
                <w:bCs/>
                <w:sz w:val="21"/>
                <w:szCs w:val="21"/>
              </w:rPr>
              <w:t>9</w:t>
            </w:r>
          </w:p>
        </w:tc>
        <w:tc>
          <w:tcPr>
            <w:tcW w:w="2533" w:type="dxa"/>
            <w:vAlign w:val="center"/>
          </w:tcPr>
          <w:p>
            <w:pPr>
              <w:spacing w:line="440" w:lineRule="exact"/>
              <w:ind w:firstLine="0" w:firstLineChars="0"/>
              <w:jc w:val="center"/>
              <w:rPr>
                <w:rFonts w:hint="eastAsia" w:cs="宋体"/>
                <w:bCs/>
                <w:sz w:val="21"/>
                <w:szCs w:val="21"/>
              </w:rPr>
            </w:pPr>
            <w:r>
              <w:rPr>
                <w:rFonts w:hint="eastAsia" w:cs="宋体"/>
                <w:bCs/>
                <w:sz w:val="21"/>
                <w:szCs w:val="21"/>
              </w:rPr>
              <w:t>现场踏勘</w:t>
            </w:r>
          </w:p>
        </w:tc>
        <w:tc>
          <w:tcPr>
            <w:tcW w:w="6593" w:type="dxa"/>
            <w:vAlign w:val="center"/>
          </w:tcPr>
          <w:p>
            <w:pPr>
              <w:spacing w:line="440" w:lineRule="exact"/>
              <w:ind w:firstLine="0" w:firstLineChars="0"/>
              <w:jc w:val="left"/>
              <w:rPr>
                <w:rFonts w:hint="eastAsia" w:cs="宋体"/>
                <w:bCs/>
                <w:sz w:val="21"/>
                <w:szCs w:val="21"/>
              </w:rPr>
            </w:pPr>
            <w:r>
              <w:rPr>
                <w:rFonts w:hint="eastAsia" w:cs="宋体"/>
                <w:bCs/>
                <w:sz w:val="21"/>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440" w:lineRule="exact"/>
              <w:ind w:firstLine="0" w:firstLineChars="0"/>
              <w:jc w:val="center"/>
              <w:rPr>
                <w:rFonts w:hint="eastAsia" w:cs="宋体"/>
                <w:bCs/>
                <w:sz w:val="21"/>
                <w:szCs w:val="21"/>
              </w:rPr>
            </w:pPr>
            <w:r>
              <w:rPr>
                <w:rFonts w:hint="eastAsia" w:cs="宋体"/>
                <w:bCs/>
                <w:sz w:val="21"/>
                <w:szCs w:val="21"/>
              </w:rPr>
              <w:t>10</w:t>
            </w:r>
          </w:p>
        </w:tc>
        <w:tc>
          <w:tcPr>
            <w:tcW w:w="2533" w:type="dxa"/>
            <w:vAlign w:val="center"/>
          </w:tcPr>
          <w:p>
            <w:pPr>
              <w:spacing w:line="440" w:lineRule="exact"/>
              <w:ind w:firstLine="0" w:firstLineChars="0"/>
              <w:jc w:val="center"/>
              <w:rPr>
                <w:rFonts w:hint="eastAsia" w:cs="宋体"/>
                <w:bCs/>
                <w:sz w:val="21"/>
                <w:szCs w:val="21"/>
              </w:rPr>
            </w:pPr>
            <w:r>
              <w:rPr>
                <w:rFonts w:hint="eastAsia" w:cs="宋体"/>
                <w:bCs/>
                <w:sz w:val="21"/>
                <w:szCs w:val="21"/>
                <w:lang w:eastAsia="zh-CN"/>
              </w:rPr>
              <w:t>样品摆放</w:t>
            </w:r>
            <w:r>
              <w:rPr>
                <w:rFonts w:hint="eastAsia" w:cs="宋体"/>
                <w:bCs/>
                <w:sz w:val="21"/>
                <w:szCs w:val="21"/>
              </w:rPr>
              <w:t>时间及地点</w:t>
            </w:r>
          </w:p>
        </w:tc>
        <w:tc>
          <w:tcPr>
            <w:tcW w:w="6593" w:type="dxa"/>
            <w:vAlign w:val="center"/>
          </w:tcPr>
          <w:p>
            <w:pPr>
              <w:spacing w:line="440" w:lineRule="exact"/>
              <w:ind w:firstLine="0" w:firstLineChars="0"/>
              <w:jc w:val="left"/>
              <w:rPr>
                <w:rFonts w:hint="default" w:eastAsia="宋体" w:cs="宋体"/>
                <w:bCs/>
                <w:sz w:val="21"/>
                <w:szCs w:val="21"/>
                <w:lang w:val="en-US" w:eastAsia="zh-CN"/>
              </w:rPr>
            </w:pPr>
            <w:r>
              <w:rPr>
                <w:rFonts w:hint="eastAsia" w:cs="宋体"/>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440" w:lineRule="exact"/>
              <w:ind w:firstLine="0" w:firstLineChars="0"/>
              <w:jc w:val="center"/>
              <w:rPr>
                <w:rFonts w:hint="eastAsia" w:cs="宋体"/>
                <w:bCs/>
                <w:sz w:val="21"/>
                <w:szCs w:val="21"/>
              </w:rPr>
            </w:pPr>
            <w:r>
              <w:rPr>
                <w:rFonts w:hint="eastAsia" w:cs="宋体"/>
                <w:bCs/>
                <w:sz w:val="21"/>
                <w:szCs w:val="21"/>
              </w:rPr>
              <w:t>11</w:t>
            </w:r>
          </w:p>
        </w:tc>
        <w:tc>
          <w:tcPr>
            <w:tcW w:w="2533" w:type="dxa"/>
            <w:vAlign w:val="center"/>
          </w:tcPr>
          <w:p>
            <w:pPr>
              <w:spacing w:line="440" w:lineRule="exact"/>
              <w:ind w:firstLine="0" w:firstLineChars="0"/>
              <w:jc w:val="center"/>
              <w:rPr>
                <w:rFonts w:hint="eastAsia" w:cs="宋体"/>
                <w:bCs/>
                <w:sz w:val="21"/>
                <w:szCs w:val="21"/>
              </w:rPr>
            </w:pPr>
            <w:r>
              <w:rPr>
                <w:rFonts w:hint="eastAsia" w:cs="宋体"/>
                <w:bCs/>
                <w:sz w:val="21"/>
                <w:szCs w:val="21"/>
              </w:rPr>
              <w:t>样品要求</w:t>
            </w:r>
          </w:p>
        </w:tc>
        <w:tc>
          <w:tcPr>
            <w:tcW w:w="6593" w:type="dxa"/>
            <w:vAlign w:val="center"/>
          </w:tcPr>
          <w:p>
            <w:pPr>
              <w:spacing w:line="440" w:lineRule="exact"/>
              <w:ind w:firstLine="0" w:firstLineChars="0"/>
              <w:jc w:val="left"/>
              <w:rPr>
                <w:rFonts w:hint="eastAsia" w:cs="宋体"/>
                <w:bCs/>
                <w:sz w:val="21"/>
                <w:szCs w:val="21"/>
              </w:rPr>
            </w:pPr>
            <w:r>
              <w:rPr>
                <w:rFonts w:hint="eastAsia" w:cs="宋体"/>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440" w:lineRule="exact"/>
              <w:ind w:firstLine="0" w:firstLineChars="0"/>
              <w:jc w:val="center"/>
              <w:rPr>
                <w:rFonts w:hint="eastAsia" w:cs="宋体"/>
                <w:bCs/>
                <w:sz w:val="21"/>
                <w:szCs w:val="21"/>
              </w:rPr>
            </w:pPr>
            <w:r>
              <w:rPr>
                <w:rFonts w:hint="eastAsia" w:cs="宋体"/>
                <w:bCs/>
                <w:sz w:val="21"/>
                <w:szCs w:val="21"/>
              </w:rPr>
              <w:t>12</w:t>
            </w:r>
          </w:p>
        </w:tc>
        <w:tc>
          <w:tcPr>
            <w:tcW w:w="2533" w:type="dxa"/>
            <w:vAlign w:val="center"/>
          </w:tcPr>
          <w:p>
            <w:pPr>
              <w:spacing w:line="440" w:lineRule="exact"/>
              <w:ind w:firstLine="0" w:firstLineChars="0"/>
              <w:jc w:val="center"/>
              <w:rPr>
                <w:rFonts w:hint="eastAsia" w:cs="宋体"/>
                <w:bCs/>
                <w:sz w:val="21"/>
                <w:szCs w:val="21"/>
                <w:lang w:val="en-US" w:eastAsia="zh-CN"/>
              </w:rPr>
            </w:pPr>
            <w:r>
              <w:rPr>
                <w:rFonts w:hint="eastAsia" w:cs="宋体"/>
                <w:bCs/>
                <w:sz w:val="21"/>
                <w:szCs w:val="21"/>
                <w:lang w:val="en-US" w:eastAsia="zh-CN"/>
              </w:rPr>
              <w:t>本项目的核心产品</w:t>
            </w:r>
          </w:p>
        </w:tc>
        <w:tc>
          <w:tcPr>
            <w:tcW w:w="6593" w:type="dxa"/>
            <w:vAlign w:val="center"/>
          </w:tcPr>
          <w:p>
            <w:pPr>
              <w:spacing w:line="440" w:lineRule="exact"/>
              <w:ind w:firstLine="0" w:firstLineChars="0"/>
              <w:jc w:val="left"/>
              <w:rPr>
                <w:rFonts w:hint="eastAsia" w:cs="宋体"/>
                <w:bCs/>
                <w:sz w:val="21"/>
                <w:szCs w:val="21"/>
                <w:lang w:val="en-US" w:eastAsia="zh-CN"/>
              </w:rPr>
            </w:pPr>
            <w:r>
              <w:rPr>
                <w:rFonts w:hint="eastAsia" w:cs="宋体"/>
                <w:bCs/>
                <w:sz w:val="21"/>
                <w:szCs w:val="21"/>
                <w:lang w:val="en-US" w:eastAsia="zh-CN"/>
              </w:rPr>
              <w:t>纳升级超高效液相色谱仪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440" w:lineRule="exact"/>
              <w:ind w:firstLine="0" w:firstLineChars="0"/>
              <w:jc w:val="center"/>
              <w:rPr>
                <w:rFonts w:hint="eastAsia" w:cs="宋体"/>
                <w:bCs/>
                <w:sz w:val="21"/>
                <w:szCs w:val="21"/>
              </w:rPr>
            </w:pPr>
            <w:r>
              <w:rPr>
                <w:rFonts w:hint="eastAsia" w:cs="宋体"/>
                <w:bCs/>
                <w:sz w:val="21"/>
                <w:szCs w:val="21"/>
              </w:rPr>
              <w:t>13</w:t>
            </w:r>
          </w:p>
        </w:tc>
        <w:tc>
          <w:tcPr>
            <w:tcW w:w="2533" w:type="dxa"/>
            <w:vAlign w:val="center"/>
          </w:tcPr>
          <w:p>
            <w:pPr>
              <w:spacing w:line="440" w:lineRule="exact"/>
              <w:ind w:firstLine="0" w:firstLineChars="0"/>
              <w:jc w:val="center"/>
              <w:rPr>
                <w:rFonts w:hint="eastAsia" w:cs="宋体"/>
                <w:bCs/>
                <w:sz w:val="21"/>
                <w:szCs w:val="21"/>
              </w:rPr>
            </w:pPr>
            <w:r>
              <w:rPr>
                <w:rFonts w:hint="eastAsia" w:cs="宋体"/>
                <w:bCs/>
                <w:sz w:val="21"/>
                <w:szCs w:val="21"/>
              </w:rPr>
              <w:t>验收</w:t>
            </w:r>
          </w:p>
          <w:p>
            <w:pPr>
              <w:spacing w:line="440" w:lineRule="exact"/>
              <w:ind w:firstLine="0" w:firstLineChars="0"/>
              <w:jc w:val="center"/>
              <w:rPr>
                <w:rFonts w:hint="eastAsia" w:cs="宋体"/>
                <w:bCs/>
                <w:sz w:val="21"/>
                <w:szCs w:val="21"/>
              </w:rPr>
            </w:pPr>
          </w:p>
        </w:tc>
        <w:tc>
          <w:tcPr>
            <w:tcW w:w="6593" w:type="dxa"/>
            <w:vAlign w:val="center"/>
          </w:tcPr>
          <w:p>
            <w:pPr>
              <w:spacing w:line="440" w:lineRule="exact"/>
              <w:ind w:firstLine="0" w:firstLineChars="0"/>
              <w:jc w:val="left"/>
              <w:rPr>
                <w:rFonts w:hint="eastAsia" w:cs="宋体"/>
                <w:bCs/>
                <w:sz w:val="21"/>
                <w:szCs w:val="21"/>
              </w:rPr>
            </w:pPr>
            <w:r>
              <w:rPr>
                <w:rFonts w:hint="eastAsia" w:cs="宋体"/>
                <w:bCs/>
                <w:sz w:val="21"/>
                <w:szCs w:val="21"/>
              </w:rPr>
              <w:t>1.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pPr>
              <w:spacing w:line="440" w:lineRule="exact"/>
              <w:ind w:firstLine="0" w:firstLineChars="0"/>
              <w:jc w:val="left"/>
              <w:rPr>
                <w:rFonts w:hint="eastAsia" w:cs="宋体"/>
                <w:bCs/>
                <w:sz w:val="21"/>
                <w:szCs w:val="21"/>
              </w:rPr>
            </w:pPr>
            <w:r>
              <w:rPr>
                <w:rFonts w:hint="eastAsia" w:cs="宋体"/>
                <w:bCs/>
                <w:sz w:val="21"/>
                <w:szCs w:val="21"/>
              </w:rPr>
              <w:t>2.如中标人委托国内代理（或其他机构）负责安装或配合安装，应在签约时指明，但中标人仍要对合同货物及其安装质量负全部责任。</w:t>
            </w:r>
          </w:p>
          <w:p>
            <w:pPr>
              <w:spacing w:line="440" w:lineRule="exact"/>
              <w:ind w:firstLine="0" w:firstLineChars="0"/>
              <w:jc w:val="left"/>
              <w:rPr>
                <w:rFonts w:hint="eastAsia" w:cs="宋体"/>
                <w:bCs/>
                <w:sz w:val="21"/>
                <w:szCs w:val="21"/>
              </w:rPr>
            </w:pPr>
            <w:r>
              <w:rPr>
                <w:rFonts w:hint="eastAsia" w:cs="宋体"/>
                <w:bCs/>
                <w:sz w:val="21"/>
                <w:szCs w:val="21"/>
              </w:rPr>
              <w:t>3.验收费用由中标人承担。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440" w:lineRule="exact"/>
              <w:ind w:firstLine="0" w:firstLineChars="0"/>
              <w:jc w:val="center"/>
              <w:rPr>
                <w:rFonts w:hint="eastAsia" w:cs="宋体"/>
                <w:bCs/>
                <w:sz w:val="21"/>
                <w:szCs w:val="21"/>
              </w:rPr>
            </w:pPr>
            <w:r>
              <w:rPr>
                <w:rFonts w:hint="eastAsia" w:cs="宋体"/>
                <w:bCs/>
                <w:sz w:val="21"/>
                <w:szCs w:val="21"/>
              </w:rPr>
              <w:t>14</w:t>
            </w:r>
          </w:p>
        </w:tc>
        <w:tc>
          <w:tcPr>
            <w:tcW w:w="2533" w:type="dxa"/>
            <w:vAlign w:val="center"/>
          </w:tcPr>
          <w:p>
            <w:pPr>
              <w:spacing w:line="440" w:lineRule="exact"/>
              <w:ind w:firstLine="0" w:firstLineChars="0"/>
              <w:jc w:val="center"/>
              <w:rPr>
                <w:rFonts w:hint="eastAsia" w:cs="宋体"/>
                <w:bCs/>
                <w:sz w:val="21"/>
                <w:szCs w:val="21"/>
              </w:rPr>
            </w:pPr>
            <w:r>
              <w:rPr>
                <w:rFonts w:hint="eastAsia" w:cs="宋体"/>
                <w:bCs/>
                <w:sz w:val="21"/>
                <w:szCs w:val="21"/>
              </w:rPr>
              <w:t>培训、技术支持和安装调试</w:t>
            </w:r>
          </w:p>
        </w:tc>
        <w:tc>
          <w:tcPr>
            <w:tcW w:w="6593" w:type="dxa"/>
            <w:vAlign w:val="center"/>
          </w:tcPr>
          <w:p>
            <w:pPr>
              <w:spacing w:line="440" w:lineRule="exact"/>
              <w:ind w:firstLine="0" w:firstLineChars="0"/>
              <w:jc w:val="left"/>
              <w:rPr>
                <w:rFonts w:hint="eastAsia" w:cs="宋体"/>
                <w:bCs/>
                <w:sz w:val="21"/>
                <w:szCs w:val="21"/>
              </w:rPr>
            </w:pPr>
            <w:r>
              <w:rPr>
                <w:rFonts w:hint="eastAsia" w:cs="宋体"/>
                <w:bCs/>
                <w:sz w:val="21"/>
                <w:szCs w:val="21"/>
              </w:rPr>
              <w:t>1.培训：</w:t>
            </w:r>
          </w:p>
          <w:p>
            <w:pPr>
              <w:spacing w:line="440" w:lineRule="exact"/>
              <w:ind w:firstLine="0" w:firstLineChars="0"/>
              <w:jc w:val="left"/>
              <w:rPr>
                <w:rFonts w:hint="eastAsia" w:cs="宋体"/>
                <w:bCs/>
                <w:sz w:val="21"/>
                <w:szCs w:val="21"/>
              </w:rPr>
            </w:pPr>
            <w:r>
              <w:rPr>
                <w:rFonts w:hint="eastAsia" w:cs="宋体"/>
                <w:bCs/>
                <w:sz w:val="21"/>
                <w:szCs w:val="21"/>
              </w:rPr>
              <w:t>1.1 投标人应对采购人提供相应的培训计划并免费进行培训。</w:t>
            </w:r>
          </w:p>
          <w:p>
            <w:pPr>
              <w:spacing w:line="440" w:lineRule="exact"/>
              <w:ind w:firstLine="0" w:firstLineChars="0"/>
              <w:jc w:val="left"/>
              <w:rPr>
                <w:rFonts w:hint="eastAsia" w:cs="宋体"/>
                <w:bCs/>
                <w:sz w:val="21"/>
                <w:szCs w:val="21"/>
              </w:rPr>
            </w:pPr>
            <w:r>
              <w:rPr>
                <w:rFonts w:hint="eastAsia" w:cs="宋体"/>
                <w:bCs/>
                <w:sz w:val="21"/>
                <w:szCs w:val="21"/>
              </w:rPr>
              <w:t>1.3投标人应对上述内容的实现方式、地点、人数、时间在投标文件中详细说明。</w:t>
            </w:r>
          </w:p>
          <w:p>
            <w:pPr>
              <w:spacing w:line="440" w:lineRule="exact"/>
              <w:ind w:firstLine="0" w:firstLineChars="0"/>
              <w:jc w:val="left"/>
              <w:rPr>
                <w:rFonts w:hint="eastAsia" w:cs="宋体"/>
                <w:bCs/>
                <w:sz w:val="21"/>
                <w:szCs w:val="21"/>
              </w:rPr>
            </w:pPr>
            <w:r>
              <w:rPr>
                <w:rFonts w:hint="eastAsia" w:cs="宋体"/>
                <w:bCs/>
                <w:sz w:val="21"/>
                <w:szCs w:val="21"/>
              </w:rPr>
              <w:t>2.技术支持：</w:t>
            </w:r>
          </w:p>
          <w:p>
            <w:pPr>
              <w:spacing w:line="440" w:lineRule="exact"/>
              <w:ind w:firstLine="0" w:firstLineChars="0"/>
              <w:jc w:val="left"/>
              <w:rPr>
                <w:rFonts w:hint="eastAsia" w:cs="宋体"/>
                <w:bCs/>
                <w:sz w:val="21"/>
                <w:szCs w:val="21"/>
              </w:rPr>
            </w:pPr>
            <w:r>
              <w:rPr>
                <w:rFonts w:hint="eastAsia" w:cs="宋体"/>
                <w:bCs/>
                <w:sz w:val="21"/>
                <w:szCs w:val="21"/>
              </w:rPr>
              <w:t>中标人应及时提供所需零配件。</w:t>
            </w:r>
          </w:p>
          <w:p>
            <w:pPr>
              <w:spacing w:line="440" w:lineRule="exact"/>
              <w:ind w:firstLine="0" w:firstLineChars="0"/>
              <w:jc w:val="left"/>
              <w:rPr>
                <w:rFonts w:hint="eastAsia" w:cs="宋体"/>
                <w:bCs/>
                <w:sz w:val="21"/>
                <w:szCs w:val="21"/>
              </w:rPr>
            </w:pPr>
            <w:r>
              <w:rPr>
                <w:rFonts w:hint="eastAsia" w:cs="宋体"/>
                <w:bCs/>
                <w:sz w:val="21"/>
                <w:szCs w:val="21"/>
              </w:rPr>
              <w:t>3.安装调试（若需要安装调试）：</w:t>
            </w:r>
          </w:p>
          <w:p>
            <w:pPr>
              <w:spacing w:line="440" w:lineRule="exact"/>
              <w:ind w:firstLine="0" w:firstLineChars="0"/>
              <w:jc w:val="left"/>
              <w:rPr>
                <w:rFonts w:hint="eastAsia" w:cs="宋体"/>
                <w:bCs/>
                <w:sz w:val="21"/>
                <w:szCs w:val="21"/>
              </w:rPr>
            </w:pPr>
            <w:r>
              <w:rPr>
                <w:rFonts w:hint="eastAsia" w:cs="宋体"/>
                <w:bCs/>
                <w:sz w:val="21"/>
                <w:szCs w:val="21"/>
              </w:rPr>
              <w:t>3.1 安装地点：采购人指定地点。</w:t>
            </w:r>
          </w:p>
          <w:p>
            <w:pPr>
              <w:spacing w:line="440" w:lineRule="exact"/>
              <w:ind w:firstLine="0" w:firstLineChars="0"/>
              <w:jc w:val="left"/>
              <w:rPr>
                <w:rFonts w:hint="eastAsia" w:cs="宋体"/>
                <w:bCs/>
                <w:sz w:val="21"/>
                <w:szCs w:val="21"/>
              </w:rPr>
            </w:pPr>
            <w:r>
              <w:rPr>
                <w:rFonts w:hint="eastAsia" w:cs="宋体"/>
                <w:bCs/>
                <w:sz w:val="21"/>
                <w:szCs w:val="21"/>
              </w:rPr>
              <w:t>3.2 安装标准：符合我国国家有关技术规范要求和技术标准，所有的软件和硬件必须保证同时安装到位。</w:t>
            </w:r>
          </w:p>
          <w:p>
            <w:pPr>
              <w:spacing w:line="440" w:lineRule="exact"/>
              <w:ind w:firstLine="0" w:firstLineChars="0"/>
              <w:jc w:val="left"/>
              <w:rPr>
                <w:rFonts w:hint="eastAsia" w:cs="宋体"/>
                <w:bCs/>
                <w:sz w:val="21"/>
                <w:szCs w:val="21"/>
              </w:rPr>
            </w:pPr>
            <w:r>
              <w:rPr>
                <w:rFonts w:hint="eastAsia" w:cs="宋体"/>
                <w:bCs/>
                <w:sz w:val="21"/>
                <w:szCs w:val="21"/>
              </w:rPr>
              <w:t>3.3 中标人免费提供合同货物的安装服务。</w:t>
            </w:r>
          </w:p>
          <w:p>
            <w:pPr>
              <w:spacing w:line="440" w:lineRule="exact"/>
              <w:ind w:firstLine="0" w:firstLineChars="0"/>
              <w:jc w:val="left"/>
              <w:rPr>
                <w:rFonts w:hint="eastAsia" w:cs="宋体"/>
                <w:bCs/>
                <w:sz w:val="21"/>
                <w:szCs w:val="21"/>
              </w:rPr>
            </w:pPr>
            <w:r>
              <w:rPr>
                <w:rFonts w:hint="eastAsia" w:cs="宋体"/>
                <w:bCs/>
                <w:sz w:val="21"/>
                <w:szCs w:val="21"/>
              </w:rPr>
              <w:t>3.4 中标人在投标文件中应提供安装调试计划、对安装场地和环境的要求。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440" w:lineRule="exact"/>
              <w:ind w:firstLine="0" w:firstLineChars="0"/>
              <w:jc w:val="center"/>
              <w:rPr>
                <w:rFonts w:hint="eastAsia" w:cs="宋体"/>
                <w:bCs/>
                <w:sz w:val="21"/>
                <w:szCs w:val="21"/>
              </w:rPr>
            </w:pPr>
            <w:r>
              <w:rPr>
                <w:rFonts w:hint="eastAsia" w:cs="宋体"/>
                <w:bCs/>
                <w:sz w:val="21"/>
                <w:szCs w:val="21"/>
              </w:rPr>
              <w:t>15</w:t>
            </w:r>
          </w:p>
        </w:tc>
        <w:tc>
          <w:tcPr>
            <w:tcW w:w="2533" w:type="dxa"/>
            <w:textDirection w:val="lrTb"/>
            <w:vAlign w:val="center"/>
          </w:tcPr>
          <w:p>
            <w:pPr>
              <w:spacing w:line="440" w:lineRule="exact"/>
              <w:ind w:firstLine="0" w:firstLineChars="0"/>
              <w:jc w:val="center"/>
              <w:rPr>
                <w:rFonts w:hint="eastAsia" w:cs="宋体"/>
                <w:bCs/>
                <w:sz w:val="21"/>
                <w:szCs w:val="21"/>
              </w:rPr>
            </w:pPr>
            <w:r>
              <w:rPr>
                <w:rFonts w:hint="eastAsia" w:cs="宋体"/>
                <w:bCs/>
                <w:sz w:val="21"/>
                <w:szCs w:val="21"/>
              </w:rPr>
              <w:t>履约保证金</w:t>
            </w:r>
          </w:p>
        </w:tc>
        <w:tc>
          <w:tcPr>
            <w:tcW w:w="6593" w:type="dxa"/>
            <w:textDirection w:val="lrTb"/>
            <w:vAlign w:val="center"/>
          </w:tcPr>
          <w:p>
            <w:pPr>
              <w:spacing w:line="440" w:lineRule="exact"/>
              <w:ind w:firstLine="0" w:firstLineChars="0"/>
              <w:jc w:val="left"/>
              <w:rPr>
                <w:rFonts w:hint="eastAsia" w:cs="宋体"/>
                <w:bCs/>
                <w:sz w:val="21"/>
                <w:szCs w:val="21"/>
              </w:rPr>
            </w:pPr>
            <w:r>
              <w:rPr>
                <w:rFonts w:hint="eastAsia" w:cs="宋体"/>
                <w:bCs/>
                <w:sz w:val="21"/>
                <w:szCs w:val="21"/>
              </w:rPr>
              <w:t>中标人提交合同总价 5% 的履约保证金，在签订合同时支付给采购人。由甲乙双方在合同中自行约定退回的方式和时间。履约保证金可以现金或银行、保险公司出具的保函形式提交。（如在合同履约期间未完全履行投标文件的承诺内容的，采购人将视其情节严重程度给予相应处罚，直至没收其履约保证金，甲方保留终止合同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440" w:lineRule="exact"/>
              <w:ind w:firstLine="0" w:firstLineChars="0"/>
              <w:jc w:val="center"/>
              <w:rPr>
                <w:rFonts w:hint="eastAsia" w:cs="宋体"/>
                <w:bCs/>
                <w:sz w:val="21"/>
                <w:szCs w:val="21"/>
              </w:rPr>
            </w:pPr>
            <w:r>
              <w:rPr>
                <w:rFonts w:hint="eastAsia" w:cs="宋体"/>
                <w:bCs/>
                <w:sz w:val="21"/>
                <w:szCs w:val="21"/>
              </w:rPr>
              <w:t>16</w:t>
            </w:r>
          </w:p>
        </w:tc>
        <w:tc>
          <w:tcPr>
            <w:tcW w:w="2533" w:type="dxa"/>
            <w:textDirection w:val="lrTb"/>
            <w:vAlign w:val="center"/>
          </w:tcPr>
          <w:p>
            <w:pPr>
              <w:spacing w:line="440" w:lineRule="exact"/>
              <w:ind w:firstLine="0" w:firstLineChars="0"/>
              <w:jc w:val="center"/>
              <w:rPr>
                <w:rFonts w:hint="eastAsia" w:cs="宋体"/>
                <w:bCs/>
                <w:sz w:val="21"/>
                <w:szCs w:val="21"/>
              </w:rPr>
            </w:pPr>
            <w:r>
              <w:rPr>
                <w:rFonts w:hint="eastAsia" w:cs="宋体"/>
                <w:bCs/>
                <w:sz w:val="21"/>
                <w:szCs w:val="21"/>
              </w:rPr>
              <w:t>付款方式</w:t>
            </w:r>
          </w:p>
        </w:tc>
        <w:tc>
          <w:tcPr>
            <w:tcW w:w="6593" w:type="dxa"/>
            <w:textDirection w:val="lrTb"/>
            <w:vAlign w:val="center"/>
          </w:tcPr>
          <w:p>
            <w:pPr>
              <w:spacing w:line="440" w:lineRule="exact"/>
              <w:ind w:firstLine="0" w:firstLineChars="0"/>
              <w:jc w:val="left"/>
              <w:rPr>
                <w:rFonts w:hint="eastAsia" w:cs="宋体"/>
                <w:bCs/>
                <w:sz w:val="21"/>
                <w:szCs w:val="21"/>
              </w:rPr>
            </w:pPr>
            <w:r>
              <w:rPr>
                <w:rFonts w:hint="eastAsia" w:cs="宋体"/>
                <w:b/>
                <w:bCs w:val="0"/>
                <w:sz w:val="21"/>
                <w:szCs w:val="21"/>
              </w:rPr>
              <w:t>（一）国内交货的产品</w:t>
            </w:r>
          </w:p>
          <w:p>
            <w:pPr>
              <w:spacing w:line="440" w:lineRule="exact"/>
              <w:ind w:firstLine="0" w:firstLineChars="0"/>
              <w:jc w:val="left"/>
              <w:rPr>
                <w:rFonts w:hint="eastAsia" w:cs="宋体"/>
                <w:bCs/>
                <w:sz w:val="21"/>
                <w:szCs w:val="21"/>
              </w:rPr>
            </w:pPr>
            <w:r>
              <w:rPr>
                <w:rFonts w:hint="eastAsia" w:cs="宋体"/>
                <w:bCs/>
                <w:sz w:val="21"/>
                <w:szCs w:val="21"/>
              </w:rPr>
              <w:t>合同签订生效之日起，中标方3日内支付合同总金额的5%到需方账户作为履约保证金，需方收到中标方履约保证金后，支付合同总金额的</w:t>
            </w:r>
            <w:r>
              <w:rPr>
                <w:rFonts w:hint="eastAsia" w:cs="宋体"/>
                <w:bCs/>
                <w:sz w:val="21"/>
                <w:szCs w:val="21"/>
                <w:lang w:val="en-US" w:eastAsia="zh-CN"/>
              </w:rPr>
              <w:t>30</w:t>
            </w:r>
            <w:r>
              <w:rPr>
                <w:rFonts w:hint="eastAsia" w:cs="宋体"/>
                <w:bCs/>
                <w:sz w:val="21"/>
                <w:szCs w:val="21"/>
              </w:rPr>
              <w:t>%；到货后，</w:t>
            </w:r>
            <w:r>
              <w:rPr>
                <w:rFonts w:hint="eastAsia" w:cs="宋体"/>
                <w:bCs/>
                <w:sz w:val="21"/>
                <w:szCs w:val="21"/>
                <w:lang w:eastAsia="zh-CN"/>
              </w:rPr>
              <w:t>设备安装调试完毕并经</w:t>
            </w:r>
            <w:r>
              <w:rPr>
                <w:rFonts w:hint="eastAsia" w:cs="宋体"/>
                <w:bCs/>
                <w:sz w:val="21"/>
                <w:szCs w:val="21"/>
              </w:rPr>
              <w:t>需方验收合格后，按实付清货款</w:t>
            </w:r>
            <w:r>
              <w:rPr>
                <w:rFonts w:hint="eastAsia" w:cs="宋体"/>
                <w:bCs/>
                <w:sz w:val="21"/>
                <w:szCs w:val="21"/>
                <w:lang w:eastAsia="zh-CN"/>
              </w:rPr>
              <w:t>；</w:t>
            </w:r>
            <w:r>
              <w:rPr>
                <w:rFonts w:hint="eastAsia" w:cs="宋体"/>
                <w:bCs/>
                <w:sz w:val="21"/>
                <w:szCs w:val="21"/>
              </w:rPr>
              <w:t>5%保证金在设备</w:t>
            </w:r>
            <w:r>
              <w:rPr>
                <w:rFonts w:hint="eastAsia" w:cs="宋体"/>
                <w:bCs/>
                <w:sz w:val="21"/>
                <w:szCs w:val="21"/>
                <w:lang w:eastAsia="zh-CN"/>
              </w:rPr>
              <w:t>质保期满经需方</w:t>
            </w:r>
            <w:r>
              <w:rPr>
                <w:rFonts w:hint="eastAsia" w:cs="宋体"/>
                <w:bCs/>
                <w:sz w:val="21"/>
                <w:szCs w:val="21"/>
              </w:rPr>
              <w:t>复验合格后无息退还。</w:t>
            </w:r>
          </w:p>
          <w:p>
            <w:pPr>
              <w:spacing w:line="440" w:lineRule="exact"/>
              <w:ind w:firstLine="0" w:firstLineChars="0"/>
              <w:jc w:val="left"/>
              <w:rPr>
                <w:rFonts w:hint="eastAsia" w:cs="宋体"/>
                <w:bCs/>
                <w:sz w:val="21"/>
                <w:szCs w:val="21"/>
              </w:rPr>
            </w:pPr>
            <w:r>
              <w:rPr>
                <w:rFonts w:hint="eastAsia" w:cs="宋体"/>
                <w:b/>
                <w:bCs w:val="0"/>
                <w:sz w:val="21"/>
                <w:szCs w:val="21"/>
              </w:rPr>
              <w:t>（二）进口交货的产品</w:t>
            </w:r>
          </w:p>
          <w:p>
            <w:pPr>
              <w:spacing w:line="440" w:lineRule="exact"/>
              <w:ind w:firstLine="0" w:firstLineChars="0"/>
              <w:jc w:val="left"/>
              <w:rPr>
                <w:rFonts w:hint="eastAsia" w:cs="宋体"/>
                <w:bCs/>
                <w:sz w:val="21"/>
                <w:szCs w:val="21"/>
              </w:rPr>
            </w:pPr>
            <w:r>
              <w:rPr>
                <w:rFonts w:hint="eastAsia" w:cs="宋体"/>
                <w:bCs/>
                <w:sz w:val="21"/>
                <w:szCs w:val="21"/>
              </w:rPr>
              <w:t>合同签订后，中标方支付合同总金额的5%到需方账户作为履约保证金，需方收到中标方履约保证金后，支付合同总金额的70%；到货后，正常运行一个月并由需方验收合格后支付合同余款；5%保证金在设备使用满一年复验合格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440" w:lineRule="exact"/>
              <w:ind w:firstLine="0" w:firstLineChars="0"/>
              <w:jc w:val="center"/>
              <w:rPr>
                <w:rFonts w:hint="eastAsia" w:cs="宋体"/>
                <w:bCs/>
                <w:sz w:val="21"/>
                <w:szCs w:val="21"/>
              </w:rPr>
            </w:pPr>
            <w:r>
              <w:rPr>
                <w:rFonts w:hint="eastAsia" w:cs="宋体"/>
                <w:bCs/>
                <w:sz w:val="21"/>
                <w:szCs w:val="21"/>
              </w:rPr>
              <w:t>17</w:t>
            </w:r>
          </w:p>
        </w:tc>
        <w:tc>
          <w:tcPr>
            <w:tcW w:w="2533" w:type="dxa"/>
            <w:textDirection w:val="lrTb"/>
            <w:vAlign w:val="center"/>
          </w:tcPr>
          <w:p>
            <w:pPr>
              <w:spacing w:line="440" w:lineRule="exact"/>
              <w:ind w:firstLine="0" w:firstLineChars="0"/>
              <w:jc w:val="center"/>
              <w:rPr>
                <w:rFonts w:hint="eastAsia" w:cs="宋体"/>
                <w:bCs/>
                <w:sz w:val="21"/>
                <w:szCs w:val="21"/>
              </w:rPr>
            </w:pPr>
            <w:r>
              <w:rPr>
                <w:rFonts w:hint="eastAsia" w:cs="宋体"/>
                <w:bCs/>
                <w:sz w:val="21"/>
                <w:szCs w:val="21"/>
              </w:rPr>
              <w:t>违约责任</w:t>
            </w:r>
          </w:p>
        </w:tc>
        <w:tc>
          <w:tcPr>
            <w:tcW w:w="6593" w:type="dxa"/>
            <w:textDirection w:val="lrTb"/>
            <w:vAlign w:val="center"/>
          </w:tcPr>
          <w:p>
            <w:pPr>
              <w:spacing w:line="440" w:lineRule="exact"/>
              <w:ind w:firstLine="0" w:firstLineChars="0"/>
              <w:jc w:val="left"/>
              <w:rPr>
                <w:rFonts w:hint="eastAsia" w:cs="宋体"/>
                <w:bCs/>
                <w:sz w:val="21"/>
                <w:szCs w:val="21"/>
              </w:rPr>
            </w:pPr>
            <w:r>
              <w:rPr>
                <w:rFonts w:hint="eastAsia" w:cs="宋体"/>
                <w:bCs/>
                <w:sz w:val="21"/>
                <w:szCs w:val="21"/>
              </w:rPr>
              <w:t>1、投标人（乙方）如中标，在与采购人（甲方）签订合同生效后，如不能按合同如期交货，则每延期一天，按合同总金额的1‰作为违约金赔偿给甲方。</w:t>
            </w:r>
          </w:p>
          <w:p>
            <w:pPr>
              <w:spacing w:line="440" w:lineRule="exact"/>
              <w:ind w:firstLine="0" w:firstLineChars="0"/>
              <w:jc w:val="left"/>
              <w:rPr>
                <w:rFonts w:hint="eastAsia" w:cs="宋体"/>
                <w:bCs/>
                <w:sz w:val="21"/>
                <w:szCs w:val="21"/>
              </w:rPr>
            </w:pPr>
            <w:r>
              <w:rPr>
                <w:rFonts w:hint="eastAsia" w:cs="宋体"/>
                <w:bCs/>
                <w:sz w:val="21"/>
                <w:szCs w:val="21"/>
              </w:rPr>
              <w:t>2、中标后中标人撤回投标或拒绝签订合同的，给采购人造成的损失、招标过程产生的代理服务费以及重新招标期间产生的费用，由中标人承担。</w:t>
            </w:r>
          </w:p>
        </w:tc>
      </w:tr>
    </w:tbl>
    <w:p>
      <w:pPr>
        <w:pStyle w:val="4"/>
        <w:bidi w:val="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p>
    <w:p>
      <w:pPr>
        <w:spacing w:line="360" w:lineRule="auto"/>
        <w:rPr>
          <w:rFonts w:hint="eastAsia" w:ascii="宋体" w:hAnsi="宋体" w:cs="宋体"/>
          <w:b/>
          <w:sz w:val="24"/>
        </w:rPr>
      </w:pPr>
      <w:r>
        <w:rPr>
          <w:rFonts w:hint="eastAsia" w:ascii="宋体" w:hAnsi="宋体" w:cs="宋体"/>
          <w:b/>
          <w:sz w:val="24"/>
        </w:rPr>
        <w:t>一、采购货物一览表</w:t>
      </w:r>
    </w:p>
    <w:tbl>
      <w:tblPr>
        <w:tblStyle w:val="46"/>
        <w:tblW w:w="85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3578"/>
        <w:gridCol w:w="1384"/>
        <w:gridCol w:w="2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宋体" w:hAnsi="宋体" w:cs="宋体"/>
                <w:b/>
                <w:szCs w:val="21"/>
              </w:rPr>
            </w:pPr>
            <w:r>
              <w:rPr>
                <w:rFonts w:hint="eastAsia" w:ascii="宋体" w:hAnsi="宋体" w:cs="宋体"/>
                <w:b/>
                <w:szCs w:val="21"/>
              </w:rPr>
              <w:t>序号</w:t>
            </w:r>
          </w:p>
        </w:tc>
        <w:tc>
          <w:tcPr>
            <w:tcW w:w="3578"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宋体" w:hAnsi="宋体" w:cs="宋体"/>
                <w:b/>
                <w:szCs w:val="21"/>
              </w:rPr>
            </w:pPr>
            <w:r>
              <w:rPr>
                <w:rFonts w:hint="eastAsia" w:ascii="宋体" w:hAnsi="宋体" w:cs="宋体"/>
                <w:b/>
                <w:szCs w:val="21"/>
              </w:rPr>
              <w:t>名称</w:t>
            </w:r>
          </w:p>
        </w:tc>
        <w:tc>
          <w:tcPr>
            <w:tcW w:w="1384"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宋体" w:hAnsi="宋体" w:cs="宋体"/>
                <w:b/>
                <w:szCs w:val="21"/>
              </w:rPr>
            </w:pPr>
            <w:r>
              <w:rPr>
                <w:rFonts w:hint="eastAsia" w:ascii="宋体" w:hAnsi="宋体" w:cs="宋体"/>
                <w:b/>
                <w:szCs w:val="21"/>
              </w:rPr>
              <w:t>数量</w:t>
            </w:r>
          </w:p>
        </w:tc>
        <w:tc>
          <w:tcPr>
            <w:tcW w:w="239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宋体" w:hAnsi="宋体" w:cs="宋体"/>
                <w:bCs/>
                <w:szCs w:val="21"/>
              </w:rPr>
            </w:pPr>
            <w:r>
              <w:rPr>
                <w:rFonts w:hint="eastAsia" w:ascii="宋体" w:hAnsi="宋体" w:cs="宋体"/>
                <w:bCs/>
                <w:szCs w:val="21"/>
              </w:rPr>
              <w:t>1</w:t>
            </w:r>
          </w:p>
        </w:tc>
        <w:tc>
          <w:tcPr>
            <w:tcW w:w="3578"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ind w:left="0" w:leftChars="0" w:firstLine="0" w:firstLineChars="0"/>
              <w:jc w:val="center"/>
              <w:rPr>
                <w:rFonts w:hint="eastAsia" w:ascii="宋体" w:hAnsi="宋体" w:cs="宋体"/>
                <w:bCs/>
                <w:szCs w:val="21"/>
              </w:rPr>
            </w:pPr>
            <w:r>
              <w:rPr>
                <w:rFonts w:hint="eastAsia" w:ascii="宋体" w:hAnsi="宋体" w:cs="宋体"/>
                <w:bCs/>
                <w:szCs w:val="21"/>
              </w:rPr>
              <w:t>纳升级超高效液相色谱仪</w:t>
            </w:r>
          </w:p>
        </w:tc>
        <w:tc>
          <w:tcPr>
            <w:tcW w:w="1384"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ind w:left="0" w:leftChars="0" w:firstLine="0" w:firstLineChars="0"/>
              <w:jc w:val="center"/>
              <w:rPr>
                <w:rFonts w:hint="eastAsia" w:ascii="宋体" w:hAnsi="宋体" w:cs="宋体"/>
                <w:bCs/>
                <w:szCs w:val="21"/>
              </w:rPr>
            </w:pPr>
            <w:r>
              <w:rPr>
                <w:rFonts w:hint="eastAsia" w:ascii="宋体" w:hAnsi="宋体" w:cs="宋体"/>
                <w:bCs/>
                <w:szCs w:val="21"/>
              </w:rPr>
              <w:t>1台</w:t>
            </w:r>
          </w:p>
        </w:tc>
        <w:tc>
          <w:tcPr>
            <w:tcW w:w="239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宋体" w:hAnsi="宋体" w:eastAsia="宋体" w:cs="宋体"/>
                <w:bCs/>
                <w:szCs w:val="21"/>
                <w:lang w:eastAsia="zh-CN"/>
              </w:rPr>
            </w:pPr>
            <w:r>
              <w:rPr>
                <w:rFonts w:hint="eastAsia" w:cs="宋体"/>
                <w:bCs/>
                <w:szCs w:val="21"/>
                <w:lang w:eastAsia="zh-CN"/>
              </w:rPr>
              <w:t>允许采购进口设备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宋体" w:hAnsi="宋体" w:cs="宋体"/>
                <w:bCs/>
                <w:szCs w:val="21"/>
              </w:rPr>
            </w:pPr>
            <w:r>
              <w:rPr>
                <w:rFonts w:hint="eastAsia" w:ascii="宋体" w:hAnsi="宋体" w:cs="宋体"/>
                <w:bCs/>
                <w:szCs w:val="21"/>
              </w:rPr>
              <w:t>2</w:t>
            </w:r>
          </w:p>
        </w:tc>
        <w:tc>
          <w:tcPr>
            <w:tcW w:w="3578"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ind w:left="0" w:leftChars="0" w:firstLine="0" w:firstLineChars="0"/>
              <w:jc w:val="center"/>
              <w:rPr>
                <w:rFonts w:hint="eastAsia" w:ascii="宋体" w:hAnsi="宋体" w:cs="宋体"/>
                <w:bCs/>
                <w:szCs w:val="21"/>
              </w:rPr>
            </w:pPr>
            <w:r>
              <w:rPr>
                <w:rFonts w:hint="eastAsia" w:ascii="宋体" w:hAnsi="宋体" w:cs="宋体"/>
                <w:bCs/>
                <w:szCs w:val="21"/>
              </w:rPr>
              <w:t>荧光定量PCR仪</w:t>
            </w:r>
          </w:p>
        </w:tc>
        <w:tc>
          <w:tcPr>
            <w:tcW w:w="1384"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ind w:left="0" w:leftChars="0" w:firstLine="0" w:firstLineChars="0"/>
              <w:jc w:val="center"/>
              <w:rPr>
                <w:rFonts w:hint="eastAsia" w:ascii="宋体" w:hAnsi="宋体" w:cs="宋体"/>
                <w:bCs/>
                <w:szCs w:val="21"/>
              </w:rPr>
            </w:pPr>
            <w:r>
              <w:rPr>
                <w:rFonts w:hint="eastAsia" w:ascii="宋体" w:hAnsi="宋体" w:cs="宋体"/>
                <w:bCs/>
                <w:szCs w:val="21"/>
              </w:rPr>
              <w:t>1台</w:t>
            </w:r>
          </w:p>
        </w:tc>
        <w:tc>
          <w:tcPr>
            <w:tcW w:w="2395" w:type="dxa"/>
            <w:tcBorders>
              <w:top w:val="single" w:color="auto" w:sz="4" w:space="0"/>
              <w:left w:val="single" w:color="auto" w:sz="4" w:space="0"/>
              <w:bottom w:val="single" w:color="auto" w:sz="4" w:space="0"/>
              <w:right w:val="single" w:color="auto" w:sz="4" w:space="0"/>
            </w:tcBorders>
            <w:textDirection w:val="lrTb"/>
            <w:vAlign w:val="center"/>
          </w:tcPr>
          <w:p>
            <w:pPr>
              <w:ind w:left="0" w:leftChars="0" w:firstLine="0" w:firstLineChars="0"/>
              <w:jc w:val="center"/>
              <w:rPr>
                <w:rFonts w:hint="eastAsia" w:ascii="宋体" w:hAnsi="宋体" w:cs="宋体"/>
                <w:bCs/>
                <w:szCs w:val="21"/>
              </w:rPr>
            </w:pPr>
            <w:r>
              <w:rPr>
                <w:rFonts w:hint="eastAsia" w:cs="宋体"/>
                <w:bCs/>
                <w:szCs w:val="21"/>
                <w:lang w:eastAsia="zh-CN"/>
              </w:rPr>
              <w:t>允许采购进口设备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宋体" w:hAnsi="宋体" w:cs="宋体"/>
                <w:bCs/>
                <w:szCs w:val="21"/>
              </w:rPr>
            </w:pPr>
            <w:r>
              <w:rPr>
                <w:rFonts w:hint="eastAsia" w:ascii="宋体" w:hAnsi="宋体" w:cs="宋体"/>
                <w:bCs/>
                <w:szCs w:val="21"/>
              </w:rPr>
              <w:t>3</w:t>
            </w:r>
          </w:p>
        </w:tc>
        <w:tc>
          <w:tcPr>
            <w:tcW w:w="3578"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ind w:left="0" w:leftChars="0" w:firstLine="0" w:firstLineChars="0"/>
              <w:jc w:val="center"/>
              <w:rPr>
                <w:rFonts w:hint="eastAsia" w:ascii="宋体" w:hAnsi="宋体" w:cs="宋体"/>
                <w:bCs/>
                <w:szCs w:val="21"/>
              </w:rPr>
            </w:pPr>
            <w:r>
              <w:rPr>
                <w:rFonts w:hint="eastAsia" w:ascii="宋体" w:hAnsi="宋体" w:cs="宋体"/>
                <w:bCs/>
                <w:szCs w:val="21"/>
              </w:rPr>
              <w:t>蛋白质二维电泳系统</w:t>
            </w:r>
          </w:p>
        </w:tc>
        <w:tc>
          <w:tcPr>
            <w:tcW w:w="1384"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ind w:left="0" w:leftChars="0" w:firstLine="0" w:firstLineChars="0"/>
              <w:jc w:val="center"/>
              <w:rPr>
                <w:rFonts w:hint="eastAsia" w:ascii="宋体" w:hAnsi="宋体" w:cs="宋体"/>
                <w:bCs/>
                <w:szCs w:val="21"/>
              </w:rPr>
            </w:pPr>
            <w:r>
              <w:rPr>
                <w:rFonts w:hint="eastAsia" w:ascii="宋体" w:hAnsi="宋体" w:cs="宋体"/>
                <w:bCs/>
                <w:szCs w:val="21"/>
              </w:rPr>
              <w:t>1台</w:t>
            </w:r>
          </w:p>
        </w:tc>
        <w:tc>
          <w:tcPr>
            <w:tcW w:w="2395" w:type="dxa"/>
            <w:tcBorders>
              <w:top w:val="single" w:color="auto" w:sz="4" w:space="0"/>
              <w:left w:val="single" w:color="auto" w:sz="4" w:space="0"/>
              <w:bottom w:val="single" w:color="auto" w:sz="4" w:space="0"/>
              <w:right w:val="single" w:color="auto" w:sz="4" w:space="0"/>
            </w:tcBorders>
            <w:textDirection w:val="lrTb"/>
            <w:vAlign w:val="center"/>
          </w:tcPr>
          <w:p>
            <w:pPr>
              <w:ind w:left="0" w:leftChars="0" w:firstLine="0" w:firstLineChars="0"/>
              <w:jc w:val="center"/>
              <w:rPr>
                <w:rFonts w:hint="eastAsia" w:ascii="宋体" w:hAnsi="宋体" w:cs="宋体"/>
                <w:bCs/>
                <w:szCs w:val="21"/>
              </w:rPr>
            </w:pPr>
            <w:r>
              <w:rPr>
                <w:rFonts w:hint="eastAsia" w:cs="宋体"/>
                <w:bCs/>
                <w:szCs w:val="21"/>
                <w:lang w:eastAsia="zh-CN"/>
              </w:rPr>
              <w:t>允许采购进口设备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宋体" w:hAnsi="宋体" w:cs="宋体"/>
                <w:bCs/>
                <w:szCs w:val="21"/>
              </w:rPr>
            </w:pPr>
            <w:r>
              <w:rPr>
                <w:rFonts w:hint="eastAsia" w:ascii="宋体" w:hAnsi="宋体" w:cs="宋体"/>
                <w:bCs/>
                <w:szCs w:val="21"/>
              </w:rPr>
              <w:t>4</w:t>
            </w:r>
          </w:p>
        </w:tc>
        <w:tc>
          <w:tcPr>
            <w:tcW w:w="3578"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ind w:left="0" w:leftChars="0" w:firstLine="0" w:firstLineChars="0"/>
              <w:jc w:val="center"/>
              <w:rPr>
                <w:rFonts w:hint="eastAsia" w:ascii="宋体" w:hAnsi="宋体" w:cs="宋体"/>
                <w:bCs/>
                <w:szCs w:val="21"/>
              </w:rPr>
            </w:pPr>
            <w:r>
              <w:rPr>
                <w:rFonts w:hint="eastAsia" w:ascii="宋体" w:hAnsi="宋体" w:cs="宋体"/>
                <w:bCs/>
                <w:szCs w:val="21"/>
              </w:rPr>
              <w:t>水产品交易溯源系统</w:t>
            </w:r>
          </w:p>
        </w:tc>
        <w:tc>
          <w:tcPr>
            <w:tcW w:w="1384" w:type="dxa"/>
            <w:tcBorders>
              <w:top w:val="single" w:color="auto" w:sz="4" w:space="0"/>
              <w:left w:val="single" w:color="auto" w:sz="4" w:space="0"/>
              <w:bottom w:val="single" w:color="auto" w:sz="4" w:space="0"/>
              <w:right w:val="single" w:color="auto" w:sz="4" w:space="0"/>
            </w:tcBorders>
            <w:shd w:val="clear" w:color="auto" w:fill="auto"/>
            <w:textDirection w:val="lrTb"/>
            <w:vAlign w:val="center"/>
          </w:tcPr>
          <w:p>
            <w:pPr>
              <w:ind w:left="0" w:leftChars="0" w:firstLine="0" w:firstLineChars="0"/>
              <w:jc w:val="center"/>
              <w:rPr>
                <w:rFonts w:hint="eastAsia" w:ascii="宋体" w:hAnsi="宋体" w:cs="宋体"/>
                <w:bCs/>
                <w:szCs w:val="21"/>
              </w:rPr>
            </w:pPr>
            <w:r>
              <w:rPr>
                <w:rFonts w:hint="eastAsia" w:ascii="宋体" w:hAnsi="宋体" w:cs="宋体"/>
                <w:bCs/>
                <w:szCs w:val="21"/>
              </w:rPr>
              <w:t>1套</w:t>
            </w:r>
          </w:p>
        </w:tc>
        <w:tc>
          <w:tcPr>
            <w:tcW w:w="2395"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center"/>
              <w:rPr>
                <w:rFonts w:hint="eastAsia" w:ascii="宋体" w:hAnsi="宋体" w:cs="宋体"/>
                <w:bCs/>
                <w:szCs w:val="21"/>
              </w:rPr>
            </w:pPr>
          </w:p>
        </w:tc>
      </w:tr>
    </w:tbl>
    <w:p>
      <w:pPr/>
      <w:r>
        <w:rPr>
          <w:rFonts w:hint="eastAsia" w:ascii="宋体" w:hAnsi="宋体" w:cs="宋体"/>
          <w:b/>
          <w:bCs/>
          <w:lang w:eastAsia="zh-CN"/>
        </w:rPr>
        <w:t>注：</w:t>
      </w:r>
      <w:r>
        <w:rPr>
          <w:rFonts w:hint="eastAsia" w:ascii="宋体" w:hAnsi="宋体" w:cs="宋体"/>
        </w:rPr>
        <w:t>投标人投标时必须根据所投标的，列出设备（进口设备及国产单价大于</w:t>
      </w:r>
      <w:r>
        <w:rPr>
          <w:rFonts w:hint="eastAsia"/>
        </w:rPr>
        <w:t>5</w:t>
      </w:r>
      <w:r>
        <w:rPr>
          <w:rFonts w:hint="eastAsia" w:ascii="宋体" w:hAnsi="宋体" w:cs="宋体"/>
        </w:rPr>
        <w:t>万元的）主要维修用零配件清单及价格，此价格作为乙方质保期后维修更换零配件收费的依据；如遇后期市场价格变动，则按变动后的价格由甲乙双方提供价格变动证明后协商执行。</w:t>
      </w:r>
    </w:p>
    <w:p>
      <w:pPr>
        <w:spacing w:before="156" w:beforeLines="50" w:after="156" w:afterLines="50"/>
        <w:rPr>
          <w:rFonts w:hint="eastAsia" w:ascii="宋体" w:hAnsi="宋体" w:cs="宋体"/>
          <w:b/>
          <w:sz w:val="24"/>
        </w:rPr>
      </w:pPr>
      <w:r>
        <w:rPr>
          <w:rFonts w:hint="eastAsia" w:ascii="宋体" w:hAnsi="宋体" w:cs="宋体"/>
          <w:b/>
          <w:sz w:val="24"/>
        </w:rPr>
        <w:t>二、采购内容技术参数及技术要求</w:t>
      </w:r>
    </w:p>
    <w:p>
      <w:pPr>
        <w:pStyle w:val="2"/>
        <w:keepNext w:val="0"/>
        <w:keepLines w:val="0"/>
        <w:pageBreakBefore w:val="0"/>
        <w:kinsoku/>
        <w:wordWrap/>
        <w:overflowPunct/>
        <w:topLinePunct w:val="0"/>
        <w:autoSpaceDE/>
        <w:autoSpaceDN/>
        <w:bidi w:val="0"/>
        <w:adjustRightInd/>
        <w:snapToGrid/>
        <w:spacing w:after="0" w:line="360" w:lineRule="auto"/>
        <w:ind w:left="0" w:leftChars="0" w:firstLine="0" w:firstLineChars="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color w:val="000000"/>
          <w:kern w:val="0"/>
          <w:sz w:val="24"/>
          <w:szCs w:val="24"/>
        </w:rPr>
        <w:t>纳升级超高效液相色谱仪</w:t>
      </w:r>
    </w:p>
    <w:tbl>
      <w:tblPr>
        <w:tblStyle w:val="46"/>
        <w:tblW w:w="8992" w:type="dxa"/>
        <w:jc w:val="center"/>
        <w:tblInd w:w="0" w:type="dxa"/>
        <w:tblLayout w:type="fixed"/>
        <w:tblCellMar>
          <w:top w:w="0" w:type="dxa"/>
          <w:left w:w="108" w:type="dxa"/>
          <w:bottom w:w="0" w:type="dxa"/>
          <w:right w:w="108" w:type="dxa"/>
        </w:tblCellMar>
      </w:tblPr>
      <w:tblGrid>
        <w:gridCol w:w="1140"/>
        <w:gridCol w:w="7852"/>
      </w:tblGrid>
      <w:tr>
        <w:tblPrEx>
          <w:tblLayout w:type="fixed"/>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78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技术要求</w:t>
            </w:r>
          </w:p>
        </w:tc>
      </w:tr>
      <w:tr>
        <w:tblPrEx>
          <w:tblLayout w:type="fixed"/>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一、</w:t>
            </w:r>
          </w:p>
        </w:tc>
        <w:tc>
          <w:tcPr>
            <w:tcW w:w="78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主要用途</w:t>
            </w:r>
          </w:p>
        </w:tc>
      </w:tr>
      <w:tr>
        <w:tblPrEx>
          <w:tblLayout w:type="fixed"/>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用于多肽和蛋白组学分析。</w:t>
            </w:r>
          </w:p>
        </w:tc>
      </w:tr>
      <w:tr>
        <w:tblPrEx>
          <w:tblLayout w:type="fixed"/>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二、</w:t>
            </w:r>
          </w:p>
        </w:tc>
        <w:tc>
          <w:tcPr>
            <w:tcW w:w="78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工作条件</w:t>
            </w:r>
          </w:p>
        </w:tc>
      </w:tr>
      <w:tr>
        <w:tblPrEx>
          <w:tblLayout w:type="fixed"/>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电源要求：100至240 VAC</w:t>
            </w:r>
          </w:p>
        </w:tc>
      </w:tr>
      <w:tr>
        <w:tblPrEx>
          <w:tblLayout w:type="fixed"/>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78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温度：4.0~40.0 °C (39.2~104.0 °F)</w:t>
            </w:r>
          </w:p>
        </w:tc>
      </w:tr>
      <w:tr>
        <w:tblPrEx>
          <w:tblLayout w:type="fixed"/>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78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湿度：20%~80%，无冷凝</w:t>
            </w:r>
          </w:p>
        </w:tc>
      </w:tr>
      <w:tr>
        <w:tblPrEx>
          <w:tblLayout w:type="fixed"/>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三、</w:t>
            </w:r>
          </w:p>
        </w:tc>
        <w:tc>
          <w:tcPr>
            <w:tcW w:w="78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技术参数及指标</w:t>
            </w:r>
          </w:p>
        </w:tc>
      </w:tr>
      <w:tr>
        <w:tblPrEx>
          <w:tblLayout w:type="fixed"/>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kern w:val="0"/>
                <w:sz w:val="24"/>
                <w:szCs w:val="24"/>
              </w:rPr>
            </w:pPr>
            <w:bookmarkStart w:id="41" w:name="_Hlk69240583"/>
            <w:r>
              <w:rPr>
                <w:rFonts w:hint="eastAsia" w:ascii="宋体" w:hAnsi="宋体" w:eastAsia="宋体" w:cs="宋体"/>
                <w:kern w:val="0"/>
                <w:sz w:val="24"/>
                <w:szCs w:val="24"/>
              </w:rPr>
              <w:t>微量二元溶剂管理器</w:t>
            </w:r>
            <w:bookmarkEnd w:id="41"/>
          </w:p>
        </w:tc>
      </w:tr>
      <w:tr>
        <w:tblPrEx>
          <w:tblLayout w:type="fixed"/>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78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色谱泵：一体式独立柱塞，数控直线驱动色谱泵技术，双压力传感器反馈回路，无需阻尼器</w:t>
            </w:r>
          </w:p>
        </w:tc>
      </w:tr>
      <w:tr>
        <w:tblPrEx>
          <w:tblLayout w:type="fixed"/>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78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集成式渗漏管理安全渗漏处理：系统诊断功能以nL/min级速度识别和精确定位系统渗漏</w:t>
            </w:r>
          </w:p>
        </w:tc>
      </w:tr>
      <w:tr>
        <w:tblPrEx>
          <w:tblLayout w:type="fixed"/>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78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系统同步泵和样品管理器之间的进样同步可提高保留时间重现性</w:t>
            </w:r>
          </w:p>
        </w:tc>
      </w:tr>
      <w:tr>
        <w:tblPrEx>
          <w:tblLayout w:type="fixed"/>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78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流量控制：直接、不分流和自动溶剂流量控制算法可提供无脉冲流</w:t>
            </w:r>
          </w:p>
        </w:tc>
      </w:tr>
      <w:tr>
        <w:tblPrEx>
          <w:tblLayout w:type="fixed"/>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78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梯度形成：高压混合，二元梯度</w:t>
            </w:r>
          </w:p>
        </w:tc>
      </w:tr>
      <w:tr>
        <w:tblPrEx>
          <w:tblLayout w:type="fixed"/>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78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集成式真空脱气，6条管路，其中2条分配给进样器洗针液/清除溶剂</w:t>
            </w:r>
          </w:p>
        </w:tc>
      </w:tr>
      <w:tr>
        <w:tblPrEx>
          <w:tblLayout w:type="fixed"/>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78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操作流速范围：200 nL/min~100μL/min，无需分流</w:t>
            </w:r>
          </w:p>
        </w:tc>
      </w:tr>
      <w:tr>
        <w:tblPrEx>
          <w:tblLayout w:type="fixed"/>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1.8</w:t>
            </w:r>
          </w:p>
        </w:tc>
        <w:tc>
          <w:tcPr>
            <w:tcW w:w="78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流量：不分流，机械泵实现0.00~100μL/min，以1 nL/min为增量</w:t>
            </w:r>
          </w:p>
        </w:tc>
      </w:tr>
      <w:tr>
        <w:tblPrEx>
          <w:tblLayout w:type="fixed"/>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★1.9</w:t>
            </w:r>
          </w:p>
        </w:tc>
        <w:tc>
          <w:tcPr>
            <w:tcW w:w="78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流量精度： SD&lt;0.25 min</w:t>
            </w:r>
          </w:p>
        </w:tc>
      </w:tr>
      <w:tr>
        <w:tblPrEx>
          <w:tblLayout w:type="fixed"/>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1.10</w:t>
            </w:r>
          </w:p>
        </w:tc>
        <w:tc>
          <w:tcPr>
            <w:tcW w:w="78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最大操作压力：15,000 psi</w:t>
            </w:r>
          </w:p>
        </w:tc>
      </w:tr>
      <w:tr>
        <w:tblPrEx>
          <w:tblLayout w:type="fixed"/>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★1.11</w:t>
            </w:r>
          </w:p>
        </w:tc>
        <w:tc>
          <w:tcPr>
            <w:tcW w:w="78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延迟体积：&lt; 1μL（含梯度混和器），不随反压变化</w:t>
            </w:r>
          </w:p>
        </w:tc>
      </w:tr>
      <w:tr>
        <w:tblPrEx>
          <w:tblLayout w:type="fixed"/>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1.12</w:t>
            </w:r>
          </w:p>
        </w:tc>
        <w:tc>
          <w:tcPr>
            <w:tcW w:w="78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柱塞清洗：自动，可编程</w:t>
            </w:r>
          </w:p>
        </w:tc>
      </w:tr>
      <w:tr>
        <w:tblPrEx>
          <w:tblLayout w:type="fixed"/>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1.13</w:t>
            </w:r>
          </w:p>
        </w:tc>
        <w:tc>
          <w:tcPr>
            <w:tcW w:w="78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梯度模式：预编11种梯度曲线，分为线性、步进、凹线、凸线四种类型</w:t>
            </w:r>
          </w:p>
        </w:tc>
      </w:tr>
      <w:tr>
        <w:tblPrEx>
          <w:tblLayout w:type="fixed"/>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78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样品管理器</w:t>
            </w:r>
          </w:p>
        </w:tc>
      </w:tr>
      <w:tr>
        <w:tblPrEx>
          <w:tblLayout w:type="fixed"/>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★2.1</w:t>
            </w:r>
          </w:p>
        </w:tc>
        <w:tc>
          <w:tcPr>
            <w:tcW w:w="78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进样体积范围：0.1μL至100.0μL，增量≤0.1μL；</w:t>
            </w:r>
          </w:p>
        </w:tc>
      </w:tr>
      <w:tr>
        <w:tblPrEx>
          <w:tblLayout w:type="fixed"/>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★2.2</w:t>
            </w:r>
          </w:p>
        </w:tc>
        <w:tc>
          <w:tcPr>
            <w:tcW w:w="78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样品管理器精度：0.2μL -1.9μL 进样，&lt;1%RSD；2μL -10μL 进样，&lt;0.5%RSD</w:t>
            </w:r>
          </w:p>
        </w:tc>
      </w:tr>
      <w:tr>
        <w:tblPrEx>
          <w:tblLayout w:type="fixed"/>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2.3</w:t>
            </w:r>
          </w:p>
        </w:tc>
        <w:tc>
          <w:tcPr>
            <w:tcW w:w="78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最大样品容量： 2mL≥ 90位，</w:t>
            </w:r>
          </w:p>
        </w:tc>
      </w:tr>
      <w:tr>
        <w:tblPrEx>
          <w:tblLayout w:type="fixed"/>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2.4</w:t>
            </w:r>
          </w:p>
        </w:tc>
        <w:tc>
          <w:tcPr>
            <w:tcW w:w="78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 xml:space="preserve">样品室温度范围：4.0至40.0 ℃，可设定增量为0.1 ℃ </w:t>
            </w:r>
          </w:p>
        </w:tc>
      </w:tr>
      <w:tr>
        <w:tblPrEx>
          <w:tblLayout w:type="fixed"/>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2.5</w:t>
            </w:r>
          </w:p>
        </w:tc>
        <w:tc>
          <w:tcPr>
            <w:tcW w:w="78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样品交叉污染度：&lt;0.001%</w:t>
            </w:r>
          </w:p>
        </w:tc>
      </w:tr>
      <w:tr>
        <w:tblPrEx>
          <w:tblLayout w:type="fixed"/>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2.6</w:t>
            </w:r>
          </w:p>
        </w:tc>
        <w:tc>
          <w:tcPr>
            <w:tcW w:w="78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自动进样循环时间：&lt;30秒</w:t>
            </w:r>
          </w:p>
        </w:tc>
      </w:tr>
      <w:tr>
        <w:tblPrEx>
          <w:tblLayout w:type="fixed"/>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2.7</w:t>
            </w:r>
          </w:p>
        </w:tc>
        <w:tc>
          <w:tcPr>
            <w:tcW w:w="78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进样洗针液：集成、主动、可设置、双清洗</w:t>
            </w:r>
          </w:p>
        </w:tc>
      </w:tr>
      <w:tr>
        <w:tblPrEx>
          <w:tblLayout w:type="fixed"/>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78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捕获阀管理器</w:t>
            </w:r>
          </w:p>
        </w:tc>
      </w:tr>
      <w:tr>
        <w:tblPrEx>
          <w:tblLayout w:type="fixed"/>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3.1</w:t>
            </w:r>
          </w:p>
        </w:tc>
        <w:tc>
          <w:tcPr>
            <w:tcW w:w="78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切换阀：两个六通二位阀；控制设置相互独立</w:t>
            </w:r>
          </w:p>
        </w:tc>
      </w:tr>
      <w:tr>
        <w:tblPrEx>
          <w:tblLayout w:type="fixed"/>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3.2</w:t>
            </w:r>
          </w:p>
        </w:tc>
        <w:tc>
          <w:tcPr>
            <w:tcW w:w="78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柱温箱温度范围：室温+5 ℃至90.0 ℃，可设置增量为0.1 ℃</w:t>
            </w:r>
          </w:p>
        </w:tc>
      </w:tr>
      <w:tr>
        <w:tblPrEx>
          <w:tblLayout w:type="fixed"/>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3.3</w:t>
            </w:r>
          </w:p>
        </w:tc>
        <w:tc>
          <w:tcPr>
            <w:tcW w:w="78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柱温箱温度准确度：在传感器处为±0.5 ℃</w:t>
            </w:r>
          </w:p>
        </w:tc>
      </w:tr>
      <w:tr>
        <w:tblPrEx>
          <w:tblLayout w:type="fixed"/>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78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柱温箱</w:t>
            </w:r>
          </w:p>
        </w:tc>
      </w:tr>
      <w:tr>
        <w:tblPrEx>
          <w:tblLayout w:type="fixed"/>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4.1</w:t>
            </w:r>
          </w:p>
        </w:tc>
        <w:tc>
          <w:tcPr>
            <w:tcW w:w="78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色谱柱容量：可容纳单根色谱柱，最大内径(I.D.) 4.6 mm，最长150 mm（带在线过滤器或保护柱）；</w:t>
            </w:r>
          </w:p>
        </w:tc>
      </w:tr>
      <w:tr>
        <w:tblPrEx>
          <w:tblLayout w:type="fixed"/>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4.2</w:t>
            </w:r>
          </w:p>
        </w:tc>
        <w:tc>
          <w:tcPr>
            <w:tcW w:w="78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温度范围：20.0~90.0℃，增量：0.1℃</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温度准确度 ± 0.5 °C</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温度稳定度 ± 0.3 °C</w:t>
            </w:r>
          </w:p>
        </w:tc>
      </w:tr>
      <w:tr>
        <w:tblPrEx>
          <w:tblLayout w:type="fixed"/>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4.3</w:t>
            </w:r>
          </w:p>
        </w:tc>
        <w:tc>
          <w:tcPr>
            <w:tcW w:w="78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色谱柱室加热时间：≤15 min，环境温度-60 °C</w:t>
            </w:r>
          </w:p>
        </w:tc>
      </w:tr>
      <w:tr>
        <w:tblPrEx>
          <w:tblLayout w:type="fixed"/>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4.4</w:t>
            </w:r>
          </w:p>
        </w:tc>
        <w:tc>
          <w:tcPr>
            <w:tcW w:w="78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即插主动式溶剂预热器</w:t>
            </w:r>
          </w:p>
        </w:tc>
      </w:tr>
      <w:tr>
        <w:tblPrEx>
          <w:tblLayout w:type="fixed"/>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4.5</w:t>
            </w:r>
          </w:p>
        </w:tc>
        <w:tc>
          <w:tcPr>
            <w:tcW w:w="78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溶剂平衡：主动预加热（标配）</w:t>
            </w:r>
          </w:p>
        </w:tc>
      </w:tr>
      <w:tr>
        <w:tblPrEx>
          <w:tblLayout w:type="fixed"/>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78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纳升级离子源：需搭配现有飞行时间质谱</w:t>
            </w:r>
          </w:p>
        </w:tc>
      </w:tr>
      <w:tr>
        <w:tblPrEx>
          <w:tblLayout w:type="fixed"/>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78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配备蛋白组学分析软件</w:t>
            </w:r>
          </w:p>
        </w:tc>
      </w:tr>
      <w:tr>
        <w:tblPrEx>
          <w:tblLayout w:type="fixed"/>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四、</w:t>
            </w:r>
          </w:p>
        </w:tc>
        <w:tc>
          <w:tcPr>
            <w:tcW w:w="78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配置要求</w:t>
            </w:r>
          </w:p>
        </w:tc>
      </w:tr>
      <w:tr>
        <w:tblPrEx>
          <w:tblLayout w:type="fixed"/>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微量二元溶剂管理器          1套</w:t>
            </w:r>
          </w:p>
        </w:tc>
      </w:tr>
      <w:tr>
        <w:tblPrEx>
          <w:tblLayout w:type="fixed"/>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78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在线脱气机                  1套</w:t>
            </w:r>
          </w:p>
        </w:tc>
      </w:tr>
      <w:tr>
        <w:tblPrEx>
          <w:tblLayout w:type="fixed"/>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78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样品管理器                  1套</w:t>
            </w:r>
          </w:p>
        </w:tc>
      </w:tr>
      <w:tr>
        <w:tblPrEx>
          <w:tblLayout w:type="fixed"/>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78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柱温箱                      1套</w:t>
            </w:r>
          </w:p>
        </w:tc>
      </w:tr>
      <w:tr>
        <w:tblPrEx>
          <w:tblLayout w:type="fixed"/>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78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捕获阀管理器                1套</w:t>
            </w:r>
          </w:p>
        </w:tc>
      </w:tr>
      <w:tr>
        <w:tblPrEx>
          <w:tblLayout w:type="fixed"/>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78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色谱柱                      3根</w:t>
            </w:r>
          </w:p>
        </w:tc>
      </w:tr>
      <w:tr>
        <w:tblPrEx>
          <w:tblLayout w:type="fixed"/>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78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纳升级离子源                1套</w:t>
            </w:r>
          </w:p>
        </w:tc>
      </w:tr>
      <w:tr>
        <w:tblPrEx>
          <w:tblLayout w:type="fixed"/>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78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蛋白组学软件                1套</w:t>
            </w:r>
          </w:p>
        </w:tc>
      </w:tr>
      <w:tr>
        <w:tblPrEx>
          <w:tblLayout w:type="fixed"/>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cs="宋体"/>
                <w:kern w:val="0"/>
                <w:sz w:val="24"/>
                <w:szCs w:val="24"/>
                <w:lang w:eastAsia="zh-CN"/>
              </w:rPr>
              <w:t>五</w:t>
            </w:r>
            <w:r>
              <w:rPr>
                <w:rFonts w:hint="eastAsia" w:ascii="宋体" w:hAnsi="宋体" w:eastAsia="宋体" w:cs="宋体"/>
                <w:kern w:val="0"/>
                <w:sz w:val="24"/>
                <w:szCs w:val="24"/>
              </w:rPr>
              <w:t>、</w:t>
            </w:r>
          </w:p>
        </w:tc>
        <w:tc>
          <w:tcPr>
            <w:tcW w:w="78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其他要求</w:t>
            </w:r>
          </w:p>
        </w:tc>
      </w:tr>
      <w:tr>
        <w:tblPrEx>
          <w:tblLayout w:type="fixed"/>
          <w:tblCellMar>
            <w:top w:w="0" w:type="dxa"/>
            <w:left w:w="108" w:type="dxa"/>
            <w:bottom w:w="0" w:type="dxa"/>
            <w:right w:w="108" w:type="dxa"/>
          </w:tblCellMar>
        </w:tblPrEx>
        <w:trPr>
          <w:trHeight w:val="397"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投标商应有该区域制造商或代理商正式授权。</w:t>
            </w:r>
          </w:p>
        </w:tc>
      </w:tr>
    </w:tbl>
    <w:p>
      <w:pPr>
        <w:pStyle w:val="2"/>
        <w:keepNext w:val="0"/>
        <w:keepLines w:val="0"/>
        <w:pageBreakBefore w:val="0"/>
        <w:kinsoku/>
        <w:wordWrap/>
        <w:overflowPunct/>
        <w:topLinePunct w:val="0"/>
        <w:autoSpaceDE/>
        <w:autoSpaceDN/>
        <w:bidi w:val="0"/>
        <w:adjustRightInd/>
        <w:snapToGrid/>
        <w:spacing w:after="0" w:line="360" w:lineRule="auto"/>
        <w:ind w:left="0" w:leftChars="0" w:firstLine="0" w:firstLineChars="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color w:val="000000"/>
          <w:kern w:val="0"/>
          <w:sz w:val="24"/>
          <w:szCs w:val="24"/>
        </w:rPr>
        <w:t>荧光定量PCR仪</w:t>
      </w:r>
    </w:p>
    <w:tbl>
      <w:tblPr>
        <w:tblStyle w:val="46"/>
        <w:tblW w:w="9079" w:type="dxa"/>
        <w:jc w:val="center"/>
        <w:tblInd w:w="0" w:type="dxa"/>
        <w:tblLayout w:type="fixed"/>
        <w:tblCellMar>
          <w:top w:w="0" w:type="dxa"/>
          <w:left w:w="108" w:type="dxa"/>
          <w:bottom w:w="0" w:type="dxa"/>
          <w:right w:w="108" w:type="dxa"/>
        </w:tblCellMar>
      </w:tblPr>
      <w:tblGrid>
        <w:gridCol w:w="1253"/>
        <w:gridCol w:w="7826"/>
      </w:tblGrid>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技术要求</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一、</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主要用途</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用于DNA或RNA的绝对定量分析；基因表达差异分析；基因分型，例如SNP检测，甲基化检测等。</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二、</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技术参数及指标</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仪器机械结构设计：必须为一体化设计，而非反应模块和光学系统现场组装</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样本通量：单管、8联管、96孔板</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反应体积：0.1ml或0.2ml热循环模块可选</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激发光源：高亮度白光半导体光源（工作寿命大于5年）</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通道数：6色激发光通道和6色检测光通道，同时激发同时检测，达到21种荧光检测组合</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精确数码控温模块：具备6个或以上独立控温模块（96孔），每个模块可独立精确设定反应温度，模块之间温度可高低交错设定。</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温控模块升温速率：≥6.5°C/秒</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温度均一性：小于0.4°C</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温度精确度：小于0.25°C</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精密度：可分辨至少1.5倍拷贝数差异，置信度大于99.7%</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运行时间：小于30分钟完成96孔板40个循环反应。</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温控范围： 4°C–100°C。</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光学系统：高亮度白光半导体、6色激发光通道和6色检测光通道，达到21种荧光检测组合，CCD同步收集荧光信号，确保检测灵敏度和分别率。</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支持的荧光染料：FAM™, SYBR®, SYTO®9 (MeltDoctor™), Fluorescein, SYPRO® Orange，VIC®, JOE™, TET™, HEX™，TAMRA™, NED™, BODIPY® TMR-X，Texas Red®，LIZ™, Cy®5</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被动染料校正功能：软件必须支持Rox荧光校正去除移液误差。</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数据同时采集：所有反应孔同时采集荧光数据，不同孔之间不存在时间差</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内置触摸屏电脑：自带存储100次以上的实验数据；仪器触摸屏提供一键式的实验方案，可快速地设置多种应用。</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18</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云服务平台：可在全球任意有网络的地方登陆云服务平台获取仪器传送的实验数据。</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19</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软件支持应用</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19.1</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基于标准曲线的绝对定量</w:t>
            </w:r>
            <w:r>
              <w:rPr>
                <w:rFonts w:hint="eastAsia" w:ascii="宋体" w:hAnsi="宋体" w:eastAsia="宋体" w:cs="宋体"/>
                <w:kern w:val="0"/>
                <w:sz w:val="24"/>
                <w:szCs w:val="24"/>
                <w:lang w:val="sv-SE"/>
              </w:rPr>
              <w:t xml:space="preserve"> Standard curve (absolute quantitation)</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19.2</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相对标准曲线</w:t>
            </w:r>
            <w:r>
              <w:rPr>
                <w:rFonts w:hint="eastAsia" w:ascii="宋体" w:hAnsi="宋体" w:eastAsia="宋体" w:cs="宋体"/>
                <w:kern w:val="0"/>
                <w:sz w:val="24"/>
                <w:szCs w:val="24"/>
                <w:lang w:val="sv-SE"/>
              </w:rPr>
              <w:t xml:space="preserve"> Relative standard curve</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19.3</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基于比较</w:t>
            </w:r>
            <w:r>
              <w:rPr>
                <w:rFonts w:hint="eastAsia" w:ascii="宋体" w:hAnsi="宋体" w:eastAsia="宋体" w:cs="宋体"/>
                <w:kern w:val="0"/>
                <w:sz w:val="24"/>
                <w:szCs w:val="24"/>
                <w:lang w:val="sv-SE"/>
              </w:rPr>
              <w:t>Ct</w:t>
            </w:r>
            <w:r>
              <w:rPr>
                <w:rFonts w:hint="eastAsia" w:ascii="宋体" w:hAnsi="宋体" w:eastAsia="宋体" w:cs="宋体"/>
                <w:kern w:val="0"/>
                <w:sz w:val="24"/>
                <w:szCs w:val="24"/>
              </w:rPr>
              <w:t>值的相对定量</w:t>
            </w:r>
            <w:r>
              <w:rPr>
                <w:rFonts w:hint="eastAsia" w:ascii="宋体" w:hAnsi="宋体" w:eastAsia="宋体" w:cs="宋体"/>
                <w:kern w:val="0"/>
                <w:sz w:val="24"/>
                <w:szCs w:val="24"/>
                <w:lang w:val="sv-SE"/>
              </w:rPr>
              <w:t xml:space="preserve"> Comparative Ct (relative quantitation)</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19.4</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内置基因表达</w:t>
            </w:r>
            <w:r>
              <w:rPr>
                <w:rFonts w:hint="eastAsia" w:ascii="宋体" w:hAnsi="宋体" w:eastAsia="宋体" w:cs="宋体"/>
                <w:kern w:val="0"/>
                <w:sz w:val="24"/>
                <w:szCs w:val="24"/>
                <w:lang w:val="sv-SE"/>
              </w:rPr>
              <w:t xml:space="preserve"> (RQ) </w:t>
            </w:r>
            <w:r>
              <w:rPr>
                <w:rFonts w:hint="eastAsia" w:ascii="宋体" w:hAnsi="宋体" w:eastAsia="宋体" w:cs="宋体"/>
                <w:kern w:val="0"/>
                <w:sz w:val="24"/>
                <w:szCs w:val="24"/>
              </w:rPr>
              <w:t>相对定量分析功能</w:t>
            </w:r>
            <w:r>
              <w:rPr>
                <w:rFonts w:hint="eastAsia" w:ascii="宋体" w:hAnsi="宋体" w:eastAsia="宋体" w:cs="宋体"/>
                <w:kern w:val="0"/>
                <w:sz w:val="24"/>
                <w:szCs w:val="24"/>
                <w:lang w:val="sv-SE"/>
              </w:rPr>
              <w:t>，</w:t>
            </w:r>
            <w:r>
              <w:rPr>
                <w:rFonts w:hint="eastAsia" w:ascii="宋体" w:hAnsi="宋体" w:eastAsia="宋体" w:cs="宋体"/>
                <w:kern w:val="0"/>
                <w:sz w:val="24"/>
                <w:szCs w:val="24"/>
              </w:rPr>
              <w:t>可同时分析</w:t>
            </w:r>
            <w:r>
              <w:rPr>
                <w:rFonts w:hint="eastAsia" w:ascii="宋体" w:hAnsi="宋体" w:eastAsia="宋体" w:cs="宋体"/>
                <w:kern w:val="0"/>
                <w:sz w:val="24"/>
                <w:szCs w:val="24"/>
                <w:lang w:val="sv-SE"/>
              </w:rPr>
              <w:t>100</w:t>
            </w:r>
            <w:r>
              <w:rPr>
                <w:rFonts w:hint="eastAsia" w:ascii="宋体" w:hAnsi="宋体" w:eastAsia="宋体" w:cs="宋体"/>
                <w:kern w:val="0"/>
                <w:sz w:val="24"/>
                <w:szCs w:val="24"/>
              </w:rPr>
              <w:t>块板的实验数据</w:t>
            </w:r>
            <w:r>
              <w:rPr>
                <w:rFonts w:hint="eastAsia" w:ascii="宋体" w:hAnsi="宋体" w:eastAsia="宋体" w:cs="宋体"/>
                <w:kern w:val="0"/>
                <w:sz w:val="24"/>
                <w:szCs w:val="24"/>
                <w:lang w:val="sv-SE"/>
              </w:rPr>
              <w:t>，</w:t>
            </w:r>
            <w:r>
              <w:rPr>
                <w:rFonts w:hint="eastAsia" w:ascii="宋体" w:hAnsi="宋体" w:eastAsia="宋体" w:cs="宋体"/>
                <w:kern w:val="0"/>
                <w:sz w:val="24"/>
                <w:szCs w:val="24"/>
              </w:rPr>
              <w:t>并用热点图和散点图提供数据质量的快速检查。</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19.5</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实时监控基因分型聚类分析：在基因分型实验中，能利用实时荧光定量PCR进程监控器优化基因分型运行，以确定聚类分析的理想循环。</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19.6</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融解曲线分析 Melt curve analysis (as a standalone application)</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19.7</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基于或非基于实时扩增的基因分型 Genotyping (with or without real-time amplification)</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19.8</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基于荧光定量PCR的蛋白表达分析功能，并提供同品牌原厂试剂和专门分析软件</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19.9</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基于荧光定量PCR的Non-coding RNA和microRNA分析，并提供同品牌原厂试剂和专门分析软件</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19.10</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基于荧光定量PCR的基因拷贝数（CNV）分析，并提供同品牌原厂试剂和专门分析软件</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19.11</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基于荧光定量PCR的肿瘤稀有突变分析，可检测占背景野生型细胞0.1%的微量突变细胞或DNA，并提供同品牌原厂试剂和专门分析软件</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三、</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配置要求</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高通量荧光定量PCR仪数量1台</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品牌一体机电脑1台（处理器：Intel i5 十代以上；内存容量：16G以上；硬盘容量：256固态硬盘+1T以上；显示器：23.8寸以上）</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正版引物探针设计软件1套（永久有效）</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96孔反应模块1套</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96安装验证试剂盒1套</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cs="宋体"/>
                <w:kern w:val="0"/>
                <w:sz w:val="24"/>
                <w:szCs w:val="24"/>
                <w:lang w:eastAsia="zh-CN"/>
              </w:rPr>
              <w:t>四</w:t>
            </w:r>
            <w:r>
              <w:rPr>
                <w:rFonts w:hint="eastAsia" w:ascii="宋体" w:hAnsi="宋体" w:eastAsia="宋体" w:cs="宋体"/>
                <w:kern w:val="0"/>
                <w:sz w:val="24"/>
                <w:szCs w:val="24"/>
              </w:rPr>
              <w:t>、</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其他要求</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投标商应有该区域制造商或代理商正式授权。</w:t>
            </w:r>
          </w:p>
        </w:tc>
      </w:tr>
    </w:tbl>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3、蛋白质二维电泳系统</w:t>
      </w:r>
    </w:p>
    <w:tbl>
      <w:tblPr>
        <w:tblStyle w:val="46"/>
        <w:tblW w:w="9079" w:type="dxa"/>
        <w:jc w:val="center"/>
        <w:tblInd w:w="0" w:type="dxa"/>
        <w:tblLayout w:type="fixed"/>
        <w:tblCellMar>
          <w:top w:w="0" w:type="dxa"/>
          <w:left w:w="108" w:type="dxa"/>
          <w:bottom w:w="0" w:type="dxa"/>
          <w:right w:w="108" w:type="dxa"/>
        </w:tblCellMar>
      </w:tblPr>
      <w:tblGrid>
        <w:gridCol w:w="1253"/>
        <w:gridCol w:w="7826"/>
      </w:tblGrid>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技术要求</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一、</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主要用途</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用于蛋白质的质和量上发生特异性改变的检测。</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二、</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技术参数及指标</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第一向等电聚焦电泳仪（高通量、12泳道独立控制）</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工作电压: 12个独立控制电源，电压50-10,000 V，最高电压需达10,000V。</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在同一次实验中可同时运行12个不同的实验程序。</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在同一次实验中可同时运行12个不同的pH胶条。</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在同一次实验中可同时运行12个不同的样品。</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双层盖设计，可根据实验的需求不同选择透明盖或不透光盖。</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可根据实验pH及胶条长短不同，快速选择预设程序（80个）或自行设定。</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在同一次实验中，胶面可根据实验需求向上或向下放置，并可同时运行不同朝向的胶条</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1.8</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3个USB接口，方便实验数据输出及外接程序输入。</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★1.9</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电流范围：可对每条泳道单独设置最大电流=100µA。</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1.10</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温控范围：10-25℃，半导体制冷，精确控温。</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1.11</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聚焦槽: 需避免蛋白样品吸附，防止污染并保证实验的重复性，且不易敲碎。</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1.12</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标配触屏笔，方便使用者直观的编写设计程序，亦可使用鼠标控制。</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1.13</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用户界面</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a. 超大现代触摸屏设计，主屏幕编辑程序时，全步骤显示。</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b. 运行参数：含水合和聚焦时间，电泳槽温度，每条泳道的电流限制，电压和每步电压的跃升的方式。</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c. 电压跃升：快速，线形，慢速三种升温方式。</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d. 编程方式：80个标准程序，可存储10926种不同的程序。</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1.14</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主机系统免费升级。</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1.15</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提供i12reporter支持，可根据实验数据记录生成不同图像比较。</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1.16</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可选配广范围pH胶条（pH 3-10）和窄范围pH胶条（pH 3.9-5.1 / pH 4.7-5.9 / pH 5.5-6.7 / pH 6.3-8.3）</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1.17</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相关配件：</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a. 聚焦槽</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7 cm聚焦槽，可同时进行1-12根胶条聚焦</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11 cm聚焦槽，可同时进行1-12根胶条聚焦</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17 cm聚焦槽，可同时进行1-12根胶条聚焦</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电极分离设置，可进行杯上样。另外，有13cm、18cm、24cm聚焦盘可选。</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b. 水化/平衡盘</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7cm, 11cm, 17cm水化/平衡盘各一套，每个水化/平衡盘可进行1-12胶条的水化平衡。</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c.  触屏笔、镊子、清洗刷、矿物油等配件。</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第二向通用电泳仪电源</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★2.1</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输出电压10~500 V,电流0.01~2.5 A,最大功率≥500W</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2.2</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可恒流、恒压、恒功率</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2.3</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小巧，可叠放</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2.4</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应用于浸没式水平电泳或小型垂直凝胶电泳等</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小型垂直电泳及转印系统</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3.1</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凝胶数：1到4</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3.2</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凝胶大小(W x L) 手灌胶：8.3 x 7.3 cm; 预制胶： 8.6 x 6.8 cm</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3.3</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封边垫条永久地固定在长玻板上，保证玻板精确对齐，可以彻底防止漏胶</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★3.4</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具有专利的上样模具，防止上样时遗漏和上样量过多</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3.5</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模块化设计</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3.6</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1小时内转印2块 7.5*10 cm 凝胶；也可以进行低强度的过夜转膜</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3.7</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电极丝相距4 cm，以产生强电场保证有效的蛋白转印</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3.8</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颜色标记的转印夹和电极，确保转印过程中凝胶的正确方向</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3.9</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内置Bio-Ice冷却装置，快速吸收转移过程中产生的热量</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大型中通量垂直电泳系统</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★4.1</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凝胶大小：≥16×20 cm</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4.2</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玻板规格：内板≥20×20 cm，外板≥22.3×20 cm</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4.3</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灌胶架上带有单螺纹夹可在全长玻板上均匀施加压力，防漏密封设计，无需封脂类或琼脂糖</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4.4</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中央制冷芯可外接水循环或一个冷却再循环水浴，或灌装冷却剂作为散热器使用。</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4.5</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可选择两种长度的凝胶：16 或20 cm，配备相应的玻板、封边垫条和三明治夹（所有其他组件均要与相应的凝胶长度匹配）,配备0.75mm、1.0mm和1.5mm 的Spacer和封边垫条，能够制备不同厚度的凝胶。</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4.6</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可选择磨砂玻板（frosted glass）进行高分辨率的垂直琼脂糖核酸电泳；电泳梳转换螺纹夹(comb conversion screws)可把任何PROTEAN II xi 电泳梳从标准的25 mm孔深转变为10mm孔深,并方便的将电泳梳从易碎琼脂糖凝胶中取出</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电泳图像采集系统</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5.1</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光源：LED</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5.2</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色彩位数：16位</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5.3</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光学分辨率：≥4800x9600dpi</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5.4</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最大有效像素：≥12800dpi</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5.5</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OD值：≥3.2</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5.6</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扫描范围：21.6x29.7cm（平板）；32.9cmx24.44cm（TPU）</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图像分析软件</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★6.1</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与蛋白质组学研究平台中的图像、蛋白点切胶仪、质谱等主要工作元件紧密整合，以获取无误差的数据整合——样品跟踪、斑点切取、质谱蛋白鉴定及生物信息。</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★6.2</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多种形式的观察方式：2维，3维，多通道等</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6.3</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能自动斑点检测，自动扣除背景确定斑点准确的对凝胶中的蛋白点进行定量</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★6.4</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独特的重叠斑点分割功能, 应用高斯模型将重叠的斑点区分开来更有利于精确定量</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6.5</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建立数据库功能：分析比对结果建立数据库，拥有独特数据库管理方式。</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6.6</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对斑点进行各种形式的注释：如文字，类型等；并提供URL接口将网上文件作为注释</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6.7</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数据安全性符合美国FDA 21 CFR 11章的规章</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扫描仪参数：</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7.1</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2400dpix4800dpi光学分辨率</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7.2</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彩色6线矩阵CCD</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7.3</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白色LED光源，开机即扫无需预热</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7.4</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大尺寸透扫器*2（≥12.2*16.5英寸）</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7.5</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具备自动对焦技术</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7.6</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光密度值≥3.8OD</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7.7</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扫描面积≥310x437mm</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电脑参数</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8.1</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品牌一体机电脑1台（处理器：Intel i5 十代以上；内存容量：16G以上；硬盘容量：256固态硬盘+1T以上；显示器：23.8寸以上）</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三、</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配置要求</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等电聚焦电泳仪 1套</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小型垂直电泳系统1套</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通用电泳仪电源1台</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扫描仪1台</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分析软件1套</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样品杯1个</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品牌电脑1台</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cs="宋体"/>
                <w:kern w:val="0"/>
                <w:sz w:val="24"/>
                <w:szCs w:val="24"/>
                <w:lang w:eastAsia="zh-CN"/>
              </w:rPr>
              <w:t>四</w:t>
            </w:r>
            <w:r>
              <w:rPr>
                <w:rFonts w:hint="eastAsia" w:ascii="宋体" w:hAnsi="宋体" w:eastAsia="宋体" w:cs="宋体"/>
                <w:kern w:val="0"/>
                <w:sz w:val="24"/>
                <w:szCs w:val="24"/>
              </w:rPr>
              <w:t>、</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其他要求</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投标商应有该区域制造商或代理商正式授权。</w:t>
            </w:r>
          </w:p>
        </w:tc>
      </w:tr>
    </w:tbl>
    <w:p>
      <w:pPr>
        <w:pStyle w:val="2"/>
        <w:keepNext w:val="0"/>
        <w:keepLines w:val="0"/>
        <w:pageBreakBefore w:val="0"/>
        <w:kinsoku/>
        <w:wordWrap/>
        <w:overflowPunct/>
        <w:topLinePunct w:val="0"/>
        <w:autoSpaceDE/>
        <w:autoSpaceDN/>
        <w:bidi w:val="0"/>
        <w:adjustRightInd/>
        <w:snapToGrid/>
        <w:spacing w:after="0" w:line="360" w:lineRule="auto"/>
        <w:ind w:left="0" w:leftChars="0" w:firstLine="0" w:firstLineChars="0"/>
        <w:textAlignment w:val="auto"/>
        <w:outlineLvl w:val="9"/>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b/>
          <w:kern w:val="0"/>
          <w:sz w:val="24"/>
          <w:szCs w:val="24"/>
        </w:rPr>
      </w:pPr>
      <w:r>
        <w:rPr>
          <w:rFonts w:hint="eastAsia" w:ascii="宋体" w:hAnsi="宋体" w:eastAsia="宋体" w:cs="宋体"/>
          <w:b/>
          <w:kern w:val="0"/>
          <w:sz w:val="24"/>
          <w:szCs w:val="24"/>
        </w:rPr>
        <w:t>4 水产品交易溯源系统</w:t>
      </w:r>
    </w:p>
    <w:tbl>
      <w:tblPr>
        <w:tblStyle w:val="46"/>
        <w:tblW w:w="9079" w:type="dxa"/>
        <w:jc w:val="center"/>
        <w:tblInd w:w="0" w:type="dxa"/>
        <w:tblLayout w:type="fixed"/>
        <w:tblCellMar>
          <w:top w:w="0" w:type="dxa"/>
          <w:left w:w="108" w:type="dxa"/>
          <w:bottom w:w="0" w:type="dxa"/>
          <w:right w:w="108" w:type="dxa"/>
        </w:tblCellMar>
      </w:tblPr>
      <w:tblGrid>
        <w:gridCol w:w="1253"/>
        <w:gridCol w:w="7826"/>
      </w:tblGrid>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技术要求</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一、</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主要用途</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通过将现代信息技术、电子商务、冷链物流、产品溯源等技术进行有机集成与创新，为优质水产品定制一个专业的水产品展示、交易、溯源的平台，并在船冻红虾、船冻带鱼、养殖大黄鱼、鱼糜制品等代表性水产品上进行示范应用。平台不仅仅是一个专门从事水产品交易的电子商务平台，更是一个依托互联网，集水产品展示服务、在线交易服务、产品溯源服务、冷链运输服务于一体的复杂系统。项目的研发对提升优质水产品的品牌价值、扩大优质水产品的市场影响力，都具有重要的现实意义和社会意义。</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二、</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技术参数及指标</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产品展示交易系统</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消费者通过互联网访问平台所展示的全部产品数据，参与促销活动，进行产品购买，费用支付等操作。面向消费者主要包括前台展示，提供各种产品信息、产品溯源信息、促销信息和订单信息以及会员功能供用户使用。面向商家主要使用管理后台子系统，对商户开放能够自主维护的店铺，并对产品及其溯源信息、订单、促销等多个业务模块的统一进行管理操作。支付接口提供第三方支付平台的接入，可以选择支付宝或者微信。</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首页为进入系统的默认页面，具体包括搜索框、导航栏、产品推荐（点击展示产品详细信息）、商家列表（点击展示商家详细信息）、快捷功能面板（包括首页、订单、购物车、我的等常用功能）等。</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注册登录包括新用户的注册登记（手机注册、短信验证、实名认证）、已注册会员的登录（账号密码登录、扫码登录、微信授权登录）、会员密码找回。</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个人中心包括实名认证、个人信息修改、密码修改、绑定手机、收货地址、发票信息等。</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我的钱包包括钱包余额、优惠卷管理、钱包充值、账单查询等。</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我的订单实现对全部订单的列表展示与管理，订单状态包括待付款、待发货、配送中、待评价等不同状态，支持收货与评价功能，支持退款功能。</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我的收藏包括产品收藏与商家关注。</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购物车以产品列表形式展示和管理用户购物车中的商品，支持购物车中产品的新增、删除、更改数量、结算、失效等功能。</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1.8</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系统内置一个客户与商家之间的收发消息与留言的功能</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1.9</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前台系统设置用于对整个系统的总体参数设置包括关于我们、版本号与版本更新、联系我们、法律声明等模块。</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1.10</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商家使用自己的用户名和密码，经过验证码验证可以登录商家后台管理系统。</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1.11</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商家后台设置包括商家基础信息设置、店铺管理、产品管理、图文管理等</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1.12</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商家订单管理以列表形式展示该商家全部订单，订单状态包括待付款、待发货、配送中、待评价等不同状态，支持商家填写订单配送信息，商家可查看用户对订单的评价信息。</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1.13</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商户管理以列表形式展示全部商户，支持添加商户、编辑商户、商户审核、删除商户、查看商户账单、查看商户评价、发布商户公告等功能。</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1.14</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用户管理商户管理以列表形式展示全部用户，可以对用户进行查询、搜索、删除、冻结等操作，可以通过后台对用户进行等级设置与实名认证。</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1.15</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后台系统设置包括基础配置、会员配置、商户配置、支付管理、短信配置、权限管理、数据查询、统计报表等</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1.16</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物流快递配置包括物流快递接口、打印设置等。</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1.18</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溯源数据接口用于实现与产品溯源数据的实时接口。</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1.19</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物联平台接口用于基于中间件的智慧物联平台采集的实时物联数据的接口。</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1.20</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阿里云服务器及域名（3年）含3年云服务租用费用及域名费用。云服务器配置：CPU：2核、内存：16GB、系统盘（ESSD）：200GB、数据盘（SSD）： 500GB、每月流量：1000GB、限峰值带宽：5Mbps；域名：.com域名1个。（3年后根据实际需求进行配置和租用）</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基于区块链的水产品溯源</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根据水产品类型（如船冻、鲜活、加工制品等）选取代表性优质水产品，采集汇总渔船、水产加工厂、流通环节全链条上的相关数据，数据分为结构化数据和附件信息，支持电脑端WEB录入、手机端微信小程序录入；数据存储服务器采用云服务器；消费者可以通过平台、手机端微信小程序查询到该水产品全链条的溯源信息。</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2.1</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基础数据管理包括各流通管理节点（捕捞、加工、批发、零售等）基础信息配置、水产品分类及产品管理、企业商户基础档案及证照图片管理、货主/客户信息管理及注册审核功能与管理。</w:t>
            </w:r>
          </w:p>
        </w:tc>
      </w:tr>
      <w:tr>
        <w:tblPrEx>
          <w:tblLayout w:type="fixed"/>
          <w:tblCellMar>
            <w:top w:w="0" w:type="dxa"/>
            <w:left w:w="108" w:type="dxa"/>
            <w:bottom w:w="0" w:type="dxa"/>
            <w:right w:w="108" w:type="dxa"/>
          </w:tblCellMar>
        </w:tblPrEx>
        <w:trPr>
          <w:trHeight w:val="728"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2.2</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追溯链条合成查询支持通过追溯交易流水号查询该笔票据商品的源头追溯码及相关链条追溯信息。支持企业/商户进销等追溯数据登记上链和查询。</w:t>
            </w:r>
          </w:p>
        </w:tc>
      </w:tr>
      <w:tr>
        <w:tblPrEx>
          <w:tblLayout w:type="fixed"/>
          <w:tblCellMar>
            <w:top w:w="0" w:type="dxa"/>
            <w:left w:w="108" w:type="dxa"/>
            <w:bottom w:w="0" w:type="dxa"/>
            <w:right w:w="108" w:type="dxa"/>
          </w:tblCellMar>
        </w:tblPrEx>
        <w:trPr>
          <w:trHeight w:val="652"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2.3</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数据查询统计分析管理对各节点、各企业商户的进货（捕捞/生产）数据、进货凭证、检测报告、销售等数据查询；对各节点的综合数据大屏展示。</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2.4</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扫码追溯查询用于消费者等手机扫码查询追溯信息，包括电子/纸质交易小票扫码追溯信息查询，商品码扫码追溯信息查询，企业商户主体码扫码追溯信息查询。可查询经营主体信息、产品溯源信息及检测报告图片等。</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2.5</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企业/商户基础信息管理具备企业商户注册信息登记、供货货主信息登记、配销客户信息登记、经营商品信息登记。</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2.6</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进货登记支持进货（捕捞/生产）批次数据登记，进货凭证和检测合格报告等照片上传。</w:t>
            </w:r>
          </w:p>
        </w:tc>
      </w:tr>
      <w:tr>
        <w:tblPrEx>
          <w:tblLayout w:type="fixed"/>
          <w:tblCellMar>
            <w:top w:w="0" w:type="dxa"/>
            <w:left w:w="108" w:type="dxa"/>
            <w:bottom w:w="0" w:type="dxa"/>
            <w:right w:w="108" w:type="dxa"/>
          </w:tblCellMar>
        </w:tblPrEx>
        <w:trPr>
          <w:trHeight w:val="1218"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2.7</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配销登记可选择进货批次登记配销客户及批发零售交易数据，可生成带电子章的二维码电子追溯凭证图片。支持自动为下游注册客户生成进货批次数据及对应的二维码进货票证和检测报告图片的电子化流转。</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2.8</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进销数据统计查询具有进货数据和销售数据统计功能，具有进货记录和销售记录查询功能。</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2.9</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阿里云服务器及域名（3年）含3年云服务租用费用及域名费用。云服务器配置：：CPU：2核、内存：16GB、系统盘（ESSD）：200GB、数据盘（SSD）： 500GB、每月流量：1000GB、限峰值带宽：5Mbps。（3年后根据实际需求进行配置和租用）</w:t>
            </w:r>
          </w:p>
        </w:tc>
      </w:tr>
      <w:tr>
        <w:tblPrEx>
          <w:tblLayout w:type="fixed"/>
          <w:tblCellMar>
            <w:top w:w="0" w:type="dxa"/>
            <w:left w:w="108" w:type="dxa"/>
            <w:bottom w:w="0" w:type="dxa"/>
            <w:right w:w="108" w:type="dxa"/>
          </w:tblCellMar>
        </w:tblPrEx>
        <w:trPr>
          <w:trHeight w:val="776"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2.10</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区块链云数据服务（3年）含区块链平台及数据3年使用费。每年的年服务费包含不少于1万条结构化数据上链费用；提供哈希上链 API接口。（3年后根据实际需求进行配置和租用）</w:t>
            </w:r>
          </w:p>
        </w:tc>
      </w:tr>
      <w:tr>
        <w:tblPrEx>
          <w:tblLayout w:type="fixed"/>
          <w:tblCellMar>
            <w:top w:w="0" w:type="dxa"/>
            <w:left w:w="108" w:type="dxa"/>
            <w:bottom w:w="0" w:type="dxa"/>
            <w:right w:w="108" w:type="dxa"/>
          </w:tblCellMar>
        </w:tblPrEx>
        <w:trPr>
          <w:trHeight w:val="1892"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基于中间件的智慧物联平台</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 xml:space="preserve">    融入物联网、智能化和互联网技术，在物联网上通过中间件平台接入射频、感知、控制终端设备，通过网络将自动采集数据汇集，依据加载的通用业务服务接口把数据传输到平台。基于中间件的智慧物联平台主要功能完成对已有温湿度、摄像头、冷链等设备数据的自动采集和存储服务。采集方式根据仪器设备数据接口的不同模式定制开发。</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3.1</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即插即用：只需将各类仪器设备的接口驱动程序和SDK在该平台软件安装注册，即可通过有线/无线联网实现与平台数据对接。</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3.2</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平台总体结构分为设备驱动层、调度管理层、业务服务层三层，由调度管理层完成设备的打开、连接、数据采集及回写控制；完成采集后的数据提交业务服务层处理上传上层应用系统完成数据自动采集。</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3.3</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设备驱动层支持各类数据通讯终端如PDF解析终端、工作站终端和各种公布通讯接口实验室设备（如：光谱仪、色谱仪、电子天平等），支持以太网、WIFI、GPRS、RS232、RS485、3G、Zigbee等有线/无线网络无缝接入，实现上层应用与底层设备的透明交互传输。</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3.4</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业务应用服务管理：实现各类业务逻辑应用服务程序（包括HTTP、WebServers、Dll及配置文件等）安装导入及注册设置等管理。支持采集数据给多个业务服务程序。</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3.5</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设备管理及监控：可实现联入设备的注册及状态监控。</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3.6</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服务调度：实现所有终端设备及业务服务的自助调度。</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3.7</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性能监控：实现所有终端设备及业务服务的任务处理能力（包括请求数量、完成数量、效率及内存使用情况等）。</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3.8</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支持模拟设备数据交互测试界面和日志管理。</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平台示范应用</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4.1</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根据水产品类型（如船冻、鲜活、加工制品等）选取船冻红虾、船冻带鱼、养殖大黄鱼、鱼糜制品等代表性水产品进行示范应用。</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4.2</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平台示范应用的水产品不少于10种。</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三、</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 xml:space="preserve">配置清单 </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溯源软件系统1套</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98寸触摸显示屏</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品牌一体机电脑1台（处理器：Intel i5 十代以上；内存容量：16G以上；硬盘容量：256固态硬盘+1T以上；显示器：23.8寸以上）</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cs="宋体"/>
                <w:kern w:val="0"/>
                <w:sz w:val="24"/>
                <w:szCs w:val="24"/>
                <w:lang w:eastAsia="zh-CN"/>
              </w:rPr>
              <w:t>四</w:t>
            </w:r>
            <w:r>
              <w:rPr>
                <w:rFonts w:hint="eastAsia" w:ascii="宋体" w:hAnsi="宋体" w:eastAsia="宋体" w:cs="宋体"/>
                <w:kern w:val="0"/>
                <w:sz w:val="24"/>
                <w:szCs w:val="24"/>
              </w:rPr>
              <w:t>、</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其他要求</w:t>
            </w:r>
          </w:p>
        </w:tc>
      </w:tr>
      <w:tr>
        <w:tblPrEx>
          <w:tblLayout w:type="fixed"/>
          <w:tblCellMar>
            <w:top w:w="0" w:type="dxa"/>
            <w:left w:w="108" w:type="dxa"/>
            <w:bottom w:w="0" w:type="dxa"/>
            <w:right w:w="108" w:type="dxa"/>
          </w:tblCellMar>
        </w:tblPrEx>
        <w:trPr>
          <w:trHeight w:val="397"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82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要求应标的研发团队必须具备检测管理系统或实验室管理系统的相关开发经验，具有中大型检测机构或实验室的成熟用户。</w:t>
            </w:r>
          </w:p>
        </w:tc>
      </w:tr>
    </w:tbl>
    <w:p>
      <w:pPr>
        <w:rPr>
          <w:rFonts w:hint="eastAsia"/>
          <w:lang w:eastAsia="zh-CN"/>
        </w:rPr>
      </w:pPr>
      <w:r>
        <w:rPr>
          <w:rFonts w:hint="eastAsia"/>
          <w:lang w:eastAsia="zh-CN"/>
        </w:rPr>
        <w:br w:type="page"/>
      </w:r>
    </w:p>
    <w:p>
      <w:pPr>
        <w:pStyle w:val="4"/>
        <w:bidi w:val="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第三章 投标人须知</w:t>
      </w:r>
      <w:bookmarkEnd w:id="39"/>
      <w:bookmarkEnd w:id="40"/>
    </w:p>
    <w:p>
      <w:pPr>
        <w:pStyle w:val="5"/>
        <w:bidi w:val="0"/>
        <w:ind w:left="0" w:leftChars="0" w:right="0" w:rightChars="0" w:firstLine="0" w:firstLineChars="0"/>
        <w:jc w:val="center"/>
        <w:rPr>
          <w:rFonts w:hint="eastAsia" w:ascii="宋体" w:hAnsi="宋体" w:eastAsia="宋体" w:cs="宋体"/>
          <w:color w:val="auto"/>
          <w:highlight w:val="none"/>
        </w:rPr>
      </w:pPr>
      <w:bookmarkStart w:id="42" w:name="_Toc2290"/>
      <w:bookmarkStart w:id="43" w:name="_Toc452457413"/>
      <w:bookmarkStart w:id="44" w:name="_Toc21699"/>
      <w:bookmarkStart w:id="45" w:name="_Toc8778"/>
      <w:bookmarkStart w:id="46" w:name="_Toc12845"/>
      <w:r>
        <w:rPr>
          <w:rFonts w:hint="eastAsia" w:ascii="宋体" w:hAnsi="宋体" w:eastAsia="宋体" w:cs="宋体"/>
          <w:color w:val="auto"/>
          <w:highlight w:val="none"/>
        </w:rPr>
        <w:t>前 附 表</w:t>
      </w:r>
      <w:bookmarkEnd w:id="42"/>
      <w:bookmarkEnd w:id="43"/>
      <w:bookmarkEnd w:id="44"/>
      <w:bookmarkEnd w:id="45"/>
      <w:bookmarkEnd w:id="46"/>
    </w:p>
    <w:p>
      <w:pPr>
        <w:pStyle w:val="12"/>
        <w:ind w:left="0" w:leftChars="0" w:firstLine="0" w:firstLineChars="0"/>
        <w:rPr>
          <w:rFonts w:hint="eastAsia" w:ascii="宋体" w:hAnsi="宋体" w:eastAsia="宋体" w:cs="宋体"/>
          <w:color w:val="auto"/>
          <w:highlight w:val="none"/>
        </w:rPr>
      </w:pPr>
    </w:p>
    <w:tbl>
      <w:tblPr>
        <w:tblStyle w:val="46"/>
        <w:tblW w:w="9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944"/>
        <w:gridCol w:w="6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9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事项</w:t>
            </w:r>
          </w:p>
        </w:tc>
        <w:tc>
          <w:tcPr>
            <w:tcW w:w="66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ind w:left="0" w:leftChars="0" w:right="0" w:rightChars="0" w:firstLine="213" w:firstLineChars="89"/>
              <w:jc w:val="center"/>
              <w:textAlignment w:val="auto"/>
              <w:rPr>
                <w:rFonts w:hint="eastAsia" w:ascii="宋体" w:hAnsi="宋体" w:eastAsia="宋体" w:cs="宋体"/>
                <w:color w:val="auto"/>
                <w:highlight w:val="none"/>
              </w:rPr>
            </w:pPr>
          </w:p>
        </w:tc>
        <w:tc>
          <w:tcPr>
            <w:tcW w:w="19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项目概况</w:t>
            </w:r>
          </w:p>
        </w:tc>
        <w:tc>
          <w:tcPr>
            <w:tcW w:w="66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采购人：</w:t>
            </w:r>
            <w:r>
              <w:rPr>
                <w:rFonts w:hint="eastAsia" w:cs="宋体"/>
                <w:color w:val="auto"/>
                <w:highlight w:val="none"/>
                <w:lang w:val="en-US" w:eastAsia="zh-CN"/>
              </w:rPr>
              <w:t>浙江海洋大学</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项目名称：</w:t>
            </w:r>
            <w:r>
              <w:rPr>
                <w:rFonts w:hint="eastAsia" w:cs="宋体"/>
                <w:color w:val="auto"/>
                <w:highlight w:val="none"/>
                <w:lang w:val="en-US" w:eastAsia="zh-CN"/>
              </w:rPr>
              <w:t>浙江海洋大学海洋食品质量安全溯源与区块链技术科研平台设备采购项目</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招标编号：</w:t>
            </w:r>
            <w:r>
              <w:rPr>
                <w:rFonts w:hint="eastAsia" w:cs="宋体"/>
                <w:color w:val="auto"/>
                <w:highlight w:val="none"/>
                <w:lang w:val="en-US" w:eastAsia="zh-CN"/>
              </w:rPr>
              <w:t>ZJWS-20210140HY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ind w:left="0" w:leftChars="0" w:right="0" w:rightChars="0" w:firstLine="213" w:firstLineChars="89"/>
              <w:jc w:val="center"/>
              <w:textAlignment w:val="auto"/>
              <w:rPr>
                <w:rFonts w:hint="eastAsia" w:ascii="宋体" w:hAnsi="宋体" w:eastAsia="宋体" w:cs="宋体"/>
                <w:color w:val="auto"/>
                <w:highlight w:val="none"/>
              </w:rPr>
            </w:pPr>
          </w:p>
        </w:tc>
        <w:tc>
          <w:tcPr>
            <w:tcW w:w="19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采购方式及评标办法</w:t>
            </w:r>
          </w:p>
        </w:tc>
        <w:tc>
          <w:tcPr>
            <w:tcW w:w="66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经批准或确认的本次采购方式：公开招标</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ind w:left="0" w:leftChars="0" w:right="0" w:rightChars="0" w:firstLine="213" w:firstLineChars="89"/>
              <w:jc w:val="center"/>
              <w:textAlignment w:val="auto"/>
              <w:rPr>
                <w:rFonts w:hint="eastAsia" w:ascii="宋体" w:hAnsi="宋体" w:eastAsia="宋体" w:cs="宋体"/>
                <w:color w:val="auto"/>
                <w:highlight w:val="none"/>
              </w:rPr>
            </w:pPr>
          </w:p>
        </w:tc>
        <w:tc>
          <w:tcPr>
            <w:tcW w:w="1944" w:type="dxa"/>
            <w:vAlign w:val="center"/>
          </w:tcPr>
          <w:p>
            <w:pPr>
              <w:keepNext w:val="0"/>
              <w:keepLines w:val="0"/>
              <w:pageBreakBefore w:val="0"/>
              <w:widowControl w:val="0"/>
              <w:kinsoku/>
              <w:wordWrap/>
              <w:overflowPunct/>
              <w:topLinePunct w:val="0"/>
              <w:bidi w:val="0"/>
              <w:spacing w:line="240" w:lineRule="auto"/>
              <w:ind w:firstLine="0" w:firstLine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投标文件</w:t>
            </w:r>
            <w:r>
              <w:rPr>
                <w:rFonts w:hint="eastAsia" w:ascii="宋体" w:hAnsi="宋体" w:eastAsia="宋体" w:cs="宋体"/>
                <w:b w:val="0"/>
                <w:bCs w:val="0"/>
                <w:color w:val="auto"/>
                <w:sz w:val="24"/>
                <w:szCs w:val="24"/>
                <w:highlight w:val="none"/>
                <w:lang w:val="en-US" w:eastAsia="zh-CN"/>
              </w:rPr>
              <w:t>编制</w:t>
            </w:r>
          </w:p>
        </w:tc>
        <w:tc>
          <w:tcPr>
            <w:tcW w:w="66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资格证明文件和报价文件、商务技术文件</w:t>
            </w:r>
            <w:r>
              <w:rPr>
                <w:rFonts w:hint="eastAsia" w:ascii="宋体" w:hAnsi="宋体" w:eastAsia="宋体" w:cs="宋体"/>
                <w:color w:val="auto"/>
                <w:highlight w:val="none"/>
                <w:lang w:val="en-US" w:eastAsia="zh-CN"/>
              </w:rPr>
              <w:t>分别</w:t>
            </w:r>
            <w:r>
              <w:rPr>
                <w:rFonts w:hint="eastAsia" w:ascii="宋体" w:hAnsi="宋体" w:eastAsia="宋体" w:cs="宋体"/>
                <w:color w:val="auto"/>
                <w:highlight w:val="none"/>
              </w:rPr>
              <w:t>单独装订成册</w:t>
            </w:r>
            <w:r>
              <w:rPr>
                <w:rFonts w:hint="eastAsia" w:ascii="宋体" w:hAnsi="宋体" w:eastAsia="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ind w:left="0" w:leftChars="0" w:right="0" w:rightChars="0" w:firstLine="213" w:firstLineChars="89"/>
              <w:jc w:val="center"/>
              <w:textAlignment w:val="auto"/>
              <w:rPr>
                <w:rFonts w:hint="eastAsia" w:ascii="宋体" w:hAnsi="宋体" w:eastAsia="宋体" w:cs="宋体"/>
                <w:color w:val="auto"/>
                <w:highlight w:val="none"/>
              </w:rPr>
            </w:pPr>
          </w:p>
        </w:tc>
        <w:tc>
          <w:tcPr>
            <w:tcW w:w="1944" w:type="dxa"/>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投标文件份数</w:t>
            </w:r>
          </w:p>
        </w:tc>
        <w:tc>
          <w:tcPr>
            <w:tcW w:w="66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纸质版：正本一份，副本四份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ind w:left="0" w:leftChars="0" w:right="0" w:rightChars="0" w:firstLine="213" w:firstLineChars="89"/>
              <w:jc w:val="center"/>
              <w:textAlignment w:val="auto"/>
              <w:rPr>
                <w:rFonts w:hint="eastAsia" w:ascii="宋体" w:hAnsi="宋体" w:eastAsia="宋体" w:cs="宋体"/>
                <w:color w:val="auto"/>
                <w:highlight w:val="none"/>
              </w:rPr>
            </w:pPr>
          </w:p>
        </w:tc>
        <w:tc>
          <w:tcPr>
            <w:tcW w:w="19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▲投标有效期</w:t>
            </w:r>
          </w:p>
        </w:tc>
        <w:tc>
          <w:tcPr>
            <w:tcW w:w="66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从提交投标文件的截止之日起90天。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ind w:left="0" w:leftChars="0" w:right="0" w:rightChars="0" w:firstLine="213" w:firstLineChars="89"/>
              <w:jc w:val="center"/>
              <w:textAlignment w:val="auto"/>
              <w:rPr>
                <w:rFonts w:hint="eastAsia" w:ascii="宋体" w:hAnsi="宋体" w:eastAsia="宋体" w:cs="宋体"/>
                <w:color w:val="auto"/>
                <w:highlight w:val="none"/>
              </w:rPr>
            </w:pPr>
          </w:p>
        </w:tc>
        <w:tc>
          <w:tcPr>
            <w:tcW w:w="19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现场踏勘</w:t>
            </w:r>
            <w:r>
              <w:rPr>
                <w:rFonts w:hint="eastAsia" w:ascii="宋体" w:hAnsi="宋体" w:eastAsia="宋体" w:cs="宋体"/>
                <w:color w:val="auto"/>
                <w:highlight w:val="none"/>
                <w:lang w:val="en-US" w:eastAsia="zh-CN"/>
              </w:rPr>
              <w:t>/样品/演示</w:t>
            </w:r>
          </w:p>
        </w:tc>
        <w:tc>
          <w:tcPr>
            <w:tcW w:w="66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lang w:val="en-US"/>
              </w:rPr>
            </w:pPr>
            <w:r>
              <w:rPr>
                <w:rFonts w:hint="eastAsia" w:ascii="宋体" w:hAnsi="宋体" w:eastAsia="宋体" w:cs="宋体"/>
                <w:color w:val="auto"/>
                <w:highlight w:val="none"/>
              </w:rPr>
              <w:t xml:space="preserve">现场踏勘：□ </w:t>
            </w:r>
            <w:r>
              <w:rPr>
                <w:rFonts w:hint="eastAsia" w:ascii="宋体" w:hAnsi="宋体" w:eastAsia="宋体" w:cs="宋体"/>
                <w:color w:val="auto"/>
                <w:highlight w:val="none"/>
                <w:lang w:val="en-US" w:eastAsia="zh-CN"/>
              </w:rPr>
              <w:t>组织；</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不组织</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样品：</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提供；</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不提供</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演示：</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提供；</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ind w:left="0" w:leftChars="0" w:right="0" w:rightChars="0" w:firstLine="213" w:firstLineChars="89"/>
              <w:jc w:val="center"/>
              <w:textAlignment w:val="auto"/>
              <w:rPr>
                <w:rFonts w:hint="eastAsia" w:ascii="宋体" w:hAnsi="宋体" w:eastAsia="宋体" w:cs="宋体"/>
                <w:color w:val="auto"/>
                <w:highlight w:val="none"/>
              </w:rPr>
            </w:pPr>
          </w:p>
        </w:tc>
        <w:tc>
          <w:tcPr>
            <w:tcW w:w="19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信息公告及评标结果公告媒体</w:t>
            </w:r>
          </w:p>
        </w:tc>
        <w:tc>
          <w:tcPr>
            <w:tcW w:w="66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sz w:val="24"/>
                <w:szCs w:val="24"/>
              </w:rPr>
              <w:t>浙江政府采购网（http://zfcg.czt.zj.gov.cn）、浙江五石工程咨询有限公司官网：（http://zjwsbidding.com/）上发布。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946" w:type="dxa"/>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ind w:left="0" w:leftChars="0" w:right="0" w:rightChars="0" w:firstLine="213" w:firstLineChars="89"/>
              <w:jc w:val="center"/>
              <w:textAlignment w:val="auto"/>
              <w:rPr>
                <w:rFonts w:hint="eastAsia" w:ascii="宋体" w:hAnsi="宋体" w:eastAsia="宋体" w:cs="宋体"/>
                <w:color w:val="auto"/>
                <w:highlight w:val="none"/>
              </w:rPr>
            </w:pPr>
          </w:p>
        </w:tc>
        <w:tc>
          <w:tcPr>
            <w:tcW w:w="19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报价要求</w:t>
            </w:r>
          </w:p>
        </w:tc>
        <w:tc>
          <w:tcPr>
            <w:tcW w:w="66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rPr>
            </w:pPr>
            <w:r>
              <w:rPr>
                <w:rFonts w:hint="eastAsia"/>
              </w:rPr>
              <w:t>1.</w:t>
            </w:r>
            <w:r>
              <w:rPr>
                <w:rFonts w:hint="eastAsia"/>
                <w:lang w:eastAsia="zh-CN"/>
              </w:rPr>
              <w:t>总价，人民币</w:t>
            </w:r>
            <w:r>
              <w:rPr>
                <w:rFonts w:hint="eastAsia"/>
              </w:rPr>
              <w:t>报价；</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lang w:val="en-US" w:eastAsia="zh-CN"/>
              </w:rPr>
            </w:pPr>
            <w:r>
              <w:rPr>
                <w:rFonts w:hint="eastAsia"/>
              </w:rPr>
              <w:t>2.报价内容：本项目为交钥匙价，报价应包含按要求完成本项目的所有费用，包含但不仅限于项目实施所需的软件、硬件、附件、备品备件等费用，以及本项目在实施过程中涉及的专用工具、安装、调试、检验、培训、技术服务、运杂、保险费、税金、验收检定、首次第三方计量/验收的费用供应商认为需要的所有费用。中标价格一经确定，除采购单位要求的追加或变动项目外，不再另行支付任何费用。采购文件未列明，而投标人认为必需的费用也需列入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ind w:left="0" w:leftChars="0" w:right="0" w:rightChars="0" w:firstLine="213" w:firstLineChars="89"/>
              <w:jc w:val="center"/>
              <w:textAlignment w:val="auto"/>
              <w:rPr>
                <w:rFonts w:hint="eastAsia" w:ascii="宋体" w:hAnsi="宋体" w:eastAsia="宋体" w:cs="宋体"/>
                <w:color w:val="auto"/>
                <w:highlight w:val="none"/>
              </w:rPr>
            </w:pPr>
          </w:p>
        </w:tc>
        <w:tc>
          <w:tcPr>
            <w:tcW w:w="1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合同签订</w:t>
            </w:r>
          </w:p>
        </w:tc>
        <w:tc>
          <w:tcPr>
            <w:tcW w:w="66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中标通知书发出后30日内，中标供应商持中标通知书与采购人签订合同</w:t>
            </w:r>
            <w:r>
              <w:rPr>
                <w:rFonts w:hint="eastAsia"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ind w:left="0" w:leftChars="0" w:right="0" w:rightChars="0" w:firstLine="213" w:firstLineChars="89"/>
              <w:jc w:val="center"/>
              <w:textAlignment w:val="auto"/>
              <w:rPr>
                <w:rFonts w:hint="eastAsia" w:ascii="宋体" w:hAnsi="宋体" w:eastAsia="宋体" w:cs="宋体"/>
                <w:color w:val="auto"/>
                <w:highlight w:val="none"/>
              </w:rPr>
            </w:pPr>
          </w:p>
        </w:tc>
        <w:tc>
          <w:tcPr>
            <w:tcW w:w="19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采购机构代理费用</w:t>
            </w:r>
          </w:p>
        </w:tc>
        <w:tc>
          <w:tcPr>
            <w:tcW w:w="66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1.参照国家发改委发改办价格[2003]857号通知和原国家计[2002]1980号文件规定的招标费率标准，按照成交通知书确定的金额</w:t>
            </w:r>
            <w:r>
              <w:rPr>
                <w:rFonts w:hint="eastAsia" w:cs="宋体"/>
                <w:color w:val="auto"/>
                <w:highlight w:val="none"/>
                <w:lang w:val="en-US" w:eastAsia="zh-CN"/>
              </w:rPr>
              <w:t>0.5%</w:t>
            </w:r>
            <w:r>
              <w:rPr>
                <w:rFonts w:hint="eastAsia" w:ascii="宋体" w:hAnsi="宋体" w:eastAsia="宋体" w:cs="宋体"/>
                <w:color w:val="auto"/>
                <w:highlight w:val="none"/>
              </w:rPr>
              <w:t>，向</w:t>
            </w:r>
            <w:r>
              <w:rPr>
                <w:rFonts w:hint="eastAsia" w:ascii="宋体" w:hAnsi="宋体" w:eastAsia="宋体" w:cs="宋体"/>
                <w:color w:val="auto"/>
                <w:highlight w:val="none"/>
                <w:lang w:eastAsia="zh-CN"/>
              </w:rPr>
              <w:t>中</w:t>
            </w:r>
            <w:r>
              <w:rPr>
                <w:rFonts w:hint="eastAsia" w:ascii="宋体" w:hAnsi="宋体" w:eastAsia="宋体" w:cs="宋体"/>
                <w:color w:val="auto"/>
                <w:highlight w:val="none"/>
              </w:rPr>
              <w:t>标人收取招标代理服务费。服务费须包含在总报价中，并以人民币方式支付。</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2.中标人在领取中标通知书后应向招标代理机构交纳招标代理服务费。</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3.招标代理服务费以现金或电汇方式支付。</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户名：浙江五石工程咨询有限公司宁波分公司</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开户银行：中国建设银行宁波市段塘支行</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账号：33101984336050506455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ind w:left="0" w:leftChars="0" w:right="0" w:rightChars="0" w:firstLine="213" w:firstLineChars="89"/>
              <w:jc w:val="center"/>
              <w:textAlignment w:val="auto"/>
              <w:rPr>
                <w:rFonts w:hint="eastAsia" w:ascii="宋体" w:hAnsi="宋体" w:eastAsia="宋体" w:cs="宋体"/>
                <w:color w:val="auto"/>
                <w:highlight w:val="none"/>
              </w:rPr>
            </w:pPr>
          </w:p>
        </w:tc>
        <w:tc>
          <w:tcPr>
            <w:tcW w:w="19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中标后注意事项</w:t>
            </w:r>
          </w:p>
        </w:tc>
        <w:tc>
          <w:tcPr>
            <w:tcW w:w="66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1.若中标人未在约定时间内支付招标代理服务费，从逾期之日起按日利率千分之一承担违约金。</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2.若中标人未按上述规定办理，需承担招标代理机构为实现债权的所有费用（包括但不限于律师费、催讨车旅费、保全担保费等）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ind w:left="0" w:leftChars="0" w:right="0" w:rightChars="0" w:firstLine="213" w:firstLineChars="89"/>
              <w:jc w:val="center"/>
              <w:textAlignment w:val="auto"/>
              <w:rPr>
                <w:rFonts w:hint="eastAsia" w:ascii="宋体" w:hAnsi="宋体" w:eastAsia="宋体" w:cs="宋体"/>
                <w:color w:val="auto"/>
                <w:highlight w:val="none"/>
              </w:rPr>
            </w:pPr>
          </w:p>
        </w:tc>
        <w:tc>
          <w:tcPr>
            <w:tcW w:w="1944"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rPr>
              <w:t>投标保证金</w:t>
            </w:r>
          </w:p>
        </w:tc>
        <w:tc>
          <w:tcPr>
            <w:tcW w:w="66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ind w:left="0" w:leftChars="0" w:right="0" w:rightChars="0" w:firstLine="213" w:firstLineChars="89"/>
              <w:jc w:val="center"/>
              <w:textAlignment w:val="auto"/>
              <w:rPr>
                <w:rFonts w:hint="eastAsia" w:ascii="宋体" w:hAnsi="宋体" w:eastAsia="宋体" w:cs="宋体"/>
                <w:color w:val="auto"/>
                <w:highlight w:val="none"/>
              </w:rPr>
            </w:pPr>
          </w:p>
        </w:tc>
        <w:tc>
          <w:tcPr>
            <w:tcW w:w="19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其他说明</w:t>
            </w:r>
          </w:p>
        </w:tc>
        <w:tc>
          <w:tcPr>
            <w:tcW w:w="66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带“</w:t>
            </w:r>
            <w:r>
              <w:rPr>
                <w:rFonts w:hint="eastAsia" w:ascii="宋体" w:hAnsi="宋体" w:eastAsia="宋体" w:cs="宋体"/>
                <w:color w:val="auto"/>
                <w:highlight w:val="none"/>
              </w:rPr>
              <w:t>▲”的条款是实质性条款，投标文件须作出实质性响应，否则作无效投标处理。</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中标后，供应商拒绝签订合同的，</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可以按照评审报告推荐的中标候选人名单排序，确定下一候选人为中标供应商，也可以重新开展政府采购活动。</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存在下列行为的，招标代理机构将其失信行为上报政府采购主管部门，由主管部门按有关规定对其违法失信行为记录进行公开：</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（1）中标或者成交后，拒绝签订政府采购合同的；</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（2）投标有效期内撤销投标文件的。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ind w:left="0" w:leftChars="0" w:right="0" w:rightChars="0" w:firstLine="213" w:firstLineChars="89"/>
              <w:jc w:val="center"/>
              <w:textAlignment w:val="auto"/>
              <w:rPr>
                <w:rFonts w:hint="eastAsia" w:ascii="宋体" w:hAnsi="宋体" w:eastAsia="宋体" w:cs="宋体"/>
                <w:color w:val="auto"/>
                <w:highlight w:val="none"/>
              </w:rPr>
            </w:pPr>
          </w:p>
        </w:tc>
        <w:tc>
          <w:tcPr>
            <w:tcW w:w="19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质疑与投诉：</w:t>
            </w:r>
          </w:p>
        </w:tc>
        <w:tc>
          <w:tcPr>
            <w:tcW w:w="66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质疑：根据《政府采购法》第五十二条的规定，投标人认为招标文件、采购过程和中标、成交结果使自己的权益受到损害的，可以在知道或者应知其权益受到损害之日起七个工作日内，以书面形式向采购人、招标代理机构提出质疑（格式详见附件）。联系人：毛先生0574-87208097</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质疑起算日期：1、对采购公告信息（含投标人资格条件）提出质疑的，质疑期限自采购公告发布之日起计算。2、对招标文件提出质疑的，质疑期限自投标人获得招标文件之日起计算。（发售截止日之后报名的供应商，质疑起算日期以发售截止日起计算）3、对招标过程提出质疑的，为各招标程序环节结束之日。否则，被质疑人可不予接受。4、对采购结果提出质疑的，质疑期限自采购结果公告（包括公示、预公告、结果变更公告等）之日起计算。</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投诉：根据《政府采购法》第五十五条的规定，质疑投标人对采购人、招标代理机构的答复不满意或者采购人、招标代理机构未在规定的时间内作出答复的，可以在答复期满后十五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keepNext w:val="0"/>
              <w:keepLines w:val="0"/>
              <w:pageBreakBefore w:val="0"/>
              <w:widowControl w:val="0"/>
              <w:numPr>
                <w:ilvl w:val="0"/>
                <w:numId w:val="5"/>
              </w:numPr>
              <w:kinsoku/>
              <w:wordWrap/>
              <w:overflowPunct/>
              <w:topLinePunct w:val="0"/>
              <w:autoSpaceDE/>
              <w:autoSpaceDN/>
              <w:bidi w:val="0"/>
              <w:adjustRightInd w:val="0"/>
              <w:snapToGrid w:val="0"/>
              <w:spacing w:line="240" w:lineRule="auto"/>
              <w:ind w:left="0" w:leftChars="0" w:right="0" w:rightChars="0" w:firstLine="213" w:firstLineChars="89"/>
              <w:jc w:val="center"/>
              <w:textAlignment w:val="auto"/>
              <w:rPr>
                <w:rFonts w:hint="eastAsia" w:ascii="宋体" w:hAnsi="宋体" w:eastAsia="宋体" w:cs="宋体"/>
                <w:color w:val="auto"/>
                <w:highlight w:val="none"/>
              </w:rPr>
            </w:pPr>
          </w:p>
        </w:tc>
        <w:tc>
          <w:tcPr>
            <w:tcW w:w="19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落实的政策</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lang w:val="en-US" w:eastAsia="zh-CN"/>
              </w:rPr>
            </w:pPr>
          </w:p>
        </w:tc>
        <w:tc>
          <w:tcPr>
            <w:tcW w:w="66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政府采购促进中小企业发展管理办法》（财库〔2020〕46号）、《政府采购促进中小企业发展暂行办法》（财库[2011]181号）、《关于政府采购支持监狱企业发展有关问题的通知》(财库[2014]68号)、《关于环境标志产品政府采购实施的意见》（财库〔2006〕90号、《节能产品政府采购实施意见》的通知（财库〔2004〕185号）。</w:t>
            </w:r>
          </w:p>
        </w:tc>
      </w:tr>
    </w:tbl>
    <w:p>
      <w:pPr>
        <w:pStyle w:val="5"/>
        <w:bidi w:val="0"/>
        <w:ind w:left="0" w:leftChars="0" w:right="0" w:rightChars="0" w:firstLine="0" w:firstLineChars="0"/>
        <w:jc w:val="center"/>
        <w:rPr>
          <w:rFonts w:hint="eastAsia" w:ascii="宋体" w:hAnsi="宋体" w:eastAsia="宋体" w:cs="宋体"/>
          <w:color w:val="auto"/>
          <w:highlight w:val="none"/>
        </w:rPr>
        <w:sectPr>
          <w:footerReference r:id="rId13" w:type="default"/>
          <w:pgSz w:w="11906" w:h="16838"/>
          <w:pgMar w:top="1440" w:right="1080" w:bottom="1440" w:left="1080" w:header="850" w:footer="992" w:gutter="0"/>
          <w:pgBorders>
            <w:top w:val="none" w:color="auto" w:sz="0" w:space="0"/>
            <w:left w:val="none" w:color="auto" w:sz="0" w:space="0"/>
            <w:bottom w:val="none" w:color="auto" w:sz="0" w:space="0"/>
            <w:right w:val="none" w:color="auto" w:sz="0" w:space="0"/>
          </w:pgBorders>
          <w:cols w:space="720" w:num="1"/>
          <w:docGrid w:linePitch="381" w:charSpace="0"/>
        </w:sectPr>
      </w:pPr>
      <w:bookmarkStart w:id="47" w:name="_Toc6777"/>
      <w:bookmarkStart w:id="48" w:name="_Toc22147"/>
      <w:bookmarkStart w:id="49" w:name="_Toc2440"/>
      <w:bookmarkStart w:id="50" w:name="_Toc246996919"/>
      <w:bookmarkStart w:id="51" w:name="_Toc247085690"/>
      <w:bookmarkStart w:id="52" w:name="_Toc144974498"/>
      <w:bookmarkStart w:id="53" w:name="_Toc246996176"/>
      <w:bookmarkStart w:id="54" w:name="_Toc296602421"/>
      <w:bookmarkStart w:id="55" w:name="_Toc152045530"/>
      <w:bookmarkStart w:id="56" w:name="_Toc179632547"/>
      <w:bookmarkStart w:id="57" w:name="_Toc152042306"/>
    </w:p>
    <w:p>
      <w:pPr>
        <w:pStyle w:val="5"/>
        <w:bidi w:val="0"/>
        <w:ind w:left="0" w:leftChars="0" w:right="0" w:rightChars="0" w:firstLine="0" w:firstLineChars="0"/>
        <w:jc w:val="center"/>
        <w:rPr>
          <w:rFonts w:hint="eastAsia" w:ascii="宋体" w:hAnsi="宋体" w:eastAsia="宋体" w:cs="宋体"/>
          <w:color w:val="auto"/>
          <w:highlight w:val="none"/>
        </w:rPr>
      </w:pPr>
      <w:bookmarkStart w:id="58" w:name="_Toc14541"/>
      <w:r>
        <w:rPr>
          <w:rFonts w:hint="eastAsia" w:ascii="宋体" w:hAnsi="宋体" w:eastAsia="宋体" w:cs="宋体"/>
          <w:color w:val="auto"/>
          <w:highlight w:val="none"/>
        </w:rPr>
        <w:t>第一节 总 则</w:t>
      </w:r>
      <w:bookmarkEnd w:id="47"/>
      <w:bookmarkEnd w:id="48"/>
      <w:bookmarkEnd w:id="49"/>
      <w:bookmarkEnd w:id="58"/>
    </w:p>
    <w:p>
      <w:pPr>
        <w:pStyle w:val="6"/>
        <w:bidi w:val="0"/>
        <w:rPr>
          <w:rFonts w:hint="eastAsia" w:ascii="宋体" w:hAnsi="宋体" w:eastAsia="宋体" w:cs="宋体"/>
          <w:color w:val="auto"/>
          <w:highlight w:val="none"/>
        </w:rPr>
      </w:pPr>
      <w:bookmarkStart w:id="59" w:name="_Toc29454"/>
      <w:r>
        <w:rPr>
          <w:rFonts w:hint="eastAsia" w:ascii="宋体" w:hAnsi="宋体" w:eastAsia="宋体" w:cs="宋体"/>
          <w:color w:val="auto"/>
          <w:highlight w:val="none"/>
        </w:rPr>
        <w:t>一、适用范围</w:t>
      </w:r>
      <w:bookmarkEnd w:id="59"/>
    </w:p>
    <w:p>
      <w:pPr>
        <w:bidi w:val="0"/>
        <w:rPr>
          <w:rFonts w:hint="eastAsia" w:ascii="宋体" w:hAnsi="宋体" w:eastAsia="宋体" w:cs="宋体"/>
          <w:color w:val="auto"/>
          <w:highlight w:val="none"/>
        </w:rPr>
      </w:pPr>
      <w:r>
        <w:rPr>
          <w:rFonts w:hint="eastAsia" w:ascii="宋体" w:hAnsi="宋体" w:eastAsia="宋体" w:cs="宋体"/>
          <w:color w:val="auto"/>
          <w:highlight w:val="none"/>
        </w:rPr>
        <w:t>本招标文件适用于该项目的招标、投标、开标、资格审查及信用信息查询、评标、定标、合同、验收等行为（法律、法规另有规定的，从其规定）。</w:t>
      </w:r>
    </w:p>
    <w:p>
      <w:pPr>
        <w:pStyle w:val="6"/>
        <w:bidi w:val="0"/>
        <w:rPr>
          <w:rFonts w:hint="eastAsia" w:ascii="宋体" w:hAnsi="宋体" w:eastAsia="宋体" w:cs="宋体"/>
          <w:color w:val="auto"/>
          <w:highlight w:val="none"/>
        </w:rPr>
      </w:pPr>
      <w:bookmarkStart w:id="60" w:name="_Toc1362"/>
      <w:r>
        <w:rPr>
          <w:rFonts w:hint="eastAsia" w:ascii="宋体" w:hAnsi="宋体" w:eastAsia="宋体" w:cs="宋体"/>
          <w:color w:val="auto"/>
          <w:highlight w:val="none"/>
        </w:rPr>
        <w:t>二、定义</w:t>
      </w:r>
      <w:bookmarkEnd w:id="60"/>
    </w:p>
    <w:p>
      <w:pPr>
        <w:bidi w:val="0"/>
        <w:rPr>
          <w:rFonts w:hint="eastAsia" w:ascii="宋体" w:hAnsi="宋体" w:eastAsia="宋体" w:cs="宋体"/>
          <w:color w:val="auto"/>
          <w:highlight w:val="none"/>
        </w:rPr>
      </w:pPr>
      <w:r>
        <w:rPr>
          <w:rFonts w:hint="eastAsia" w:ascii="宋体" w:hAnsi="宋体" w:eastAsia="宋体" w:cs="宋体"/>
          <w:color w:val="auto"/>
          <w:highlight w:val="none"/>
        </w:rPr>
        <w:t>（一）“采购人”系指</w:t>
      </w:r>
      <w:r>
        <w:rPr>
          <w:rFonts w:hint="eastAsia" w:cs="宋体"/>
          <w:color w:val="auto"/>
          <w:highlight w:val="none"/>
          <w:lang w:eastAsia="zh-CN"/>
        </w:rPr>
        <w:t>浙江海洋大学</w:t>
      </w:r>
      <w:r>
        <w:rPr>
          <w:rFonts w:hint="eastAsia" w:ascii="宋体" w:hAnsi="宋体" w:eastAsia="宋体" w:cs="宋体"/>
          <w:color w:val="auto"/>
          <w:highlight w:val="none"/>
        </w:rPr>
        <w:t>。</w:t>
      </w:r>
    </w:p>
    <w:p>
      <w:pPr>
        <w:bidi w:val="0"/>
        <w:rPr>
          <w:rFonts w:hint="eastAsia" w:ascii="宋体" w:hAnsi="宋体" w:eastAsia="宋体" w:cs="宋体"/>
          <w:color w:val="auto"/>
          <w:highlight w:val="none"/>
        </w:rPr>
      </w:pPr>
      <w:r>
        <w:rPr>
          <w:rFonts w:hint="eastAsia" w:ascii="宋体" w:hAnsi="宋体" w:eastAsia="宋体" w:cs="宋体"/>
          <w:color w:val="auto"/>
          <w:highlight w:val="none"/>
        </w:rPr>
        <w:t>（二）“采购代理机构”系组织本次招标的浙江五石工程咨询有限公司。</w:t>
      </w:r>
    </w:p>
    <w:p>
      <w:pPr>
        <w:bidi w:val="0"/>
        <w:rPr>
          <w:rFonts w:hint="eastAsia" w:ascii="宋体" w:hAnsi="宋体" w:eastAsia="宋体" w:cs="宋体"/>
          <w:color w:val="auto"/>
          <w:highlight w:val="none"/>
        </w:rPr>
      </w:pPr>
      <w:r>
        <w:rPr>
          <w:rFonts w:hint="eastAsia" w:ascii="宋体" w:hAnsi="宋体" w:eastAsia="宋体" w:cs="宋体"/>
          <w:color w:val="auto"/>
          <w:highlight w:val="none"/>
        </w:rPr>
        <w:t>（三）“投标人”和“投标方”系指参加本次招标活动符合资格条件的供应商。</w:t>
      </w:r>
    </w:p>
    <w:p>
      <w:pPr>
        <w:bidi w:val="0"/>
        <w:rPr>
          <w:rFonts w:hint="eastAsia" w:ascii="宋体" w:hAnsi="宋体" w:eastAsia="宋体" w:cs="宋体"/>
          <w:color w:val="auto"/>
          <w:highlight w:val="none"/>
        </w:rPr>
      </w:pPr>
      <w:r>
        <w:rPr>
          <w:rFonts w:hint="eastAsia" w:ascii="宋体" w:hAnsi="宋体" w:eastAsia="宋体" w:cs="宋体"/>
          <w:color w:val="auto"/>
          <w:highlight w:val="none"/>
        </w:rPr>
        <w:t>（四）“全权代表”系指参加本次招标活动的授权代表。</w:t>
      </w:r>
    </w:p>
    <w:p>
      <w:pPr>
        <w:bidi w:val="0"/>
        <w:rPr>
          <w:rFonts w:hint="eastAsia" w:ascii="宋体" w:hAnsi="宋体" w:eastAsia="宋体" w:cs="宋体"/>
          <w:color w:val="auto"/>
          <w:highlight w:val="none"/>
        </w:rPr>
      </w:pPr>
      <w:r>
        <w:rPr>
          <w:rFonts w:hint="eastAsia" w:ascii="宋体" w:hAnsi="宋体" w:eastAsia="宋体" w:cs="宋体"/>
          <w:color w:val="auto"/>
          <w:highlight w:val="none"/>
        </w:rPr>
        <w:t>（五）“▲”系指实质性要求条款，投标人应做出实质性响应；“★”系指重要条款。</w:t>
      </w:r>
    </w:p>
    <w:p>
      <w:pPr>
        <w:bidi w:val="0"/>
        <w:rPr>
          <w:rFonts w:hint="eastAsia" w:ascii="宋体" w:hAnsi="宋体" w:eastAsia="宋体" w:cs="宋体"/>
          <w:color w:val="auto"/>
          <w:highlight w:val="none"/>
        </w:rPr>
      </w:pPr>
      <w:r>
        <w:rPr>
          <w:rFonts w:hint="eastAsia" w:ascii="宋体" w:hAnsi="宋体" w:eastAsia="宋体" w:cs="宋体"/>
          <w:color w:val="auto"/>
          <w:highlight w:val="none"/>
        </w:rPr>
        <w:t>（六）联合体：</w:t>
      </w:r>
    </w:p>
    <w:p>
      <w:pPr>
        <w:bidi w:val="0"/>
        <w:rPr>
          <w:rFonts w:hint="eastAsia" w:ascii="宋体" w:hAnsi="宋体" w:eastAsia="宋体" w:cs="宋体"/>
          <w:color w:val="auto"/>
          <w:highlight w:val="none"/>
        </w:rPr>
      </w:pPr>
      <w:r>
        <w:rPr>
          <w:rFonts w:hint="eastAsia" w:ascii="宋体" w:hAnsi="宋体" w:eastAsia="宋体" w:cs="宋体"/>
          <w:color w:val="auto"/>
          <w:highlight w:val="none"/>
        </w:rPr>
        <w:t>联合体投标的，应遵守以下规定：</w:t>
      </w:r>
    </w:p>
    <w:p>
      <w:pPr>
        <w:numPr>
          <w:ilvl w:val="0"/>
          <w:numId w:val="6"/>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两个以上供应商可以组成一个联合体，以一个供应商的身份共同参加政府采购；</w:t>
      </w:r>
    </w:p>
    <w:p>
      <w:pPr>
        <w:numPr>
          <w:ilvl w:val="0"/>
          <w:numId w:val="6"/>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组成联合体参加本项目的，须在购买招标文件时做出相关声明，否则不予接受。</w:t>
      </w:r>
    </w:p>
    <w:p>
      <w:pPr>
        <w:numPr>
          <w:ilvl w:val="0"/>
          <w:numId w:val="6"/>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以联合体形式参加本项目的，联合体的各成员均应当具备《中华人民共和国政府采购法》第二十二条规定的条件；联合体各方中至少应当有一方符合采购人规定的特定条件，联合体中有同类资质的供应商按照联合体分工承担相同工作的，按照资质等级较低的供应商确定资质等级；</w:t>
      </w:r>
    </w:p>
    <w:p>
      <w:pPr>
        <w:numPr>
          <w:ilvl w:val="0"/>
          <w:numId w:val="6"/>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联合体各方之间应当签订联合协议，明确约定联合体各方承担的工作和相应的责任，在联合协议中指定本项目主办人，并将联合协议作为投标文件组成的一部分；本项目的主体、关键性工作须由主办人完成，并在联合协议中进行说明；</w:t>
      </w:r>
    </w:p>
    <w:p>
      <w:pPr>
        <w:numPr>
          <w:ilvl w:val="0"/>
          <w:numId w:val="6"/>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联合体各方签订联合协议后，不得再以自己名义单独在同一项目中参加投标，也不得组成新的联合体参加同一项目投标；</w:t>
      </w:r>
    </w:p>
    <w:p>
      <w:pPr>
        <w:numPr>
          <w:ilvl w:val="0"/>
          <w:numId w:val="6"/>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联合体各方应当共同与采购人签订采购合同，就采购合同约定的事项对采购人承担连带责任；</w:t>
      </w:r>
    </w:p>
    <w:p>
      <w:pPr>
        <w:numPr>
          <w:ilvl w:val="0"/>
          <w:numId w:val="6"/>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投标文件须由主办人盖章及其代表签署。</w:t>
      </w:r>
    </w:p>
    <w:p>
      <w:pPr>
        <w:numPr>
          <w:ilvl w:val="0"/>
          <w:numId w:val="6"/>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联合体投标，投标文件中供应商名称应注明“成员单位名称1和成员单位名称2的联合体”。</w:t>
      </w:r>
    </w:p>
    <w:p>
      <w:pPr>
        <w:pStyle w:val="6"/>
        <w:bidi w:val="0"/>
        <w:rPr>
          <w:rFonts w:hint="eastAsia" w:ascii="宋体" w:hAnsi="宋体" w:eastAsia="宋体" w:cs="宋体"/>
          <w:color w:val="auto"/>
          <w:highlight w:val="none"/>
        </w:rPr>
      </w:pPr>
      <w:bookmarkStart w:id="61" w:name="_Toc18732"/>
      <w:r>
        <w:rPr>
          <w:rFonts w:hint="eastAsia" w:ascii="宋体" w:hAnsi="宋体" w:eastAsia="宋体" w:cs="宋体"/>
          <w:color w:val="auto"/>
          <w:highlight w:val="none"/>
        </w:rPr>
        <w:t>三、合格的投标人</w:t>
      </w:r>
      <w:bookmarkEnd w:id="61"/>
    </w:p>
    <w:p>
      <w:pPr>
        <w:bidi w:val="0"/>
        <w:rPr>
          <w:rFonts w:hint="eastAsia" w:ascii="宋体" w:hAnsi="宋体" w:eastAsia="宋体" w:cs="宋体"/>
          <w:color w:val="auto"/>
          <w:highlight w:val="none"/>
        </w:rPr>
      </w:pPr>
      <w:r>
        <w:rPr>
          <w:rFonts w:hint="eastAsia" w:ascii="宋体" w:hAnsi="宋体" w:eastAsia="宋体" w:cs="宋体"/>
          <w:color w:val="auto"/>
          <w:highlight w:val="none"/>
        </w:rPr>
        <w:t>详见招标公告“投标人资格要求”。</w:t>
      </w:r>
    </w:p>
    <w:p>
      <w:pPr>
        <w:pStyle w:val="6"/>
        <w:bidi w:val="0"/>
        <w:rPr>
          <w:rFonts w:hint="eastAsia" w:ascii="宋体" w:hAnsi="宋体" w:eastAsia="宋体" w:cs="宋体"/>
          <w:color w:val="auto"/>
          <w:highlight w:val="none"/>
        </w:rPr>
      </w:pPr>
      <w:bookmarkStart w:id="62" w:name="_Toc24994"/>
      <w:r>
        <w:rPr>
          <w:rFonts w:hint="eastAsia" w:ascii="宋体" w:hAnsi="宋体" w:eastAsia="宋体" w:cs="宋体"/>
          <w:color w:val="auto"/>
          <w:highlight w:val="none"/>
        </w:rPr>
        <w:t>四、投标费用</w:t>
      </w:r>
      <w:bookmarkEnd w:id="62"/>
    </w:p>
    <w:p>
      <w:pPr>
        <w:bidi w:val="0"/>
        <w:rPr>
          <w:rFonts w:hint="eastAsia" w:ascii="宋体" w:hAnsi="宋体" w:eastAsia="宋体" w:cs="宋体"/>
          <w:color w:val="auto"/>
          <w:highlight w:val="none"/>
        </w:rPr>
      </w:pPr>
      <w:r>
        <w:rPr>
          <w:rFonts w:hint="eastAsia" w:ascii="宋体" w:hAnsi="宋体" w:eastAsia="宋体" w:cs="宋体"/>
          <w:color w:val="auto"/>
          <w:highlight w:val="none"/>
        </w:rPr>
        <w:t>无论投标结果如何，投标人自行承担所有与参加投标有关的全部费用。</w:t>
      </w:r>
    </w:p>
    <w:p>
      <w:pPr>
        <w:pStyle w:val="6"/>
        <w:bidi w:val="0"/>
        <w:rPr>
          <w:rFonts w:hint="eastAsia" w:ascii="宋体" w:hAnsi="宋体" w:eastAsia="宋体" w:cs="宋体"/>
          <w:color w:val="auto"/>
          <w:highlight w:val="none"/>
          <w:lang w:val="en-US" w:eastAsia="zh-CN"/>
        </w:rPr>
      </w:pPr>
      <w:bookmarkStart w:id="63" w:name="_Toc12389"/>
      <w:r>
        <w:rPr>
          <w:rFonts w:hint="eastAsia" w:ascii="宋体" w:hAnsi="宋体" w:eastAsia="宋体" w:cs="宋体"/>
          <w:color w:val="auto"/>
          <w:highlight w:val="none"/>
        </w:rPr>
        <w:t>五、</w:t>
      </w:r>
      <w:bookmarkEnd w:id="63"/>
      <w:r>
        <w:rPr>
          <w:rFonts w:hint="eastAsia" w:ascii="宋体" w:hAnsi="宋体" w:eastAsia="宋体" w:cs="宋体"/>
          <w:color w:val="auto"/>
          <w:highlight w:val="none"/>
          <w:lang w:val="en-US" w:eastAsia="zh-CN"/>
        </w:rPr>
        <w:t>分包与转包</w:t>
      </w:r>
    </w:p>
    <w:p>
      <w:pPr>
        <w:numPr>
          <w:ilvl w:val="0"/>
          <w:numId w:val="7"/>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本项目不允许转包</w:t>
      </w:r>
      <w:r>
        <w:rPr>
          <w:rFonts w:hint="eastAsia" w:ascii="宋体" w:hAnsi="宋体" w:eastAsia="宋体" w:cs="宋体"/>
          <w:color w:val="auto"/>
          <w:highlight w:val="none"/>
          <w:lang w:eastAsia="zh-CN"/>
        </w:rPr>
        <w:t>、分包</w:t>
      </w:r>
      <w:r>
        <w:rPr>
          <w:rFonts w:hint="eastAsia" w:ascii="宋体" w:hAnsi="宋体" w:eastAsia="宋体" w:cs="宋体"/>
          <w:color w:val="auto"/>
          <w:highlight w:val="none"/>
        </w:rPr>
        <w:t>；</w:t>
      </w:r>
    </w:p>
    <w:p>
      <w:pPr>
        <w:pStyle w:val="6"/>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六</w:t>
      </w:r>
      <w:r>
        <w:rPr>
          <w:rFonts w:hint="eastAsia" w:ascii="宋体" w:hAnsi="宋体" w:eastAsia="宋体" w:cs="宋体"/>
          <w:color w:val="auto"/>
          <w:highlight w:val="none"/>
        </w:rPr>
        <w:t>、采购项目需要落实的政府采购政策</w:t>
      </w:r>
    </w:p>
    <w:p>
      <w:pPr>
        <w:bidi w:val="0"/>
        <w:rPr>
          <w:rFonts w:hint="eastAsia" w:ascii="宋体" w:hAnsi="宋体" w:eastAsia="宋体" w:cs="宋体"/>
          <w:color w:val="auto"/>
          <w:highlight w:val="none"/>
        </w:rPr>
      </w:pPr>
      <w:r>
        <w:rPr>
          <w:rFonts w:hint="eastAsia" w:ascii="宋体" w:hAnsi="宋体" w:eastAsia="宋体" w:cs="宋体"/>
          <w:color w:val="auto"/>
          <w:highlight w:val="none"/>
        </w:rPr>
        <w:t>（一）本项目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bidi w:val="0"/>
        <w:rPr>
          <w:rFonts w:hint="eastAsia" w:ascii="宋体" w:hAnsi="宋体" w:eastAsia="宋体" w:cs="宋体"/>
          <w:color w:val="auto"/>
          <w:highlight w:val="none"/>
        </w:rPr>
      </w:pPr>
      <w:r>
        <w:rPr>
          <w:rFonts w:hint="eastAsia" w:ascii="宋体" w:hAnsi="宋体" w:eastAsia="宋体" w:cs="宋体"/>
          <w:color w:val="auto"/>
          <w:highlight w:val="none"/>
        </w:rPr>
        <w:t>（二）小型、微型企业价格扣除。</w:t>
      </w:r>
    </w:p>
    <w:p>
      <w:pPr>
        <w:numPr>
          <w:ilvl w:val="0"/>
          <w:numId w:val="7"/>
        </w:numPr>
        <w:ind w:left="0" w:leftChars="0"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本次采购为非专门面向中小企业预留采购份额的采购项目。</w:t>
      </w:r>
    </w:p>
    <w:p>
      <w:pPr>
        <w:numPr>
          <w:ilvl w:val="0"/>
          <w:numId w:val="7"/>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numPr>
          <w:ilvl w:val="0"/>
          <w:numId w:val="7"/>
        </w:numPr>
        <w:ind w:left="0" w:leftChars="0" w:firstLine="48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本次采购标的为</w:t>
      </w:r>
      <w:r>
        <w:rPr>
          <w:rFonts w:hint="eastAsia" w:ascii="宋体" w:hAnsi="宋体" w:eastAsia="宋体" w:cs="宋体"/>
          <w:color w:val="auto"/>
          <w:kern w:val="0"/>
          <w:highlight w:val="none"/>
          <w:lang w:val="en-US" w:eastAsia="zh-CN"/>
        </w:rPr>
        <w:t>货物</w:t>
      </w:r>
      <w:r>
        <w:rPr>
          <w:rFonts w:hint="eastAsia" w:ascii="宋体" w:hAnsi="宋体" w:eastAsia="宋体" w:cs="宋体"/>
          <w:color w:val="auto"/>
          <w:kern w:val="0"/>
          <w:highlight w:val="none"/>
        </w:rPr>
        <w:t>，对应的中小企业划分标准所属行业是：</w:t>
      </w:r>
      <w:r>
        <w:rPr>
          <w:rFonts w:hint="eastAsia" w:ascii="宋体" w:hAnsi="宋体" w:eastAsia="宋体" w:cs="宋体"/>
          <w:color w:val="auto"/>
          <w:kern w:val="0"/>
          <w:highlight w:val="none"/>
          <w:u w:val="single"/>
          <w:lang w:val="en-US" w:eastAsia="zh-CN"/>
        </w:rPr>
        <w:t>工业</w:t>
      </w:r>
    </w:p>
    <w:p>
      <w:pPr>
        <w:numPr>
          <w:ilvl w:val="0"/>
          <w:numId w:val="7"/>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以联合体形式参加政府采购活动，联合体各方均为小微企业的，联合体视同小微企业。</w:t>
      </w:r>
      <w:r>
        <w:rPr>
          <w:rFonts w:hint="eastAsia" w:ascii="宋体" w:hAnsi="宋体" w:eastAsia="宋体" w:cs="宋体"/>
          <w:b/>
          <w:bCs/>
          <w:color w:val="auto"/>
          <w:highlight w:val="none"/>
        </w:rPr>
        <w:t>（本项目不适用）</w:t>
      </w:r>
    </w:p>
    <w:p>
      <w:pPr>
        <w:numPr>
          <w:ilvl w:val="0"/>
          <w:numId w:val="7"/>
        </w:numPr>
        <w:ind w:left="0" w:leftChars="0" w:firstLine="480" w:firstLineChars="200"/>
        <w:rPr>
          <w:rFonts w:hint="eastAsia" w:ascii="宋体" w:hAnsi="宋体" w:eastAsia="宋体" w:cs="宋体"/>
          <w:color w:val="auto"/>
          <w:kern w:val="0"/>
          <w:highlight w:val="none"/>
        </w:rPr>
      </w:pPr>
      <w:r>
        <w:rPr>
          <w:rFonts w:hint="eastAsia" w:ascii="宋体" w:hAnsi="宋体" w:eastAsia="宋体" w:cs="宋体"/>
          <w:color w:val="auto"/>
          <w:highlight w:val="none"/>
        </w:rPr>
        <w:t>参加</w:t>
      </w:r>
      <w:r>
        <w:rPr>
          <w:rFonts w:hint="eastAsia" w:ascii="宋体" w:hAnsi="宋体" w:eastAsia="宋体" w:cs="宋体"/>
          <w:color w:val="auto"/>
          <w:kern w:val="0"/>
          <w:highlight w:val="none"/>
        </w:rPr>
        <w:t>本次采购活动的供应商</w:t>
      </w:r>
      <w:r>
        <w:rPr>
          <w:rFonts w:hint="eastAsia" w:ascii="宋体" w:hAnsi="宋体" w:eastAsia="宋体" w:cs="宋体"/>
          <w:b/>
          <w:color w:val="auto"/>
          <w:kern w:val="0"/>
          <w:highlight w:val="none"/>
          <w:u w:val="single"/>
        </w:rPr>
        <w:t>提供的</w:t>
      </w:r>
      <w:r>
        <w:rPr>
          <w:rFonts w:hint="eastAsia" w:ascii="宋体" w:hAnsi="宋体" w:eastAsia="宋体" w:cs="宋体"/>
          <w:b/>
          <w:color w:val="auto"/>
          <w:kern w:val="0"/>
          <w:highlight w:val="none"/>
          <w:u w:val="single"/>
          <w:lang w:val="en-US" w:eastAsia="zh-CN"/>
        </w:rPr>
        <w:t>货物</w:t>
      </w:r>
      <w:r>
        <w:rPr>
          <w:rFonts w:hint="eastAsia" w:ascii="宋体" w:hAnsi="宋体" w:eastAsia="宋体" w:cs="宋体"/>
          <w:b/>
          <w:color w:val="auto"/>
          <w:kern w:val="0"/>
          <w:highlight w:val="none"/>
          <w:u w:val="single"/>
        </w:rPr>
        <w:t>全部由小微企业</w:t>
      </w:r>
      <w:r>
        <w:rPr>
          <w:rFonts w:hint="eastAsia" w:ascii="宋体" w:hAnsi="宋体" w:eastAsia="宋体" w:cs="宋体"/>
          <w:b/>
          <w:color w:val="auto"/>
          <w:kern w:val="0"/>
          <w:highlight w:val="none"/>
          <w:u w:val="single"/>
          <w:lang w:val="en-US" w:eastAsia="zh-CN"/>
        </w:rPr>
        <w:t>生产制造</w:t>
      </w:r>
      <w:r>
        <w:rPr>
          <w:rFonts w:hint="eastAsia" w:ascii="宋体" w:hAnsi="宋体" w:eastAsia="宋体" w:cs="宋体"/>
          <w:color w:val="auto"/>
          <w:kern w:val="0"/>
          <w:highlight w:val="none"/>
        </w:rPr>
        <w:t>的，其报价给予</w:t>
      </w:r>
      <w:r>
        <w:rPr>
          <w:rFonts w:hint="eastAsia" w:ascii="宋体" w:hAnsi="宋体" w:eastAsia="宋体" w:cs="宋体"/>
          <w:b/>
          <w:color w:val="auto"/>
          <w:kern w:val="0"/>
          <w:highlight w:val="none"/>
          <w:u w:val="single"/>
        </w:rPr>
        <w:t>6%</w:t>
      </w:r>
      <w:r>
        <w:rPr>
          <w:rFonts w:hint="eastAsia" w:ascii="宋体" w:hAnsi="宋体" w:eastAsia="宋体" w:cs="宋体"/>
          <w:color w:val="auto"/>
          <w:kern w:val="0"/>
          <w:highlight w:val="none"/>
        </w:rPr>
        <w:t>的扣除，用扣除后的价格参加评审。</w:t>
      </w:r>
    </w:p>
    <w:p>
      <w:pPr>
        <w:numPr>
          <w:ilvl w:val="0"/>
          <w:numId w:val="7"/>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符合小微企业划分标准的个体工商户，视同小微企业。</w:t>
      </w:r>
    </w:p>
    <w:p>
      <w:pPr>
        <w:numPr>
          <w:ilvl w:val="0"/>
          <w:numId w:val="7"/>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本项目不接受大中型企业与小微企业组成联合体。</w:t>
      </w:r>
    </w:p>
    <w:p>
      <w:pPr>
        <w:numPr>
          <w:ilvl w:val="0"/>
          <w:numId w:val="7"/>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本项目不允许大中型企业向一家或者多家小微企业分包。</w:t>
      </w:r>
    </w:p>
    <w:p>
      <w:pPr>
        <w:numPr>
          <w:ilvl w:val="0"/>
          <w:numId w:val="7"/>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小微企业参加政府采购活动，应当出具《中小企业声明函》，否则其报价不予扣除。</w:t>
      </w:r>
    </w:p>
    <w:p>
      <w:pPr>
        <w:numPr>
          <w:ilvl w:val="0"/>
          <w:numId w:val="7"/>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监狱企业和残疾人福利性单位视同小型、微型企业，按《财政部司法部关于政府采购支持监狱企业发展有关问题的通知》(财库〔2014〕68号)、《财政部民政部中国残疾人联合会关于促进残疾人就业政府采购政策的通知》（财库〔2017〕141号）的规定执行。</w:t>
      </w:r>
    </w:p>
    <w:p>
      <w:pPr>
        <w:numPr>
          <w:ilvl w:val="0"/>
          <w:numId w:val="8"/>
        </w:num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节能环保要求</w:t>
      </w:r>
    </w:p>
    <w:p>
      <w:pPr>
        <w:numPr>
          <w:ilvl w:val="0"/>
          <w:numId w:val="9"/>
        </w:numPr>
        <w:ind w:left="0" w:leftChars="0" w:firstLine="403"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numPr>
          <w:ilvl w:val="0"/>
          <w:numId w:val="9"/>
        </w:numPr>
        <w:ind w:left="0" w:leftChars="0" w:firstLine="403" w:firstLineChars="0"/>
        <w:rPr>
          <w:rFonts w:hint="eastAsia" w:ascii="宋体" w:hAnsi="宋体" w:eastAsia="宋体" w:cs="宋体"/>
        </w:rPr>
      </w:pPr>
      <w:r>
        <w:rPr>
          <w:rFonts w:hint="eastAsia" w:ascii="宋体" w:hAnsi="宋体" w:eastAsia="宋体" w:cs="宋体"/>
          <w:color w:val="auto"/>
          <w:highlight w:val="none"/>
        </w:rPr>
        <w:t>▲</w:t>
      </w:r>
      <w:r>
        <w:rPr>
          <w:rFonts w:hint="eastAsia" w:ascii="宋体" w:hAnsi="宋体" w:eastAsia="宋体" w:cs="宋体"/>
          <w:b/>
          <w:bCs/>
          <w:color w:val="auto"/>
          <w:highlight w:val="none"/>
        </w:rPr>
        <w:t>采购人拟采购的产品属于政府强制采购的节能产品品目清单范围的，投标人未按招标文件要求提供国家确定的认证机构出具的、处于有效期之内的节能产品认证证书，投标无效。</w:t>
      </w:r>
    </w:p>
    <w:p>
      <w:pPr>
        <w:pStyle w:val="6"/>
        <w:bidi w:val="0"/>
        <w:rPr>
          <w:rFonts w:hint="eastAsia" w:ascii="宋体" w:hAnsi="宋体" w:eastAsia="宋体" w:cs="宋体"/>
          <w:color w:val="auto"/>
          <w:highlight w:val="none"/>
        </w:rPr>
      </w:pPr>
      <w:bookmarkStart w:id="64" w:name="_Toc28441"/>
      <w:r>
        <w:rPr>
          <w:rFonts w:hint="eastAsia" w:ascii="宋体" w:hAnsi="宋体" w:eastAsia="宋体" w:cs="宋体"/>
          <w:color w:val="auto"/>
          <w:highlight w:val="none"/>
          <w:lang w:eastAsia="zh-CN"/>
        </w:rPr>
        <w:t>七</w:t>
      </w:r>
      <w:r>
        <w:rPr>
          <w:rFonts w:hint="eastAsia" w:ascii="宋体" w:hAnsi="宋体" w:eastAsia="宋体" w:cs="宋体"/>
          <w:color w:val="auto"/>
          <w:highlight w:val="none"/>
        </w:rPr>
        <w:t>、询问、质疑、投诉</w:t>
      </w:r>
      <w:bookmarkEnd w:id="64"/>
    </w:p>
    <w:p>
      <w:pPr>
        <w:bidi w:val="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一</w:t>
      </w:r>
      <w:r>
        <w:rPr>
          <w:rFonts w:hint="eastAsia" w:ascii="宋体" w:hAnsi="宋体" w:eastAsia="宋体" w:cs="宋体"/>
          <w:color w:val="auto"/>
          <w:highlight w:val="none"/>
          <w:lang w:val="zh-CN"/>
        </w:rPr>
        <w:t>）供应商询问</w:t>
      </w:r>
    </w:p>
    <w:p>
      <w:pPr>
        <w:bidi w:val="0"/>
        <w:rPr>
          <w:rFonts w:hint="eastAsia" w:ascii="宋体" w:hAnsi="宋体" w:eastAsia="宋体" w:cs="宋体"/>
          <w:color w:val="auto"/>
          <w:highlight w:val="none"/>
        </w:rPr>
      </w:pPr>
      <w:r>
        <w:rPr>
          <w:rFonts w:hint="eastAsia" w:ascii="宋体" w:hAnsi="宋体" w:eastAsia="宋体" w:cs="宋体"/>
          <w:color w:val="auto"/>
          <w:highlight w:val="none"/>
        </w:rPr>
        <w:t>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bidi w:val="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二</w:t>
      </w:r>
      <w:r>
        <w:rPr>
          <w:rFonts w:hint="eastAsia" w:ascii="宋体" w:hAnsi="宋体" w:eastAsia="宋体" w:cs="宋体"/>
          <w:color w:val="auto"/>
          <w:highlight w:val="none"/>
          <w:lang w:val="zh-CN"/>
        </w:rPr>
        <w:t>）供应商质疑</w:t>
      </w:r>
    </w:p>
    <w:p>
      <w:pPr>
        <w:numPr>
          <w:ilvl w:val="0"/>
          <w:numId w:val="1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提出质疑的供应商应当是参与所质疑项目采购活动的供应商。潜在供应商已依法获取其可质疑的采购文件的，可以对该文件提出质疑。</w:t>
      </w:r>
    </w:p>
    <w:p>
      <w:pPr>
        <w:numPr>
          <w:ilvl w:val="0"/>
          <w:numId w:val="1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认为招标文件、采购过程和成交结果使自己的权益受到损害的，可以在知道或者应知其权益受到损害之日起七个工作日内，以书面形式（法定质疑期内）一次性向采购人、采购代理机构提出同一采购环节的质疑，否则，采购人或者采购代理机构不予受理。</w:t>
      </w:r>
    </w:p>
    <w:p>
      <w:pPr>
        <w:numPr>
          <w:ilvl w:val="0"/>
          <w:numId w:val="1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供应商提出质疑应当提交质疑函和必要的证明材料。质疑函应当包括下列内容：</w:t>
      </w:r>
    </w:p>
    <w:p>
      <w:pPr>
        <w:numPr>
          <w:ilvl w:val="0"/>
          <w:numId w:val="11"/>
        </w:numPr>
        <w:tabs>
          <w:tab w:val="left" w:pos="420"/>
        </w:tabs>
        <w:ind w:left="845" w:leftChars="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供应商的姓名或者名称、地址、邮编、联系人及联系电话；</w:t>
      </w:r>
    </w:p>
    <w:p>
      <w:pPr>
        <w:numPr>
          <w:ilvl w:val="0"/>
          <w:numId w:val="11"/>
        </w:numPr>
        <w:tabs>
          <w:tab w:val="left" w:pos="420"/>
        </w:tabs>
        <w:ind w:left="845" w:leftChars="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质疑项目的名称、编号；</w:t>
      </w:r>
    </w:p>
    <w:p>
      <w:pPr>
        <w:numPr>
          <w:ilvl w:val="0"/>
          <w:numId w:val="11"/>
        </w:numPr>
        <w:tabs>
          <w:tab w:val="left" w:pos="420"/>
        </w:tabs>
        <w:ind w:left="845" w:leftChars="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具体、明确的质疑事项和与质疑事项相关的请求；</w:t>
      </w:r>
    </w:p>
    <w:p>
      <w:pPr>
        <w:numPr>
          <w:ilvl w:val="0"/>
          <w:numId w:val="11"/>
        </w:numPr>
        <w:tabs>
          <w:tab w:val="left" w:pos="420"/>
        </w:tabs>
        <w:ind w:left="845" w:leftChars="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事实依据；</w:t>
      </w:r>
    </w:p>
    <w:p>
      <w:pPr>
        <w:numPr>
          <w:ilvl w:val="0"/>
          <w:numId w:val="11"/>
        </w:numPr>
        <w:tabs>
          <w:tab w:val="left" w:pos="420"/>
        </w:tabs>
        <w:ind w:left="845" w:leftChars="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必要的法律依据；</w:t>
      </w:r>
    </w:p>
    <w:p>
      <w:pPr>
        <w:numPr>
          <w:ilvl w:val="0"/>
          <w:numId w:val="11"/>
        </w:numPr>
        <w:tabs>
          <w:tab w:val="left" w:pos="420"/>
        </w:tabs>
        <w:ind w:left="845" w:leftChars="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提出质疑的日期。</w:t>
      </w:r>
    </w:p>
    <w:p>
      <w:pPr>
        <w:numPr>
          <w:ilvl w:val="0"/>
          <w:numId w:val="1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numPr>
          <w:ilvl w:val="0"/>
          <w:numId w:val="1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w:t>
      </w:r>
    </w:p>
    <w:p>
      <w:pPr>
        <w:numPr>
          <w:ilvl w:val="0"/>
          <w:numId w:val="1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numPr>
          <w:ilvl w:val="0"/>
          <w:numId w:val="1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询问或者质疑事项可能影响采购结果的，采购人应当暂停签订合同，已经签订合同的，应当中止履行合同。</w:t>
      </w:r>
    </w:p>
    <w:p>
      <w:pPr>
        <w:numPr>
          <w:ilvl w:val="0"/>
          <w:numId w:val="1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质疑接收人：</w:t>
      </w:r>
    </w:p>
    <w:p>
      <w:pPr>
        <w:keepNext w:val="0"/>
        <w:keepLines w:val="0"/>
        <w:pageBreakBefore w:val="0"/>
        <w:widowControl w:val="0"/>
        <w:numPr>
          <w:ilvl w:val="0"/>
          <w:numId w:val="0"/>
        </w:numPr>
        <w:tabs>
          <w:tab w:val="clear" w:pos="360"/>
          <w:tab w:val="clear" w:pos="420"/>
        </w:tabs>
        <w:kinsoku/>
        <w:wordWrap/>
        <w:overflowPunct/>
        <w:topLinePunct w:val="0"/>
        <w:autoSpaceDE/>
        <w:autoSpaceDN/>
        <w:bidi w:val="0"/>
        <w:adjustRightInd/>
        <w:snapToGrid/>
        <w:ind w:left="567" w:leftChars="0"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姓</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名：</w:t>
      </w:r>
      <w:r>
        <w:rPr>
          <w:rFonts w:hint="eastAsia" w:ascii="宋体" w:hAnsi="宋体" w:eastAsia="宋体" w:cs="宋体"/>
          <w:color w:val="auto"/>
          <w:highlight w:val="none"/>
        </w:rPr>
        <w:t>毛</w:t>
      </w:r>
      <w:r>
        <w:rPr>
          <w:rFonts w:hint="eastAsia" w:ascii="宋体" w:hAnsi="宋体" w:eastAsia="宋体" w:cs="宋体"/>
          <w:color w:val="auto"/>
          <w:highlight w:val="none"/>
          <w:lang w:eastAsia="zh-CN"/>
        </w:rPr>
        <w:t>工</w:t>
      </w:r>
    </w:p>
    <w:p>
      <w:pPr>
        <w:keepNext w:val="0"/>
        <w:keepLines w:val="0"/>
        <w:pageBreakBefore w:val="0"/>
        <w:widowControl w:val="0"/>
        <w:numPr>
          <w:ilvl w:val="0"/>
          <w:numId w:val="0"/>
        </w:numPr>
        <w:tabs>
          <w:tab w:val="clear" w:pos="360"/>
          <w:tab w:val="clear" w:pos="420"/>
        </w:tabs>
        <w:kinsoku/>
        <w:wordWrap/>
        <w:overflowPunct/>
        <w:topLinePunct w:val="0"/>
        <w:autoSpaceDE/>
        <w:autoSpaceDN/>
        <w:bidi w:val="0"/>
        <w:adjustRightInd/>
        <w:snapToGrid/>
        <w:ind w:left="567" w:leftChars="0"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联系电话：057</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-87</w:t>
      </w:r>
      <w:r>
        <w:rPr>
          <w:rFonts w:hint="eastAsia" w:ascii="宋体" w:hAnsi="宋体" w:eastAsia="宋体" w:cs="宋体"/>
          <w:color w:val="auto"/>
          <w:highlight w:val="none"/>
          <w:lang w:val="en-US" w:eastAsia="zh-CN"/>
        </w:rPr>
        <w:t>208097</w:t>
      </w:r>
    </w:p>
    <w:p>
      <w:pPr>
        <w:keepNext w:val="0"/>
        <w:keepLines w:val="0"/>
        <w:pageBreakBefore w:val="0"/>
        <w:widowControl w:val="0"/>
        <w:numPr>
          <w:ilvl w:val="0"/>
          <w:numId w:val="0"/>
        </w:numPr>
        <w:tabs>
          <w:tab w:val="clear" w:pos="360"/>
          <w:tab w:val="clear" w:pos="420"/>
        </w:tabs>
        <w:kinsoku/>
        <w:wordWrap/>
        <w:overflowPunct/>
        <w:topLinePunct w:val="0"/>
        <w:autoSpaceDE/>
        <w:autoSpaceDN/>
        <w:bidi w:val="0"/>
        <w:adjustRightInd/>
        <w:snapToGrid/>
        <w:ind w:left="567" w:leftChars="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址：</w:t>
      </w:r>
      <w:r>
        <w:rPr>
          <w:rFonts w:hint="eastAsia" w:ascii="宋体" w:hAnsi="宋体" w:cs="宋体"/>
          <w:color w:val="auto"/>
          <w:sz w:val="24"/>
          <w:szCs w:val="24"/>
        </w:rPr>
        <w:t>宁波市鄞州区宁穿路1679号金融硅谷9号楼1402室</w:t>
      </w:r>
    </w:p>
    <w:p>
      <w:pPr>
        <w:bidi w:val="0"/>
        <w:rPr>
          <w:rFonts w:hint="eastAsia" w:ascii="宋体" w:hAnsi="宋体" w:eastAsia="宋体" w:cs="宋体"/>
          <w:color w:val="auto"/>
          <w:highlight w:val="none"/>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三</w:t>
      </w:r>
      <w:r>
        <w:rPr>
          <w:rFonts w:hint="eastAsia" w:ascii="宋体" w:hAnsi="宋体" w:eastAsia="宋体" w:cs="宋体"/>
          <w:color w:val="auto"/>
          <w:highlight w:val="none"/>
          <w:lang w:val="zh-CN"/>
        </w:rPr>
        <w:t>）供应商投诉</w:t>
      </w:r>
    </w:p>
    <w:p>
      <w:pPr>
        <w:numPr>
          <w:ilvl w:val="0"/>
          <w:numId w:val="12"/>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质疑供应商对采购人、采购代理机构的答复不满意或者采购人、采购代理机构未在规定的时间内作出答复的，可以在答复期满后十五个工作日内向同级采购监督管理部门提出投诉。</w:t>
      </w:r>
    </w:p>
    <w:p>
      <w:pPr>
        <w:numPr>
          <w:ilvl w:val="0"/>
          <w:numId w:val="12"/>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供应商投诉的事项不得超出已质疑事项的范围，基于质疑答复内容提出的投诉事项除外。</w:t>
      </w:r>
    </w:p>
    <w:p>
      <w:pPr>
        <w:numPr>
          <w:ilvl w:val="0"/>
          <w:numId w:val="12"/>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供应商投诉应当有明确的请求和必要的证明材料。</w:t>
      </w:r>
    </w:p>
    <w:p>
      <w:pPr>
        <w:numPr>
          <w:ilvl w:val="0"/>
          <w:numId w:val="12"/>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以联合体形式参加政府采购活动的，其投诉应当由组成联合体的所有供应商共同提出。</w:t>
      </w:r>
    </w:p>
    <w:p>
      <w:pPr>
        <w:pStyle w:val="6"/>
        <w:bidi w:val="0"/>
        <w:rPr>
          <w:rFonts w:hint="eastAsia" w:ascii="宋体" w:hAnsi="宋体" w:eastAsia="宋体" w:cs="宋体"/>
          <w:color w:val="auto"/>
          <w:highlight w:val="none"/>
        </w:rPr>
      </w:pPr>
      <w:bookmarkStart w:id="65" w:name="_Toc6069"/>
      <w:r>
        <w:rPr>
          <w:rFonts w:hint="eastAsia" w:ascii="宋体" w:hAnsi="宋体" w:eastAsia="宋体" w:cs="宋体"/>
          <w:color w:val="auto"/>
          <w:highlight w:val="none"/>
          <w:lang w:eastAsia="zh-CN"/>
        </w:rPr>
        <w:t>八</w:t>
      </w:r>
      <w:r>
        <w:rPr>
          <w:rFonts w:hint="eastAsia" w:ascii="宋体" w:hAnsi="宋体" w:eastAsia="宋体" w:cs="宋体"/>
          <w:color w:val="auto"/>
          <w:highlight w:val="none"/>
        </w:rPr>
        <w:t>、特别说明</w:t>
      </w:r>
      <w:bookmarkEnd w:id="65"/>
    </w:p>
    <w:p>
      <w:pPr>
        <w:numPr>
          <w:ilvl w:val="0"/>
          <w:numId w:val="13"/>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投标人投标所使用的资格、信誉、荣誉、业绩与企业认证必须为本法人所拥有。投标人投标所使用的采购项目实施人员必须为本法人员工（指本法人或控股公司正式员工）。</w:t>
      </w:r>
    </w:p>
    <w:p>
      <w:pPr>
        <w:numPr>
          <w:ilvl w:val="0"/>
          <w:numId w:val="13"/>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eastAsia="宋体" w:cs="宋体"/>
          <w:color w:val="auto"/>
          <w:highlight w:val="none"/>
        </w:rPr>
        <w:tab/>
      </w:r>
    </w:p>
    <w:p>
      <w:pPr>
        <w:numPr>
          <w:ilvl w:val="0"/>
          <w:numId w:val="13"/>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13"/>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单位负责人为同一人或者存在直接控股、管理关系的不同供应商，不得参加同一合同项下的政府采购活动。</w:t>
      </w:r>
    </w:p>
    <w:p>
      <w:pPr>
        <w:numPr>
          <w:ilvl w:val="0"/>
          <w:numId w:val="13"/>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为采购项目提供整体设计、规范编制或者项目管理、监理、检测等服务的供应商，不得再参加该采购项目的其他采购活动。</w:t>
      </w:r>
    </w:p>
    <w:p>
      <w:pPr>
        <w:numPr>
          <w:ilvl w:val="0"/>
          <w:numId w:val="13"/>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合同履行期内，任何一方因不可抗力事件不能履行合同的，合同履行期限可相应顺延。不可抗力事件发生后，应立即通知对方，并邮寄或送达有关权威机构出具的证明。</w:t>
      </w:r>
    </w:p>
    <w:p>
      <w:pPr>
        <w:numPr>
          <w:ilvl w:val="0"/>
          <w:numId w:val="13"/>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在采购过程中或合同履行过程中存在其他违法行为的，且违法行为严重的，供应商在承担相应的民事责任以外，采购人将有权向相关行政管理部门建议给予供应商限制本项目内容所涉及的市场响应采购的处罚。</w:t>
      </w:r>
    </w:p>
    <w:p>
      <w:pPr>
        <w:pStyle w:val="5"/>
        <w:bidi w:val="0"/>
        <w:ind w:left="0" w:leftChars="0" w:right="0" w:rightChars="0" w:firstLine="0" w:firstLineChars="0"/>
        <w:jc w:val="center"/>
        <w:rPr>
          <w:rFonts w:hint="eastAsia" w:ascii="宋体" w:hAnsi="宋体" w:eastAsia="宋体" w:cs="宋体"/>
          <w:color w:val="auto"/>
          <w:highlight w:val="none"/>
        </w:rPr>
      </w:pPr>
      <w:bookmarkStart w:id="66" w:name="_Toc91899879"/>
      <w:bookmarkStart w:id="67" w:name="_Toc32426"/>
      <w:bookmarkStart w:id="68" w:name="_Toc27084"/>
      <w:bookmarkStart w:id="69" w:name="_Toc16985"/>
      <w:r>
        <w:rPr>
          <w:rFonts w:hint="eastAsia" w:ascii="宋体" w:hAnsi="宋体" w:eastAsia="宋体" w:cs="宋体"/>
          <w:color w:val="auto"/>
          <w:highlight w:val="none"/>
        </w:rPr>
        <w:t>第二节 招标文件</w:t>
      </w:r>
      <w:bookmarkEnd w:id="66"/>
      <w:r>
        <w:rPr>
          <w:rFonts w:hint="eastAsia" w:ascii="宋体" w:hAnsi="宋体" w:eastAsia="宋体" w:cs="宋体"/>
          <w:color w:val="auto"/>
          <w:highlight w:val="none"/>
        </w:rPr>
        <w:t>的构成、澄清、修改</w:t>
      </w:r>
      <w:bookmarkEnd w:id="67"/>
      <w:bookmarkEnd w:id="68"/>
      <w:bookmarkEnd w:id="69"/>
    </w:p>
    <w:p>
      <w:pPr>
        <w:pStyle w:val="6"/>
        <w:rPr>
          <w:rFonts w:hint="eastAsia" w:ascii="宋体" w:hAnsi="宋体" w:eastAsia="宋体" w:cs="宋体"/>
          <w:color w:val="auto"/>
          <w:sz w:val="24"/>
          <w:szCs w:val="24"/>
          <w:highlight w:val="none"/>
        </w:rPr>
      </w:pPr>
      <w:bookmarkStart w:id="70" w:name="_Toc15003"/>
      <w:bookmarkStart w:id="71" w:name="_Toc91899880"/>
      <w:bookmarkStart w:id="72" w:name="_Hlt74730307"/>
      <w:r>
        <w:rPr>
          <w:rFonts w:hint="eastAsia" w:ascii="宋体" w:hAnsi="宋体" w:eastAsia="宋体" w:cs="宋体"/>
          <w:color w:val="auto"/>
          <w:sz w:val="24"/>
          <w:szCs w:val="24"/>
          <w:highlight w:val="none"/>
        </w:rPr>
        <w:t>一、招标文件的构成</w:t>
      </w:r>
      <w:bookmarkEnd w:id="70"/>
      <w:bookmarkEnd w:id="71"/>
    </w:p>
    <w:bookmarkEnd w:id="72"/>
    <w:p>
      <w:pPr>
        <w:numPr>
          <w:ilvl w:val="0"/>
          <w:numId w:val="14"/>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招标文件包括下列文件及附件</w:t>
      </w:r>
    </w:p>
    <w:p>
      <w:pPr>
        <w:keepNext w:val="0"/>
        <w:keepLines w:val="0"/>
        <w:pageBreakBefore w:val="0"/>
        <w:widowControl w:val="0"/>
        <w:numPr>
          <w:ilvl w:val="0"/>
          <w:numId w:val="15"/>
        </w:numPr>
        <w:kinsoku/>
        <w:wordWrap/>
        <w:overflowPunct/>
        <w:topLinePunct w:val="0"/>
        <w:autoSpaceDE/>
        <w:autoSpaceDN/>
        <w:bidi w:val="0"/>
        <w:adjustRightInd/>
        <w:snapToGrid/>
        <w:ind w:left="0" w:leftChars="0" w:firstLine="567"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"_Toc32332"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第一章 招标公告</w:t>
      </w:r>
      <w:r>
        <w:rPr>
          <w:rFonts w:hint="eastAsia" w:ascii="宋体" w:hAnsi="宋体" w:eastAsia="宋体" w:cs="宋体"/>
          <w:color w:val="auto"/>
          <w:highlight w:val="none"/>
        </w:rPr>
        <w:fldChar w:fldCharType="end"/>
      </w:r>
    </w:p>
    <w:p>
      <w:pPr>
        <w:keepNext w:val="0"/>
        <w:keepLines w:val="0"/>
        <w:pageBreakBefore w:val="0"/>
        <w:widowControl w:val="0"/>
        <w:numPr>
          <w:ilvl w:val="0"/>
          <w:numId w:val="15"/>
        </w:numPr>
        <w:kinsoku/>
        <w:wordWrap/>
        <w:overflowPunct/>
        <w:topLinePunct w:val="0"/>
        <w:autoSpaceDE/>
        <w:autoSpaceDN/>
        <w:bidi w:val="0"/>
        <w:adjustRightInd/>
        <w:snapToGrid/>
        <w:ind w:left="0" w:leftChars="0" w:firstLine="567"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"_Toc24282"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第二章 项目需求说明</w:t>
      </w:r>
      <w:r>
        <w:rPr>
          <w:rFonts w:hint="eastAsia" w:ascii="宋体" w:hAnsi="宋体" w:eastAsia="宋体" w:cs="宋体"/>
          <w:color w:val="auto"/>
          <w:highlight w:val="none"/>
        </w:rPr>
        <w:fldChar w:fldCharType="end"/>
      </w:r>
    </w:p>
    <w:p>
      <w:pPr>
        <w:keepNext w:val="0"/>
        <w:keepLines w:val="0"/>
        <w:pageBreakBefore w:val="0"/>
        <w:widowControl w:val="0"/>
        <w:numPr>
          <w:ilvl w:val="0"/>
          <w:numId w:val="15"/>
        </w:numPr>
        <w:kinsoku/>
        <w:wordWrap/>
        <w:overflowPunct/>
        <w:topLinePunct w:val="0"/>
        <w:autoSpaceDE/>
        <w:autoSpaceDN/>
        <w:bidi w:val="0"/>
        <w:adjustRightInd/>
        <w:snapToGrid/>
        <w:ind w:left="0" w:leftChars="0" w:firstLine="567"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"_Toc7338"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第三章 投标人须知</w:t>
      </w:r>
      <w:r>
        <w:rPr>
          <w:rFonts w:hint="eastAsia" w:ascii="宋体" w:hAnsi="宋体" w:eastAsia="宋体" w:cs="宋体"/>
          <w:color w:val="auto"/>
          <w:highlight w:val="none"/>
        </w:rPr>
        <w:fldChar w:fldCharType="end"/>
      </w:r>
    </w:p>
    <w:p>
      <w:pPr>
        <w:keepNext w:val="0"/>
        <w:keepLines w:val="0"/>
        <w:pageBreakBefore w:val="0"/>
        <w:widowControl w:val="0"/>
        <w:numPr>
          <w:ilvl w:val="0"/>
          <w:numId w:val="15"/>
        </w:numPr>
        <w:kinsoku/>
        <w:wordWrap/>
        <w:overflowPunct/>
        <w:topLinePunct w:val="0"/>
        <w:autoSpaceDE/>
        <w:autoSpaceDN/>
        <w:bidi w:val="0"/>
        <w:adjustRightInd/>
        <w:snapToGrid/>
        <w:ind w:left="0" w:leftChars="0" w:firstLine="567"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"_Toc22869"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第四章 评标办法及评分标准</w:t>
      </w:r>
      <w:r>
        <w:rPr>
          <w:rFonts w:hint="eastAsia" w:ascii="宋体" w:hAnsi="宋体" w:eastAsia="宋体" w:cs="宋体"/>
          <w:color w:val="auto"/>
          <w:highlight w:val="none"/>
        </w:rPr>
        <w:fldChar w:fldCharType="end"/>
      </w:r>
    </w:p>
    <w:p>
      <w:pPr>
        <w:keepNext w:val="0"/>
        <w:keepLines w:val="0"/>
        <w:pageBreakBefore w:val="0"/>
        <w:widowControl w:val="0"/>
        <w:numPr>
          <w:ilvl w:val="0"/>
          <w:numId w:val="15"/>
        </w:numPr>
        <w:kinsoku/>
        <w:wordWrap/>
        <w:overflowPunct/>
        <w:topLinePunct w:val="0"/>
        <w:autoSpaceDE/>
        <w:autoSpaceDN/>
        <w:bidi w:val="0"/>
        <w:adjustRightInd/>
        <w:snapToGrid/>
        <w:ind w:left="0" w:leftChars="0" w:firstLine="567"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"_Toc7087"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第五章 合同格式</w:t>
      </w:r>
      <w:r>
        <w:rPr>
          <w:rFonts w:hint="eastAsia" w:ascii="宋体" w:hAnsi="宋体" w:eastAsia="宋体" w:cs="宋体"/>
          <w:color w:val="auto"/>
          <w:highlight w:val="none"/>
        </w:rPr>
        <w:fldChar w:fldCharType="end"/>
      </w:r>
    </w:p>
    <w:p>
      <w:pPr>
        <w:keepNext w:val="0"/>
        <w:keepLines w:val="0"/>
        <w:pageBreakBefore w:val="0"/>
        <w:widowControl w:val="0"/>
        <w:numPr>
          <w:ilvl w:val="0"/>
          <w:numId w:val="15"/>
        </w:numPr>
        <w:kinsoku/>
        <w:wordWrap/>
        <w:overflowPunct/>
        <w:topLinePunct w:val="0"/>
        <w:autoSpaceDE/>
        <w:autoSpaceDN/>
        <w:bidi w:val="0"/>
        <w:adjustRightInd/>
        <w:snapToGrid/>
        <w:ind w:left="0" w:leftChars="0" w:firstLine="567"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"_Toc29638"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第六章 投标文件格式</w:t>
      </w:r>
      <w:r>
        <w:rPr>
          <w:rFonts w:hint="eastAsia" w:ascii="宋体" w:hAnsi="宋体" w:eastAsia="宋体" w:cs="宋体"/>
          <w:color w:val="auto"/>
          <w:highlight w:val="none"/>
        </w:rPr>
        <w:fldChar w:fldCharType="end"/>
      </w:r>
    </w:p>
    <w:p>
      <w:pPr>
        <w:numPr>
          <w:ilvl w:val="0"/>
          <w:numId w:val="14"/>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与本项目有关的澄清或者修改的内容为招标文件的组成部分。</w:t>
      </w:r>
    </w:p>
    <w:p>
      <w:pPr>
        <w:pStyle w:val="6"/>
        <w:rPr>
          <w:rFonts w:hint="eastAsia" w:ascii="宋体" w:hAnsi="宋体" w:eastAsia="宋体" w:cs="宋体"/>
          <w:color w:val="auto"/>
          <w:sz w:val="24"/>
          <w:szCs w:val="24"/>
          <w:highlight w:val="none"/>
        </w:rPr>
      </w:pPr>
      <w:bookmarkStart w:id="73" w:name="_Toc15053"/>
      <w:r>
        <w:rPr>
          <w:rFonts w:hint="eastAsia" w:ascii="宋体" w:hAnsi="宋体" w:eastAsia="宋体" w:cs="宋体"/>
          <w:color w:val="auto"/>
          <w:sz w:val="24"/>
          <w:szCs w:val="24"/>
          <w:highlight w:val="none"/>
        </w:rPr>
        <w:t>二、招标文件的澄清、修改</w:t>
      </w:r>
      <w:bookmarkEnd w:id="73"/>
    </w:p>
    <w:p>
      <w:pPr>
        <w:numPr>
          <w:ilvl w:val="0"/>
          <w:numId w:val="16"/>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已获取招标文件的潜在投标人，若有问题需要澄清，应于投标截止时间前，以书面形式向采购代理机构提出，采购代理机构与采购人研究后，对认为有必要回答的问题，将以书面解答形式</w:t>
      </w:r>
      <w:r>
        <w:rPr>
          <w:rFonts w:hint="eastAsia" w:ascii="宋体" w:hAnsi="宋体" w:eastAsia="宋体" w:cs="宋体"/>
          <w:color w:val="auto"/>
          <w:highlight w:val="none"/>
          <w:lang w:eastAsia="zh-CN"/>
        </w:rPr>
        <w:t>答复</w:t>
      </w:r>
      <w:r>
        <w:rPr>
          <w:rFonts w:hint="eastAsia" w:ascii="宋体" w:hAnsi="宋体" w:eastAsia="宋体" w:cs="宋体"/>
          <w:color w:val="auto"/>
          <w:highlight w:val="none"/>
        </w:rPr>
        <w:t>。</w:t>
      </w:r>
    </w:p>
    <w:p>
      <w:pPr>
        <w:numPr>
          <w:ilvl w:val="0"/>
          <w:numId w:val="16"/>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采购人或者采购代理机构可以对已发出的招标文件进行必要的澄清或者修改，澄清或者修改会在原公告发布媒体上发布澄清公告，澄清或者修改的内容为招标文件的组成部分。</w:t>
      </w:r>
    </w:p>
    <w:p>
      <w:pPr>
        <w:numPr>
          <w:ilvl w:val="0"/>
          <w:numId w:val="16"/>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澄清或者修改的内容可能影响投标文件编制的，采购人或者采购代理机构会在投标截止时间至少15日前，以</w:t>
      </w:r>
      <w:r>
        <w:rPr>
          <w:rFonts w:hint="eastAsia" w:ascii="宋体" w:hAnsi="宋体" w:eastAsia="宋体" w:cs="宋体"/>
          <w:color w:val="auto"/>
          <w:highlight w:val="none"/>
          <w:lang w:eastAsia="zh-CN"/>
        </w:rPr>
        <w:t>公告</w:t>
      </w:r>
      <w:r>
        <w:rPr>
          <w:rFonts w:hint="eastAsia" w:ascii="宋体" w:hAnsi="宋体" w:eastAsia="宋体" w:cs="宋体"/>
          <w:color w:val="auto"/>
          <w:highlight w:val="none"/>
        </w:rPr>
        <w:t>形式通知所有获取招标文件的潜在投标人；不足15日的，采购人或者采购代理机构会顺延提交投标文件的截止时间。</w:t>
      </w:r>
    </w:p>
    <w:p>
      <w:pPr>
        <w:numPr>
          <w:ilvl w:val="0"/>
          <w:numId w:val="16"/>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招标文件的修改将以</w:t>
      </w:r>
      <w:r>
        <w:rPr>
          <w:rFonts w:hint="eastAsia" w:ascii="宋体" w:hAnsi="宋体" w:eastAsia="宋体" w:cs="宋体"/>
          <w:color w:val="auto"/>
          <w:highlight w:val="none"/>
          <w:lang w:eastAsia="zh-CN"/>
        </w:rPr>
        <w:t>公告</w:t>
      </w:r>
      <w:r>
        <w:rPr>
          <w:rFonts w:hint="eastAsia" w:ascii="宋体" w:hAnsi="宋体" w:eastAsia="宋体" w:cs="宋体"/>
          <w:color w:val="auto"/>
          <w:highlight w:val="none"/>
        </w:rPr>
        <w:t>形式通知所有购买招标文件的投标人，并对其具有约束力。若</w:t>
      </w:r>
      <w:r>
        <w:rPr>
          <w:rFonts w:hint="eastAsia" w:ascii="宋体" w:hAnsi="宋体" w:eastAsia="宋体" w:cs="宋体"/>
          <w:color w:val="auto"/>
          <w:highlight w:val="none"/>
          <w:lang w:eastAsia="zh-CN"/>
        </w:rPr>
        <w:t>发布更正公告后</w:t>
      </w:r>
      <w:r>
        <w:rPr>
          <w:rFonts w:hint="eastAsia" w:ascii="宋体" w:hAnsi="宋体" w:eastAsia="宋体" w:cs="宋体"/>
          <w:color w:val="auto"/>
          <w:highlight w:val="none"/>
        </w:rPr>
        <w:t>，视同投标人已收到招标文件修改的通知，并受其约束。</w:t>
      </w:r>
    </w:p>
    <w:p>
      <w:pPr>
        <w:bidi w:val="0"/>
        <w:rPr>
          <w:rFonts w:hint="eastAsia" w:ascii="宋体" w:hAnsi="宋体" w:eastAsia="宋体" w:cs="宋体"/>
          <w:b/>
          <w:bCs/>
          <w:color w:val="auto"/>
          <w:highlight w:val="none"/>
        </w:rPr>
      </w:pPr>
      <w:r>
        <w:rPr>
          <w:rFonts w:hint="eastAsia" w:ascii="宋体" w:hAnsi="宋体" w:eastAsia="宋体" w:cs="宋体"/>
          <w:b/>
          <w:bCs/>
          <w:color w:val="auto"/>
          <w:highlight w:val="none"/>
        </w:rPr>
        <w:t>▲投标文件未按招标文件的澄清、修改的内容编制，又不符合实质性要求的，投标无效。</w:t>
      </w:r>
    </w:p>
    <w:p>
      <w:pPr>
        <w:pStyle w:val="5"/>
        <w:bidi w:val="0"/>
        <w:ind w:left="0" w:leftChars="0" w:right="0" w:rightChars="0" w:firstLine="0" w:firstLineChars="0"/>
        <w:jc w:val="center"/>
        <w:rPr>
          <w:rFonts w:hint="eastAsia" w:ascii="宋体" w:hAnsi="宋体" w:eastAsia="宋体" w:cs="宋体"/>
          <w:color w:val="auto"/>
          <w:highlight w:val="none"/>
        </w:rPr>
      </w:pPr>
      <w:bookmarkStart w:id="74" w:name="_Toc204"/>
      <w:bookmarkStart w:id="75" w:name="_Toc450840075"/>
      <w:bookmarkStart w:id="76" w:name="_Toc82873324"/>
      <w:bookmarkStart w:id="77" w:name="_Toc21160"/>
      <w:bookmarkStart w:id="78" w:name="_Toc19164"/>
      <w:bookmarkStart w:id="79" w:name="_Toc82338241"/>
      <w:bookmarkStart w:id="80" w:name="_Toc1096"/>
      <w:r>
        <w:rPr>
          <w:rFonts w:hint="eastAsia" w:ascii="宋体" w:hAnsi="宋体" w:eastAsia="宋体" w:cs="宋体"/>
          <w:color w:val="auto"/>
          <w:highlight w:val="none"/>
        </w:rPr>
        <w:t>第三节 投标文件</w:t>
      </w:r>
      <w:bookmarkEnd w:id="74"/>
      <w:bookmarkEnd w:id="75"/>
      <w:bookmarkEnd w:id="76"/>
      <w:bookmarkEnd w:id="77"/>
      <w:bookmarkEnd w:id="78"/>
      <w:bookmarkEnd w:id="79"/>
      <w:bookmarkEnd w:id="80"/>
    </w:p>
    <w:p>
      <w:pPr>
        <w:pStyle w:val="6"/>
        <w:bidi w:val="0"/>
        <w:rPr>
          <w:rFonts w:hint="eastAsia" w:ascii="宋体" w:hAnsi="宋体" w:eastAsia="宋体" w:cs="宋体"/>
          <w:color w:val="auto"/>
          <w:highlight w:val="none"/>
        </w:rPr>
      </w:pPr>
      <w:bookmarkStart w:id="81" w:name="_Toc8877"/>
      <w:r>
        <w:rPr>
          <w:rFonts w:hint="eastAsia" w:ascii="宋体" w:hAnsi="宋体" w:eastAsia="宋体" w:cs="宋体"/>
          <w:color w:val="auto"/>
          <w:highlight w:val="none"/>
        </w:rPr>
        <w:t>一、投标文件语言和计量单位</w:t>
      </w:r>
      <w:bookmarkEnd w:id="81"/>
    </w:p>
    <w:p>
      <w:pPr>
        <w:numPr>
          <w:ilvl w:val="0"/>
          <w:numId w:val="17"/>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投标文件应用中文书写。投标文件中所附或所引用的原件不是中文时，应附中文译本。</w:t>
      </w:r>
    </w:p>
    <w:p>
      <w:pPr>
        <w:numPr>
          <w:ilvl w:val="0"/>
          <w:numId w:val="17"/>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投标文件中所使用的计量单位，除招标文件中有特殊要求外，应采用国家法定计量单位。</w:t>
      </w:r>
    </w:p>
    <w:p>
      <w:pPr>
        <w:pStyle w:val="6"/>
        <w:bidi w:val="0"/>
        <w:rPr>
          <w:rFonts w:hint="eastAsia" w:ascii="宋体" w:hAnsi="宋体" w:eastAsia="宋体" w:cs="宋体"/>
          <w:color w:val="auto"/>
          <w:highlight w:val="none"/>
        </w:rPr>
      </w:pPr>
      <w:bookmarkStart w:id="82" w:name="_Toc5487"/>
      <w:r>
        <w:rPr>
          <w:rFonts w:hint="eastAsia" w:ascii="宋体" w:hAnsi="宋体" w:eastAsia="宋体" w:cs="宋体"/>
          <w:color w:val="auto"/>
          <w:highlight w:val="none"/>
        </w:rPr>
        <w:t>二、投标文件的组成</w:t>
      </w:r>
      <w:bookmarkEnd w:id="82"/>
      <w:r>
        <w:rPr>
          <w:rFonts w:hint="eastAsia" w:ascii="宋体" w:hAnsi="宋体" w:eastAsia="宋体" w:cs="宋体"/>
          <w:color w:val="auto"/>
          <w:highlight w:val="none"/>
        </w:rPr>
        <w:t>（资格证明文件、报价文件和商务技术文件三部分组成）</w:t>
      </w:r>
    </w:p>
    <w:p>
      <w:pPr>
        <w:ind w:firstLine="0" w:firstLineChars="0"/>
        <w:rPr>
          <w:rFonts w:hint="eastAsia" w:ascii="宋体" w:hAnsi="宋体" w:eastAsia="宋体" w:cs="宋体"/>
          <w:b/>
          <w:bCs/>
          <w:color w:val="auto"/>
          <w:highlight w:val="none"/>
          <w:lang w:eastAsia="zh-CN"/>
        </w:rPr>
      </w:pPr>
      <w:bookmarkStart w:id="83" w:name="_Toc22525"/>
      <w:r>
        <w:rPr>
          <w:rFonts w:hint="eastAsia" w:ascii="宋体" w:hAnsi="宋体" w:eastAsia="宋体" w:cs="宋体"/>
          <w:b/>
          <w:bCs/>
          <w:color w:val="auto"/>
          <w:highlight w:val="none"/>
        </w:rPr>
        <w:t>（一）资格证明文件：</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均须加盖公章</w:t>
      </w:r>
      <w:r>
        <w:rPr>
          <w:rFonts w:hint="eastAsia" w:ascii="宋体" w:hAnsi="宋体" w:eastAsia="宋体" w:cs="宋体"/>
          <w:b/>
          <w:bCs/>
          <w:color w:val="auto"/>
          <w:highlight w:val="none"/>
          <w:lang w:eastAsia="zh-CN"/>
        </w:rPr>
        <w:t>）</w:t>
      </w:r>
    </w:p>
    <w:p>
      <w:pPr>
        <w:numPr>
          <w:ilvl w:val="0"/>
          <w:numId w:val="18"/>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提供有效的经营执照复印件；事业单位的，则提供有效的《事业单位法人证书》副本复印件章；</w:t>
      </w:r>
    </w:p>
    <w:p>
      <w:pPr>
        <w:numPr>
          <w:ilvl w:val="0"/>
          <w:numId w:val="18"/>
        </w:numPr>
        <w:ind w:left="0" w:leftChars="0"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提供</w:t>
      </w:r>
      <w:r>
        <w:rPr>
          <w:rFonts w:hint="eastAsia" w:cs="宋体"/>
          <w:color w:val="auto"/>
          <w:highlight w:val="none"/>
          <w:lang w:val="en-US" w:eastAsia="zh-CN"/>
        </w:rPr>
        <w:t>2020</w:t>
      </w:r>
      <w:r>
        <w:rPr>
          <w:rFonts w:hint="eastAsia" w:ascii="宋体" w:hAnsi="宋体" w:eastAsia="宋体" w:cs="宋体"/>
          <w:color w:val="auto"/>
          <w:highlight w:val="none"/>
          <w:lang w:val="en-US" w:eastAsia="zh-CN"/>
        </w:rPr>
        <w:t>年度财务报告</w:t>
      </w:r>
      <w:r>
        <w:rPr>
          <w:rFonts w:hint="eastAsia" w:cs="宋体"/>
          <w:color w:val="auto"/>
          <w:highlight w:val="none"/>
          <w:lang w:val="en-US" w:eastAsia="zh-CN"/>
        </w:rPr>
        <w:t>；</w:t>
      </w:r>
    </w:p>
    <w:p>
      <w:pPr>
        <w:numPr>
          <w:ilvl w:val="0"/>
          <w:numId w:val="18"/>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提供</w:t>
      </w:r>
      <w:r>
        <w:rPr>
          <w:rFonts w:hint="eastAsia" w:ascii="宋体" w:hAnsi="宋体" w:eastAsia="宋体" w:cs="宋体"/>
          <w:color w:val="auto"/>
          <w:highlight w:val="none"/>
          <w:lang w:val="en-US" w:eastAsia="zh-CN"/>
        </w:rPr>
        <w:t>近一年任意一个月</w:t>
      </w:r>
      <w:r>
        <w:rPr>
          <w:rFonts w:hint="eastAsia" w:ascii="宋体" w:hAnsi="宋体" w:eastAsia="宋体" w:cs="宋体"/>
          <w:color w:val="auto"/>
          <w:highlight w:val="none"/>
        </w:rPr>
        <w:t>依法缴纳税收证明（完税凭证或税务部门出具的证明）；</w:t>
      </w:r>
    </w:p>
    <w:p>
      <w:pPr>
        <w:numPr>
          <w:ilvl w:val="0"/>
          <w:numId w:val="18"/>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提供</w:t>
      </w:r>
      <w:r>
        <w:rPr>
          <w:rFonts w:hint="eastAsia" w:ascii="宋体" w:hAnsi="宋体" w:eastAsia="宋体" w:cs="宋体"/>
          <w:color w:val="auto"/>
          <w:highlight w:val="none"/>
          <w:lang w:val="en-US" w:eastAsia="zh-CN"/>
        </w:rPr>
        <w:t>近一年任意一个月</w:t>
      </w:r>
      <w:r>
        <w:rPr>
          <w:rFonts w:hint="eastAsia" w:ascii="宋体" w:hAnsi="宋体" w:eastAsia="宋体" w:cs="宋体"/>
          <w:color w:val="auto"/>
          <w:highlight w:val="none"/>
        </w:rPr>
        <w:t>依法缴纳社会保障资金证明（缴纳凭证或人社部门出具的证明）；</w:t>
      </w:r>
    </w:p>
    <w:p>
      <w:pPr>
        <w:numPr>
          <w:ilvl w:val="0"/>
          <w:numId w:val="18"/>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具有履行合同所必需的设备和专业技术能力的承诺函</w:t>
      </w:r>
    </w:p>
    <w:p>
      <w:pPr>
        <w:numPr>
          <w:ilvl w:val="0"/>
          <w:numId w:val="18"/>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参加政府采购活动</w:t>
      </w:r>
      <w:r>
        <w:rPr>
          <w:rFonts w:hint="eastAsia" w:ascii="宋体" w:hAnsi="宋体" w:eastAsia="宋体" w:cs="宋体"/>
          <w:color w:val="auto"/>
          <w:highlight w:val="none"/>
        </w:rPr>
        <w:t>前3年内在经营活动中没有重大违法记录的书面声明；</w:t>
      </w:r>
    </w:p>
    <w:p>
      <w:pPr>
        <w:numPr>
          <w:ilvl w:val="0"/>
          <w:numId w:val="18"/>
        </w:numPr>
        <w:ind w:left="0" w:leftChars="0"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信用记录：查询信息网站截图：查询渠道：“信用中国”（www.creditchina.gov.cn）、“中国政府采购网”（www.ccgp.gov.cn），最终审查以代理机构在响应截止前一个工作日查询的最新信息为准</w:t>
      </w:r>
      <w:r>
        <w:rPr>
          <w:rFonts w:hint="eastAsia" w:ascii="宋体" w:hAnsi="宋体" w:eastAsia="宋体" w:cs="宋体"/>
          <w:color w:val="auto"/>
          <w:highlight w:val="none"/>
          <w:lang w:eastAsia="zh-CN"/>
        </w:rPr>
        <w:t>。</w:t>
      </w:r>
    </w:p>
    <w:p>
      <w:pPr>
        <w:ind w:firstLine="0" w:firstLineChars="0"/>
        <w:rPr>
          <w:rFonts w:hint="eastAsia" w:ascii="宋体" w:hAnsi="宋体" w:eastAsia="宋体" w:cs="宋体"/>
          <w:color w:val="auto"/>
          <w:szCs w:val="32"/>
          <w:highlight w:val="none"/>
        </w:rPr>
      </w:pPr>
      <w:r>
        <w:rPr>
          <w:rFonts w:hint="eastAsia" w:ascii="宋体" w:hAnsi="宋体" w:eastAsia="宋体" w:cs="宋体"/>
          <w:b/>
          <w:color w:val="auto"/>
          <w:highlight w:val="none"/>
        </w:rPr>
        <w:t>（二）报价文件</w:t>
      </w:r>
      <w:r>
        <w:rPr>
          <w:rFonts w:hint="eastAsia" w:ascii="宋体" w:hAnsi="宋体" w:eastAsia="宋体" w:cs="宋体"/>
          <w:color w:val="auto"/>
          <w:szCs w:val="32"/>
          <w:highlight w:val="none"/>
        </w:rPr>
        <w:t>：</w:t>
      </w:r>
    </w:p>
    <w:p>
      <w:pPr>
        <w:numPr>
          <w:ilvl w:val="0"/>
          <w:numId w:val="19"/>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投标函；</w:t>
      </w:r>
    </w:p>
    <w:p>
      <w:pPr>
        <w:numPr>
          <w:ilvl w:val="0"/>
          <w:numId w:val="19"/>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开标一览表；</w:t>
      </w:r>
    </w:p>
    <w:p>
      <w:pPr>
        <w:numPr>
          <w:ilvl w:val="0"/>
          <w:numId w:val="19"/>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投标分项报价表</w:t>
      </w:r>
    </w:p>
    <w:p>
      <w:pPr>
        <w:numPr>
          <w:ilvl w:val="0"/>
          <w:numId w:val="19"/>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《中小企业声明函》及相关证明材料；</w:t>
      </w:r>
    </w:p>
    <w:p>
      <w:pPr>
        <w:numPr>
          <w:ilvl w:val="0"/>
          <w:numId w:val="19"/>
        </w:numPr>
        <w:ind w:left="0" w:leftChars="0" w:firstLine="480" w:firstLineChars="200"/>
        <w:rPr>
          <w:rFonts w:hint="eastAsia" w:ascii="宋体" w:hAnsi="宋体" w:eastAsia="宋体" w:cs="宋体"/>
          <w:color w:val="auto"/>
          <w:highlight w:val="none"/>
        </w:rPr>
      </w:pPr>
      <w:bookmarkStart w:id="84" w:name="_Toc4797"/>
      <w:bookmarkStart w:id="85" w:name="_Toc31456"/>
      <w:r>
        <w:rPr>
          <w:rFonts w:hint="eastAsia" w:ascii="宋体" w:hAnsi="宋体" w:eastAsia="宋体" w:cs="宋体"/>
          <w:color w:val="auto"/>
          <w:highlight w:val="none"/>
        </w:rPr>
        <w:t>残疾人福利性单位声明函（如有需提供）（格式附后）；</w:t>
      </w:r>
      <w:bookmarkEnd w:id="84"/>
      <w:bookmarkEnd w:id="85"/>
    </w:p>
    <w:p>
      <w:pPr>
        <w:numPr>
          <w:ilvl w:val="0"/>
          <w:numId w:val="19"/>
        </w:numPr>
        <w:ind w:left="0" w:leftChars="0" w:firstLine="480" w:firstLineChars="200"/>
        <w:rPr>
          <w:rFonts w:hint="eastAsia" w:ascii="宋体" w:hAnsi="宋体" w:eastAsia="宋体" w:cs="宋体"/>
          <w:color w:val="auto"/>
          <w:highlight w:val="none"/>
        </w:rPr>
      </w:pPr>
      <w:bookmarkStart w:id="86" w:name="_Toc6461"/>
      <w:bookmarkStart w:id="87" w:name="_Toc5746"/>
      <w:r>
        <w:rPr>
          <w:rFonts w:hint="eastAsia" w:ascii="宋体" w:hAnsi="宋体" w:eastAsia="宋体" w:cs="宋体"/>
          <w:color w:val="auto"/>
          <w:highlight w:val="none"/>
        </w:rPr>
        <w:t>投标人针对报价需要说明的其他文件和说明。</w:t>
      </w:r>
      <w:bookmarkEnd w:id="86"/>
      <w:bookmarkEnd w:id="87"/>
    </w:p>
    <w:p>
      <w:pPr>
        <w:ind w:firstLine="0" w:firstLineChars="0"/>
        <w:rPr>
          <w:rFonts w:hint="eastAsia" w:ascii="宋体" w:hAnsi="宋体" w:eastAsia="宋体" w:cs="宋体"/>
          <w:b/>
          <w:bCs/>
          <w:color w:val="auto"/>
          <w:szCs w:val="32"/>
          <w:highlight w:val="none"/>
        </w:rPr>
      </w:pPr>
      <w:r>
        <w:rPr>
          <w:rFonts w:hint="eastAsia" w:ascii="宋体" w:hAnsi="宋体" w:eastAsia="宋体" w:cs="宋体"/>
          <w:b/>
          <w:bCs/>
          <w:color w:val="auto"/>
          <w:szCs w:val="32"/>
          <w:highlight w:val="none"/>
        </w:rPr>
        <w:t>（三）商务技术文件：</w:t>
      </w:r>
    </w:p>
    <w:p>
      <w:pPr>
        <w:numPr>
          <w:ilvl w:val="0"/>
          <w:numId w:val="2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投标声明书</w:t>
      </w:r>
      <w:r>
        <w:rPr>
          <w:rFonts w:hint="eastAsia" w:ascii="宋体" w:hAnsi="宋体" w:eastAsia="宋体" w:cs="宋体"/>
          <w:color w:val="auto"/>
          <w:highlight w:val="none"/>
          <w:lang w:eastAsia="zh-CN"/>
        </w:rPr>
        <w:t>；</w:t>
      </w:r>
    </w:p>
    <w:p>
      <w:pPr>
        <w:numPr>
          <w:ilvl w:val="0"/>
          <w:numId w:val="20"/>
        </w:numPr>
        <w:ind w:left="0" w:leftChars="0"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法定代表人资格证明书和法定代表人授权委托书（投标人的代表若为非法定代表人的，必须提交法定代表人授权书；身份证复印件、授权委托人社保证明（近一年任意一个月的社保证明）；</w:t>
      </w:r>
    </w:p>
    <w:p>
      <w:pPr>
        <w:numPr>
          <w:ilvl w:val="0"/>
          <w:numId w:val="2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廉政承诺书；</w:t>
      </w:r>
    </w:p>
    <w:p>
      <w:pPr>
        <w:numPr>
          <w:ilvl w:val="0"/>
          <w:numId w:val="2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投标人情况表，质量管理体系（如有）、环境管理体系（如有）、职业健康及安全管理体系（如有）等三体系认证证书；（如有）；</w:t>
      </w:r>
    </w:p>
    <w:p>
      <w:pPr>
        <w:numPr>
          <w:ilvl w:val="0"/>
          <w:numId w:val="2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同类项目实施情况一览表：2018年1月（以合同签订时间为准）至今实施的类似项目合同复印件（加盖公章），相关实施经验及成功案例介绍（要求提供有关情况，包括：项目名称、项目基本内容、业主名称、联系人及电话，项目金额、实施日期等）</w:t>
      </w:r>
    </w:p>
    <w:p>
      <w:pPr>
        <w:numPr>
          <w:ilvl w:val="0"/>
          <w:numId w:val="20"/>
        </w:numPr>
        <w:ind w:left="0" w:leftChars="0" w:firstLine="480" w:firstLineChars="200"/>
        <w:rPr>
          <w:rFonts w:hint="eastAsia" w:ascii="宋体" w:hAnsi="宋体" w:cs="宋体"/>
          <w:b w:val="0"/>
          <w:bCs/>
          <w:spacing w:val="-6"/>
          <w:sz w:val="24"/>
        </w:rPr>
      </w:pPr>
      <w:r>
        <w:rPr>
          <w:rFonts w:hint="eastAsia" w:ascii="宋体" w:hAnsi="宋体" w:cs="宋体"/>
          <w:b w:val="0"/>
          <w:bCs/>
          <w:spacing w:val="-6"/>
          <w:sz w:val="24"/>
        </w:rPr>
        <w:t>技术规范偏离表；</w:t>
      </w:r>
    </w:p>
    <w:p>
      <w:pPr>
        <w:numPr>
          <w:ilvl w:val="0"/>
          <w:numId w:val="20"/>
        </w:numPr>
        <w:ind w:left="0" w:leftChars="0" w:firstLine="480" w:firstLineChars="200"/>
        <w:rPr>
          <w:rFonts w:hint="eastAsia" w:ascii="宋体" w:hAnsi="宋体" w:cs="宋体"/>
          <w:b w:val="0"/>
          <w:bCs/>
          <w:spacing w:val="-6"/>
          <w:sz w:val="24"/>
        </w:rPr>
      </w:pPr>
      <w:r>
        <w:rPr>
          <w:rFonts w:hint="eastAsia" w:ascii="宋体" w:hAnsi="宋体" w:cs="宋体"/>
          <w:b w:val="0"/>
          <w:bCs/>
          <w:spacing w:val="-6"/>
          <w:sz w:val="24"/>
        </w:rPr>
        <w:t>主要维修用零配件清单及价格</w:t>
      </w:r>
      <w:r>
        <w:rPr>
          <w:rFonts w:hint="eastAsia" w:cs="宋体"/>
          <w:b w:val="0"/>
          <w:bCs/>
          <w:spacing w:val="-6"/>
          <w:sz w:val="24"/>
          <w:lang w:eastAsia="zh-CN"/>
        </w:rPr>
        <w:t>；</w:t>
      </w:r>
    </w:p>
    <w:p>
      <w:pPr>
        <w:numPr>
          <w:ilvl w:val="0"/>
          <w:numId w:val="20"/>
        </w:numPr>
        <w:ind w:left="0" w:leftChars="0" w:firstLine="480" w:firstLineChars="200"/>
        <w:rPr>
          <w:rFonts w:hint="eastAsia" w:ascii="宋体" w:hAnsi="宋体" w:cs="宋体"/>
          <w:b w:val="0"/>
          <w:bCs/>
          <w:spacing w:val="-6"/>
          <w:sz w:val="24"/>
        </w:rPr>
      </w:pPr>
      <w:r>
        <w:rPr>
          <w:rFonts w:hint="eastAsia" w:ascii="宋体" w:hAnsi="宋体" w:cs="宋体"/>
          <w:b w:val="0"/>
          <w:bCs/>
          <w:spacing w:val="-6"/>
          <w:sz w:val="24"/>
        </w:rPr>
        <w:t>产品总体性能及质量水平</w:t>
      </w:r>
      <w:r>
        <w:rPr>
          <w:rFonts w:hint="eastAsia" w:ascii="宋体" w:hAnsi="宋体" w:cs="宋体"/>
          <w:b w:val="0"/>
          <w:bCs/>
          <w:spacing w:val="-6"/>
          <w:sz w:val="24"/>
          <w:lang w:eastAsia="zh-CN"/>
        </w:rPr>
        <w:t>；</w:t>
      </w:r>
    </w:p>
    <w:p>
      <w:pPr>
        <w:numPr>
          <w:ilvl w:val="0"/>
          <w:numId w:val="20"/>
        </w:numPr>
        <w:ind w:left="0" w:leftChars="0" w:firstLine="480" w:firstLineChars="200"/>
        <w:rPr>
          <w:rFonts w:hint="eastAsia" w:ascii="宋体" w:hAnsi="宋体" w:eastAsia="宋体" w:cs="宋体"/>
          <w:color w:val="auto"/>
          <w:highlight w:val="none"/>
        </w:rPr>
      </w:pPr>
      <w:r>
        <w:rPr>
          <w:rFonts w:hint="eastAsia" w:ascii="宋体" w:hAnsi="宋体" w:cs="宋体"/>
          <w:b w:val="0"/>
          <w:bCs/>
          <w:spacing w:val="-6"/>
          <w:sz w:val="24"/>
        </w:rPr>
        <w:t>产品配置的先进性、完整性和适用性</w:t>
      </w:r>
      <w:r>
        <w:rPr>
          <w:rFonts w:hint="eastAsia" w:ascii="宋体" w:hAnsi="宋体" w:eastAsia="宋体" w:cs="宋体"/>
          <w:color w:val="auto"/>
          <w:highlight w:val="none"/>
        </w:rPr>
        <w:t>；</w:t>
      </w:r>
    </w:p>
    <w:p>
      <w:pPr>
        <w:numPr>
          <w:ilvl w:val="0"/>
          <w:numId w:val="20"/>
        </w:numPr>
        <w:ind w:left="0" w:leftChars="0" w:firstLine="480" w:firstLineChars="200"/>
        <w:rPr>
          <w:rFonts w:hint="eastAsia" w:ascii="宋体" w:hAnsi="宋体" w:eastAsia="宋体" w:cs="宋体"/>
          <w:color w:val="auto"/>
          <w:highlight w:val="none"/>
        </w:rPr>
      </w:pPr>
      <w:r>
        <w:rPr>
          <w:rFonts w:hint="eastAsia" w:ascii="宋体" w:hAnsi="宋体" w:cs="宋体"/>
          <w:b w:val="0"/>
          <w:bCs/>
          <w:spacing w:val="-6"/>
          <w:sz w:val="24"/>
        </w:rPr>
        <w:t>产品的稳定性、可操作性和可维护性</w:t>
      </w:r>
      <w:r>
        <w:rPr>
          <w:rFonts w:hint="eastAsia" w:ascii="宋体" w:hAnsi="宋体" w:eastAsia="宋体" w:cs="宋体"/>
          <w:color w:val="auto"/>
          <w:highlight w:val="none"/>
        </w:rPr>
        <w:t>；</w:t>
      </w:r>
    </w:p>
    <w:p>
      <w:pPr>
        <w:numPr>
          <w:ilvl w:val="0"/>
          <w:numId w:val="20"/>
        </w:numPr>
        <w:ind w:left="0" w:leftChars="0" w:firstLine="480" w:firstLineChars="200"/>
        <w:rPr>
          <w:rFonts w:hint="eastAsia" w:ascii="宋体" w:hAnsi="宋体" w:eastAsia="宋体" w:cs="宋体"/>
          <w:color w:val="auto"/>
          <w:highlight w:val="none"/>
        </w:rPr>
      </w:pPr>
      <w:r>
        <w:rPr>
          <w:rFonts w:hint="eastAsia" w:ascii="宋体" w:hAnsi="宋体" w:cs="宋体"/>
          <w:b w:val="0"/>
          <w:bCs/>
          <w:spacing w:val="-6"/>
          <w:sz w:val="24"/>
        </w:rPr>
        <w:t>安装、调试、验收计划及人员安排情况</w:t>
      </w:r>
      <w:r>
        <w:rPr>
          <w:rFonts w:hint="eastAsia" w:ascii="宋体" w:hAnsi="宋体" w:eastAsia="宋体" w:cs="宋体"/>
          <w:color w:val="auto"/>
          <w:highlight w:val="none"/>
        </w:rPr>
        <w:t>；</w:t>
      </w:r>
    </w:p>
    <w:p>
      <w:pPr>
        <w:numPr>
          <w:ilvl w:val="0"/>
          <w:numId w:val="20"/>
        </w:numPr>
        <w:ind w:left="0" w:leftChars="0" w:firstLine="480" w:firstLineChars="200"/>
        <w:rPr>
          <w:rFonts w:hint="eastAsia" w:ascii="宋体" w:hAnsi="宋体" w:eastAsia="宋体" w:cs="宋体"/>
          <w:color w:val="auto"/>
          <w:highlight w:val="none"/>
        </w:rPr>
      </w:pPr>
      <w:r>
        <w:rPr>
          <w:rFonts w:hint="eastAsia" w:ascii="宋体" w:hAnsi="宋体" w:cs="宋体"/>
          <w:b w:val="0"/>
          <w:bCs/>
          <w:spacing w:val="-6"/>
          <w:sz w:val="24"/>
        </w:rPr>
        <w:t>售后服务</w:t>
      </w:r>
      <w:r>
        <w:rPr>
          <w:rFonts w:hint="eastAsia" w:ascii="宋体" w:hAnsi="宋体" w:eastAsia="宋体" w:cs="宋体"/>
          <w:color w:val="auto"/>
          <w:highlight w:val="none"/>
        </w:rPr>
        <w:t>；</w:t>
      </w:r>
    </w:p>
    <w:p>
      <w:pPr>
        <w:numPr>
          <w:ilvl w:val="0"/>
          <w:numId w:val="20"/>
        </w:numPr>
        <w:ind w:left="0" w:leftChars="0" w:firstLine="480" w:firstLineChars="200"/>
        <w:rPr>
          <w:rFonts w:hint="eastAsia" w:ascii="宋体" w:hAnsi="宋体" w:eastAsia="宋体" w:cs="宋体"/>
          <w:color w:val="auto"/>
          <w:highlight w:val="none"/>
        </w:rPr>
      </w:pPr>
      <w:r>
        <w:rPr>
          <w:rFonts w:hint="eastAsia" w:ascii="宋体" w:hAnsi="宋体" w:cs="宋体"/>
          <w:b w:val="0"/>
          <w:bCs/>
          <w:spacing w:val="-6"/>
          <w:sz w:val="24"/>
        </w:rPr>
        <w:t>优惠条件</w:t>
      </w:r>
      <w:r>
        <w:rPr>
          <w:rFonts w:hint="eastAsia" w:ascii="宋体" w:hAnsi="宋体" w:eastAsia="宋体" w:cs="宋体"/>
          <w:color w:val="auto"/>
          <w:highlight w:val="none"/>
          <w:lang w:eastAsia="zh-CN"/>
        </w:rPr>
        <w:t>；</w:t>
      </w:r>
    </w:p>
    <w:p>
      <w:pPr>
        <w:numPr>
          <w:ilvl w:val="0"/>
          <w:numId w:val="2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政府采购政策分</w:t>
      </w:r>
    </w:p>
    <w:p>
      <w:pPr>
        <w:numPr>
          <w:ilvl w:val="0"/>
          <w:numId w:val="2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其它本招标文件评分表要求提供的材料或投标人认为需要的其他技术文件资料或说明。</w:t>
      </w:r>
    </w:p>
    <w:p>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、投标报价</w:t>
      </w:r>
      <w:bookmarkEnd w:id="83"/>
    </w:p>
    <w:p>
      <w:pPr>
        <w:numPr>
          <w:ilvl w:val="0"/>
          <w:numId w:val="21"/>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投标报价是指一次性报出不得更改的价格；</w:t>
      </w:r>
    </w:p>
    <w:p>
      <w:pPr>
        <w:numPr>
          <w:ilvl w:val="0"/>
          <w:numId w:val="21"/>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投标人的报价中应包含货物的价格、损耗、运费、仓储、搬运、税费、初加工服务费、</w:t>
      </w:r>
      <w:r>
        <w:rPr>
          <w:rFonts w:hint="eastAsia" w:ascii="宋体" w:hAnsi="宋体" w:eastAsia="宋体" w:cs="宋体"/>
          <w:color w:val="auto"/>
          <w:highlight w:val="none"/>
          <w:lang w:val="en-US" w:eastAsia="zh-CN"/>
        </w:rPr>
        <w:t>质保</w:t>
      </w:r>
      <w:r>
        <w:rPr>
          <w:rFonts w:hint="eastAsia" w:ascii="宋体" w:hAnsi="宋体" w:eastAsia="宋体" w:cs="宋体"/>
          <w:color w:val="auto"/>
          <w:highlight w:val="none"/>
        </w:rPr>
        <w:t>期服务所需的全部费用及招标代理服务费所有费用，不再支付其他费用。</w:t>
      </w:r>
    </w:p>
    <w:p>
      <w:pPr>
        <w:pStyle w:val="6"/>
        <w:rPr>
          <w:rFonts w:hint="eastAsia" w:ascii="宋体" w:hAnsi="宋体" w:eastAsia="宋体" w:cs="宋体"/>
          <w:color w:val="auto"/>
          <w:sz w:val="24"/>
          <w:szCs w:val="24"/>
          <w:highlight w:val="none"/>
        </w:rPr>
      </w:pPr>
      <w:bookmarkStart w:id="88" w:name="_Toc25476"/>
      <w:bookmarkStart w:id="89" w:name="_Toc12521"/>
      <w:bookmarkStart w:id="90" w:name="_Toc1"/>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、投标文件的有效期</w:t>
      </w:r>
      <w:bookmarkEnd w:id="88"/>
    </w:p>
    <w:p>
      <w:pPr>
        <w:numPr>
          <w:ilvl w:val="0"/>
          <w:numId w:val="22"/>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投标文件有效期按“供应商须知前附表”规定，投标文件应在该有效期内保持有效。合同签订后，投标文件作为合同附件，投标文件有效期同合同有效期。</w:t>
      </w:r>
    </w:p>
    <w:p>
      <w:pPr>
        <w:numPr>
          <w:ilvl w:val="0"/>
          <w:numId w:val="22"/>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在特殊情况下，采购人可与供应商协商延长投标文件有效期，这种要求和答复均应以书面形式进行。</w:t>
      </w:r>
    </w:p>
    <w:p>
      <w:pPr>
        <w:pStyle w:val="6"/>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投标文件的签署及规定</w:t>
      </w:r>
    </w:p>
    <w:p>
      <w:pPr>
        <w:numPr>
          <w:ilvl w:val="0"/>
          <w:numId w:val="23"/>
        </w:numPr>
        <w:ind w:left="0" w:leftChars="0" w:firstLine="400" w:firstLineChars="0"/>
        <w:rPr>
          <w:rFonts w:hint="eastAsia" w:ascii="宋体" w:hAnsi="宋体" w:eastAsia="宋体" w:cs="宋体"/>
          <w:color w:val="auto"/>
          <w:highlight w:val="none"/>
        </w:rPr>
      </w:pPr>
      <w:r>
        <w:rPr>
          <w:rFonts w:hint="eastAsia" w:ascii="宋体" w:hAnsi="宋体" w:eastAsia="宋体" w:cs="宋体"/>
          <w:color w:val="auto"/>
          <w:highlight w:val="none"/>
        </w:rPr>
        <w:t>投标人应按本招标文件规定的格式和顺序编制、装订投标文件，投标文件内容不完整、编排混乱导致投标文件被误读、漏读或者查找不到相关内容的，是投标人的责任。</w:t>
      </w:r>
    </w:p>
    <w:p>
      <w:pPr>
        <w:numPr>
          <w:ilvl w:val="0"/>
          <w:numId w:val="23"/>
        </w:numPr>
        <w:ind w:left="0" w:leftChars="0" w:firstLine="400" w:firstLineChars="0"/>
        <w:rPr>
          <w:rFonts w:hint="eastAsia" w:ascii="宋体" w:hAnsi="宋体" w:eastAsia="宋体" w:cs="宋体"/>
          <w:color w:val="auto"/>
          <w:highlight w:val="none"/>
        </w:rPr>
      </w:pPr>
      <w:r>
        <w:rPr>
          <w:rFonts w:hint="eastAsia" w:ascii="宋体" w:hAnsi="宋体" w:eastAsia="宋体" w:cs="宋体"/>
          <w:color w:val="auto"/>
          <w:highlight w:val="none"/>
        </w:rPr>
        <w:t>▲活页装订（卡条、抽杆夹、订书机、散装）的投标文件无效。</w:t>
      </w:r>
    </w:p>
    <w:p>
      <w:pPr>
        <w:numPr>
          <w:ilvl w:val="0"/>
          <w:numId w:val="23"/>
        </w:numPr>
        <w:ind w:left="0" w:leftChars="0" w:firstLine="400" w:firstLineChars="0"/>
        <w:rPr>
          <w:rFonts w:hint="eastAsia" w:ascii="宋体" w:hAnsi="宋体" w:eastAsia="宋体" w:cs="宋体"/>
          <w:color w:val="auto"/>
          <w:highlight w:val="none"/>
        </w:rPr>
      </w:pPr>
      <w:r>
        <w:rPr>
          <w:rFonts w:hint="eastAsia" w:ascii="宋体" w:hAnsi="宋体" w:eastAsia="宋体" w:cs="宋体"/>
          <w:color w:val="auto"/>
          <w:highlight w:val="none"/>
        </w:rPr>
        <w:t>投标文件的正本必须以不褪色的墨水填写或打印（（原件和复印件须加盖公章）），注明“正本”字样，副本可以是正本加盖公章后的复印件。</w:t>
      </w:r>
    </w:p>
    <w:p>
      <w:pPr>
        <w:numPr>
          <w:ilvl w:val="0"/>
          <w:numId w:val="23"/>
        </w:numPr>
        <w:ind w:left="0" w:leftChars="0" w:firstLine="400" w:firstLineChars="0"/>
        <w:rPr>
          <w:rFonts w:hint="eastAsia" w:ascii="宋体" w:hAnsi="宋体" w:eastAsia="宋体" w:cs="宋体"/>
          <w:color w:val="auto"/>
          <w:highlight w:val="none"/>
        </w:rPr>
      </w:pPr>
      <w:r>
        <w:rPr>
          <w:rFonts w:hint="eastAsia" w:ascii="宋体" w:hAnsi="宋体" w:eastAsia="宋体" w:cs="宋体"/>
          <w:color w:val="auto"/>
          <w:highlight w:val="none"/>
        </w:rPr>
        <w:t>投标文件须由投标人在规定位置盖章并由投标人代表签署，投标人应写全称。</w:t>
      </w:r>
    </w:p>
    <w:p>
      <w:pPr>
        <w:numPr>
          <w:ilvl w:val="0"/>
          <w:numId w:val="23"/>
        </w:numPr>
        <w:ind w:left="0" w:leftChars="0" w:firstLine="400" w:firstLineChars="0"/>
        <w:rPr>
          <w:rFonts w:hint="eastAsia" w:ascii="宋体" w:hAnsi="宋体" w:eastAsia="宋体" w:cs="宋体"/>
          <w:color w:val="auto"/>
          <w:highlight w:val="none"/>
        </w:rPr>
      </w:pPr>
      <w:r>
        <w:rPr>
          <w:rFonts w:hint="eastAsia" w:ascii="宋体" w:hAnsi="宋体" w:eastAsia="宋体" w:cs="宋体"/>
          <w:color w:val="auto"/>
          <w:highlight w:val="none"/>
        </w:rPr>
        <w:t>投标文件不得涂改，若有修改错漏处，须由投标人代表签字并加盖公章。投标文件因字迹潦草或表达不清所引起的后果由投标人负责。</w:t>
      </w:r>
    </w:p>
    <w:p>
      <w:pPr>
        <w:bidi w:val="0"/>
        <w:rPr>
          <w:rFonts w:hint="eastAsia" w:ascii="宋体" w:hAnsi="宋体" w:eastAsia="宋体" w:cs="宋体"/>
          <w:color w:val="auto"/>
          <w:highlight w:val="none"/>
        </w:rPr>
      </w:pPr>
    </w:p>
    <w:p>
      <w:pPr>
        <w:pStyle w:val="5"/>
        <w:bidi w:val="0"/>
        <w:ind w:left="0" w:leftChars="0" w:right="0" w:rightChars="0" w:firstLine="0" w:firstLineChars="0"/>
        <w:jc w:val="center"/>
        <w:rPr>
          <w:rFonts w:hint="eastAsia" w:ascii="宋体" w:hAnsi="宋体" w:eastAsia="宋体" w:cs="宋体"/>
          <w:color w:val="auto"/>
          <w:highlight w:val="none"/>
        </w:rPr>
      </w:pPr>
      <w:bookmarkStart w:id="91" w:name="_Toc22584"/>
      <w:bookmarkStart w:id="92" w:name="_Toc7245"/>
      <w:r>
        <w:rPr>
          <w:rFonts w:hint="eastAsia" w:ascii="宋体" w:hAnsi="宋体" w:eastAsia="宋体" w:cs="宋体"/>
          <w:color w:val="auto"/>
          <w:highlight w:val="none"/>
        </w:rPr>
        <w:t>第四节 投标文件的递交</w:t>
      </w:r>
      <w:bookmarkEnd w:id="89"/>
      <w:bookmarkEnd w:id="90"/>
      <w:bookmarkEnd w:id="91"/>
      <w:bookmarkEnd w:id="92"/>
    </w:p>
    <w:p>
      <w:pPr>
        <w:pStyle w:val="6"/>
        <w:bidi w:val="0"/>
        <w:rPr>
          <w:rFonts w:hint="eastAsia" w:ascii="宋体" w:hAnsi="宋体" w:eastAsia="宋体" w:cs="宋体"/>
          <w:color w:val="auto"/>
          <w:highlight w:val="none"/>
        </w:rPr>
      </w:pPr>
      <w:bookmarkStart w:id="93" w:name="_Toc20835"/>
      <w:bookmarkStart w:id="94" w:name="_Toc27893"/>
      <w:r>
        <w:rPr>
          <w:rFonts w:hint="eastAsia" w:ascii="宋体" w:hAnsi="宋体" w:eastAsia="宋体" w:cs="宋体"/>
          <w:color w:val="auto"/>
          <w:highlight w:val="none"/>
        </w:rPr>
        <w:t>一、投标文件的密封及标记</w:t>
      </w:r>
    </w:p>
    <w:p>
      <w:pPr>
        <w:ind w:firstLine="480"/>
        <w:rPr>
          <w:rFonts w:hint="eastAsia" w:ascii="宋体" w:hAnsi="宋体" w:eastAsia="宋体" w:cs="宋体"/>
          <w:color w:val="auto"/>
          <w:spacing w:val="-6"/>
          <w:szCs w:val="21"/>
          <w:highlight w:val="none"/>
        </w:rPr>
      </w:pPr>
      <w:r>
        <w:rPr>
          <w:rFonts w:hint="eastAsia" w:ascii="宋体" w:hAnsi="宋体" w:eastAsia="宋体" w:cs="宋体"/>
          <w:color w:val="auto"/>
          <w:highlight w:val="none"/>
        </w:rPr>
        <w:t>1.将全部投标文件（资格证明文件、报价文件、商务技术文件三部分）分别包装。</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2.投标文件（资格证明文件、商务技术文件、报价文件）应按以下方法分别装袋密封：</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相同部分的投标文件密封袋内装投标文件正副本。外层封皮上写明采购人名称、招标编号、招标项目名称、投标文件名称</w:t>
      </w:r>
      <w:r>
        <w:rPr>
          <w:rFonts w:hint="eastAsia" w:ascii="宋体" w:hAnsi="宋体" w:eastAsia="宋体" w:cs="宋体"/>
          <w:color w:val="auto"/>
          <w:spacing w:val="-6"/>
          <w:szCs w:val="21"/>
          <w:highlight w:val="none"/>
        </w:rPr>
        <w:t>（资格证明文件、报价文件、商务技术文件）</w:t>
      </w:r>
      <w:r>
        <w:rPr>
          <w:rFonts w:hint="eastAsia" w:ascii="宋体" w:hAnsi="宋体" w:eastAsia="宋体" w:cs="宋体"/>
          <w:color w:val="auto"/>
          <w:highlight w:val="none"/>
        </w:rPr>
        <w:t>、投标方名称、投标方地址、投标方授权代表签字及日期并注明“</w:t>
      </w:r>
      <w:r>
        <w:rPr>
          <w:rFonts w:hint="eastAsia" w:ascii="宋体" w:hAnsi="宋体" w:eastAsia="宋体" w:cs="宋体"/>
          <w:bCs/>
          <w:color w:val="auto"/>
          <w:spacing w:val="-6"/>
          <w:highlight w:val="none"/>
        </w:rPr>
        <w:t>在    年  月  日  时  分之前不得启封</w:t>
      </w:r>
      <w:r>
        <w:rPr>
          <w:rFonts w:hint="eastAsia" w:ascii="宋体" w:hAnsi="宋体" w:eastAsia="宋体" w:cs="宋体"/>
          <w:color w:val="auto"/>
          <w:highlight w:val="none"/>
        </w:rPr>
        <w:t>”字样。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3.商务技术文件密封袋内含</w:t>
      </w:r>
      <w:r>
        <w:rPr>
          <w:rFonts w:hint="eastAsia" w:ascii="宋体" w:hAnsi="宋体" w:eastAsia="宋体" w:cs="宋体"/>
          <w:b/>
          <w:bCs/>
          <w:color w:val="auto"/>
          <w:highlight w:val="none"/>
        </w:rPr>
        <w:t>电子文档</w:t>
      </w:r>
      <w:r>
        <w:rPr>
          <w:rFonts w:hint="eastAsia" w:ascii="宋体" w:hAnsi="宋体" w:eastAsia="宋体" w:cs="宋体"/>
          <w:color w:val="auto"/>
          <w:highlight w:val="none"/>
        </w:rPr>
        <w:t>一份。</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4.如果投标方未按上述要求密封及加写标记，招标方对投标文件的误投和提前启封概不负责。</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5.投标文件必须在投标截止时间前派人送达到指定的投标地点，在投标截止时间以后送达的投标文件或者未按照招标文件要求密封的投标文件，招标方拒绝接收。</w:t>
      </w:r>
    </w:p>
    <w:p>
      <w:pPr>
        <w:pStyle w:val="6"/>
        <w:rPr>
          <w:rFonts w:hint="eastAsia" w:ascii="宋体" w:hAnsi="宋体" w:eastAsia="宋体" w:cs="宋体"/>
          <w:color w:val="auto"/>
          <w:highlight w:val="none"/>
        </w:rPr>
      </w:pPr>
      <w:r>
        <w:rPr>
          <w:rFonts w:hint="eastAsia" w:ascii="宋体" w:hAnsi="宋体" w:eastAsia="宋体" w:cs="宋体"/>
          <w:color w:val="auto"/>
          <w:highlight w:val="none"/>
        </w:rPr>
        <w:t>二、投标文件的补充、修改或撤回</w:t>
      </w:r>
    </w:p>
    <w:p>
      <w:pPr>
        <w:numPr>
          <w:ilvl w:val="0"/>
          <w:numId w:val="24"/>
        </w:numPr>
        <w:ind w:left="0" w:leftChars="0" w:firstLine="400" w:firstLineChars="0"/>
        <w:rPr>
          <w:rFonts w:hint="eastAsia" w:ascii="宋体" w:hAnsi="宋体" w:eastAsia="宋体" w:cs="宋体"/>
          <w:color w:val="auto"/>
          <w:highlight w:val="none"/>
        </w:rPr>
      </w:pPr>
      <w:r>
        <w:rPr>
          <w:rFonts w:hint="eastAsia" w:ascii="宋体" w:hAnsi="宋体" w:eastAsia="宋体" w:cs="宋体"/>
          <w:color w:val="auto"/>
          <w:highlight w:val="none"/>
        </w:rPr>
        <w:t>投标以后，如果投标方在投标截止时间前提出补充、修改或撤回要求，必须提供有法人代表或全权代表签署的要求撤回投标的正式文件，本招标代理公司将予以接受。</w:t>
      </w:r>
    </w:p>
    <w:p>
      <w:pPr>
        <w:numPr>
          <w:ilvl w:val="0"/>
          <w:numId w:val="24"/>
        </w:numPr>
        <w:ind w:left="0" w:leftChars="0" w:firstLine="400" w:firstLineChars="0"/>
        <w:rPr>
          <w:rFonts w:hint="eastAsia" w:ascii="宋体" w:hAnsi="宋体" w:eastAsia="宋体" w:cs="宋体"/>
          <w:color w:val="auto"/>
          <w:highlight w:val="none"/>
        </w:rPr>
      </w:pPr>
      <w:r>
        <w:rPr>
          <w:rFonts w:hint="eastAsia" w:ascii="宋体" w:hAnsi="宋体" w:eastAsia="宋体" w:cs="宋体"/>
          <w:color w:val="auto"/>
          <w:highlight w:val="none"/>
        </w:rPr>
        <w:t>投标方修改投标文件的书面村料，须密封送达招标方，同时应在封套上标明“修改投标文件（并注明招标编号）”和“在    年  月  日  时  分之前不得启封”字样。</w:t>
      </w:r>
    </w:p>
    <w:p>
      <w:pPr>
        <w:numPr>
          <w:ilvl w:val="0"/>
          <w:numId w:val="24"/>
        </w:numPr>
        <w:ind w:left="0" w:leftChars="0" w:firstLine="400" w:firstLineChars="0"/>
        <w:rPr>
          <w:rFonts w:hint="eastAsia" w:ascii="宋体" w:hAnsi="宋体" w:eastAsia="宋体" w:cs="宋体"/>
          <w:color w:val="auto"/>
          <w:highlight w:val="none"/>
        </w:rPr>
      </w:pPr>
      <w:r>
        <w:rPr>
          <w:rFonts w:hint="eastAsia" w:ascii="宋体" w:hAnsi="宋体" w:eastAsia="宋体" w:cs="宋体"/>
          <w:color w:val="auto"/>
          <w:highlight w:val="none"/>
        </w:rPr>
        <w:t>开标后投标方不得撤回投标，投标文件不予退还。</w:t>
      </w:r>
    </w:p>
    <w:p>
      <w:pPr>
        <w:pStyle w:val="12"/>
        <w:rPr>
          <w:rFonts w:hint="eastAsia" w:ascii="宋体" w:hAnsi="宋体" w:eastAsia="宋体" w:cs="宋体"/>
          <w:color w:val="auto"/>
          <w:highlight w:val="none"/>
        </w:rPr>
      </w:pPr>
    </w:p>
    <w:p>
      <w:pPr>
        <w:pStyle w:val="5"/>
        <w:bidi w:val="0"/>
        <w:ind w:left="0" w:leftChars="0" w:right="0" w:rightChars="0" w:firstLine="0" w:firstLineChars="0"/>
        <w:jc w:val="center"/>
        <w:rPr>
          <w:rFonts w:hint="eastAsia" w:ascii="宋体" w:hAnsi="宋体" w:eastAsia="宋体" w:cs="宋体"/>
          <w:color w:val="auto"/>
          <w:highlight w:val="none"/>
        </w:rPr>
      </w:pPr>
      <w:bookmarkStart w:id="95" w:name="_Toc23575"/>
      <w:bookmarkStart w:id="96" w:name="_Toc11276"/>
      <w:r>
        <w:rPr>
          <w:rFonts w:hint="eastAsia" w:ascii="宋体" w:hAnsi="宋体" w:eastAsia="宋体" w:cs="宋体"/>
          <w:color w:val="auto"/>
          <w:highlight w:val="none"/>
        </w:rPr>
        <w:t>第五节 开标</w:t>
      </w:r>
      <w:bookmarkEnd w:id="93"/>
      <w:bookmarkEnd w:id="94"/>
      <w:bookmarkEnd w:id="95"/>
      <w:bookmarkEnd w:id="96"/>
    </w:p>
    <w:p>
      <w:pPr>
        <w:pStyle w:val="6"/>
        <w:bidi w:val="0"/>
        <w:rPr>
          <w:rFonts w:hint="eastAsia" w:ascii="宋体" w:hAnsi="宋体" w:eastAsia="宋体" w:cs="宋体"/>
          <w:color w:val="auto"/>
          <w:sz w:val="24"/>
          <w:szCs w:val="24"/>
          <w:highlight w:val="none"/>
        </w:rPr>
      </w:pPr>
      <w:bookmarkStart w:id="97" w:name="_Toc13980"/>
      <w:bookmarkStart w:id="98" w:name="_Toc13357"/>
      <w:bookmarkStart w:id="99" w:name="_Toc13687"/>
      <w:r>
        <w:rPr>
          <w:rFonts w:hint="eastAsia" w:ascii="宋体" w:hAnsi="宋体" w:eastAsia="宋体" w:cs="宋体"/>
          <w:color w:val="auto"/>
          <w:highlight w:val="none"/>
        </w:rPr>
        <w:t>一、开标流程</w:t>
      </w:r>
      <w:bookmarkEnd w:id="97"/>
    </w:p>
    <w:p>
      <w:pPr>
        <w:bidi w:val="0"/>
        <w:rPr>
          <w:rFonts w:hint="eastAsia" w:ascii="宋体" w:hAnsi="宋体" w:eastAsia="宋体" w:cs="宋体"/>
          <w:color w:val="auto"/>
          <w:highlight w:val="none"/>
        </w:rPr>
      </w:pPr>
      <w:r>
        <w:rPr>
          <w:rFonts w:hint="eastAsia" w:ascii="宋体" w:hAnsi="宋体" w:eastAsia="宋体" w:cs="宋体"/>
          <w:color w:val="auto"/>
          <w:highlight w:val="none"/>
        </w:rPr>
        <w:t>1.采购代理机构将按照采购公告规定的时间、地点组织开标，开标原则上采取先拆封商务和技术文件、商务技术评审后拆封报价文件的顺序进行。具体按以下程序进行。</w:t>
      </w:r>
    </w:p>
    <w:p>
      <w:pPr>
        <w:bidi w:val="0"/>
        <w:rPr>
          <w:rFonts w:hint="eastAsia" w:ascii="宋体" w:hAnsi="宋体" w:eastAsia="宋体" w:cs="宋体"/>
          <w:color w:val="auto"/>
          <w:highlight w:val="none"/>
        </w:rPr>
      </w:pPr>
      <w:r>
        <w:rPr>
          <w:rFonts w:hint="eastAsia" w:ascii="宋体" w:hAnsi="宋体" w:eastAsia="宋体" w:cs="宋体"/>
          <w:color w:val="auto"/>
          <w:highlight w:val="none"/>
        </w:rPr>
        <w:t>（1）采购代理机构开启开标场地的录音录像采集设备，并确保其正常运行。接着将核验出席开标活动现场的各投标人法定代表人或其授权代表及相关单位人员身份，并组织其分别登记、签到，无关人员不得进入现场。各投标人法定代表人或其授权代表应准时参加，携带本人身份证原件，投标文件中按要求提供法定代表人授权书。投标人如不派代表参加开标大会的，</w:t>
      </w:r>
      <w:r>
        <w:rPr>
          <w:rFonts w:hint="eastAsia" w:ascii="宋体" w:hAnsi="宋体" w:eastAsia="宋体" w:cs="宋体"/>
          <w:color w:val="auto"/>
          <w:sz w:val="24"/>
          <w:szCs w:val="24"/>
        </w:rPr>
        <w:t>视为自动放弃开标监督权利，认可开标结果</w:t>
      </w:r>
      <w:r>
        <w:rPr>
          <w:rFonts w:hint="eastAsia" w:ascii="宋体" w:hAnsi="宋体" w:eastAsia="宋体" w:cs="宋体"/>
          <w:color w:val="auto"/>
          <w:sz w:val="24"/>
          <w:szCs w:val="24"/>
          <w:lang w:eastAsia="zh-CN"/>
        </w:rPr>
        <w:t>，</w:t>
      </w:r>
      <w:r>
        <w:rPr>
          <w:rFonts w:hint="eastAsia" w:ascii="宋体" w:hAnsi="宋体" w:eastAsia="宋体" w:cs="宋体"/>
          <w:color w:val="auto"/>
          <w:highlight w:val="none"/>
        </w:rPr>
        <w:t>事后不得对采购相关人员、开标过程和开标结果提出异议。</w:t>
      </w:r>
    </w:p>
    <w:p>
      <w:pPr>
        <w:bidi w:val="0"/>
        <w:rPr>
          <w:rFonts w:hint="eastAsia" w:ascii="宋体" w:hAnsi="宋体" w:eastAsia="宋体" w:cs="宋体"/>
          <w:color w:val="auto"/>
          <w:highlight w:val="none"/>
        </w:rPr>
      </w:pPr>
      <w:r>
        <w:rPr>
          <w:rFonts w:hint="eastAsia" w:ascii="宋体" w:hAnsi="宋体" w:eastAsia="宋体" w:cs="宋体"/>
          <w:color w:val="auto"/>
          <w:highlight w:val="none"/>
        </w:rPr>
        <w:t>（2）采购代理机构接收投标文件并登记，各投标人法定代表人或其授权代表对投标文件的递交记录情况进行签字确认。没有整体密封包装的投标文件，将被当场拒绝。</w:t>
      </w:r>
    </w:p>
    <w:p>
      <w:pPr>
        <w:bidi w:val="0"/>
        <w:rPr>
          <w:rFonts w:hint="eastAsia" w:ascii="宋体" w:hAnsi="宋体" w:eastAsia="宋体" w:cs="宋体"/>
          <w:color w:val="auto"/>
          <w:highlight w:val="none"/>
        </w:rPr>
      </w:pPr>
      <w:r>
        <w:rPr>
          <w:rFonts w:hint="eastAsia" w:ascii="宋体" w:hAnsi="宋体" w:eastAsia="宋体" w:cs="宋体"/>
          <w:color w:val="auto"/>
          <w:highlight w:val="none"/>
        </w:rPr>
        <w:t>（3）采购代理机构宣布开标，介绍开标现场的人员情况，宣读递交投标文件的投标人名单、开标纪律、应当回避的情形等注意事项，组织各投标人法定代表人或其授权代表签署不存在影响公平竞争的《采购活动现场确认声明书》。</w:t>
      </w:r>
    </w:p>
    <w:p>
      <w:pPr>
        <w:bidi w:val="0"/>
        <w:rPr>
          <w:rFonts w:hint="eastAsia" w:ascii="宋体" w:hAnsi="宋体" w:eastAsia="宋体" w:cs="宋体"/>
          <w:color w:val="auto"/>
          <w:highlight w:val="none"/>
        </w:rPr>
      </w:pPr>
      <w:r>
        <w:rPr>
          <w:rFonts w:hint="eastAsia" w:ascii="宋体" w:hAnsi="宋体" w:eastAsia="宋体" w:cs="宋体"/>
          <w:color w:val="auto"/>
          <w:highlight w:val="none"/>
        </w:rPr>
        <w:t>（4）请投标人或者其推选的代表查验投标文件密封情况。</w:t>
      </w:r>
    </w:p>
    <w:p>
      <w:pPr>
        <w:bidi w:val="0"/>
        <w:rPr>
          <w:rFonts w:hint="eastAsia" w:ascii="宋体" w:hAnsi="宋体" w:eastAsia="宋体" w:cs="宋体"/>
          <w:color w:val="auto"/>
          <w:highlight w:val="none"/>
        </w:rPr>
      </w:pPr>
      <w:r>
        <w:rPr>
          <w:rFonts w:hint="eastAsia" w:ascii="宋体" w:hAnsi="宋体" w:eastAsia="宋体" w:cs="宋体"/>
          <w:color w:val="auto"/>
          <w:highlight w:val="none"/>
        </w:rPr>
        <w:t>（5）开标时，按投标人提交投标文件的登记顺序当众拆封、清点投标文件（包括正本、副本）数量，将其中密封的报价文件集中等候拆封。采购代理机构对供应商资格证明文件进行查验、核实，应当由投标人或者其推选的代表检查投标文件的密封情况。资格证明文件审查不通过的，不再进行商务技术文件、报价文件的评审。并退还其他投标文件。</w:t>
      </w:r>
    </w:p>
    <w:p>
      <w:pPr>
        <w:bidi w:val="0"/>
        <w:rPr>
          <w:rFonts w:hint="eastAsia" w:ascii="宋体" w:hAnsi="宋体" w:eastAsia="宋体" w:cs="宋体"/>
          <w:color w:val="auto"/>
          <w:highlight w:val="none"/>
        </w:rPr>
      </w:pPr>
      <w:r>
        <w:rPr>
          <w:rFonts w:hint="eastAsia" w:ascii="宋体" w:hAnsi="宋体" w:eastAsia="宋体" w:cs="宋体"/>
          <w:color w:val="auto"/>
          <w:highlight w:val="none"/>
        </w:rPr>
        <w:t>（6）对资格审查通过的商务和技术文件由现场工作人员护送至指定的评审地点。对不符合装订要求的采购响应文件，由现场工作人员退还供应商代表。</w:t>
      </w:r>
    </w:p>
    <w:p>
      <w:pPr>
        <w:bidi w:val="0"/>
        <w:rPr>
          <w:rFonts w:hint="eastAsia" w:ascii="宋体" w:hAnsi="宋体" w:eastAsia="宋体" w:cs="宋体"/>
          <w:color w:val="auto"/>
          <w:highlight w:val="none"/>
        </w:rPr>
      </w:pPr>
      <w:r>
        <w:rPr>
          <w:rFonts w:hint="eastAsia" w:ascii="宋体" w:hAnsi="宋体" w:eastAsia="宋体" w:cs="宋体"/>
          <w:color w:val="auto"/>
          <w:highlight w:val="none"/>
        </w:rPr>
        <w:t>（7）商务和技术评审结束后，采购代理机构宣布商务和技术评审无效投标人名单及理由，无效投标人可收回未拆封的报价文件并签字确认；公布经商务和技术评审符合采购需求的投标人名单，采用综合评分法的，公布其商务和技术得分之和的情况。</w:t>
      </w:r>
    </w:p>
    <w:p>
      <w:pPr>
        <w:bidi w:val="0"/>
        <w:rPr>
          <w:rFonts w:hint="eastAsia" w:ascii="宋体" w:hAnsi="宋体" w:eastAsia="宋体" w:cs="宋体"/>
          <w:color w:val="auto"/>
          <w:highlight w:val="none"/>
        </w:rPr>
      </w:pPr>
      <w:r>
        <w:rPr>
          <w:rFonts w:hint="eastAsia" w:ascii="宋体" w:hAnsi="宋体" w:eastAsia="宋体" w:cs="宋体"/>
          <w:color w:val="auto"/>
          <w:highlight w:val="none"/>
        </w:rPr>
        <w:t>（8）采购代理机构拆封投标人报价文件，宣读《投标（开标）一览表》有关内容，同时当场制作并打印开标记录表，由各投标人法定代表人或其授权代表在开标记录表上签字确认（不予确认的应说明理由，否则视为无异议）。唱标结束后，采购代理机构将报价文件及开标记录表送至评审地点，由评标委员会对报价的合理性、准确性、有效性等进行审查核实。</w:t>
      </w:r>
    </w:p>
    <w:p>
      <w:pPr>
        <w:bidi w:val="0"/>
        <w:rPr>
          <w:rFonts w:hint="eastAsia" w:ascii="宋体" w:hAnsi="宋体" w:eastAsia="宋体" w:cs="宋体"/>
          <w:color w:val="auto"/>
          <w:highlight w:val="none"/>
        </w:rPr>
      </w:pPr>
      <w:r>
        <w:rPr>
          <w:rFonts w:hint="eastAsia" w:ascii="宋体" w:hAnsi="宋体" w:eastAsia="宋体" w:cs="宋体"/>
          <w:color w:val="auto"/>
          <w:highlight w:val="none"/>
        </w:rPr>
        <w:t>（9）评审结束后，采购代理机构公布中标候选人名单，及采购人最终确定中标人名单的时间和公告方式等。</w:t>
      </w:r>
    </w:p>
    <w:p>
      <w:pPr>
        <w:pStyle w:val="6"/>
        <w:rPr>
          <w:rFonts w:hint="eastAsia" w:ascii="宋体" w:hAnsi="宋体" w:eastAsia="宋体" w:cs="宋体"/>
          <w:color w:val="auto"/>
          <w:sz w:val="24"/>
          <w:szCs w:val="24"/>
          <w:highlight w:val="none"/>
        </w:rPr>
      </w:pPr>
      <w:bookmarkStart w:id="100" w:name="_Toc32572"/>
      <w:r>
        <w:rPr>
          <w:rFonts w:hint="eastAsia" w:ascii="宋体" w:hAnsi="宋体" w:eastAsia="宋体" w:cs="宋体"/>
          <w:color w:val="auto"/>
          <w:sz w:val="24"/>
          <w:szCs w:val="24"/>
          <w:highlight w:val="none"/>
        </w:rPr>
        <w:t>二、投标文件鉴定</w:t>
      </w:r>
      <w:bookmarkEnd w:id="100"/>
    </w:p>
    <w:p>
      <w:pPr>
        <w:numPr>
          <w:ilvl w:val="0"/>
          <w:numId w:val="25"/>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开标时，采购代理机构将对投标文件进行初步审查，检查投标书内容是否完整、文件签署是否规范以及投标人资格是否符合要求等。如投标文件被确认为无效，采购代理机构将及时通知该投标人。</w:t>
      </w:r>
    </w:p>
    <w:p>
      <w:pPr>
        <w:numPr>
          <w:ilvl w:val="0"/>
          <w:numId w:val="25"/>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如果投标文件实质上不响应招标文件的要求，采购代理机构及评标委员会将予以拒绝，并且不允许通过修正或撤消不符合要求的差异或保留，使之成为具有响应性的投标。</w:t>
      </w:r>
    </w:p>
    <w:p>
      <w:pPr>
        <w:numPr>
          <w:ilvl w:val="0"/>
          <w:numId w:val="25"/>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经开标后递交至评标委员会的投标文件，仍需接受相关符合性的检查，并有可能在评标过程中被判断为无效。</w:t>
      </w:r>
    </w:p>
    <w:p>
      <w:pPr>
        <w:bidi w:val="0"/>
        <w:rPr>
          <w:rFonts w:hint="eastAsia" w:ascii="宋体" w:hAnsi="宋体" w:eastAsia="宋体" w:cs="宋体"/>
          <w:color w:val="auto"/>
          <w:highlight w:val="none"/>
        </w:rPr>
      </w:pPr>
    </w:p>
    <w:p>
      <w:pPr>
        <w:pStyle w:val="5"/>
        <w:bidi w:val="0"/>
        <w:ind w:left="0" w:leftChars="0" w:right="0" w:rightChars="0" w:firstLine="0" w:firstLineChars="0"/>
        <w:jc w:val="center"/>
        <w:rPr>
          <w:rFonts w:hint="eastAsia" w:ascii="宋体" w:hAnsi="宋体" w:eastAsia="宋体" w:cs="宋体"/>
          <w:color w:val="auto"/>
          <w:highlight w:val="none"/>
        </w:rPr>
      </w:pPr>
      <w:bookmarkStart w:id="101" w:name="_Toc5955"/>
      <w:bookmarkStart w:id="102" w:name="_Toc21559"/>
      <w:r>
        <w:rPr>
          <w:rFonts w:hint="eastAsia" w:ascii="宋体" w:hAnsi="宋体" w:eastAsia="宋体" w:cs="宋体"/>
          <w:color w:val="auto"/>
          <w:highlight w:val="none"/>
        </w:rPr>
        <w:t>第六节 评标</w:t>
      </w:r>
      <w:bookmarkEnd w:id="98"/>
      <w:bookmarkEnd w:id="99"/>
      <w:bookmarkEnd w:id="101"/>
      <w:bookmarkEnd w:id="102"/>
    </w:p>
    <w:p>
      <w:pPr>
        <w:pStyle w:val="6"/>
        <w:bidi w:val="0"/>
        <w:rPr>
          <w:rFonts w:hint="eastAsia" w:ascii="宋体" w:hAnsi="宋体" w:eastAsia="宋体" w:cs="宋体"/>
          <w:color w:val="auto"/>
          <w:highlight w:val="none"/>
        </w:rPr>
      </w:pPr>
      <w:bookmarkStart w:id="103" w:name="_Toc19136"/>
      <w:r>
        <w:rPr>
          <w:rFonts w:hint="eastAsia" w:ascii="宋体" w:hAnsi="宋体" w:eastAsia="宋体" w:cs="宋体"/>
          <w:color w:val="auto"/>
          <w:highlight w:val="none"/>
        </w:rPr>
        <w:t>一、组建评标委员会</w:t>
      </w:r>
      <w:bookmarkEnd w:id="103"/>
    </w:p>
    <w:p>
      <w:pPr>
        <w:bidi w:val="0"/>
        <w:rPr>
          <w:rFonts w:hint="eastAsia" w:ascii="宋体" w:hAnsi="宋体" w:eastAsia="宋体" w:cs="宋体"/>
          <w:color w:val="auto"/>
          <w:highlight w:val="none"/>
        </w:rPr>
      </w:pPr>
      <w:r>
        <w:rPr>
          <w:rFonts w:hint="eastAsia" w:ascii="宋体" w:hAnsi="宋体" w:eastAsia="宋体" w:cs="宋体"/>
          <w:color w:val="auto"/>
          <w:highlight w:val="none"/>
        </w:rPr>
        <w:t>采购代理机构依法组建由5人及以上奇数的人员组成的评标委员会，负责对投标文件进行审查、质询、评审和比较等。评标委员会由采购人代表和政府采购咨询专家组成，其中政府采购咨询专家人数不少于成员总数的三分之二。评标委员会成员名单在招标结果确定之前依法保密。</w:t>
      </w:r>
    </w:p>
    <w:p>
      <w:pPr>
        <w:pStyle w:val="6"/>
        <w:rPr>
          <w:rFonts w:hint="eastAsia" w:ascii="宋体" w:hAnsi="宋体" w:eastAsia="宋体" w:cs="宋体"/>
          <w:color w:val="auto"/>
          <w:sz w:val="24"/>
          <w:szCs w:val="24"/>
          <w:highlight w:val="none"/>
        </w:rPr>
      </w:pPr>
      <w:bookmarkStart w:id="104" w:name="_Toc26177"/>
      <w:r>
        <w:rPr>
          <w:rFonts w:hint="eastAsia" w:ascii="宋体" w:hAnsi="宋体" w:eastAsia="宋体" w:cs="宋体"/>
          <w:color w:val="auto"/>
          <w:sz w:val="24"/>
          <w:szCs w:val="24"/>
          <w:highlight w:val="none"/>
        </w:rPr>
        <w:t>二、评标的方式</w:t>
      </w:r>
      <w:bookmarkEnd w:id="104"/>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本项目采用不公开方式评标，评标的依据为招标文件和投标文件。不考虑投标人在开标后提交的任何的补充声明、修正方案。</w:t>
      </w:r>
    </w:p>
    <w:p>
      <w:pPr>
        <w:pStyle w:val="6"/>
        <w:rPr>
          <w:rFonts w:hint="eastAsia" w:ascii="宋体" w:hAnsi="宋体" w:eastAsia="宋体" w:cs="宋体"/>
          <w:color w:val="auto"/>
          <w:sz w:val="24"/>
          <w:szCs w:val="24"/>
          <w:highlight w:val="none"/>
        </w:rPr>
      </w:pPr>
      <w:bookmarkStart w:id="105" w:name="_Toc14276"/>
      <w:r>
        <w:rPr>
          <w:rFonts w:hint="eastAsia" w:ascii="宋体" w:hAnsi="宋体" w:eastAsia="宋体" w:cs="宋体"/>
          <w:color w:val="auto"/>
          <w:sz w:val="24"/>
          <w:szCs w:val="24"/>
          <w:highlight w:val="none"/>
        </w:rPr>
        <w:t>三、评标原则</w:t>
      </w:r>
      <w:bookmarkEnd w:id="105"/>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评标严格按照招标文件的要求和条件，只依据投标内容本身，不依靠开标后的任何外来证明。以公开、公正、公平、效益的原则进行；比较报价，同时考虑以下因素；</w:t>
      </w:r>
    </w:p>
    <w:p>
      <w:pPr>
        <w:numPr>
          <w:ilvl w:val="0"/>
          <w:numId w:val="26"/>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价格合理，方案、产品先进、可靠。</w:t>
      </w:r>
    </w:p>
    <w:p>
      <w:pPr>
        <w:numPr>
          <w:ilvl w:val="0"/>
          <w:numId w:val="26"/>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经营信誉。</w:t>
      </w:r>
    </w:p>
    <w:p>
      <w:pPr>
        <w:numPr>
          <w:ilvl w:val="0"/>
          <w:numId w:val="26"/>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反对不正当竞争。</w:t>
      </w:r>
    </w:p>
    <w:p>
      <w:pPr>
        <w:pStyle w:val="6"/>
        <w:rPr>
          <w:rFonts w:hint="eastAsia" w:ascii="宋体" w:hAnsi="宋体" w:eastAsia="宋体" w:cs="宋体"/>
          <w:color w:val="auto"/>
          <w:sz w:val="24"/>
          <w:szCs w:val="24"/>
          <w:highlight w:val="none"/>
        </w:rPr>
      </w:pPr>
      <w:bookmarkStart w:id="106" w:name="_Toc17753"/>
      <w:r>
        <w:rPr>
          <w:rFonts w:hint="eastAsia" w:ascii="宋体" w:hAnsi="宋体" w:eastAsia="宋体" w:cs="宋体"/>
          <w:color w:val="auto"/>
          <w:sz w:val="24"/>
          <w:szCs w:val="24"/>
          <w:highlight w:val="none"/>
        </w:rPr>
        <w:t>四、评标程序</w:t>
      </w:r>
      <w:bookmarkEnd w:id="106"/>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采购代理机构按照招标文件规定的时间、地点及程序组织评审。评审活动一般应按以下程序组织开展：</w:t>
      </w:r>
    </w:p>
    <w:p>
      <w:pPr>
        <w:numPr>
          <w:ilvl w:val="0"/>
          <w:numId w:val="27"/>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开启评审场地的录音录像采集设备，并确保其正常运行。</w:t>
      </w:r>
    </w:p>
    <w:p>
      <w:pPr>
        <w:numPr>
          <w:ilvl w:val="0"/>
          <w:numId w:val="27"/>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核验出席评审活动现场的评标委员会各成员身份，并要求其分别登记、签到，按规定统一收缴、保存其通讯工具，无关人员一律拒绝其进入评审现场。</w:t>
      </w:r>
    </w:p>
    <w:p>
      <w:pPr>
        <w:numPr>
          <w:ilvl w:val="0"/>
          <w:numId w:val="27"/>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介绍评审现场的人员情况，宣布评审工作纪律，告知评标委员会应当回避情形；组织推选评标委员会组长。</w:t>
      </w:r>
    </w:p>
    <w:p>
      <w:pPr>
        <w:numPr>
          <w:ilvl w:val="0"/>
          <w:numId w:val="27"/>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通报报名参加本项目的投标人名单及资格预审情况（如有），宣读最终提交投标文件且通过资格审查的投标人名单，组织评标委员会各位成员签订《政府采购评审人员廉洁自律承诺书》。</w:t>
      </w:r>
    </w:p>
    <w:p>
      <w:pPr>
        <w:numPr>
          <w:ilvl w:val="0"/>
          <w:numId w:val="27"/>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numPr>
          <w:ilvl w:val="0"/>
          <w:numId w:val="27"/>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numPr>
          <w:ilvl w:val="0"/>
          <w:numId w:val="27"/>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做好评审现场相关记录，协助评标委员会组长做好评审报告起草、有关内容电脑文字录入等工作，并要求评标委员会各成员签字确认。</w:t>
      </w:r>
    </w:p>
    <w:p>
      <w:pPr>
        <w:numPr>
          <w:ilvl w:val="0"/>
          <w:numId w:val="27"/>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评审结束后，采购代理机构交还评审人员及其他现场相关人员的通讯工具。</w:t>
      </w:r>
    </w:p>
    <w:p>
      <w:pPr>
        <w:pStyle w:val="6"/>
        <w:rPr>
          <w:rFonts w:hint="eastAsia" w:ascii="宋体" w:hAnsi="宋体" w:eastAsia="宋体" w:cs="宋体"/>
          <w:color w:val="auto"/>
          <w:sz w:val="24"/>
          <w:szCs w:val="24"/>
          <w:highlight w:val="none"/>
        </w:rPr>
      </w:pPr>
      <w:bookmarkStart w:id="107" w:name="_Toc2991"/>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投标文件的澄清</w:t>
      </w:r>
      <w:bookmarkEnd w:id="107"/>
    </w:p>
    <w:p>
      <w:pPr>
        <w:numPr>
          <w:ilvl w:val="0"/>
          <w:numId w:val="28"/>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可要求供应商对投标文件中含义不明确、同类问题表述不一致、有明显的文字和计算错误的内容等进行澄清并做出书面答复。投标人必须按照采购代理机构通知的时间、地点派技术和商务人员进行答疑和澄清。</w:t>
      </w:r>
    </w:p>
    <w:p>
      <w:pPr>
        <w:numPr>
          <w:ilvl w:val="0"/>
          <w:numId w:val="28"/>
        </w:numPr>
        <w:ind w:left="0" w:leftChars="0"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投标人应对需要澄清的问题作书面回答，该书面回答应有投标人全权代表（或法定代表人）的签字（或盖章），书面澄清将作为投标内容的一部分</w:t>
      </w:r>
      <w:r>
        <w:rPr>
          <w:rFonts w:hint="eastAsia" w:ascii="宋体" w:hAnsi="宋体" w:eastAsia="宋体" w:cs="宋体"/>
          <w:color w:val="auto"/>
          <w:highlight w:val="none"/>
          <w:lang w:eastAsia="zh-CN"/>
        </w:rPr>
        <w:t>。</w:t>
      </w:r>
    </w:p>
    <w:p>
      <w:pPr>
        <w:numPr>
          <w:ilvl w:val="0"/>
          <w:numId w:val="28"/>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对投标文件的澄清不得超出投标文件的范围或者改变投标文件的实质性内容。否则，不予接受。</w:t>
      </w:r>
    </w:p>
    <w:p>
      <w:pPr>
        <w:numPr>
          <w:ilvl w:val="0"/>
          <w:numId w:val="28"/>
        </w:numPr>
        <w:ind w:left="0" w:leftChars="0"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标委员会认为供应商的报价明显低于其他通过符合性审查供应商的报价，有可能影响产品质量或者不能诚信履约的，应当要求其在30分钟内提供书面说明，必要时提交相关证明材料；供应商不能证明其报价合理性的，评标委员会应当将其作为无效投标处理。</w:t>
      </w:r>
    </w:p>
    <w:p>
      <w:pPr>
        <w:pStyle w:val="22"/>
        <w:rPr>
          <w:rFonts w:hint="eastAsia" w:ascii="宋体" w:hAnsi="宋体" w:eastAsia="宋体" w:cs="宋体"/>
          <w:color w:val="auto"/>
          <w:highlight w:val="none"/>
          <w:lang w:val="en-US" w:eastAsia="zh-CN"/>
        </w:rPr>
      </w:pPr>
    </w:p>
    <w:p>
      <w:pPr>
        <w:pStyle w:val="6"/>
        <w:rPr>
          <w:rFonts w:hint="eastAsia" w:ascii="宋体" w:hAnsi="宋体" w:eastAsia="宋体" w:cs="宋体"/>
          <w:color w:val="auto"/>
          <w:sz w:val="24"/>
          <w:szCs w:val="24"/>
          <w:highlight w:val="none"/>
          <w:lang w:val="en-US" w:eastAsia="zh-CN"/>
        </w:rPr>
      </w:pPr>
      <w:bookmarkStart w:id="108" w:name="_Toc19231"/>
      <w:r>
        <w:rPr>
          <w:rFonts w:hint="eastAsia" w:ascii="宋体" w:hAnsi="宋体" w:eastAsia="宋体" w:cs="宋体"/>
          <w:color w:val="auto"/>
          <w:sz w:val="24"/>
          <w:szCs w:val="24"/>
          <w:highlight w:val="none"/>
          <w:lang w:val="en-US" w:eastAsia="zh-CN"/>
        </w:rPr>
        <w:t>六、错误修正</w:t>
      </w:r>
      <w:bookmarkEnd w:id="108"/>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评标委员会将对确定为实质上响应采购文件要求的投标文件进行校核，看其在投标报价方面是否有计算、累计或表达上的错误，修正错误的原则及顺序如下：</w:t>
      </w:r>
    </w:p>
    <w:p>
      <w:pPr>
        <w:numPr>
          <w:ilvl w:val="0"/>
          <w:numId w:val="29"/>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投标文件中开标一览表（报价表）内容与投标文件中相应内容不一致的，以开标一览表（报价表）为准；</w:t>
      </w:r>
    </w:p>
    <w:p>
      <w:pPr>
        <w:numPr>
          <w:ilvl w:val="0"/>
          <w:numId w:val="29"/>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大写金额和小写金额不一致的，以大写金额为准；</w:t>
      </w:r>
    </w:p>
    <w:p>
      <w:pPr>
        <w:numPr>
          <w:ilvl w:val="0"/>
          <w:numId w:val="29"/>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单价金额小数点或者百分比有明显错位的，以开标一览表的总价为准，并修改单价；</w:t>
      </w:r>
    </w:p>
    <w:p>
      <w:pPr>
        <w:numPr>
          <w:ilvl w:val="0"/>
          <w:numId w:val="29"/>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总价金额与按单价汇总金额不一致的，以单价金额计算结果为准。</w:t>
      </w:r>
    </w:p>
    <w:p>
      <w:pPr>
        <w:numPr>
          <w:ilvl w:val="0"/>
          <w:numId w:val="29"/>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如投标文件中报价明细表分项价格或单价有遗报，应视作已含在投标总价中；其投标总价在评标过程中不予调整。其分项价或单价由评标委员会在投标总价不变的前提下根据合理的原则对其予以确定；</w:t>
      </w:r>
    </w:p>
    <w:p>
      <w:pPr>
        <w:numPr>
          <w:ilvl w:val="0"/>
          <w:numId w:val="29"/>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同时出现两种以上不一致的，按照前款规定的顺序修正。修正后的报价以澄清方式经供应商确认后产生约束力，供应商不确认的，其投标无效。</w:t>
      </w:r>
    </w:p>
    <w:p>
      <w:pPr>
        <w:pStyle w:val="6"/>
        <w:rPr>
          <w:rFonts w:hint="eastAsia" w:ascii="宋体" w:hAnsi="宋体" w:eastAsia="宋体" w:cs="宋体"/>
          <w:color w:val="auto"/>
          <w:sz w:val="24"/>
          <w:szCs w:val="24"/>
          <w:highlight w:val="none"/>
        </w:rPr>
      </w:pPr>
      <w:bookmarkStart w:id="109" w:name="_Toc30310"/>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、投标无效的情形</w:t>
      </w:r>
      <w:bookmarkEnd w:id="109"/>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（一）在符合性审查、商务和技术评审时，如发现下列情形之一的，投标文件将被视为无效：</w:t>
      </w:r>
    </w:p>
    <w:p>
      <w:pPr>
        <w:numPr>
          <w:ilvl w:val="0"/>
          <w:numId w:val="3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供应商提交两份或两份以上内容不同的投标方案，未声明哪一份有效的；</w:t>
      </w:r>
    </w:p>
    <w:p>
      <w:pPr>
        <w:numPr>
          <w:ilvl w:val="0"/>
          <w:numId w:val="3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投标文件非供应商法定代表人签署的，未提供或提供无效的法定代表人授权书；</w:t>
      </w:r>
    </w:p>
    <w:p>
      <w:pPr>
        <w:numPr>
          <w:ilvl w:val="0"/>
          <w:numId w:val="3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投标文件内容不全或内容字迹模糊辨认不清的等而导致评标活动无法正常进行；</w:t>
      </w:r>
    </w:p>
    <w:p>
      <w:pPr>
        <w:numPr>
          <w:ilvl w:val="0"/>
          <w:numId w:val="3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供应商未按采购文件变更通知更改投标文件的；</w:t>
      </w:r>
    </w:p>
    <w:p>
      <w:pPr>
        <w:numPr>
          <w:ilvl w:val="0"/>
          <w:numId w:val="3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未实质性响应采购文件中带“▲”条款要求的投标文件；</w:t>
      </w:r>
    </w:p>
    <w:p>
      <w:pPr>
        <w:numPr>
          <w:ilvl w:val="0"/>
          <w:numId w:val="3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投标有效期、交货期、质保期等商务条款不能满足招标文件要求的；</w:t>
      </w:r>
    </w:p>
    <w:p>
      <w:pPr>
        <w:numPr>
          <w:ilvl w:val="0"/>
          <w:numId w:val="3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投标文件附有采购人不能接受的条款；</w:t>
      </w:r>
    </w:p>
    <w:p>
      <w:pPr>
        <w:numPr>
          <w:ilvl w:val="0"/>
          <w:numId w:val="3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投标文件中提供了与采购无关的赠品、回扣或者其他商品、服务；</w:t>
      </w:r>
    </w:p>
    <w:p>
      <w:pPr>
        <w:numPr>
          <w:ilvl w:val="0"/>
          <w:numId w:val="3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供应商串通投标，妨碍其他供应商的竞争行为，损害采购人或者其他供应商的合法权益；</w:t>
      </w:r>
    </w:p>
    <w:p>
      <w:pPr>
        <w:numPr>
          <w:ilvl w:val="0"/>
          <w:numId w:val="30"/>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违反国家及政府部门相关法律、法规、文件规定或经评标委员会认定的其他属于重大偏离。</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（二）报价文件评审阶段：</w:t>
      </w:r>
    </w:p>
    <w:p>
      <w:pPr>
        <w:numPr>
          <w:ilvl w:val="0"/>
          <w:numId w:val="31"/>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供应商提交两份或两份以上内容不同的投标报价，未声明哪一份有效的；</w:t>
      </w:r>
    </w:p>
    <w:p>
      <w:pPr>
        <w:numPr>
          <w:ilvl w:val="0"/>
          <w:numId w:val="31"/>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《开标一览表》和《投标价格组成明细表》内容不完整且不接受修正意见或字迹不能辨认的或未提供；</w:t>
      </w:r>
    </w:p>
    <w:p>
      <w:pPr>
        <w:numPr>
          <w:ilvl w:val="0"/>
          <w:numId w:val="31"/>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所投标项的投标报价超过采购文件规定的预算金额或最高限价；</w:t>
      </w:r>
    </w:p>
    <w:p>
      <w:pPr>
        <w:numPr>
          <w:ilvl w:val="0"/>
          <w:numId w:val="31"/>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《开标一览表》投标报价为零的，或其报价（大写）无法按正常书写方式进行报价唱标的或无投标报价的；</w:t>
      </w:r>
    </w:p>
    <w:p>
      <w:pPr>
        <w:numPr>
          <w:ilvl w:val="0"/>
          <w:numId w:val="31"/>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投标报价</w:t>
      </w:r>
      <w:r>
        <w:rPr>
          <w:rFonts w:hint="eastAsia" w:ascii="宋体" w:hAnsi="宋体" w:eastAsia="宋体" w:cs="宋体"/>
          <w:color w:val="333333"/>
          <w:sz w:val="24"/>
          <w:szCs w:val="24"/>
          <w:highlight w:val="none"/>
        </w:rPr>
        <w:t>明显低于其他通过符合性审查投标人的报价，有可能影响产品质量或者不能诚信履约的</w:t>
      </w:r>
      <w:r>
        <w:rPr>
          <w:rFonts w:hint="eastAsia" w:ascii="宋体" w:hAnsi="宋体" w:eastAsia="宋体" w:cs="宋体"/>
          <w:color w:val="auto"/>
          <w:highlight w:val="none"/>
        </w:rPr>
        <w:t>，且在规定时间内不能合理说明原因并提供证明材料的；</w:t>
      </w:r>
    </w:p>
    <w:p>
      <w:pPr>
        <w:numPr>
          <w:ilvl w:val="0"/>
          <w:numId w:val="31"/>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投标文件内容不全或内容字迹模糊辨认不清的等而导致评标活动无法正常进行；</w:t>
      </w:r>
    </w:p>
    <w:p>
      <w:pPr>
        <w:numPr>
          <w:ilvl w:val="0"/>
          <w:numId w:val="31"/>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采购人拟采购的产品属于政府强制采购的节能产品品目清单范围的，投标人未按招标文件要求提供国家确定的认证机构出具的、处于有效期之内的节能产品认证证书的；</w:t>
      </w:r>
    </w:p>
    <w:p>
      <w:pPr>
        <w:numPr>
          <w:ilvl w:val="0"/>
          <w:numId w:val="31"/>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投标有效期、交货期、质保期等商务条款不能满足招标文件要求的；</w:t>
      </w:r>
    </w:p>
    <w:p>
      <w:pPr>
        <w:numPr>
          <w:ilvl w:val="0"/>
          <w:numId w:val="31"/>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投标文件附有采购人不能接受的条款；</w:t>
      </w:r>
    </w:p>
    <w:p>
      <w:pPr>
        <w:numPr>
          <w:ilvl w:val="0"/>
          <w:numId w:val="31"/>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投标文件中提供了与采购无关的赠品、回扣或者其他商品、服务；</w:t>
      </w:r>
    </w:p>
    <w:p>
      <w:pPr>
        <w:numPr>
          <w:ilvl w:val="0"/>
          <w:numId w:val="31"/>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供应商串通投标，妨碍其他供应商的竞争行为，损害采购人或者其他供应商的合法权益；</w:t>
      </w:r>
    </w:p>
    <w:p>
      <w:pPr>
        <w:numPr>
          <w:ilvl w:val="0"/>
          <w:numId w:val="31"/>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违反国家及政府部门相关法律、法规、文件规定或经评标委员会认定的其他属于重大偏离。</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（三）有下列情形之一的，视为投标人串通投标，其投标无效，由采购人或采购代理机构上报政府采购监督管理部门，视情列入不良行为记录名单，在一至三年内禁止参加政府采购活动：</w:t>
      </w:r>
    </w:p>
    <w:p>
      <w:pPr>
        <w:numPr>
          <w:ilvl w:val="0"/>
          <w:numId w:val="32"/>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不同投标人的投标文件由同一单位或者个人编制；</w:t>
      </w:r>
    </w:p>
    <w:p>
      <w:pPr>
        <w:numPr>
          <w:ilvl w:val="0"/>
          <w:numId w:val="32"/>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不同投标人委托同一单位或者个人办理投标事宜；</w:t>
      </w:r>
    </w:p>
    <w:p>
      <w:pPr>
        <w:numPr>
          <w:ilvl w:val="0"/>
          <w:numId w:val="32"/>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不同投标人的投标文件载明的项目管理成员或者联系人员为同一人；</w:t>
      </w:r>
    </w:p>
    <w:p>
      <w:pPr>
        <w:numPr>
          <w:ilvl w:val="0"/>
          <w:numId w:val="32"/>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不同投标人的投标文件异常一致或者投标报价呈规律性差异；</w:t>
      </w:r>
    </w:p>
    <w:p>
      <w:pPr>
        <w:numPr>
          <w:ilvl w:val="0"/>
          <w:numId w:val="32"/>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不同投标人的投标文件相互混装；</w:t>
      </w:r>
    </w:p>
    <w:p>
      <w:pPr>
        <w:keepNext w:val="0"/>
        <w:keepLines w:val="0"/>
        <w:pageBreakBefore w:val="0"/>
        <w:widowControl/>
        <w:numPr>
          <w:ilvl w:val="0"/>
          <w:numId w:val="32"/>
        </w:numP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不同投标人的投标保证金从同一单位或者个人的账户转出。</w:t>
      </w:r>
    </w:p>
    <w:p>
      <w:pPr>
        <w:pStyle w:val="6"/>
        <w:rPr>
          <w:rFonts w:hint="eastAsia" w:ascii="宋体" w:hAnsi="宋体" w:eastAsia="宋体" w:cs="宋体"/>
          <w:color w:val="auto"/>
          <w:sz w:val="24"/>
          <w:szCs w:val="24"/>
          <w:highlight w:val="none"/>
        </w:rPr>
      </w:pPr>
      <w:bookmarkStart w:id="110" w:name="_Toc5376"/>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、投标品牌认定（依据《财政部令第87号》）（本项目不适用）</w:t>
      </w:r>
      <w:bookmarkEnd w:id="110"/>
    </w:p>
    <w:p>
      <w:pPr>
        <w:numPr>
          <w:ilvl w:val="0"/>
          <w:numId w:val="33"/>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numPr>
          <w:ilvl w:val="0"/>
          <w:numId w:val="33"/>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评审得分相同的，由采购人或者采购人委托评标委员会按照招标文件规定的方式确定一个投标人获得中标人推荐资格，招标文件未规定的采取随机抽取方式确定，其他同品牌投标人不作为中标候选人。</w:t>
      </w:r>
    </w:p>
    <w:p>
      <w:pPr>
        <w:numPr>
          <w:ilvl w:val="0"/>
          <w:numId w:val="33"/>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非单一产品采购项目，采购人应当根据采购项目技术构成、产品价格比重等合理确定核心产品，并在招标文件中载明。多家投标人提供的核心产品品牌相同的，按前两款规定处理。</w:t>
      </w:r>
    </w:p>
    <w:p>
      <w:pPr>
        <w:pStyle w:val="6"/>
        <w:rPr>
          <w:rFonts w:hint="eastAsia" w:ascii="宋体" w:hAnsi="宋体" w:eastAsia="宋体" w:cs="宋体"/>
          <w:color w:val="auto"/>
          <w:sz w:val="24"/>
          <w:szCs w:val="24"/>
          <w:highlight w:val="none"/>
        </w:rPr>
      </w:pPr>
      <w:bookmarkStart w:id="111" w:name="_Toc85"/>
      <w:r>
        <w:rPr>
          <w:rFonts w:hint="eastAsia" w:ascii="宋体" w:hAnsi="宋体" w:eastAsia="宋体" w:cs="宋体"/>
          <w:color w:val="auto"/>
          <w:sz w:val="24"/>
          <w:szCs w:val="24"/>
          <w:highlight w:val="none"/>
        </w:rPr>
        <w:t>九、评标办法</w:t>
      </w:r>
      <w:bookmarkEnd w:id="111"/>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本项目评标办法是综合评分法，具体评标内容及评分标准等详见《第四部分：评标办法及评</w:t>
      </w:r>
      <w:r>
        <w:rPr>
          <w:rFonts w:hint="eastAsia" w:ascii="宋体" w:hAnsi="宋体" w:eastAsia="宋体" w:cs="宋体"/>
          <w:color w:val="auto"/>
          <w:highlight w:val="none"/>
          <w:lang w:val="en-US" w:eastAsia="zh-CN"/>
        </w:rPr>
        <w:t>分</w:t>
      </w:r>
      <w:r>
        <w:rPr>
          <w:rFonts w:hint="eastAsia" w:ascii="宋体" w:hAnsi="宋体" w:eastAsia="宋体" w:cs="宋体"/>
          <w:color w:val="auto"/>
          <w:highlight w:val="none"/>
        </w:rPr>
        <w:t>标准》。</w:t>
      </w:r>
    </w:p>
    <w:p>
      <w:pPr>
        <w:bidi w:val="0"/>
        <w:rPr>
          <w:rFonts w:hint="eastAsia" w:ascii="宋体" w:hAnsi="宋体" w:eastAsia="宋体" w:cs="宋体"/>
          <w:color w:val="auto"/>
          <w:highlight w:val="none"/>
        </w:rPr>
      </w:pPr>
    </w:p>
    <w:p>
      <w:pPr>
        <w:pStyle w:val="5"/>
        <w:jc w:val="center"/>
        <w:rPr>
          <w:rFonts w:hint="eastAsia" w:ascii="宋体" w:hAnsi="宋体" w:eastAsia="宋体" w:cs="宋体"/>
          <w:color w:val="auto"/>
          <w:highlight w:val="none"/>
        </w:rPr>
      </w:pPr>
      <w:bookmarkStart w:id="112" w:name="_Toc15663"/>
      <w:bookmarkStart w:id="113" w:name="_Toc12192"/>
      <w:bookmarkStart w:id="114" w:name="_Toc31535"/>
      <w:bookmarkStart w:id="115" w:name="_Toc24239"/>
      <w:r>
        <w:rPr>
          <w:rFonts w:hint="eastAsia" w:ascii="宋体" w:hAnsi="宋体" w:eastAsia="宋体" w:cs="宋体"/>
          <w:color w:val="auto"/>
          <w:highlight w:val="none"/>
        </w:rPr>
        <w:t>第七节 授予合同</w:t>
      </w:r>
      <w:bookmarkEnd w:id="112"/>
      <w:bookmarkEnd w:id="113"/>
      <w:bookmarkEnd w:id="114"/>
      <w:bookmarkEnd w:id="115"/>
    </w:p>
    <w:p>
      <w:pPr>
        <w:pStyle w:val="6"/>
        <w:rPr>
          <w:rFonts w:hint="eastAsia" w:ascii="宋体" w:hAnsi="宋体" w:eastAsia="宋体" w:cs="宋体"/>
          <w:color w:val="auto"/>
          <w:sz w:val="24"/>
          <w:szCs w:val="24"/>
          <w:highlight w:val="none"/>
        </w:rPr>
      </w:pPr>
      <w:bookmarkStart w:id="116" w:name="_Toc14799"/>
      <w:r>
        <w:rPr>
          <w:rFonts w:hint="eastAsia" w:ascii="宋体" w:hAnsi="宋体" w:eastAsia="宋体" w:cs="宋体"/>
          <w:color w:val="auto"/>
          <w:sz w:val="24"/>
          <w:szCs w:val="24"/>
          <w:highlight w:val="none"/>
        </w:rPr>
        <w:t>一、公告及定标</w:t>
      </w:r>
      <w:bookmarkEnd w:id="116"/>
    </w:p>
    <w:p>
      <w:pPr>
        <w:numPr>
          <w:ilvl w:val="0"/>
          <w:numId w:val="34"/>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采购代理机构自评审结束之日起2个工作日内将评审报告送交采购人。采购人收到评审报告之日起5个工作日内在评审报告推荐的中标候选人中按顺序确定中标供应商。</w:t>
      </w:r>
    </w:p>
    <w:p>
      <w:pPr>
        <w:numPr>
          <w:ilvl w:val="0"/>
          <w:numId w:val="34"/>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采购代理机构自中标供应商确定之日起2个工作日内，发出中标通知书，并在浙江政府采购网等相关网站或媒体上公告中标结果。中标公告期限为1个工作日。</w:t>
      </w:r>
    </w:p>
    <w:p>
      <w:pPr>
        <w:pStyle w:val="6"/>
        <w:rPr>
          <w:rFonts w:hint="eastAsia" w:ascii="宋体" w:hAnsi="宋体" w:eastAsia="宋体" w:cs="宋体"/>
          <w:color w:val="auto"/>
          <w:sz w:val="24"/>
          <w:szCs w:val="24"/>
          <w:highlight w:val="none"/>
        </w:rPr>
      </w:pPr>
      <w:bookmarkStart w:id="117" w:name="_Toc20286"/>
      <w:r>
        <w:rPr>
          <w:rFonts w:hint="eastAsia" w:ascii="宋体" w:hAnsi="宋体" w:eastAsia="宋体" w:cs="宋体"/>
          <w:color w:val="auto"/>
          <w:sz w:val="24"/>
          <w:szCs w:val="24"/>
          <w:highlight w:val="none"/>
        </w:rPr>
        <w:t>二、签订合同</w:t>
      </w:r>
      <w:bookmarkEnd w:id="117"/>
    </w:p>
    <w:p>
      <w:pPr>
        <w:numPr>
          <w:ilvl w:val="0"/>
          <w:numId w:val="35"/>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numPr>
          <w:ilvl w:val="0"/>
          <w:numId w:val="35"/>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招标文件，中标人的投标文件及评标过程中有关澄清文件均应作为合同附件。</w:t>
      </w:r>
    </w:p>
    <w:p>
      <w:pPr>
        <w:numPr>
          <w:ilvl w:val="0"/>
          <w:numId w:val="35"/>
        </w:numPr>
        <w:bidi w:val="0"/>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中标人拖延、拒签合同的,将被取消中标资格。</w:t>
      </w:r>
    </w:p>
    <w:p>
      <w:pPr>
        <w:pStyle w:val="5"/>
        <w:bidi w:val="0"/>
        <w:ind w:left="0" w:leftChars="0" w:right="0" w:rightChars="0" w:firstLine="0" w:firstLineChars="0"/>
        <w:jc w:val="center"/>
        <w:rPr>
          <w:rFonts w:hint="eastAsia" w:ascii="宋体" w:hAnsi="宋体" w:eastAsia="宋体" w:cs="宋体"/>
          <w:color w:val="auto"/>
          <w:highlight w:val="none"/>
        </w:rPr>
      </w:pPr>
      <w:bookmarkStart w:id="118" w:name="_Toc14481"/>
      <w:bookmarkStart w:id="119" w:name="_Toc15982"/>
      <w:bookmarkStart w:id="120" w:name="_Toc15220"/>
      <w:bookmarkStart w:id="121" w:name="_Toc12481"/>
      <w:r>
        <w:rPr>
          <w:rFonts w:hint="eastAsia" w:ascii="宋体" w:hAnsi="宋体" w:eastAsia="宋体" w:cs="宋体"/>
          <w:color w:val="auto"/>
          <w:highlight w:val="none"/>
        </w:rPr>
        <w:t>第八节 例外处理</w:t>
      </w:r>
      <w:bookmarkEnd w:id="118"/>
      <w:bookmarkEnd w:id="119"/>
      <w:bookmarkEnd w:id="120"/>
      <w:bookmarkEnd w:id="121"/>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投标截止时间结束后或评审过程中参加标项投标的供应商不足三家的，除采购任务取消情形外，采购人可选择以下方式之一处理：</w:t>
      </w:r>
    </w:p>
    <w:p>
      <w:pPr>
        <w:numPr>
          <w:ilvl w:val="0"/>
          <w:numId w:val="36"/>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可将本标项作废标处理，重新组织采购；</w:t>
      </w:r>
    </w:p>
    <w:p>
      <w:pPr>
        <w:numPr>
          <w:ilvl w:val="0"/>
          <w:numId w:val="36"/>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可按财政部门的审批意见采用其他采购方式组织采购。</w:t>
      </w:r>
    </w:p>
    <w:p>
      <w:pPr>
        <w:pStyle w:val="12"/>
        <w:rPr>
          <w:rFonts w:hint="eastAsia" w:ascii="宋体" w:hAnsi="宋体" w:eastAsia="宋体" w:cs="宋体"/>
          <w:color w:val="auto"/>
          <w:highlight w:val="none"/>
        </w:rPr>
      </w:pPr>
    </w:p>
    <w:p>
      <w:pPr>
        <w:pStyle w:val="12"/>
        <w:rPr>
          <w:rFonts w:hint="eastAsia" w:ascii="宋体" w:hAnsi="宋体" w:eastAsia="宋体" w:cs="宋体"/>
          <w:color w:val="auto"/>
          <w:highlight w:val="none"/>
        </w:rPr>
        <w:sectPr>
          <w:pgSz w:w="11906" w:h="16838"/>
          <w:pgMar w:top="1440" w:right="1080" w:bottom="1440" w:left="1080" w:header="850" w:footer="992" w:gutter="0"/>
          <w:pgBorders>
            <w:top w:val="none" w:color="auto" w:sz="0" w:space="0"/>
            <w:left w:val="none" w:color="auto" w:sz="0" w:space="0"/>
            <w:bottom w:val="none" w:color="auto" w:sz="0" w:space="0"/>
            <w:right w:val="none" w:color="auto" w:sz="0" w:space="0"/>
          </w:pgBorders>
          <w:cols w:space="720" w:num="1"/>
          <w:docGrid w:linePitch="381" w:charSpace="0"/>
        </w:sectPr>
      </w:pPr>
    </w:p>
    <w:p>
      <w:pPr>
        <w:pStyle w:val="4"/>
        <w:bidi w:val="0"/>
        <w:rPr>
          <w:rFonts w:hint="eastAsia" w:ascii="宋体" w:hAnsi="宋体" w:eastAsia="宋体" w:cs="宋体"/>
          <w:color w:val="auto"/>
          <w:highlight w:val="none"/>
        </w:rPr>
      </w:pPr>
      <w:bookmarkStart w:id="122" w:name="_Toc450840079"/>
      <w:bookmarkStart w:id="123" w:name="_Toc82873316"/>
      <w:bookmarkStart w:id="124" w:name="_Toc82338233"/>
      <w:bookmarkStart w:id="125" w:name="_Toc16410"/>
      <w:bookmarkStart w:id="126" w:name="_Toc21368"/>
      <w:r>
        <w:rPr>
          <w:rFonts w:hint="eastAsia" w:ascii="宋体" w:hAnsi="宋体" w:eastAsia="宋体" w:cs="宋体"/>
          <w:color w:val="auto"/>
          <w:highlight w:val="none"/>
        </w:rPr>
        <w:t xml:space="preserve">第四章 </w:t>
      </w:r>
      <w:bookmarkEnd w:id="122"/>
      <w:bookmarkEnd w:id="123"/>
      <w:bookmarkEnd w:id="124"/>
      <w:r>
        <w:rPr>
          <w:rFonts w:hint="eastAsia" w:ascii="宋体" w:hAnsi="宋体" w:eastAsia="宋体" w:cs="宋体"/>
          <w:color w:val="auto"/>
          <w:highlight w:val="none"/>
        </w:rPr>
        <w:t>评标办法及评分标准</w:t>
      </w:r>
      <w:bookmarkEnd w:id="125"/>
      <w:bookmarkEnd w:id="126"/>
    </w:p>
    <w:p>
      <w:pPr>
        <w:pStyle w:val="5"/>
        <w:bidi w:val="0"/>
        <w:rPr>
          <w:rFonts w:hint="eastAsia" w:ascii="宋体" w:hAnsi="宋体" w:eastAsia="宋体" w:cs="宋体"/>
          <w:color w:val="auto"/>
          <w:highlight w:val="none"/>
        </w:rPr>
      </w:pPr>
      <w:bookmarkStart w:id="127" w:name="_Toc3017"/>
      <w:bookmarkStart w:id="128" w:name="_Toc29775"/>
      <w:bookmarkStart w:id="129" w:name="_Toc3811"/>
      <w:bookmarkStart w:id="130" w:name="_Toc11391"/>
      <w:bookmarkStart w:id="131" w:name="_Toc3110"/>
      <w:bookmarkStart w:id="132" w:name="OLE_LINK3"/>
      <w:r>
        <w:rPr>
          <w:rFonts w:hint="eastAsia" w:ascii="宋体" w:hAnsi="宋体" w:eastAsia="宋体" w:cs="宋体"/>
          <w:color w:val="auto"/>
          <w:highlight w:val="none"/>
        </w:rPr>
        <w:t>一、评分总则</w:t>
      </w:r>
      <w:bookmarkEnd w:id="127"/>
      <w:bookmarkEnd w:id="128"/>
      <w:r>
        <w:rPr>
          <w:rFonts w:hint="eastAsia" w:ascii="宋体" w:hAnsi="宋体" w:eastAsia="宋体" w:cs="宋体"/>
          <w:color w:val="auto"/>
          <w:highlight w:val="none"/>
        </w:rPr>
        <w:t xml:space="preserve">  </w:t>
      </w:r>
    </w:p>
    <w:p>
      <w:pPr>
        <w:bidi w:val="0"/>
        <w:rPr>
          <w:rFonts w:hint="eastAsia" w:ascii="宋体" w:hAnsi="宋体" w:eastAsia="宋体" w:cs="宋体"/>
          <w:color w:val="auto"/>
          <w:highlight w:val="none"/>
        </w:rPr>
      </w:pPr>
      <w:r>
        <w:rPr>
          <w:rFonts w:hint="eastAsia" w:ascii="宋体" w:hAnsi="宋体" w:eastAsia="宋体" w:cs="宋体"/>
          <w:color w:val="auto"/>
          <w:highlight w:val="none"/>
        </w:rPr>
        <w:t>以招标文件要求为基础，考虑各项相关因素的影响，将相关因素以定量计算的办法转换成分数表示形式，以最高“评标分数”确定评标结果顺序。</w:t>
      </w:r>
    </w:p>
    <w:p>
      <w:pPr>
        <w:bidi w:val="0"/>
        <w:rPr>
          <w:rFonts w:hint="eastAsia" w:ascii="宋体" w:hAnsi="宋体" w:eastAsia="宋体" w:cs="宋体"/>
          <w:color w:val="auto"/>
          <w:highlight w:val="none"/>
        </w:rPr>
      </w:pPr>
      <w:r>
        <w:rPr>
          <w:rFonts w:hint="eastAsia" w:ascii="宋体" w:hAnsi="宋体" w:eastAsia="宋体" w:cs="宋体"/>
          <w:color w:val="auto"/>
          <w:highlight w:val="none"/>
        </w:rPr>
        <w:t>本次招标的评标采用</w:t>
      </w:r>
      <w:r>
        <w:rPr>
          <w:rFonts w:hint="eastAsia" w:ascii="宋体" w:hAnsi="宋体" w:eastAsia="宋体" w:cs="宋体"/>
          <w:b/>
          <w:bCs/>
          <w:color w:val="auto"/>
          <w:highlight w:val="none"/>
        </w:rPr>
        <w:t>综合评分法</w:t>
      </w:r>
      <w:r>
        <w:rPr>
          <w:rFonts w:hint="eastAsia" w:ascii="宋体" w:hAnsi="宋体" w:eastAsia="宋体" w:cs="宋体"/>
          <w:color w:val="auto"/>
          <w:highlight w:val="none"/>
        </w:rPr>
        <w:t>。</w:t>
      </w:r>
    </w:p>
    <w:bookmarkEnd w:id="129"/>
    <w:bookmarkEnd w:id="130"/>
    <w:bookmarkEnd w:id="131"/>
    <w:bookmarkEnd w:id="132"/>
    <w:p>
      <w:pPr>
        <w:bidi w:val="0"/>
        <w:rPr>
          <w:rFonts w:hint="eastAsia" w:ascii="宋体" w:hAnsi="宋体" w:eastAsia="宋体" w:cs="宋体"/>
          <w:color w:val="auto"/>
          <w:highlight w:val="none"/>
        </w:rPr>
      </w:pPr>
      <w:bookmarkStart w:id="133" w:name="_Toc450840083"/>
      <w:bookmarkStart w:id="134" w:name="_Toc82873317"/>
      <w:bookmarkStart w:id="135" w:name="_Toc82338234"/>
      <w:r>
        <w:rPr>
          <w:rFonts w:hint="eastAsia" w:ascii="宋体" w:hAnsi="宋体" w:eastAsia="宋体" w:cs="宋体"/>
          <w:color w:val="auto"/>
          <w:highlight w:val="none"/>
        </w:rPr>
        <w:t>评标总分为100分，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bidi w:val="0"/>
        <w:rPr>
          <w:rFonts w:hint="eastAsia" w:ascii="宋体" w:hAnsi="宋体" w:eastAsia="宋体" w:cs="宋体"/>
          <w:color w:val="auto"/>
          <w:highlight w:val="none"/>
        </w:rPr>
      </w:pPr>
      <w:r>
        <w:rPr>
          <w:rFonts w:hint="eastAsia" w:ascii="宋体" w:hAnsi="宋体" w:eastAsia="宋体" w:cs="宋体"/>
          <w:color w:val="auto"/>
          <w:highlight w:val="none"/>
        </w:rPr>
        <w:t>评分过程中采用四舍五入法，并保留小数2位</w:t>
      </w:r>
    </w:p>
    <w:p>
      <w:pPr>
        <w:bidi w:val="0"/>
        <w:rPr>
          <w:rFonts w:hint="eastAsia" w:ascii="宋体" w:hAnsi="宋体" w:eastAsia="宋体" w:cs="宋体"/>
          <w:color w:val="auto"/>
          <w:highlight w:val="none"/>
        </w:rPr>
      </w:pPr>
      <w:r>
        <w:rPr>
          <w:rFonts w:hint="eastAsia" w:ascii="宋体" w:hAnsi="宋体" w:eastAsia="宋体" w:cs="宋体"/>
          <w:color w:val="auto"/>
          <w:highlight w:val="none"/>
        </w:rPr>
        <w:t>投标人评标综合得分=商务分+技术分+价格分</w:t>
      </w:r>
    </w:p>
    <w:p>
      <w:pPr>
        <w:bidi w:val="0"/>
        <w:rPr>
          <w:rFonts w:hint="eastAsia" w:ascii="宋体" w:hAnsi="宋体" w:eastAsia="宋体" w:cs="宋体"/>
          <w:color w:val="auto"/>
          <w:highlight w:val="none"/>
        </w:rPr>
      </w:pPr>
      <w:r>
        <w:rPr>
          <w:rFonts w:hint="eastAsia" w:ascii="宋体" w:hAnsi="宋体" w:eastAsia="宋体" w:cs="宋体"/>
          <w:color w:val="auto"/>
          <w:highlight w:val="none"/>
        </w:rPr>
        <w:t>商务技术分按照评标委员会成员的独立评分结果的算术平均分计算，计算公式为：商务技术分=（评标委员会所有成员评分合计数）/（评标委员会组成人员数）</w:t>
      </w:r>
    </w:p>
    <w:p>
      <w:pPr>
        <w:pStyle w:val="5"/>
        <w:rPr>
          <w:rFonts w:hint="eastAsia" w:ascii="宋体" w:hAnsi="宋体" w:eastAsia="宋体" w:cs="宋体"/>
          <w:sz w:val="24"/>
          <w:szCs w:val="24"/>
          <w:highlight w:val="none"/>
        </w:rPr>
      </w:pPr>
      <w:bookmarkStart w:id="136" w:name="_Toc7047"/>
      <w:bookmarkStart w:id="137" w:name="_Toc23140"/>
      <w:bookmarkStart w:id="138" w:name="_Toc30520"/>
      <w:bookmarkStart w:id="139" w:name="_Toc7789"/>
      <w:bookmarkStart w:id="140" w:name="_Toc30517"/>
      <w:r>
        <w:rPr>
          <w:rFonts w:hint="eastAsia" w:ascii="宋体" w:hAnsi="宋体" w:eastAsia="宋体" w:cs="宋体"/>
          <w:sz w:val="24"/>
          <w:szCs w:val="24"/>
          <w:highlight w:val="none"/>
        </w:rPr>
        <w:t>二、评标程序：</w:t>
      </w:r>
      <w:bookmarkEnd w:id="136"/>
      <w:bookmarkEnd w:id="137"/>
    </w:p>
    <w:p>
      <w:pPr>
        <w:ind w:firstLine="482"/>
        <w:rPr>
          <w:rFonts w:hint="eastAsia" w:ascii="宋体" w:hAnsi="宋体" w:eastAsia="宋体" w:cs="宋体"/>
          <w:b/>
          <w:highlight w:val="none"/>
        </w:rPr>
      </w:pPr>
      <w:r>
        <w:rPr>
          <w:rFonts w:hint="eastAsia" w:ascii="宋体" w:hAnsi="宋体" w:eastAsia="宋体" w:cs="宋体"/>
          <w:b/>
          <w:highlight w:val="none"/>
        </w:rPr>
        <w:t>2.1第一阶段评审</w:t>
      </w:r>
    </w:p>
    <w:p>
      <w:pPr>
        <w:ind w:firstLine="480"/>
        <w:rPr>
          <w:rFonts w:hint="eastAsia" w:ascii="宋体" w:hAnsi="宋体" w:eastAsia="宋体" w:cs="宋体"/>
          <w:b/>
          <w:highlight w:val="none"/>
        </w:rPr>
      </w:pPr>
      <w:r>
        <w:rPr>
          <w:rFonts w:hint="eastAsia" w:ascii="宋体" w:hAnsi="宋体" w:eastAsia="宋体" w:cs="宋体"/>
          <w:highlight w:val="none"/>
        </w:rPr>
        <w:t>★2.1.1商务和技术文件初步审查：包含资格性审查和符合性审查。资格性审查是指采购人或代理机构根据“附表1资格性审查表”的要求对投标文件逐一进行评审。符合性审查是指评标委员会根据“附表2符合性审查表”的要求对投标文件逐一进行评审。</w:t>
      </w:r>
      <w:r>
        <w:rPr>
          <w:rFonts w:hint="eastAsia" w:ascii="宋体" w:hAnsi="宋体" w:eastAsia="宋体" w:cs="宋体"/>
          <w:b/>
          <w:highlight w:val="none"/>
        </w:rPr>
        <w:t>资格性审查和符合性审查中，有任意一项审查结论不合格的，作无效标处理。</w:t>
      </w:r>
    </w:p>
    <w:p>
      <w:pPr>
        <w:ind w:firstLine="480"/>
        <w:rPr>
          <w:rFonts w:hint="eastAsia" w:ascii="宋体" w:hAnsi="宋体" w:eastAsia="宋体" w:cs="宋体"/>
          <w:highlight w:val="none"/>
        </w:rPr>
      </w:pPr>
      <w:r>
        <w:rPr>
          <w:rFonts w:hint="eastAsia" w:ascii="宋体" w:hAnsi="宋体" w:eastAsia="宋体" w:cs="宋体"/>
          <w:highlight w:val="none"/>
        </w:rPr>
        <w:t>2.1.2</w:t>
      </w:r>
      <w:r>
        <w:rPr>
          <w:rFonts w:hint="eastAsia" w:ascii="宋体" w:hAnsi="宋体" w:eastAsia="宋体" w:cs="宋体"/>
          <w:highlight w:val="none"/>
          <w:lang w:val="zh-CN"/>
        </w:rPr>
        <w:t>比较与评价：</w:t>
      </w:r>
      <w:r>
        <w:rPr>
          <w:rFonts w:hint="eastAsia" w:ascii="宋体" w:hAnsi="宋体" w:eastAsia="宋体" w:cs="宋体"/>
          <w:highlight w:val="none"/>
        </w:rPr>
        <w:t>评标委员会根据“附表3评分表（兼评委打分表）”的要求，</w:t>
      </w:r>
      <w:r>
        <w:rPr>
          <w:rFonts w:hint="eastAsia" w:ascii="宋体" w:hAnsi="宋体" w:eastAsia="宋体" w:cs="宋体"/>
          <w:highlight w:val="none"/>
          <w:lang w:val="zh-CN"/>
        </w:rPr>
        <w:t>对照投标文件的应答进行比较，判定其偏差性质和程度，</w:t>
      </w:r>
      <w:r>
        <w:rPr>
          <w:rFonts w:hint="eastAsia" w:ascii="宋体" w:hAnsi="宋体" w:eastAsia="宋体" w:cs="宋体"/>
          <w:highlight w:val="none"/>
        </w:rPr>
        <w:t>由评标委员会成员在分值范围内自行评分。供应商商务和技术得分为各评标委员会成员有效评分的算术平均值（小数点后保留二位数）。</w:t>
      </w:r>
    </w:p>
    <w:p>
      <w:pPr>
        <w:ind w:firstLine="482"/>
        <w:rPr>
          <w:rFonts w:hint="eastAsia" w:ascii="宋体" w:hAnsi="宋体" w:eastAsia="宋体" w:cs="宋体"/>
          <w:b/>
          <w:highlight w:val="none"/>
        </w:rPr>
      </w:pPr>
      <w:r>
        <w:rPr>
          <w:rFonts w:hint="eastAsia" w:ascii="宋体" w:hAnsi="宋体" w:eastAsia="宋体" w:cs="宋体"/>
          <w:b/>
          <w:highlight w:val="none"/>
        </w:rPr>
        <w:t>2.2第二阶段评审</w:t>
      </w:r>
    </w:p>
    <w:p>
      <w:pPr>
        <w:ind w:firstLine="480"/>
        <w:rPr>
          <w:rFonts w:hint="eastAsia" w:ascii="宋体" w:hAnsi="宋体" w:eastAsia="宋体" w:cs="宋体"/>
          <w:b/>
          <w:highlight w:val="none"/>
        </w:rPr>
      </w:pPr>
      <w:r>
        <w:rPr>
          <w:rFonts w:hint="eastAsia" w:ascii="宋体" w:hAnsi="宋体" w:eastAsia="宋体" w:cs="宋体"/>
          <w:highlight w:val="none"/>
        </w:rPr>
        <w:t>★2.2.1报价文件审查：投标报价超出最高限价或预算金额的</w:t>
      </w:r>
      <w:r>
        <w:rPr>
          <w:rFonts w:hint="eastAsia" w:ascii="宋体" w:hAnsi="宋体" w:eastAsia="宋体" w:cs="宋体"/>
          <w:b/>
          <w:highlight w:val="none"/>
        </w:rPr>
        <w:t>，审查结论不合格的，作无效标处理。</w:t>
      </w:r>
    </w:p>
    <w:p>
      <w:pPr>
        <w:ind w:firstLine="480"/>
        <w:rPr>
          <w:rFonts w:hint="eastAsia" w:ascii="宋体" w:hAnsi="宋体" w:eastAsia="宋体" w:cs="宋体"/>
          <w:highlight w:val="none"/>
        </w:rPr>
      </w:pPr>
      <w:r>
        <w:rPr>
          <w:rFonts w:hint="eastAsia" w:ascii="宋体" w:hAnsi="宋体" w:eastAsia="宋体" w:cs="宋体"/>
          <w:highlight w:val="none"/>
        </w:rPr>
        <w:t>2.2.2综合评估：供应商的综合得分为商务和技术得分与报价得分之和。</w:t>
      </w:r>
    </w:p>
    <w:p>
      <w:pPr>
        <w:ind w:firstLine="480"/>
        <w:rPr>
          <w:rFonts w:hint="eastAsia" w:ascii="宋体" w:hAnsi="宋体" w:eastAsia="宋体" w:cs="宋体"/>
          <w:highlight w:val="none"/>
        </w:rPr>
      </w:pPr>
      <w:r>
        <w:rPr>
          <w:rFonts w:hint="eastAsia" w:ascii="宋体" w:hAnsi="宋体" w:eastAsia="宋体" w:cs="宋体"/>
          <w:highlight w:val="none"/>
        </w:rPr>
        <w:t>2.2.3推荐中标候选人：按综合得分由高到低进行排序，推荐综合得分排序第1的供应商为中标候选人。若供应商的综合得分相等，则投标报价低者列前；若投标报价也相同时，采取随机抽签的方式确定排序。</w:t>
      </w:r>
    </w:p>
    <w:p>
      <w:pPr>
        <w:ind w:firstLine="482"/>
        <w:rPr>
          <w:rFonts w:hint="eastAsia" w:ascii="宋体" w:hAnsi="宋体" w:eastAsia="宋体" w:cs="宋体"/>
          <w:b/>
          <w:highlight w:val="none"/>
        </w:rPr>
      </w:pPr>
      <w:r>
        <w:rPr>
          <w:rFonts w:hint="eastAsia" w:ascii="宋体" w:hAnsi="宋体" w:eastAsia="宋体" w:cs="宋体"/>
          <w:b/>
          <w:highlight w:val="none"/>
        </w:rPr>
        <w:t>2.3确定中标供应商</w:t>
      </w:r>
    </w:p>
    <w:p>
      <w:pPr>
        <w:ind w:firstLine="480"/>
        <w:rPr>
          <w:rFonts w:hint="eastAsia" w:ascii="宋体" w:hAnsi="宋体" w:eastAsia="宋体" w:cs="宋体"/>
          <w:highlight w:val="none"/>
        </w:rPr>
      </w:pPr>
      <w:r>
        <w:rPr>
          <w:rFonts w:hint="eastAsia" w:ascii="宋体" w:hAnsi="宋体" w:eastAsia="宋体" w:cs="宋体"/>
          <w:highlight w:val="none"/>
        </w:rPr>
        <w:t>评标委员会按综合得分由高到低排序，依次依序向采购人推荐两位中标候选人。代理机构应当自评审结束之日起2个工作日内将评审报告送交采购人。采购人应当自收到评审报告之日起5个工作日内在评审报告推荐的中标候选人中按顺序确定中标供应商。</w:t>
      </w:r>
      <w:r>
        <w:rPr>
          <w:rFonts w:hint="eastAsia" w:ascii="宋体" w:hAnsi="宋体" w:eastAsia="宋体" w:cs="宋体"/>
          <w:highlight w:val="none"/>
          <w:lang w:eastAsia="zh-CN"/>
        </w:rPr>
        <w:t>第一</w:t>
      </w:r>
      <w:r>
        <w:rPr>
          <w:rFonts w:hint="eastAsia" w:ascii="宋体" w:hAnsi="宋体" w:eastAsia="宋体" w:cs="宋体"/>
          <w:highlight w:val="none"/>
        </w:rPr>
        <w:t>中标候选人因不可抗力或者自身原因不能履行政府采购合同的，采购人</w:t>
      </w:r>
      <w:r>
        <w:rPr>
          <w:rFonts w:hint="eastAsia" w:ascii="宋体" w:hAnsi="宋体" w:eastAsia="宋体" w:cs="宋体"/>
          <w:highlight w:val="none"/>
          <w:lang w:eastAsia="zh-CN"/>
        </w:rPr>
        <w:t>可确定第二</w:t>
      </w:r>
      <w:r>
        <w:rPr>
          <w:rFonts w:hint="eastAsia" w:ascii="宋体" w:hAnsi="宋体" w:eastAsia="宋体" w:cs="宋体"/>
          <w:highlight w:val="none"/>
        </w:rPr>
        <w:t>中标候选人</w:t>
      </w:r>
      <w:r>
        <w:rPr>
          <w:rFonts w:hint="eastAsia" w:ascii="宋体" w:hAnsi="宋体" w:eastAsia="宋体" w:cs="宋体"/>
          <w:highlight w:val="none"/>
          <w:lang w:eastAsia="zh-CN"/>
        </w:rPr>
        <w:t>为</w:t>
      </w:r>
      <w:r>
        <w:rPr>
          <w:rFonts w:hint="eastAsia" w:ascii="宋体" w:hAnsi="宋体" w:eastAsia="宋体" w:cs="宋体"/>
          <w:highlight w:val="none"/>
        </w:rPr>
        <w:t>中标供应商</w:t>
      </w:r>
      <w:r>
        <w:rPr>
          <w:rFonts w:hint="eastAsia" w:ascii="宋体" w:hAnsi="宋体" w:eastAsia="宋体" w:cs="宋体"/>
          <w:highlight w:val="none"/>
          <w:lang w:eastAsia="zh-CN"/>
        </w:rPr>
        <w:t>，以此类推，也可以重新招标</w:t>
      </w:r>
      <w:r>
        <w:rPr>
          <w:rFonts w:hint="eastAsia" w:ascii="宋体" w:hAnsi="宋体" w:eastAsia="宋体" w:cs="宋体"/>
          <w:highlight w:val="none"/>
        </w:rPr>
        <w:t>。</w:t>
      </w:r>
    </w:p>
    <w:p>
      <w:pPr>
        <w:ind w:firstLine="482"/>
        <w:rPr>
          <w:rFonts w:hint="eastAsia" w:ascii="宋体" w:hAnsi="宋体" w:eastAsia="宋体" w:cs="宋体"/>
          <w:b/>
          <w:highlight w:val="none"/>
        </w:rPr>
      </w:pPr>
      <w:r>
        <w:rPr>
          <w:rFonts w:hint="eastAsia" w:ascii="宋体" w:hAnsi="宋体" w:eastAsia="宋体" w:cs="宋体"/>
          <w:b/>
          <w:highlight w:val="none"/>
        </w:rPr>
        <w:t>三、投标的澄清</w:t>
      </w:r>
    </w:p>
    <w:p>
      <w:pPr>
        <w:ind w:firstLine="480"/>
        <w:rPr>
          <w:rFonts w:hint="eastAsia" w:ascii="宋体" w:hAnsi="宋体" w:eastAsia="宋体" w:cs="宋体"/>
          <w:highlight w:val="none"/>
        </w:rPr>
      </w:pPr>
      <w:r>
        <w:rPr>
          <w:rFonts w:hint="eastAsia" w:ascii="宋体" w:hAnsi="宋体" w:eastAsia="宋体" w:cs="宋体"/>
          <w:highlight w:val="none"/>
        </w:rPr>
        <w:t>3.1对投标文件审查中发现的投标文件表达含义不明确、同类问题表述不一致或者有明显文字和计算错误的内容，评标委员会可通过询标，要求供应商做出澄清。供应商必须按照代理机构通知的时间、方式派技术和商务人员进行答疑和澄清。</w:t>
      </w:r>
    </w:p>
    <w:p>
      <w:pPr>
        <w:ind w:firstLine="480"/>
        <w:rPr>
          <w:rFonts w:hint="eastAsia" w:ascii="宋体" w:hAnsi="宋体" w:eastAsia="宋体" w:cs="宋体"/>
          <w:highlight w:val="none"/>
        </w:rPr>
      </w:pPr>
      <w:r>
        <w:rPr>
          <w:rFonts w:hint="eastAsia" w:ascii="宋体" w:hAnsi="宋体" w:eastAsia="宋体" w:cs="宋体"/>
          <w:highlight w:val="none"/>
        </w:rPr>
        <w:t>3.2供应商应对需要澄清的问题作书面回答，该书面回答应有电子盖章，书面澄清将作为投标内容的一部分。</w:t>
      </w:r>
    </w:p>
    <w:p>
      <w:pPr>
        <w:ind w:firstLine="480"/>
        <w:rPr>
          <w:rFonts w:hint="eastAsia" w:ascii="宋体" w:hAnsi="宋体" w:eastAsia="宋体" w:cs="宋体"/>
          <w:highlight w:val="none"/>
        </w:rPr>
      </w:pPr>
      <w:r>
        <w:rPr>
          <w:rFonts w:hint="eastAsia" w:ascii="宋体" w:hAnsi="宋体" w:eastAsia="宋体" w:cs="宋体"/>
          <w:highlight w:val="none"/>
        </w:rPr>
        <w:t>3.3供应商对投标文件的澄清不得超出投标文件的范围或改变投标价格等投标文件的实质性内容。</w:t>
      </w:r>
    </w:p>
    <w:p>
      <w:pPr>
        <w:ind w:firstLine="480"/>
        <w:rPr>
          <w:rFonts w:hint="eastAsia" w:ascii="宋体" w:hAnsi="宋体" w:eastAsia="宋体" w:cs="宋体"/>
          <w:highlight w:val="none"/>
        </w:rPr>
      </w:pPr>
      <w:r>
        <w:rPr>
          <w:rFonts w:hint="eastAsia" w:ascii="宋体" w:hAnsi="宋体" w:eastAsia="宋体" w:cs="宋体"/>
          <w:highlight w:val="none"/>
        </w:rPr>
        <w:t>3.4若供应商未响应澄清安排的通知进行答疑和澄清，将被视作自动放弃。</w:t>
      </w:r>
    </w:p>
    <w:p>
      <w:pPr>
        <w:spacing w:line="400" w:lineRule="exact"/>
        <w:ind w:firstLine="482"/>
        <w:rPr>
          <w:rFonts w:hint="eastAsia" w:ascii="宋体" w:hAnsi="宋体" w:eastAsia="宋体" w:cs="宋体"/>
          <w:b/>
          <w:szCs w:val="21"/>
          <w:highlight w:val="none"/>
        </w:rPr>
      </w:pPr>
      <w:r>
        <w:rPr>
          <w:rFonts w:hint="eastAsia" w:ascii="宋体" w:hAnsi="宋体" w:eastAsia="宋体" w:cs="宋体"/>
          <w:b/>
          <w:szCs w:val="21"/>
          <w:highlight w:val="none"/>
        </w:rPr>
        <w:t>附表1：</w:t>
      </w:r>
    </w:p>
    <w:p>
      <w:pPr>
        <w:spacing w:line="400" w:lineRule="exact"/>
        <w:ind w:firstLine="482"/>
        <w:jc w:val="center"/>
        <w:rPr>
          <w:rFonts w:hint="eastAsia" w:ascii="宋体" w:hAnsi="宋体" w:eastAsia="宋体" w:cs="宋体"/>
          <w:b/>
          <w:szCs w:val="21"/>
          <w:highlight w:val="none"/>
        </w:rPr>
      </w:pPr>
      <w:r>
        <w:rPr>
          <w:rFonts w:hint="eastAsia" w:ascii="宋体" w:hAnsi="宋体" w:eastAsia="宋体" w:cs="宋体"/>
          <w:b/>
          <w:szCs w:val="21"/>
          <w:highlight w:val="none"/>
        </w:rPr>
        <w:t>资格审查表</w:t>
      </w:r>
    </w:p>
    <w:tbl>
      <w:tblPr>
        <w:tblStyle w:val="46"/>
        <w:tblW w:w="9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867"/>
        <w:gridCol w:w="2255"/>
        <w:gridCol w:w="5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hint="eastAsia" w:ascii="宋体" w:hAnsi="宋体" w:eastAsia="宋体" w:cs="宋体"/>
                <w:b/>
                <w:highlight w:val="none"/>
              </w:rPr>
            </w:pPr>
            <w:r>
              <w:rPr>
                <w:rFonts w:hint="eastAsia" w:ascii="宋体" w:hAnsi="宋体" w:eastAsia="宋体" w:cs="宋体"/>
                <w:b/>
                <w:highlight w:val="none"/>
              </w:rPr>
              <w:t>序号</w:t>
            </w:r>
          </w:p>
        </w:tc>
        <w:tc>
          <w:tcPr>
            <w:tcW w:w="186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hint="eastAsia" w:ascii="宋体" w:hAnsi="宋体" w:eastAsia="宋体" w:cs="宋体"/>
                <w:b/>
                <w:highlight w:val="none"/>
              </w:rPr>
            </w:pPr>
            <w:r>
              <w:rPr>
                <w:rFonts w:hint="eastAsia" w:ascii="宋体" w:hAnsi="宋体" w:eastAsia="宋体" w:cs="宋体"/>
                <w:b/>
                <w:highlight w:val="none"/>
              </w:rPr>
              <w:t>审查因素</w:t>
            </w:r>
          </w:p>
        </w:tc>
        <w:tc>
          <w:tcPr>
            <w:tcW w:w="225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hint="eastAsia" w:ascii="宋体" w:hAnsi="宋体" w:eastAsia="宋体" w:cs="宋体"/>
                <w:b/>
                <w:highlight w:val="none"/>
              </w:rPr>
            </w:pPr>
            <w:r>
              <w:rPr>
                <w:rFonts w:hint="eastAsia" w:ascii="宋体" w:hAnsi="宋体" w:eastAsia="宋体" w:cs="宋体"/>
                <w:b/>
                <w:highlight w:val="none"/>
              </w:rPr>
              <w:t>审查内容</w:t>
            </w:r>
          </w:p>
        </w:tc>
        <w:tc>
          <w:tcPr>
            <w:tcW w:w="513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hint="eastAsia" w:ascii="宋体" w:hAnsi="宋体" w:eastAsia="宋体" w:cs="宋体"/>
                <w:b/>
                <w:highlight w:val="none"/>
              </w:rPr>
            </w:pPr>
            <w:r>
              <w:rPr>
                <w:rFonts w:hint="eastAsia" w:ascii="宋体" w:hAnsi="宋体" w:eastAsia="宋体" w:cs="宋体"/>
                <w:b/>
                <w:highlight w:val="none"/>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hint="eastAsia" w:ascii="宋体" w:hAnsi="宋体" w:eastAsia="宋体" w:cs="宋体"/>
                <w:highlight w:val="none"/>
              </w:rPr>
            </w:pPr>
            <w:r>
              <w:rPr>
                <w:rFonts w:hint="eastAsia" w:ascii="宋体" w:hAnsi="宋体" w:eastAsia="宋体" w:cs="宋体"/>
                <w:highlight w:val="none"/>
              </w:rPr>
              <w:t>1</w:t>
            </w:r>
          </w:p>
        </w:tc>
        <w:tc>
          <w:tcPr>
            <w:tcW w:w="1867" w:type="dxa"/>
            <w:tcBorders>
              <w:top w:val="single" w:color="auto" w:sz="4" w:space="0"/>
              <w:left w:val="single" w:color="auto" w:sz="4" w:space="0"/>
              <w:bottom w:val="single" w:color="auto" w:sz="4" w:space="0"/>
              <w:right w:val="single" w:color="auto" w:sz="4" w:space="0"/>
            </w:tcBorders>
            <w:textDirection w:val="lrTb"/>
            <w:vAlign w:val="center"/>
          </w:tcPr>
          <w:p>
            <w:pPr>
              <w:spacing w:line="440" w:lineRule="exact"/>
              <w:ind w:firstLine="0" w:firstLineChars="0"/>
              <w:jc w:val="center"/>
              <w:rPr>
                <w:rFonts w:hint="eastAsia" w:ascii="宋体" w:hAnsi="宋体" w:eastAsia="宋体" w:cs="宋体"/>
                <w:highlight w:val="none"/>
              </w:rPr>
            </w:pPr>
            <w:r>
              <w:rPr>
                <w:rFonts w:hint="eastAsia" w:ascii="宋体" w:hAnsi="宋体" w:eastAsia="宋体" w:cs="宋体"/>
                <w:highlight w:val="none"/>
              </w:rPr>
              <w:t>具有独立承担民事责任的能力</w:t>
            </w:r>
          </w:p>
        </w:tc>
        <w:tc>
          <w:tcPr>
            <w:tcW w:w="2255" w:type="dxa"/>
            <w:tcBorders>
              <w:top w:val="single" w:color="auto" w:sz="4" w:space="0"/>
              <w:left w:val="single" w:color="auto" w:sz="4" w:space="0"/>
              <w:bottom w:val="single" w:color="auto" w:sz="4" w:space="0"/>
              <w:right w:val="single" w:color="auto" w:sz="4" w:space="0"/>
            </w:tcBorders>
            <w:textDirection w:val="lrTb"/>
            <w:vAlign w:val="center"/>
          </w:tcPr>
          <w:p>
            <w:pPr>
              <w:spacing w:line="440" w:lineRule="exact"/>
              <w:ind w:firstLine="0" w:firstLineChars="0"/>
              <w:jc w:val="center"/>
              <w:rPr>
                <w:rFonts w:hint="eastAsia" w:ascii="宋体" w:hAnsi="宋体" w:eastAsia="宋体" w:cs="宋体"/>
                <w:highlight w:val="none"/>
              </w:rPr>
            </w:pPr>
            <w:r>
              <w:rPr>
                <w:rFonts w:hint="eastAsia" w:ascii="宋体" w:hAnsi="宋体" w:eastAsia="宋体" w:cs="宋体"/>
                <w:highlight w:val="none"/>
              </w:rPr>
              <w:t xml:space="preserve">营业执照（副本）复印件 </w:t>
            </w:r>
          </w:p>
        </w:tc>
        <w:tc>
          <w:tcPr>
            <w:tcW w:w="5133" w:type="dxa"/>
            <w:tcBorders>
              <w:top w:val="single" w:color="auto" w:sz="4" w:space="0"/>
              <w:left w:val="single" w:color="auto" w:sz="4" w:space="0"/>
              <w:bottom w:val="single" w:color="auto" w:sz="4" w:space="0"/>
              <w:right w:val="single" w:color="auto" w:sz="4" w:space="0"/>
            </w:tcBorders>
            <w:textDirection w:val="lrTb"/>
            <w:vAlign w:val="center"/>
          </w:tcPr>
          <w:p>
            <w:pPr>
              <w:spacing w:line="440" w:lineRule="exact"/>
              <w:ind w:firstLine="0" w:firstLineChars="0"/>
              <w:jc w:val="left"/>
              <w:rPr>
                <w:rFonts w:hint="eastAsia" w:ascii="宋体" w:hAnsi="宋体" w:eastAsia="宋体" w:cs="宋体"/>
                <w:highlight w:val="none"/>
              </w:rPr>
            </w:pPr>
            <w:r>
              <w:rPr>
                <w:rFonts w:hint="eastAsia" w:ascii="宋体" w:hAnsi="宋体" w:eastAsia="宋体" w:cs="宋体"/>
                <w:highlight w:val="none"/>
              </w:rPr>
              <w:t>（1）如投标人是企业（包括合伙企业），提供在工商部门注册的有效“企业法人营业执照”或“营业执照”；</w:t>
            </w:r>
          </w:p>
          <w:p>
            <w:pPr>
              <w:spacing w:line="440" w:lineRule="exact"/>
              <w:ind w:firstLine="0" w:firstLineChars="0"/>
              <w:jc w:val="left"/>
              <w:rPr>
                <w:rFonts w:hint="eastAsia" w:ascii="宋体" w:hAnsi="宋体" w:eastAsia="宋体" w:cs="宋体"/>
                <w:highlight w:val="none"/>
              </w:rPr>
            </w:pPr>
            <w:r>
              <w:rPr>
                <w:rFonts w:hint="eastAsia" w:ascii="宋体" w:hAnsi="宋体" w:eastAsia="宋体" w:cs="宋体"/>
                <w:highlight w:val="none"/>
              </w:rPr>
              <w:t>（2）如投标人是事业单位，提供有效的“事业单位法人证书”；</w:t>
            </w:r>
          </w:p>
          <w:p>
            <w:pPr>
              <w:spacing w:line="440" w:lineRule="exact"/>
              <w:ind w:firstLine="0" w:firstLineChars="0"/>
              <w:jc w:val="left"/>
              <w:rPr>
                <w:rFonts w:hint="eastAsia" w:ascii="宋体" w:hAnsi="宋体" w:eastAsia="宋体" w:cs="宋体"/>
                <w:highlight w:val="none"/>
              </w:rPr>
            </w:pPr>
            <w:r>
              <w:rPr>
                <w:rFonts w:hint="eastAsia" w:ascii="宋体" w:hAnsi="宋体" w:eastAsia="宋体" w:cs="宋体"/>
                <w:highlight w:val="none"/>
              </w:rPr>
              <w:t>（3）如投标人是非企业专业服务机构的，提供执业许可证等证明文件；</w:t>
            </w:r>
          </w:p>
          <w:p>
            <w:pPr>
              <w:spacing w:line="440" w:lineRule="exact"/>
              <w:ind w:firstLine="0" w:firstLineChars="0"/>
              <w:jc w:val="left"/>
              <w:rPr>
                <w:rFonts w:hint="eastAsia" w:ascii="宋体" w:hAnsi="宋体" w:eastAsia="宋体" w:cs="宋体"/>
                <w:highlight w:val="none"/>
              </w:rPr>
            </w:pPr>
            <w:r>
              <w:rPr>
                <w:rFonts w:hint="eastAsia" w:ascii="宋体" w:hAnsi="宋体" w:eastAsia="宋体" w:cs="宋体"/>
                <w:highlight w:val="none"/>
              </w:rPr>
              <w:t>（4）如投标人是个体工商户，提供有效的“个体工商户营业执照”；</w:t>
            </w:r>
          </w:p>
          <w:p>
            <w:pPr>
              <w:spacing w:line="440" w:lineRule="exact"/>
              <w:ind w:firstLine="0" w:firstLineChars="0"/>
              <w:jc w:val="left"/>
              <w:rPr>
                <w:rFonts w:hint="eastAsia" w:ascii="宋体" w:hAnsi="宋体" w:eastAsia="宋体" w:cs="宋体"/>
                <w:highlight w:val="none"/>
              </w:rPr>
            </w:pPr>
            <w:r>
              <w:rPr>
                <w:rFonts w:hint="eastAsia" w:ascii="宋体" w:hAnsi="宋体" w:eastAsia="宋体" w:cs="宋体"/>
                <w:highlight w:val="none"/>
              </w:rPr>
              <w:t>（5）如投标人是自然人，提供有效的自然人身份证明。</w:t>
            </w:r>
          </w:p>
          <w:p>
            <w:pPr>
              <w:spacing w:line="440" w:lineRule="exact"/>
              <w:ind w:firstLine="0" w:firstLineChars="0"/>
              <w:jc w:val="left"/>
              <w:rPr>
                <w:rFonts w:hint="eastAsia" w:ascii="宋体" w:hAnsi="宋体" w:eastAsia="宋体" w:cs="宋体"/>
                <w:highlight w:val="none"/>
              </w:rPr>
            </w:pPr>
            <w:r>
              <w:rPr>
                <w:rFonts w:hint="eastAsia" w:ascii="宋体" w:hAnsi="宋体" w:eastAsia="宋体" w:cs="宋体"/>
                <w:highlight w:val="none"/>
              </w:rPr>
              <w:t>注：以上材料需要复印件加盖公章（自然人则签字）。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hint="eastAsia" w:ascii="宋体" w:hAnsi="宋体" w:eastAsia="宋体" w:cs="宋体"/>
                <w:highlight w:val="none"/>
              </w:rPr>
            </w:pPr>
            <w:r>
              <w:rPr>
                <w:rFonts w:hint="eastAsia" w:ascii="宋体" w:hAnsi="宋体" w:eastAsia="宋体" w:cs="宋体"/>
                <w:highlight w:val="none"/>
              </w:rPr>
              <w:t>2</w:t>
            </w:r>
          </w:p>
        </w:tc>
        <w:tc>
          <w:tcPr>
            <w:tcW w:w="1867" w:type="dxa"/>
            <w:tcBorders>
              <w:top w:val="single" w:color="auto" w:sz="4" w:space="0"/>
              <w:left w:val="single" w:color="auto" w:sz="4" w:space="0"/>
              <w:bottom w:val="single" w:color="auto" w:sz="4" w:space="0"/>
              <w:right w:val="single" w:color="auto" w:sz="4" w:space="0"/>
            </w:tcBorders>
            <w:textDirection w:val="lrTb"/>
            <w:vAlign w:val="center"/>
          </w:tcPr>
          <w:p>
            <w:pPr>
              <w:spacing w:line="440" w:lineRule="exact"/>
              <w:ind w:firstLine="0" w:firstLineChars="0"/>
              <w:jc w:val="center"/>
              <w:rPr>
                <w:rFonts w:hint="eastAsia" w:ascii="宋体" w:hAnsi="宋体" w:eastAsia="宋体" w:cs="宋体"/>
                <w:highlight w:val="none"/>
              </w:rPr>
            </w:pPr>
            <w:r>
              <w:rPr>
                <w:rFonts w:hint="eastAsia" w:ascii="宋体" w:hAnsi="宋体" w:eastAsia="宋体" w:cs="宋体"/>
                <w:highlight w:val="none"/>
              </w:rPr>
              <w:t>具有良好的商业信誉和健全的财务会计制度</w:t>
            </w:r>
          </w:p>
        </w:tc>
        <w:tc>
          <w:tcPr>
            <w:tcW w:w="2255" w:type="dxa"/>
            <w:tcBorders>
              <w:top w:val="single" w:color="auto" w:sz="4" w:space="0"/>
              <w:left w:val="single" w:color="auto" w:sz="4" w:space="0"/>
              <w:bottom w:val="single" w:color="auto" w:sz="4" w:space="0"/>
              <w:right w:val="single" w:color="auto" w:sz="4" w:space="0"/>
            </w:tcBorders>
            <w:textDirection w:val="lrTb"/>
            <w:vAlign w:val="center"/>
          </w:tcPr>
          <w:p>
            <w:pPr>
              <w:spacing w:line="440" w:lineRule="exact"/>
              <w:ind w:firstLine="0" w:firstLineChars="0"/>
              <w:jc w:val="center"/>
              <w:rPr>
                <w:rFonts w:hint="eastAsia" w:ascii="宋体" w:hAnsi="宋体" w:eastAsia="宋体" w:cs="宋体"/>
                <w:highlight w:val="none"/>
              </w:rPr>
            </w:pPr>
            <w:r>
              <w:rPr>
                <w:rFonts w:hint="eastAsia" w:ascii="宋体" w:hAnsi="宋体" w:eastAsia="宋体" w:cs="宋体"/>
                <w:highlight w:val="none"/>
              </w:rPr>
              <w:t>上一年度财务报告</w:t>
            </w:r>
          </w:p>
        </w:tc>
        <w:tc>
          <w:tcPr>
            <w:tcW w:w="5133" w:type="dxa"/>
            <w:tcBorders>
              <w:top w:val="single" w:color="auto" w:sz="4" w:space="0"/>
              <w:left w:val="single" w:color="auto" w:sz="4" w:space="0"/>
              <w:bottom w:val="single" w:color="auto" w:sz="4" w:space="0"/>
              <w:right w:val="single" w:color="auto" w:sz="4" w:space="0"/>
            </w:tcBorders>
            <w:textDirection w:val="lrTb"/>
            <w:vAlign w:val="center"/>
          </w:tcPr>
          <w:p>
            <w:pPr>
              <w:spacing w:line="440" w:lineRule="exact"/>
              <w:ind w:firstLine="0" w:firstLineChars="0"/>
              <w:jc w:val="left"/>
              <w:rPr>
                <w:rFonts w:hint="eastAsia" w:ascii="宋体" w:hAnsi="宋体" w:eastAsia="宋体" w:cs="宋体"/>
                <w:highlight w:val="none"/>
              </w:rPr>
            </w:pPr>
            <w:r>
              <w:rPr>
                <w:rFonts w:hint="eastAsia" w:ascii="宋体" w:hAnsi="宋体" w:eastAsia="宋体" w:cs="宋体"/>
                <w:szCs w:val="21"/>
                <w:highlight w:val="none"/>
              </w:rPr>
              <w:t>提供</w:t>
            </w:r>
            <w:r>
              <w:rPr>
                <w:rFonts w:hint="eastAsia" w:ascii="宋体" w:hAnsi="宋体" w:eastAsia="宋体" w:cs="宋体"/>
                <w:szCs w:val="21"/>
                <w:highlight w:val="none"/>
                <w:lang w:eastAsia="zh-CN"/>
              </w:rPr>
              <w:t>202</w:t>
            </w:r>
            <w:r>
              <w:rPr>
                <w:rFonts w:hint="eastAsia" w:cs="宋体"/>
                <w:szCs w:val="21"/>
                <w:highlight w:val="none"/>
                <w:lang w:val="en-US" w:eastAsia="zh-CN"/>
              </w:rPr>
              <w:t>0</w:t>
            </w:r>
            <w:r>
              <w:rPr>
                <w:rFonts w:hint="eastAsia" w:ascii="宋体" w:hAnsi="宋体" w:eastAsia="宋体" w:cs="宋体"/>
                <w:szCs w:val="21"/>
                <w:highlight w:val="none"/>
              </w:rPr>
              <w:t>年度财务会计报表复印件加盖供应商公章（供应商注册成立不足一年的，应提供投标截止时间前一个月的财务会计报表）</w:t>
            </w:r>
            <w:r>
              <w:rPr>
                <w:rFonts w:hint="eastAsia" w:ascii="宋体" w:hAnsi="宋体" w:eastAsia="宋体" w:cs="宋体"/>
                <w:color w:val="auto"/>
                <w:highlight w:val="none"/>
                <w:lang w:val="en-US" w:eastAsia="zh-CN"/>
              </w:rPr>
              <w:t>或开标前三个月内出具的银行资信证明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hint="eastAsia" w:ascii="宋体" w:hAnsi="宋体" w:eastAsia="宋体" w:cs="宋体"/>
                <w:highlight w:val="none"/>
              </w:rPr>
            </w:pPr>
            <w:r>
              <w:rPr>
                <w:rFonts w:hint="eastAsia" w:ascii="宋体" w:hAnsi="宋体" w:eastAsia="宋体" w:cs="宋体"/>
                <w:highlight w:val="none"/>
              </w:rPr>
              <w:t>3</w:t>
            </w:r>
          </w:p>
        </w:tc>
        <w:tc>
          <w:tcPr>
            <w:tcW w:w="1867" w:type="dxa"/>
            <w:tcBorders>
              <w:top w:val="single" w:color="auto" w:sz="4" w:space="0"/>
              <w:left w:val="single" w:color="auto" w:sz="4" w:space="0"/>
              <w:bottom w:val="single" w:color="auto" w:sz="4" w:space="0"/>
              <w:right w:val="single" w:color="auto" w:sz="4" w:space="0"/>
            </w:tcBorders>
            <w:textDirection w:val="lrTb"/>
            <w:vAlign w:val="center"/>
          </w:tcPr>
          <w:p>
            <w:pPr>
              <w:spacing w:line="440" w:lineRule="exact"/>
              <w:ind w:firstLine="0" w:firstLineChars="0"/>
              <w:jc w:val="center"/>
              <w:rPr>
                <w:rFonts w:hint="eastAsia" w:ascii="宋体" w:hAnsi="宋体" w:eastAsia="宋体" w:cs="宋体"/>
                <w:highlight w:val="none"/>
              </w:rPr>
            </w:pPr>
            <w:r>
              <w:rPr>
                <w:rFonts w:hint="eastAsia" w:ascii="宋体" w:hAnsi="宋体" w:eastAsia="宋体" w:cs="宋体"/>
                <w:highlight w:val="none"/>
              </w:rPr>
              <w:t>具有履行合同所必需的设备和专业技术能力</w:t>
            </w:r>
          </w:p>
        </w:tc>
        <w:tc>
          <w:tcPr>
            <w:tcW w:w="2255" w:type="dxa"/>
            <w:tcBorders>
              <w:top w:val="single" w:color="auto" w:sz="4" w:space="0"/>
              <w:left w:val="single" w:color="auto" w:sz="4" w:space="0"/>
              <w:bottom w:val="single" w:color="auto" w:sz="4" w:space="0"/>
              <w:right w:val="single" w:color="auto" w:sz="4" w:space="0"/>
            </w:tcBorders>
            <w:textDirection w:val="lrTb"/>
            <w:vAlign w:val="center"/>
          </w:tcPr>
          <w:p>
            <w:pPr>
              <w:spacing w:line="440" w:lineRule="exact"/>
              <w:ind w:firstLine="0" w:firstLineChars="0"/>
              <w:jc w:val="center"/>
              <w:rPr>
                <w:rFonts w:hint="eastAsia" w:ascii="宋体" w:hAnsi="宋体" w:eastAsia="宋体" w:cs="宋体"/>
                <w:highlight w:val="none"/>
              </w:rPr>
            </w:pPr>
            <w:r>
              <w:rPr>
                <w:rFonts w:hint="eastAsia" w:ascii="宋体" w:hAnsi="宋体" w:eastAsia="宋体" w:cs="宋体"/>
                <w:highlight w:val="none"/>
              </w:rPr>
              <w:t>承诺函</w:t>
            </w:r>
          </w:p>
        </w:tc>
        <w:tc>
          <w:tcPr>
            <w:tcW w:w="5133" w:type="dxa"/>
            <w:tcBorders>
              <w:top w:val="single" w:color="auto" w:sz="4" w:space="0"/>
              <w:left w:val="single" w:color="auto" w:sz="4" w:space="0"/>
              <w:bottom w:val="single" w:color="auto" w:sz="4" w:space="0"/>
              <w:right w:val="single" w:color="auto" w:sz="4" w:space="0"/>
            </w:tcBorders>
            <w:textDirection w:val="lrTb"/>
            <w:vAlign w:val="center"/>
          </w:tcPr>
          <w:p>
            <w:pPr>
              <w:spacing w:line="440" w:lineRule="exact"/>
              <w:ind w:firstLine="0" w:firstLineChars="0"/>
              <w:jc w:val="left"/>
              <w:rPr>
                <w:rFonts w:hint="eastAsia" w:ascii="宋体" w:hAnsi="宋体" w:eastAsia="宋体" w:cs="宋体"/>
                <w:highlight w:val="none"/>
              </w:rPr>
            </w:pPr>
            <w:r>
              <w:rPr>
                <w:rFonts w:hint="eastAsia" w:ascii="宋体" w:hAnsi="宋体" w:eastAsia="宋体" w:cs="宋体"/>
                <w:highlight w:val="none"/>
              </w:rPr>
              <w:t>提供承诺函，格式附后。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hint="eastAsia" w:ascii="宋体" w:hAnsi="宋体" w:eastAsia="宋体" w:cs="宋体"/>
                <w:highlight w:val="none"/>
              </w:rPr>
            </w:pPr>
            <w:r>
              <w:rPr>
                <w:rFonts w:hint="eastAsia" w:ascii="宋体" w:hAnsi="宋体" w:eastAsia="宋体" w:cs="宋体"/>
                <w:highlight w:val="none"/>
              </w:rPr>
              <w:t>4</w:t>
            </w:r>
          </w:p>
        </w:tc>
        <w:tc>
          <w:tcPr>
            <w:tcW w:w="1867" w:type="dxa"/>
            <w:tcBorders>
              <w:top w:val="single" w:color="auto" w:sz="4" w:space="0"/>
              <w:left w:val="single" w:color="auto" w:sz="4" w:space="0"/>
              <w:bottom w:val="single" w:color="auto" w:sz="4" w:space="0"/>
              <w:right w:val="single" w:color="auto" w:sz="4" w:space="0"/>
            </w:tcBorders>
            <w:textDirection w:val="lrTb"/>
            <w:vAlign w:val="center"/>
          </w:tcPr>
          <w:p>
            <w:pPr>
              <w:spacing w:line="440" w:lineRule="exact"/>
              <w:ind w:firstLine="0" w:firstLineChars="0"/>
              <w:jc w:val="center"/>
              <w:rPr>
                <w:rFonts w:hint="eastAsia" w:ascii="宋体" w:hAnsi="宋体" w:eastAsia="宋体" w:cs="宋体"/>
                <w:highlight w:val="none"/>
              </w:rPr>
            </w:pPr>
            <w:r>
              <w:rPr>
                <w:rFonts w:hint="eastAsia" w:ascii="宋体" w:hAnsi="宋体" w:eastAsia="宋体" w:cs="宋体"/>
                <w:highlight w:val="none"/>
              </w:rPr>
              <w:t>有依法缴纳税收和社会保障资金的良好记录</w:t>
            </w:r>
          </w:p>
        </w:tc>
        <w:tc>
          <w:tcPr>
            <w:tcW w:w="2255" w:type="dxa"/>
            <w:tcBorders>
              <w:top w:val="single" w:color="auto" w:sz="4" w:space="0"/>
              <w:left w:val="single" w:color="auto" w:sz="4" w:space="0"/>
              <w:bottom w:val="single" w:color="auto" w:sz="4" w:space="0"/>
              <w:right w:val="single" w:color="auto" w:sz="4" w:space="0"/>
            </w:tcBorders>
            <w:textDirection w:val="lrTb"/>
            <w:vAlign w:val="center"/>
          </w:tcPr>
          <w:p>
            <w:pPr>
              <w:spacing w:line="440" w:lineRule="exact"/>
              <w:ind w:firstLine="0" w:firstLineChars="0"/>
              <w:jc w:val="center"/>
              <w:rPr>
                <w:rFonts w:hint="eastAsia" w:ascii="宋体" w:hAnsi="宋体" w:eastAsia="宋体" w:cs="宋体"/>
                <w:highlight w:val="none"/>
              </w:rPr>
            </w:pPr>
            <w:r>
              <w:rPr>
                <w:rFonts w:hint="eastAsia" w:ascii="宋体" w:hAnsi="宋体" w:eastAsia="宋体" w:cs="宋体"/>
                <w:highlight w:val="none"/>
              </w:rPr>
              <w:t>纳税证明复印件、社保缴纳证明复印件</w:t>
            </w:r>
          </w:p>
        </w:tc>
        <w:tc>
          <w:tcPr>
            <w:tcW w:w="5133" w:type="dxa"/>
            <w:tcBorders>
              <w:top w:val="single" w:color="auto" w:sz="4" w:space="0"/>
              <w:left w:val="single" w:color="auto" w:sz="4" w:space="0"/>
              <w:bottom w:val="single" w:color="auto" w:sz="4" w:space="0"/>
              <w:right w:val="single" w:color="auto" w:sz="4" w:space="0"/>
            </w:tcBorders>
            <w:textDirection w:val="lrTb"/>
            <w:vAlign w:val="center"/>
          </w:tcPr>
          <w:p>
            <w:pPr>
              <w:spacing w:line="440" w:lineRule="exact"/>
              <w:ind w:firstLine="0" w:firstLineChars="0"/>
              <w:jc w:val="left"/>
              <w:rPr>
                <w:rFonts w:hint="eastAsia" w:ascii="宋体" w:hAnsi="宋体" w:eastAsia="宋体" w:cs="宋体"/>
                <w:highlight w:val="none"/>
              </w:rPr>
            </w:pPr>
            <w:r>
              <w:rPr>
                <w:rFonts w:hint="eastAsia" w:ascii="宋体" w:hAnsi="宋体" w:eastAsia="宋体" w:cs="宋体"/>
                <w:highlight w:val="none"/>
              </w:rPr>
              <w:t>（1）最近六个月任意一月依法缴纳税收的证明材料指投标人参加政府采购活动前最近六个月任意一月内依法缴纳税收的凭据（完税证明或纳税证明或银行电子缴税付款凭证等）；</w:t>
            </w:r>
          </w:p>
          <w:p>
            <w:pPr>
              <w:spacing w:line="440" w:lineRule="exact"/>
              <w:ind w:firstLine="0" w:firstLineChars="0"/>
              <w:jc w:val="left"/>
              <w:rPr>
                <w:rFonts w:hint="eastAsia" w:ascii="宋体" w:hAnsi="宋体" w:eastAsia="宋体" w:cs="宋体"/>
                <w:highlight w:val="none"/>
              </w:rPr>
            </w:pPr>
            <w:r>
              <w:rPr>
                <w:rFonts w:hint="eastAsia" w:ascii="宋体" w:hAnsi="宋体" w:eastAsia="宋体" w:cs="宋体"/>
                <w:highlight w:val="none"/>
              </w:rPr>
              <w:t>（2）依法免税的投标人，应提供相应文件证明其依法免税；</w:t>
            </w:r>
          </w:p>
          <w:p>
            <w:pPr>
              <w:spacing w:line="440" w:lineRule="exact"/>
              <w:ind w:firstLine="0" w:firstLineChars="0"/>
              <w:jc w:val="left"/>
              <w:rPr>
                <w:rFonts w:hint="eastAsia" w:ascii="宋体" w:hAnsi="宋体" w:eastAsia="宋体" w:cs="宋体"/>
                <w:highlight w:val="none"/>
              </w:rPr>
            </w:pPr>
            <w:r>
              <w:rPr>
                <w:rFonts w:hint="eastAsia" w:ascii="宋体" w:hAnsi="宋体" w:eastAsia="宋体" w:cs="宋体"/>
                <w:highlight w:val="none"/>
              </w:rPr>
              <w:t>（3）最近六个月任意一月依法缴纳社会保障资金的证明材料指投标人参加政府采购活动前最近六个月任意一月内依法缴纳社会保险的凭据（社保缴费专用收据或银行电子缴税付款凭证或社会保险缴纳清单等）；</w:t>
            </w:r>
          </w:p>
          <w:p>
            <w:pPr>
              <w:spacing w:line="440" w:lineRule="exact"/>
              <w:ind w:firstLine="0" w:firstLineChars="0"/>
              <w:jc w:val="left"/>
              <w:rPr>
                <w:rFonts w:hint="eastAsia" w:ascii="宋体" w:hAnsi="宋体" w:eastAsia="宋体" w:cs="宋体"/>
                <w:highlight w:val="none"/>
              </w:rPr>
            </w:pPr>
            <w:r>
              <w:rPr>
                <w:rFonts w:hint="eastAsia" w:ascii="宋体" w:hAnsi="宋体" w:eastAsia="宋体" w:cs="宋体"/>
                <w:highlight w:val="none"/>
              </w:rPr>
              <w:t>（4）依法不需要缴纳社会保障资金的投标人，应提供相应文件证明其依法不需要缴纳社会保障资金；</w:t>
            </w:r>
          </w:p>
          <w:p>
            <w:pPr>
              <w:spacing w:line="440" w:lineRule="exact"/>
              <w:ind w:firstLine="0" w:firstLineChars="0"/>
              <w:jc w:val="left"/>
              <w:rPr>
                <w:rFonts w:hint="eastAsia" w:ascii="宋体" w:hAnsi="宋体" w:eastAsia="宋体" w:cs="宋体"/>
                <w:highlight w:val="none"/>
              </w:rPr>
            </w:pPr>
            <w:r>
              <w:rPr>
                <w:rFonts w:hint="eastAsia" w:ascii="宋体" w:hAnsi="宋体" w:eastAsia="宋体" w:cs="宋体"/>
                <w:highlight w:val="none"/>
              </w:rPr>
              <w:t>投标人因新注册成立等原因无法提供相关材料的，应在投标文件中提交如实的情况说明。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hint="eastAsia" w:ascii="宋体" w:hAnsi="宋体" w:eastAsia="宋体" w:cs="宋体"/>
                <w:highlight w:val="none"/>
              </w:rPr>
            </w:pPr>
            <w:r>
              <w:rPr>
                <w:rFonts w:hint="eastAsia" w:ascii="宋体" w:hAnsi="宋体" w:eastAsia="宋体" w:cs="宋体"/>
                <w:highlight w:val="none"/>
              </w:rPr>
              <w:t>5</w:t>
            </w:r>
          </w:p>
        </w:tc>
        <w:tc>
          <w:tcPr>
            <w:tcW w:w="1867" w:type="dxa"/>
            <w:tcBorders>
              <w:top w:val="single" w:color="auto" w:sz="4" w:space="0"/>
              <w:left w:val="single" w:color="auto" w:sz="4" w:space="0"/>
              <w:bottom w:val="single" w:color="auto" w:sz="4" w:space="0"/>
              <w:right w:val="single" w:color="auto" w:sz="4" w:space="0"/>
            </w:tcBorders>
            <w:textDirection w:val="lrTb"/>
            <w:vAlign w:val="center"/>
          </w:tcPr>
          <w:p>
            <w:pPr>
              <w:spacing w:line="440" w:lineRule="exact"/>
              <w:ind w:firstLine="0" w:firstLineChars="0"/>
              <w:jc w:val="center"/>
              <w:rPr>
                <w:rFonts w:hint="eastAsia" w:ascii="宋体" w:hAnsi="宋体" w:eastAsia="宋体" w:cs="宋体"/>
                <w:highlight w:val="none"/>
              </w:rPr>
            </w:pPr>
            <w:r>
              <w:rPr>
                <w:rFonts w:hint="eastAsia" w:ascii="宋体" w:hAnsi="宋体" w:eastAsia="宋体" w:cs="宋体"/>
                <w:highlight w:val="none"/>
              </w:rPr>
              <w:t>参加政府采购活动前三年内，在经营活动中没有重大违法记录</w:t>
            </w:r>
          </w:p>
        </w:tc>
        <w:tc>
          <w:tcPr>
            <w:tcW w:w="2255" w:type="dxa"/>
            <w:tcBorders>
              <w:top w:val="single" w:color="auto" w:sz="4" w:space="0"/>
              <w:left w:val="single" w:color="auto" w:sz="4" w:space="0"/>
              <w:bottom w:val="single" w:color="auto" w:sz="4" w:space="0"/>
              <w:right w:val="single" w:color="auto" w:sz="4" w:space="0"/>
            </w:tcBorders>
            <w:textDirection w:val="lrTb"/>
            <w:vAlign w:val="center"/>
          </w:tcPr>
          <w:p>
            <w:pPr>
              <w:spacing w:line="440" w:lineRule="exact"/>
              <w:ind w:firstLine="0" w:firstLineChars="0"/>
              <w:jc w:val="center"/>
              <w:rPr>
                <w:rFonts w:hint="eastAsia" w:ascii="宋体" w:hAnsi="宋体" w:eastAsia="宋体" w:cs="宋体"/>
                <w:highlight w:val="none"/>
              </w:rPr>
            </w:pPr>
            <w:r>
              <w:rPr>
                <w:rFonts w:hint="eastAsia" w:ascii="宋体" w:hAnsi="宋体" w:eastAsia="宋体" w:cs="宋体"/>
                <w:highlight w:val="none"/>
              </w:rPr>
              <w:t>投标人在《无重大违法记录声明函》中承诺参加政府采购活动前三年内，在经营活动中无重大违法记录书面声明</w:t>
            </w:r>
          </w:p>
        </w:tc>
        <w:tc>
          <w:tcPr>
            <w:tcW w:w="5133" w:type="dxa"/>
            <w:tcBorders>
              <w:top w:val="single" w:color="auto" w:sz="4" w:space="0"/>
              <w:left w:val="single" w:color="auto" w:sz="4" w:space="0"/>
              <w:bottom w:val="single" w:color="auto" w:sz="4" w:space="0"/>
              <w:right w:val="single" w:color="auto" w:sz="4" w:space="0"/>
            </w:tcBorders>
            <w:textDirection w:val="lrTb"/>
            <w:vAlign w:val="center"/>
          </w:tcPr>
          <w:p>
            <w:pPr>
              <w:spacing w:line="440" w:lineRule="exact"/>
              <w:ind w:firstLine="0" w:firstLineChars="0"/>
              <w:jc w:val="left"/>
              <w:rPr>
                <w:rFonts w:hint="eastAsia" w:ascii="宋体" w:hAnsi="宋体" w:eastAsia="宋体" w:cs="宋体"/>
                <w:highlight w:val="none"/>
              </w:rPr>
            </w:pPr>
            <w:r>
              <w:rPr>
                <w:rFonts w:hint="eastAsia" w:ascii="宋体" w:hAnsi="宋体" w:eastAsia="宋体" w:cs="宋体"/>
                <w:highlight w:val="none"/>
              </w:rPr>
              <w:t>提供《无重大违法记录声明函》，格式以采购文件附件为准。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hint="eastAsia" w:ascii="宋体" w:hAnsi="宋体" w:eastAsia="宋体" w:cs="宋体"/>
                <w:highlight w:val="none"/>
              </w:rPr>
            </w:pPr>
            <w:r>
              <w:rPr>
                <w:rFonts w:hint="eastAsia" w:ascii="宋体" w:hAnsi="宋体" w:eastAsia="宋体" w:cs="宋体"/>
                <w:highlight w:val="none"/>
              </w:rPr>
              <w:t>6</w:t>
            </w:r>
          </w:p>
        </w:tc>
        <w:tc>
          <w:tcPr>
            <w:tcW w:w="1867" w:type="dxa"/>
            <w:tcBorders>
              <w:top w:val="single" w:color="auto" w:sz="4" w:space="0"/>
              <w:left w:val="single" w:color="auto" w:sz="4" w:space="0"/>
              <w:bottom w:val="single" w:color="auto" w:sz="4" w:space="0"/>
              <w:right w:val="single" w:color="auto" w:sz="4" w:space="0"/>
            </w:tcBorders>
            <w:textDirection w:val="lrTb"/>
            <w:vAlign w:val="center"/>
          </w:tcPr>
          <w:p>
            <w:pPr>
              <w:spacing w:line="440" w:lineRule="exact"/>
              <w:ind w:firstLine="0" w:firstLineChars="0"/>
              <w:jc w:val="center"/>
              <w:rPr>
                <w:rFonts w:hint="eastAsia" w:ascii="宋体" w:hAnsi="宋体" w:eastAsia="宋体" w:cs="宋体"/>
                <w:highlight w:val="none"/>
              </w:rPr>
            </w:pPr>
            <w:r>
              <w:rPr>
                <w:rFonts w:hint="eastAsia" w:ascii="宋体" w:hAnsi="宋体" w:eastAsia="宋体" w:cs="宋体"/>
                <w:highlight w:val="none"/>
              </w:rPr>
              <w:t>诚信记录</w:t>
            </w:r>
          </w:p>
        </w:tc>
        <w:tc>
          <w:tcPr>
            <w:tcW w:w="2255" w:type="dxa"/>
            <w:tcBorders>
              <w:top w:val="single" w:color="auto" w:sz="4" w:space="0"/>
              <w:left w:val="single" w:color="auto" w:sz="4" w:space="0"/>
              <w:bottom w:val="single" w:color="auto" w:sz="4" w:space="0"/>
              <w:right w:val="single" w:color="auto" w:sz="4" w:space="0"/>
            </w:tcBorders>
            <w:textDirection w:val="lrTb"/>
            <w:vAlign w:val="center"/>
          </w:tcPr>
          <w:p>
            <w:pPr>
              <w:spacing w:line="440" w:lineRule="exact"/>
              <w:ind w:firstLine="0" w:firstLineChars="0"/>
              <w:jc w:val="center"/>
              <w:rPr>
                <w:rFonts w:hint="eastAsia" w:ascii="宋体" w:hAnsi="宋体" w:eastAsia="宋体" w:cs="宋体"/>
                <w:highlight w:val="none"/>
              </w:rPr>
            </w:pPr>
            <w:r>
              <w:rPr>
                <w:rFonts w:hint="eastAsia" w:ascii="宋体" w:hAnsi="宋体" w:eastAsia="宋体" w:cs="宋体"/>
                <w:highlight w:val="none"/>
              </w:rPr>
              <w:t>投标人“信用中国”网站（www.creditchina.gov.cn）、中国政府采购网（www.ccgp.gov.cn）信用记录情况无不良记录。</w:t>
            </w:r>
          </w:p>
        </w:tc>
        <w:tc>
          <w:tcPr>
            <w:tcW w:w="5133" w:type="dxa"/>
            <w:tcBorders>
              <w:top w:val="single" w:color="auto" w:sz="4" w:space="0"/>
              <w:left w:val="single" w:color="auto" w:sz="4" w:space="0"/>
              <w:bottom w:val="single" w:color="auto" w:sz="4" w:space="0"/>
              <w:right w:val="single" w:color="auto" w:sz="4" w:space="0"/>
            </w:tcBorders>
            <w:textDirection w:val="lrTb"/>
            <w:vAlign w:val="center"/>
          </w:tcPr>
          <w:p>
            <w:pPr>
              <w:spacing w:line="440" w:lineRule="exact"/>
              <w:ind w:firstLine="0" w:firstLineChars="0"/>
              <w:jc w:val="left"/>
              <w:rPr>
                <w:rFonts w:hint="eastAsia" w:ascii="宋体" w:hAnsi="宋体" w:eastAsia="宋体" w:cs="宋体"/>
                <w:highlight w:val="none"/>
              </w:rPr>
            </w:pPr>
            <w:r>
              <w:rPr>
                <w:rFonts w:hint="eastAsia" w:ascii="宋体" w:hAnsi="宋体" w:eastAsia="宋体" w:cs="宋体"/>
                <w:highlight w:val="none"/>
              </w:rPr>
              <w:t>开标当日为准对投标人“信用中国”网站（www.creditchina.gov.cn）、中国政府采购网（www.ccgp.gov.cn）信用记录情况进行核实，未被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hint="eastAsia" w:ascii="宋体" w:hAnsi="宋体" w:eastAsia="宋体" w:cs="宋体"/>
                <w:highlight w:val="none"/>
              </w:rPr>
            </w:pPr>
            <w:r>
              <w:rPr>
                <w:rFonts w:hint="eastAsia" w:ascii="宋体" w:hAnsi="宋体" w:eastAsia="宋体" w:cs="宋体"/>
                <w:highlight w:val="none"/>
              </w:rPr>
              <w:t>7</w:t>
            </w:r>
          </w:p>
        </w:tc>
        <w:tc>
          <w:tcPr>
            <w:tcW w:w="186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hint="eastAsia" w:ascii="宋体" w:hAnsi="宋体" w:eastAsia="宋体" w:cs="宋体"/>
                <w:highlight w:val="none"/>
                <w:lang w:val="en-US" w:eastAsia="zh-CN"/>
              </w:rPr>
            </w:pPr>
            <w:r>
              <w:rPr>
                <w:rFonts w:hint="eastAsia" w:cs="宋体"/>
                <w:highlight w:val="none"/>
                <w:lang w:val="en-US" w:eastAsia="zh-CN"/>
              </w:rPr>
              <w:t>联合体投标</w:t>
            </w:r>
          </w:p>
        </w:tc>
        <w:tc>
          <w:tcPr>
            <w:tcW w:w="2255"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hint="eastAsia" w:ascii="宋体" w:hAnsi="宋体" w:eastAsia="宋体" w:cs="宋体"/>
                <w:highlight w:val="none"/>
                <w:lang w:eastAsia="zh-CN"/>
              </w:rPr>
            </w:pPr>
            <w:r>
              <w:rPr>
                <w:rFonts w:hint="eastAsia" w:cs="宋体"/>
                <w:highlight w:val="none"/>
                <w:lang w:eastAsia="zh-CN"/>
              </w:rPr>
              <w:t>是否为联合体投标</w:t>
            </w:r>
          </w:p>
        </w:tc>
        <w:tc>
          <w:tcPr>
            <w:tcW w:w="513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left"/>
              <w:rPr>
                <w:rFonts w:hint="eastAsia" w:ascii="宋体" w:hAnsi="宋体" w:eastAsia="宋体" w:cs="宋体"/>
                <w:highlight w:val="none"/>
                <w:lang w:eastAsia="zh-CN"/>
              </w:rPr>
            </w:pPr>
            <w:r>
              <w:rPr>
                <w:rFonts w:hint="eastAsia" w:cs="宋体"/>
                <w:highlight w:val="none"/>
                <w:lang w:eastAsia="zh-CN"/>
              </w:rPr>
              <w:t>本项目不接受联合体投标</w:t>
            </w:r>
          </w:p>
        </w:tc>
      </w:tr>
    </w:tbl>
    <w:p>
      <w:pPr>
        <w:spacing w:line="400" w:lineRule="exact"/>
        <w:ind w:firstLine="482"/>
        <w:rPr>
          <w:rFonts w:hint="eastAsia" w:ascii="宋体" w:hAnsi="宋体" w:eastAsia="宋体" w:cs="宋体"/>
          <w:b/>
          <w:bCs/>
          <w:highlight w:val="none"/>
        </w:rPr>
      </w:pPr>
      <w:r>
        <w:rPr>
          <w:rFonts w:hint="eastAsia" w:ascii="宋体" w:hAnsi="宋体" w:eastAsia="宋体" w:cs="宋体"/>
          <w:b/>
          <w:highlight w:val="none"/>
        </w:rPr>
        <w:t>注：</w:t>
      </w:r>
      <w:r>
        <w:rPr>
          <w:rFonts w:hint="eastAsia" w:ascii="宋体" w:hAnsi="宋体" w:eastAsia="宋体" w:cs="宋体"/>
          <w:b/>
          <w:bCs/>
          <w:highlight w:val="none"/>
        </w:rPr>
        <w:t>1、上述资格证明文件未按招标文件要求附入投标文件中的，资格性审查不合格。</w:t>
      </w:r>
    </w:p>
    <w:p>
      <w:pPr>
        <w:spacing w:line="400" w:lineRule="exact"/>
        <w:ind w:firstLine="482"/>
        <w:rPr>
          <w:rFonts w:hint="eastAsia" w:ascii="宋体" w:hAnsi="宋体" w:eastAsia="宋体" w:cs="宋体"/>
          <w:b/>
          <w:bCs/>
          <w:highlight w:val="none"/>
        </w:rPr>
      </w:pPr>
      <w:r>
        <w:rPr>
          <w:rFonts w:hint="eastAsia" w:ascii="宋体" w:hAnsi="宋体" w:eastAsia="宋体" w:cs="宋体"/>
          <w:b/>
          <w:bCs/>
          <w:highlight w:val="none"/>
        </w:rPr>
        <w:t>2、上述审查项目中，任意一项不符合的，资格性审查不合格。</w:t>
      </w:r>
    </w:p>
    <w:p>
      <w:pPr>
        <w:spacing w:line="400" w:lineRule="exact"/>
        <w:ind w:firstLine="482"/>
        <w:rPr>
          <w:rFonts w:hint="eastAsia" w:ascii="宋体" w:hAnsi="宋体" w:eastAsia="宋体" w:cs="宋体"/>
          <w:b/>
          <w:bCs/>
          <w:highlight w:val="none"/>
        </w:rPr>
      </w:pPr>
      <w:r>
        <w:rPr>
          <w:rFonts w:hint="eastAsia" w:ascii="宋体" w:hAnsi="宋体" w:eastAsia="宋体" w:cs="宋体"/>
          <w:b/>
          <w:bCs/>
          <w:highlight w:val="none"/>
        </w:rPr>
        <w:t>3、供应商注册成立不足一年的，应提供供应商单位成立至今的财务会计报表、缴纳税收的证明资料、缴纳社保的证明资料复印件加盖供应商公章。</w:t>
      </w:r>
    </w:p>
    <w:p>
      <w:pPr>
        <w:spacing w:line="400" w:lineRule="exact"/>
        <w:ind w:firstLine="482"/>
        <w:rPr>
          <w:rFonts w:hint="eastAsia" w:ascii="宋体" w:hAnsi="宋体" w:eastAsia="宋体" w:cs="宋体"/>
          <w:b/>
          <w:highlight w:val="none"/>
        </w:rPr>
      </w:pPr>
      <w:r>
        <w:rPr>
          <w:rFonts w:hint="eastAsia" w:ascii="宋体" w:hAnsi="宋体" w:eastAsia="宋体" w:cs="宋体"/>
          <w:b/>
          <w:bCs/>
          <w:highlight w:val="none"/>
        </w:rPr>
        <w:t>4、依法免税或不需要缴纳社保的供应商，应提供相应文件证明其依法免税或不需要缴纳社保。</w:t>
      </w:r>
    </w:p>
    <w:p>
      <w:pPr>
        <w:spacing w:line="400" w:lineRule="exact"/>
        <w:ind w:firstLine="482"/>
        <w:rPr>
          <w:rFonts w:hint="eastAsia" w:ascii="宋体" w:hAnsi="宋体" w:eastAsia="宋体" w:cs="宋体"/>
          <w:b/>
          <w:szCs w:val="21"/>
          <w:highlight w:val="none"/>
        </w:rPr>
      </w:pPr>
      <w:r>
        <w:rPr>
          <w:rFonts w:hint="eastAsia" w:ascii="宋体" w:hAnsi="宋体" w:eastAsia="宋体" w:cs="宋体"/>
          <w:b/>
          <w:szCs w:val="21"/>
          <w:highlight w:val="none"/>
        </w:rPr>
        <w:t>附表2：</w:t>
      </w:r>
    </w:p>
    <w:p>
      <w:pPr>
        <w:spacing w:line="400" w:lineRule="exact"/>
        <w:ind w:firstLine="482"/>
        <w:jc w:val="center"/>
        <w:rPr>
          <w:rFonts w:hint="eastAsia" w:ascii="宋体" w:hAnsi="宋体" w:eastAsia="宋体" w:cs="宋体"/>
          <w:b/>
          <w:szCs w:val="21"/>
          <w:highlight w:val="none"/>
        </w:rPr>
      </w:pPr>
      <w:r>
        <w:rPr>
          <w:rFonts w:hint="eastAsia" w:ascii="宋体" w:hAnsi="宋体" w:eastAsia="宋体" w:cs="宋体"/>
          <w:b/>
          <w:szCs w:val="21"/>
          <w:highlight w:val="none"/>
        </w:rPr>
        <w:t>符合性审查表</w:t>
      </w:r>
    </w:p>
    <w:tbl>
      <w:tblPr>
        <w:tblStyle w:val="46"/>
        <w:tblW w:w="9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74"/>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top"/>
          </w:tcPr>
          <w:p>
            <w:pPr>
              <w:spacing w:line="400" w:lineRule="exact"/>
              <w:ind w:firstLine="0" w:firstLineChars="0"/>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2174" w:type="dxa"/>
            <w:vAlign w:val="top"/>
          </w:tcPr>
          <w:p>
            <w:pPr>
              <w:spacing w:line="400" w:lineRule="exact"/>
              <w:ind w:firstLine="0" w:firstLineChars="0"/>
              <w:jc w:val="center"/>
              <w:rPr>
                <w:rFonts w:hint="eastAsia" w:ascii="宋体" w:hAnsi="宋体" w:eastAsia="宋体" w:cs="宋体"/>
                <w:b/>
                <w:szCs w:val="21"/>
                <w:highlight w:val="none"/>
              </w:rPr>
            </w:pPr>
            <w:r>
              <w:rPr>
                <w:rFonts w:hint="eastAsia" w:ascii="宋体" w:hAnsi="宋体" w:eastAsia="宋体" w:cs="宋体"/>
                <w:b/>
                <w:szCs w:val="21"/>
                <w:highlight w:val="none"/>
              </w:rPr>
              <w:t>审查项目</w:t>
            </w:r>
          </w:p>
        </w:tc>
        <w:tc>
          <w:tcPr>
            <w:tcW w:w="6521" w:type="dxa"/>
            <w:vAlign w:val="top"/>
          </w:tcPr>
          <w:p>
            <w:pPr>
              <w:spacing w:line="400" w:lineRule="exact"/>
              <w:ind w:firstLine="0" w:firstLineChars="0"/>
              <w:jc w:val="center"/>
              <w:rPr>
                <w:rFonts w:hint="eastAsia" w:ascii="宋体" w:hAnsi="宋体" w:eastAsia="宋体" w:cs="宋体"/>
                <w:b/>
                <w:szCs w:val="21"/>
                <w:highlight w:val="none"/>
              </w:rPr>
            </w:pPr>
            <w:r>
              <w:rPr>
                <w:rFonts w:hint="eastAsia" w:ascii="宋体" w:hAnsi="宋体" w:eastAsia="宋体" w:cs="宋体"/>
                <w:b/>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400" w:lineRule="exact"/>
              <w:ind w:firstLine="0" w:firstLineChars="0"/>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w:t>
            </w:r>
          </w:p>
        </w:tc>
        <w:tc>
          <w:tcPr>
            <w:tcW w:w="2174" w:type="dxa"/>
            <w:vAlign w:val="center"/>
          </w:tcPr>
          <w:p>
            <w:pPr>
              <w:spacing w:line="400" w:lineRule="exact"/>
              <w:ind w:firstLine="0" w:firstLineChars="0"/>
              <w:jc w:val="center"/>
              <w:rPr>
                <w:rFonts w:hint="eastAsia" w:ascii="宋体" w:hAnsi="宋体" w:eastAsia="宋体" w:cs="宋体"/>
                <w:szCs w:val="21"/>
                <w:highlight w:val="none"/>
              </w:rPr>
            </w:pPr>
            <w:r>
              <w:rPr>
                <w:rFonts w:hint="eastAsia" w:ascii="宋体" w:hAnsi="宋体" w:eastAsia="宋体" w:cs="宋体"/>
                <w:szCs w:val="21"/>
                <w:highlight w:val="none"/>
              </w:rPr>
              <w:t>投标文件的签署盖章</w:t>
            </w:r>
          </w:p>
        </w:tc>
        <w:tc>
          <w:tcPr>
            <w:tcW w:w="6521" w:type="dxa"/>
            <w:vAlign w:val="center"/>
          </w:tcPr>
          <w:p>
            <w:pPr>
              <w:spacing w:line="400" w:lineRule="exact"/>
              <w:ind w:firstLine="0" w:firstLineChars="0"/>
              <w:jc w:val="left"/>
              <w:rPr>
                <w:rFonts w:hint="eastAsia" w:ascii="宋体" w:hAnsi="宋体" w:eastAsia="宋体" w:cs="宋体"/>
                <w:szCs w:val="21"/>
                <w:highlight w:val="none"/>
              </w:rPr>
            </w:pPr>
            <w:r>
              <w:rPr>
                <w:rFonts w:hint="eastAsia" w:ascii="宋体" w:hAnsi="宋体" w:eastAsia="宋体" w:cs="宋体"/>
                <w:highlight w:val="none"/>
              </w:rPr>
              <w:t>按采购文件规定签字或盖章的</w:t>
            </w:r>
            <w:r>
              <w:rPr>
                <w:rFonts w:hint="eastAsia" w:ascii="宋体" w:hAnsi="宋体" w:eastAsia="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0" w:type="dxa"/>
            <w:vAlign w:val="center"/>
          </w:tcPr>
          <w:p>
            <w:pPr>
              <w:spacing w:line="400" w:lineRule="exact"/>
              <w:ind w:firstLine="0" w:firstLineChars="0"/>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w:t>
            </w:r>
          </w:p>
        </w:tc>
        <w:tc>
          <w:tcPr>
            <w:tcW w:w="2174" w:type="dxa"/>
            <w:vAlign w:val="center"/>
          </w:tcPr>
          <w:p>
            <w:pPr>
              <w:spacing w:line="400" w:lineRule="exact"/>
              <w:ind w:firstLine="0" w:firstLineChars="0"/>
              <w:jc w:val="center"/>
              <w:rPr>
                <w:rFonts w:hint="eastAsia" w:ascii="宋体" w:hAnsi="宋体" w:eastAsia="宋体" w:cs="宋体"/>
                <w:szCs w:val="21"/>
                <w:highlight w:val="none"/>
              </w:rPr>
            </w:pPr>
            <w:r>
              <w:rPr>
                <w:rFonts w:hint="eastAsia" w:ascii="宋体" w:hAnsi="宋体" w:cs="宋体"/>
                <w:color w:val="auto"/>
                <w:szCs w:val="24"/>
                <w:highlight w:val="none"/>
                <w:lang w:bidi="ar"/>
              </w:rPr>
              <w:t>实质性条款</w:t>
            </w:r>
            <w:r>
              <w:rPr>
                <w:rFonts w:hint="eastAsia" w:cs="宋体"/>
                <w:color w:val="auto"/>
                <w:szCs w:val="24"/>
                <w:highlight w:val="none"/>
                <w:lang w:eastAsia="zh-CN" w:bidi="ar"/>
              </w:rPr>
              <w:t>响应</w:t>
            </w:r>
          </w:p>
        </w:tc>
        <w:tc>
          <w:tcPr>
            <w:tcW w:w="6521" w:type="dxa"/>
            <w:textDirection w:val="lrTb"/>
            <w:vAlign w:val="center"/>
          </w:tcPr>
          <w:p>
            <w:pPr>
              <w:ind w:left="0" w:leftChars="0" w:firstLine="0" w:firstLineChars="0"/>
              <w:rPr>
                <w:rFonts w:hint="eastAsia" w:ascii="宋体" w:hAnsi="宋体" w:eastAsia="宋体" w:cs="宋体"/>
                <w:szCs w:val="21"/>
                <w:highlight w:val="none"/>
              </w:rPr>
            </w:pPr>
            <w:r>
              <w:rPr>
                <w:rFonts w:hint="eastAsia" w:ascii="宋体" w:hAnsi="宋体" w:cs="宋体"/>
                <w:color w:val="auto"/>
                <w:szCs w:val="24"/>
                <w:highlight w:val="none"/>
                <w:lang w:bidi="ar"/>
              </w:rPr>
              <w:t>投标文件完全满足招标文件的实质性条款（即标注</w:t>
            </w:r>
            <w:r>
              <w:rPr>
                <w:rFonts w:hint="eastAsia" w:ascii="宋体" w:hAnsi="宋体" w:cs="宋体"/>
                <w:color w:val="auto"/>
                <w:szCs w:val="21"/>
                <w:highlight w:val="none"/>
                <w:lang w:bidi="ar"/>
              </w:rPr>
              <w:t>▲</w:t>
            </w:r>
            <w:r>
              <w:rPr>
                <w:rFonts w:hint="eastAsia" w:ascii="宋体" w:hAnsi="宋体" w:cs="宋体"/>
                <w:color w:val="auto"/>
                <w:szCs w:val="24"/>
                <w:highlight w:val="none"/>
                <w:lang w:bidi="ar"/>
              </w:rPr>
              <w:t>号条款）无负偏离的</w:t>
            </w:r>
            <w:r>
              <w:rPr>
                <w:rFonts w:hint="eastAsia" w:cs="宋体"/>
                <w:color w:val="auto"/>
                <w:szCs w:val="24"/>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400" w:lineRule="exact"/>
              <w:ind w:firstLine="0" w:firstLineChars="0"/>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3</w:t>
            </w:r>
          </w:p>
        </w:tc>
        <w:tc>
          <w:tcPr>
            <w:tcW w:w="2174" w:type="dxa"/>
            <w:vAlign w:val="center"/>
          </w:tcPr>
          <w:p>
            <w:pPr>
              <w:spacing w:line="400" w:lineRule="exact"/>
              <w:ind w:firstLine="0" w:firstLineChars="0"/>
              <w:jc w:val="center"/>
              <w:rPr>
                <w:rFonts w:hint="eastAsia" w:ascii="宋体" w:hAnsi="宋体" w:eastAsia="宋体" w:cs="宋体"/>
                <w:szCs w:val="21"/>
                <w:highlight w:val="none"/>
                <w:lang w:eastAsia="zh-CN"/>
              </w:rPr>
            </w:pPr>
            <w:r>
              <w:rPr>
                <w:rFonts w:hint="eastAsia" w:ascii="宋体" w:hAnsi="宋体" w:cs="宋体"/>
                <w:color w:val="auto"/>
                <w:szCs w:val="24"/>
                <w:highlight w:val="none"/>
                <w:lang w:bidi="ar"/>
              </w:rPr>
              <w:t>法定代表人</w:t>
            </w:r>
            <w:r>
              <w:rPr>
                <w:rFonts w:hint="eastAsia" w:cs="宋体"/>
                <w:szCs w:val="21"/>
                <w:highlight w:val="none"/>
                <w:lang w:eastAsia="zh-CN"/>
              </w:rPr>
              <w:t>授权书</w:t>
            </w:r>
          </w:p>
        </w:tc>
        <w:tc>
          <w:tcPr>
            <w:tcW w:w="6521" w:type="dxa"/>
            <w:textDirection w:val="lrTb"/>
            <w:vAlign w:val="center"/>
          </w:tcPr>
          <w:p>
            <w:pPr>
              <w:ind w:left="0" w:leftChars="0" w:firstLine="0" w:firstLineChars="0"/>
              <w:rPr>
                <w:rFonts w:hint="eastAsia" w:ascii="宋体" w:hAnsi="宋体" w:eastAsia="宋体" w:cs="宋体"/>
                <w:szCs w:val="21"/>
                <w:highlight w:val="none"/>
              </w:rPr>
            </w:pPr>
            <w:r>
              <w:rPr>
                <w:rFonts w:hint="eastAsia" w:cs="宋体"/>
                <w:color w:val="auto"/>
                <w:szCs w:val="24"/>
                <w:highlight w:val="none"/>
                <w:lang w:eastAsia="zh-CN" w:bidi="ar"/>
              </w:rPr>
              <w:t>提供有效的</w:t>
            </w:r>
            <w:r>
              <w:rPr>
                <w:rFonts w:hint="eastAsia" w:ascii="宋体" w:hAnsi="宋体" w:cs="宋体"/>
                <w:color w:val="auto"/>
                <w:szCs w:val="24"/>
                <w:highlight w:val="none"/>
                <w:lang w:bidi="ar"/>
              </w:rPr>
              <w:t>法定代表人证明书/法定代表人授权委托书</w:t>
            </w:r>
            <w:r>
              <w:rPr>
                <w:rFonts w:hint="eastAsia" w:cs="宋体"/>
                <w:color w:val="auto"/>
                <w:szCs w:val="24"/>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720" w:type="dxa"/>
            <w:vAlign w:val="center"/>
          </w:tcPr>
          <w:p>
            <w:pPr>
              <w:spacing w:line="400" w:lineRule="exact"/>
              <w:ind w:firstLine="0" w:firstLineChars="0"/>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4</w:t>
            </w:r>
          </w:p>
        </w:tc>
        <w:tc>
          <w:tcPr>
            <w:tcW w:w="2174" w:type="dxa"/>
            <w:textDirection w:val="lrTb"/>
            <w:vAlign w:val="center"/>
          </w:tcPr>
          <w:p>
            <w:pPr>
              <w:spacing w:line="400" w:lineRule="exact"/>
              <w:ind w:firstLine="0" w:firstLineChars="0"/>
              <w:jc w:val="center"/>
              <w:rPr>
                <w:rFonts w:hint="eastAsia" w:ascii="宋体" w:hAnsi="宋体" w:eastAsia="宋体" w:cs="宋体"/>
                <w:szCs w:val="21"/>
                <w:highlight w:val="none"/>
              </w:rPr>
            </w:pPr>
            <w:r>
              <w:rPr>
                <w:rFonts w:hint="eastAsia" w:cs="宋体"/>
                <w:szCs w:val="21"/>
                <w:highlight w:val="none"/>
                <w:lang w:eastAsia="zh-CN"/>
              </w:rPr>
              <w:t>无效条款</w:t>
            </w:r>
          </w:p>
        </w:tc>
        <w:tc>
          <w:tcPr>
            <w:tcW w:w="6521" w:type="dxa"/>
            <w:textDirection w:val="lrTb"/>
            <w:vAlign w:val="center"/>
          </w:tcPr>
          <w:p>
            <w:pPr>
              <w:ind w:left="0" w:leftChars="0" w:firstLine="0" w:firstLineChars="0"/>
              <w:rPr>
                <w:rFonts w:hint="eastAsia" w:ascii="宋体" w:hAnsi="宋体" w:eastAsia="宋体" w:cs="宋体"/>
                <w:szCs w:val="21"/>
                <w:highlight w:val="none"/>
              </w:rPr>
            </w:pPr>
            <w:r>
              <w:rPr>
                <w:rFonts w:hint="eastAsia" w:ascii="宋体" w:hAnsi="宋体" w:cs="宋体"/>
                <w:color w:val="auto"/>
                <w:szCs w:val="24"/>
                <w:highlight w:val="none"/>
                <w:lang w:bidi="ar"/>
              </w:rPr>
              <w:t>投标文件没有招标文件中规定的其它无效投标条款的</w:t>
            </w:r>
            <w:r>
              <w:rPr>
                <w:rFonts w:hint="eastAsia" w:cs="宋体"/>
                <w:color w:val="auto"/>
                <w:szCs w:val="24"/>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400" w:lineRule="exact"/>
              <w:ind w:firstLine="0" w:firstLineChars="0"/>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5</w:t>
            </w:r>
          </w:p>
        </w:tc>
        <w:tc>
          <w:tcPr>
            <w:tcW w:w="2174" w:type="dxa"/>
            <w:textDirection w:val="lrTb"/>
            <w:vAlign w:val="center"/>
          </w:tcPr>
          <w:p>
            <w:pPr>
              <w:spacing w:line="400" w:lineRule="exact"/>
              <w:ind w:firstLine="0" w:firstLineChars="0"/>
              <w:jc w:val="center"/>
              <w:rPr>
                <w:rFonts w:hint="eastAsia" w:ascii="宋体" w:hAnsi="宋体" w:eastAsia="宋体" w:cs="宋体"/>
                <w:szCs w:val="21"/>
                <w:highlight w:val="none"/>
                <w:lang w:eastAsia="zh-CN"/>
              </w:rPr>
            </w:pPr>
            <w:r>
              <w:rPr>
                <w:rFonts w:hint="eastAsia" w:cs="宋体"/>
                <w:szCs w:val="21"/>
                <w:highlight w:val="none"/>
                <w:lang w:eastAsia="zh-CN"/>
              </w:rPr>
              <w:t>其他</w:t>
            </w:r>
          </w:p>
        </w:tc>
        <w:tc>
          <w:tcPr>
            <w:tcW w:w="6521" w:type="dxa"/>
            <w:textDirection w:val="lrTb"/>
            <w:vAlign w:val="center"/>
          </w:tcPr>
          <w:p>
            <w:pPr>
              <w:ind w:left="0" w:leftChars="0" w:firstLine="0" w:firstLineChars="0"/>
              <w:rPr>
                <w:rFonts w:hint="eastAsia" w:ascii="宋体" w:hAnsi="宋体" w:eastAsia="宋体" w:cs="宋体"/>
                <w:lang w:eastAsia="zh-CN"/>
              </w:rPr>
            </w:pPr>
            <w:r>
              <w:rPr>
                <w:rFonts w:hint="eastAsia" w:cs="宋体"/>
                <w:lang w:eastAsia="zh-CN"/>
              </w:rPr>
              <w:t>投标供应商无虚假应标、串通投标的情形。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400" w:lineRule="exact"/>
              <w:ind w:firstLine="0" w:firstLineChars="0"/>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6</w:t>
            </w:r>
          </w:p>
        </w:tc>
        <w:tc>
          <w:tcPr>
            <w:tcW w:w="2174" w:type="dxa"/>
            <w:vAlign w:val="center"/>
          </w:tcPr>
          <w:p>
            <w:pPr>
              <w:spacing w:line="400" w:lineRule="exact"/>
              <w:ind w:firstLine="0" w:firstLineChars="0"/>
              <w:jc w:val="center"/>
              <w:rPr>
                <w:rFonts w:hint="eastAsia" w:ascii="宋体" w:hAnsi="宋体" w:eastAsia="宋体" w:cs="宋体"/>
                <w:szCs w:val="21"/>
                <w:highlight w:val="none"/>
                <w:lang w:eastAsia="zh-CN"/>
              </w:rPr>
            </w:pPr>
            <w:r>
              <w:rPr>
                <w:rFonts w:hint="eastAsia" w:cs="宋体"/>
                <w:szCs w:val="21"/>
                <w:highlight w:val="none"/>
                <w:lang w:eastAsia="zh-CN"/>
              </w:rPr>
              <w:t>其他</w:t>
            </w:r>
          </w:p>
        </w:tc>
        <w:tc>
          <w:tcPr>
            <w:tcW w:w="6521" w:type="dxa"/>
            <w:textDirection w:val="lrTb"/>
            <w:vAlign w:val="center"/>
          </w:tcPr>
          <w:p>
            <w:pPr>
              <w:ind w:left="0" w:leftChars="0" w:firstLine="0" w:firstLineChars="0"/>
              <w:rPr>
                <w:rFonts w:hint="eastAsia" w:ascii="宋体" w:hAnsi="宋体" w:eastAsia="宋体" w:cs="宋体"/>
                <w:szCs w:val="21"/>
                <w:highlight w:val="none"/>
              </w:rPr>
            </w:pPr>
            <w:r>
              <w:rPr>
                <w:rFonts w:hint="eastAsia" w:ascii="宋体" w:hAnsi="宋体" w:cs="宋体"/>
                <w:color w:val="auto"/>
                <w:szCs w:val="24"/>
                <w:highlight w:val="none"/>
                <w:lang w:bidi="ar"/>
              </w:rPr>
              <w:t>按有关法律、法规、规章不属于投标无效的。</w:t>
            </w:r>
          </w:p>
        </w:tc>
      </w:tr>
    </w:tbl>
    <w:p>
      <w:pPr>
        <w:pStyle w:val="2"/>
        <w:tabs>
          <w:tab w:val="left" w:pos="0"/>
          <w:tab w:val="left" w:pos="1260"/>
          <w:tab w:val="left" w:pos="1365"/>
        </w:tabs>
        <w:ind w:firstLine="482"/>
        <w:rPr>
          <w:rFonts w:hint="eastAsia" w:ascii="宋体" w:hAnsi="宋体" w:eastAsia="宋体" w:cs="宋体"/>
          <w:highlight w:val="none"/>
        </w:rPr>
      </w:pPr>
      <w:r>
        <w:rPr>
          <w:rFonts w:hint="eastAsia" w:ascii="宋体" w:hAnsi="宋体" w:eastAsia="宋体" w:cs="宋体"/>
          <w:b/>
          <w:highlight w:val="none"/>
        </w:rPr>
        <w:t>注：1、上述审查项目中，任意一项不符合的，符合性审查不合格。</w:t>
      </w:r>
    </w:p>
    <w:p>
      <w:pPr>
        <w:spacing w:line="500" w:lineRule="exact"/>
        <w:ind w:firstLine="482"/>
        <w:rPr>
          <w:rFonts w:hint="eastAsia" w:ascii="宋体" w:hAnsi="宋体" w:eastAsia="宋体" w:cs="宋体"/>
          <w:b/>
          <w:highlight w:val="none"/>
        </w:rPr>
      </w:pPr>
      <w:r>
        <w:rPr>
          <w:rFonts w:hint="eastAsia" w:ascii="宋体" w:hAnsi="宋体" w:eastAsia="宋体" w:cs="宋体"/>
          <w:b/>
          <w:highlight w:val="none"/>
        </w:rPr>
        <w:t>附表3：</w:t>
      </w:r>
    </w:p>
    <w:p>
      <w:pPr>
        <w:ind w:firstLine="482"/>
        <w:rPr>
          <w:rFonts w:hint="eastAsia" w:cs="宋体"/>
          <w:b/>
          <w:bCs/>
        </w:rPr>
      </w:pPr>
      <w:r>
        <w:rPr>
          <w:rFonts w:hint="eastAsia" w:cs="宋体"/>
          <w:b/>
          <w:bCs/>
        </w:rPr>
        <w:t>1.投标人如为小型或微型企业并提交相关证明材料且所投产品为小型或微型企业制造的，其小型或微型企业部分的投标报价扣除6%后参与评审；</w:t>
      </w:r>
    </w:p>
    <w:p>
      <w:pPr>
        <w:ind w:firstLine="482"/>
        <w:rPr>
          <w:rFonts w:hint="eastAsia" w:cs="宋体"/>
          <w:b/>
          <w:bCs/>
        </w:rPr>
      </w:pPr>
      <w:r>
        <w:rPr>
          <w:rFonts w:hint="eastAsia" w:cs="宋体"/>
          <w:b/>
          <w:bCs/>
        </w:rPr>
        <w:t>2.投标人如为监狱企业并提交相关证明材料且所投产品为小型或微型企业制造的，其小型或微型企业部分的投标报价扣除6%后参与评审；</w:t>
      </w:r>
    </w:p>
    <w:p>
      <w:pPr>
        <w:ind w:firstLine="482"/>
        <w:rPr>
          <w:rFonts w:hint="eastAsia" w:cs="宋体"/>
          <w:b/>
          <w:bCs/>
        </w:rPr>
      </w:pPr>
      <w:r>
        <w:rPr>
          <w:rFonts w:hint="eastAsia" w:cs="宋体"/>
          <w:b/>
          <w:bCs/>
        </w:rPr>
        <w:t>3.投标人如为残疾人福利性单位并提交《残疾人福利性单位声明函》且所投产品为本企业或其他残疾人福利性单位制造的，其残疾人福利性单位部分的投标报价扣除6%后参与评审；</w:t>
      </w:r>
    </w:p>
    <w:p>
      <w:pPr>
        <w:ind w:firstLine="482"/>
        <w:rPr>
          <w:rFonts w:hint="eastAsia" w:cs="宋体"/>
          <w:b/>
          <w:bCs/>
        </w:rPr>
      </w:pPr>
      <w:r>
        <w:rPr>
          <w:rFonts w:hint="eastAsia" w:cs="宋体"/>
          <w:b/>
          <w:bCs/>
        </w:rPr>
        <w:t>4.残疾人福利性单位属于小型、微型企业的，不重复享受政策。</w:t>
      </w:r>
    </w:p>
    <w:bookmarkEnd w:id="138"/>
    <w:bookmarkEnd w:id="139"/>
    <w:bookmarkEnd w:id="140"/>
    <w:p>
      <w:pPr>
        <w:spacing w:before="156" w:beforeLines="50" w:after="156" w:afterLines="50" w:line="360" w:lineRule="auto"/>
        <w:ind w:firstLine="472" w:firstLineChars="196"/>
        <w:rPr>
          <w:rFonts w:hint="eastAsia" w:ascii="宋体" w:hAnsi="宋体" w:cs="宋体"/>
          <w:b/>
          <w:bCs/>
          <w:sz w:val="24"/>
        </w:rPr>
      </w:pPr>
      <w:r>
        <w:rPr>
          <w:rFonts w:hint="eastAsia" w:ascii="宋体" w:hAnsi="宋体" w:cs="宋体"/>
          <w:b/>
          <w:sz w:val="24"/>
        </w:rPr>
        <w:t>（一）资信及商务部分（</w:t>
      </w:r>
      <w:r>
        <w:rPr>
          <w:rFonts w:hint="eastAsia" w:cs="宋体"/>
          <w:b/>
          <w:sz w:val="24"/>
          <w:u w:val="single"/>
          <w:lang w:val="en-US" w:eastAsia="zh-CN"/>
        </w:rPr>
        <w:t>6</w:t>
      </w:r>
      <w:r>
        <w:rPr>
          <w:rFonts w:hint="eastAsia" w:ascii="宋体" w:hAnsi="宋体" w:cs="宋体"/>
          <w:b/>
          <w:sz w:val="24"/>
        </w:rPr>
        <w:t>分）</w:t>
      </w:r>
    </w:p>
    <w:tbl>
      <w:tblPr>
        <w:tblStyle w:val="46"/>
        <w:tblW w:w="9288" w:type="dxa"/>
        <w:tblInd w:w="3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7572"/>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889"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jc w:val="center"/>
              <w:rPr>
                <w:rFonts w:hint="eastAsia" w:ascii="宋体" w:hAnsi="宋体" w:cs="宋体"/>
                <w:b w:val="0"/>
                <w:bCs/>
                <w:spacing w:val="-6"/>
                <w:sz w:val="24"/>
              </w:rPr>
            </w:pPr>
            <w:r>
              <w:rPr>
                <w:rFonts w:hint="eastAsia" w:ascii="宋体" w:hAnsi="宋体" w:cs="宋体"/>
                <w:b w:val="0"/>
                <w:bCs/>
                <w:spacing w:val="-6"/>
                <w:sz w:val="24"/>
              </w:rPr>
              <w:t>序号</w:t>
            </w:r>
          </w:p>
        </w:tc>
        <w:tc>
          <w:tcPr>
            <w:tcW w:w="757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jc w:val="center"/>
              <w:rPr>
                <w:rFonts w:hint="eastAsia" w:ascii="宋体" w:hAnsi="宋体" w:cs="宋体"/>
                <w:b w:val="0"/>
                <w:bCs/>
                <w:spacing w:val="-6"/>
                <w:sz w:val="24"/>
              </w:rPr>
            </w:pPr>
            <w:r>
              <w:rPr>
                <w:rFonts w:hint="eastAsia" w:ascii="宋体" w:hAnsi="宋体" w:cs="宋体"/>
                <w:b w:val="0"/>
                <w:bCs/>
                <w:spacing w:val="-6"/>
                <w:sz w:val="24"/>
              </w:rPr>
              <w:t>评审项目和评审标准</w:t>
            </w: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jc w:val="center"/>
              <w:rPr>
                <w:rFonts w:hint="eastAsia" w:ascii="宋体" w:hAnsi="宋体" w:cs="宋体"/>
                <w:b w:val="0"/>
                <w:bCs/>
                <w:spacing w:val="-6"/>
                <w:sz w:val="24"/>
              </w:rPr>
            </w:pPr>
            <w:r>
              <w:rPr>
                <w:rFonts w:hint="eastAsia" w:ascii="宋体" w:hAnsi="宋体" w:cs="宋体"/>
                <w:b w:val="0"/>
                <w:bCs/>
                <w:spacing w:val="-6"/>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9"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jc w:val="center"/>
              <w:rPr>
                <w:rFonts w:hint="eastAsia" w:ascii="宋体" w:hAnsi="宋体" w:cs="宋体"/>
                <w:b w:val="0"/>
                <w:bCs/>
                <w:spacing w:val="-6"/>
                <w:sz w:val="24"/>
              </w:rPr>
            </w:pPr>
            <w:r>
              <w:rPr>
                <w:rFonts w:hint="eastAsia" w:ascii="宋体" w:hAnsi="宋体" w:cs="宋体"/>
                <w:b w:val="0"/>
                <w:bCs/>
                <w:spacing w:val="-6"/>
                <w:sz w:val="24"/>
              </w:rPr>
              <w:t>1</w:t>
            </w:r>
          </w:p>
        </w:tc>
        <w:tc>
          <w:tcPr>
            <w:tcW w:w="7572"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jc w:val="left"/>
              <w:rPr>
                <w:rFonts w:hint="eastAsia" w:ascii="宋体" w:hAnsi="宋体" w:cs="宋体"/>
                <w:b w:val="0"/>
                <w:bCs/>
                <w:spacing w:val="-6"/>
                <w:sz w:val="24"/>
              </w:rPr>
            </w:pPr>
            <w:r>
              <w:rPr>
                <w:rFonts w:hint="eastAsia" w:ascii="宋体" w:hAnsi="宋体" w:cs="宋体"/>
                <w:b w:val="0"/>
                <w:bCs/>
                <w:spacing w:val="-6"/>
                <w:sz w:val="24"/>
              </w:rPr>
              <w:t>2018年1月1日（以合同签订日期为准）以来，投标人具有核心产品或同类设备销售业绩的：每提供1个得1分，最高得6分。</w:t>
            </w:r>
          </w:p>
          <w:p>
            <w:pPr>
              <w:spacing w:line="360" w:lineRule="auto"/>
              <w:ind w:left="0" w:leftChars="0" w:firstLine="0" w:firstLineChars="0"/>
              <w:jc w:val="left"/>
              <w:rPr>
                <w:rFonts w:hint="eastAsia" w:ascii="宋体" w:hAnsi="宋体" w:cs="宋体"/>
                <w:b w:val="0"/>
                <w:bCs/>
                <w:spacing w:val="-6"/>
                <w:sz w:val="24"/>
              </w:rPr>
            </w:pPr>
            <w:r>
              <w:rPr>
                <w:rFonts w:hint="eastAsia" w:ascii="宋体" w:hAnsi="宋体" w:cs="宋体"/>
                <w:b w:val="0"/>
                <w:bCs/>
                <w:spacing w:val="-6"/>
                <w:sz w:val="24"/>
              </w:rPr>
              <w:t>开标提供合同原件备查。</w:t>
            </w: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jc w:val="center"/>
              <w:rPr>
                <w:rFonts w:hint="eastAsia" w:ascii="宋体" w:hAnsi="宋体" w:cs="宋体"/>
                <w:b w:val="0"/>
                <w:bCs/>
                <w:spacing w:val="-6"/>
                <w:sz w:val="24"/>
              </w:rPr>
            </w:pPr>
            <w:r>
              <w:rPr>
                <w:rFonts w:hint="eastAsia" w:ascii="宋体" w:hAnsi="宋体" w:cs="宋体"/>
                <w:b w:val="0"/>
                <w:bCs/>
                <w:spacing w:val="-6"/>
                <w:sz w:val="24"/>
              </w:rPr>
              <w:t>6</w:t>
            </w:r>
          </w:p>
        </w:tc>
      </w:tr>
    </w:tbl>
    <w:p>
      <w:pPr>
        <w:spacing w:before="156" w:beforeLines="50" w:after="156" w:afterLines="50" w:line="360" w:lineRule="auto"/>
        <w:ind w:firstLine="472" w:firstLineChars="196"/>
        <w:rPr>
          <w:rFonts w:hint="eastAsia" w:ascii="宋体" w:hAnsi="宋体" w:cs="宋体"/>
          <w:b/>
          <w:sz w:val="24"/>
        </w:rPr>
      </w:pPr>
      <w:r>
        <w:rPr>
          <w:rFonts w:hint="eastAsia" w:ascii="宋体" w:hAnsi="宋体" w:cs="宋体"/>
          <w:b/>
          <w:bCs/>
          <w:sz w:val="24"/>
        </w:rPr>
        <w:t>（二）</w:t>
      </w:r>
      <w:r>
        <w:rPr>
          <w:rFonts w:hint="eastAsia" w:ascii="宋体" w:hAnsi="宋体" w:cs="宋体"/>
          <w:b/>
          <w:sz w:val="24"/>
        </w:rPr>
        <w:t>技术部分（</w:t>
      </w:r>
      <w:r>
        <w:rPr>
          <w:rFonts w:hint="eastAsia" w:ascii="宋体" w:hAnsi="宋体" w:cs="宋体"/>
          <w:b/>
          <w:sz w:val="24"/>
          <w:u w:val="single"/>
        </w:rPr>
        <w:t xml:space="preserve"> 6</w:t>
      </w:r>
      <w:r>
        <w:rPr>
          <w:rFonts w:hint="eastAsia" w:cs="宋体"/>
          <w:b/>
          <w:sz w:val="24"/>
          <w:u w:val="single"/>
          <w:lang w:val="en-US" w:eastAsia="zh-CN"/>
        </w:rPr>
        <w:t>4</w:t>
      </w:r>
      <w:r>
        <w:rPr>
          <w:rFonts w:hint="eastAsia" w:ascii="宋体" w:hAnsi="宋体" w:cs="宋体"/>
          <w:b/>
          <w:sz w:val="24"/>
          <w:u w:val="single"/>
        </w:rPr>
        <w:t xml:space="preserve"> </w:t>
      </w:r>
      <w:r>
        <w:rPr>
          <w:rFonts w:hint="eastAsia" w:ascii="宋体" w:hAnsi="宋体" w:cs="宋体"/>
          <w:b/>
          <w:sz w:val="24"/>
        </w:rPr>
        <w:t xml:space="preserve">分） </w:t>
      </w:r>
    </w:p>
    <w:tbl>
      <w:tblPr>
        <w:tblStyle w:val="46"/>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389"/>
        <w:gridCol w:w="6232"/>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91" w:type="dxa"/>
            <w:vAlign w:val="center"/>
          </w:tcPr>
          <w:p>
            <w:pPr>
              <w:spacing w:line="360" w:lineRule="auto"/>
              <w:ind w:left="0" w:leftChars="0" w:firstLine="0" w:firstLineChars="0"/>
              <w:jc w:val="center"/>
              <w:rPr>
                <w:rFonts w:hint="eastAsia" w:ascii="宋体" w:hAnsi="宋体" w:cs="宋体"/>
                <w:b w:val="0"/>
                <w:bCs/>
                <w:spacing w:val="-6"/>
                <w:sz w:val="24"/>
              </w:rPr>
            </w:pPr>
            <w:r>
              <w:rPr>
                <w:rFonts w:hint="eastAsia" w:ascii="宋体" w:hAnsi="宋体" w:cs="宋体"/>
                <w:b w:val="0"/>
                <w:bCs/>
                <w:spacing w:val="-6"/>
                <w:sz w:val="24"/>
              </w:rPr>
              <w:t>序号</w:t>
            </w:r>
          </w:p>
        </w:tc>
        <w:tc>
          <w:tcPr>
            <w:tcW w:w="1389" w:type="dxa"/>
            <w:vAlign w:val="center"/>
          </w:tcPr>
          <w:p>
            <w:pPr>
              <w:spacing w:line="360" w:lineRule="auto"/>
              <w:ind w:left="0" w:leftChars="0" w:firstLine="0" w:firstLineChars="0"/>
              <w:jc w:val="center"/>
              <w:rPr>
                <w:rFonts w:hint="eastAsia" w:ascii="宋体" w:hAnsi="宋体" w:cs="宋体"/>
                <w:b w:val="0"/>
                <w:bCs/>
                <w:spacing w:val="-6"/>
                <w:sz w:val="24"/>
              </w:rPr>
            </w:pPr>
            <w:r>
              <w:rPr>
                <w:rFonts w:hint="eastAsia" w:ascii="宋体" w:hAnsi="宋体" w:cs="宋体"/>
                <w:b w:val="0"/>
                <w:bCs/>
                <w:spacing w:val="-6"/>
                <w:sz w:val="24"/>
              </w:rPr>
              <w:t>评审因素</w:t>
            </w:r>
          </w:p>
        </w:tc>
        <w:tc>
          <w:tcPr>
            <w:tcW w:w="6232" w:type="dxa"/>
            <w:vAlign w:val="center"/>
          </w:tcPr>
          <w:p>
            <w:pPr>
              <w:spacing w:line="360" w:lineRule="auto"/>
              <w:ind w:left="0" w:leftChars="0" w:firstLine="0" w:firstLineChars="0"/>
              <w:jc w:val="center"/>
              <w:rPr>
                <w:rFonts w:hint="eastAsia" w:ascii="宋体" w:hAnsi="宋体" w:cs="宋体"/>
                <w:b w:val="0"/>
                <w:bCs/>
                <w:spacing w:val="-6"/>
                <w:sz w:val="24"/>
              </w:rPr>
            </w:pPr>
            <w:r>
              <w:rPr>
                <w:rFonts w:hint="eastAsia" w:ascii="宋体" w:hAnsi="宋体" w:cs="宋体"/>
                <w:b w:val="0"/>
                <w:bCs/>
                <w:spacing w:val="-6"/>
                <w:sz w:val="24"/>
              </w:rPr>
              <w:t>评分细则</w:t>
            </w:r>
          </w:p>
        </w:tc>
        <w:tc>
          <w:tcPr>
            <w:tcW w:w="776" w:type="dxa"/>
            <w:vAlign w:val="center"/>
          </w:tcPr>
          <w:p>
            <w:pPr>
              <w:spacing w:line="360" w:lineRule="auto"/>
              <w:ind w:left="0" w:leftChars="0" w:firstLine="0" w:firstLineChars="0"/>
              <w:jc w:val="center"/>
              <w:rPr>
                <w:rFonts w:hint="eastAsia" w:ascii="宋体" w:hAnsi="宋体" w:cs="宋体"/>
                <w:b w:val="0"/>
                <w:bCs/>
                <w:spacing w:val="-6"/>
                <w:sz w:val="24"/>
              </w:rPr>
            </w:pPr>
            <w:r>
              <w:rPr>
                <w:rFonts w:hint="eastAsia" w:ascii="宋体" w:hAnsi="宋体" w:cs="宋体"/>
                <w:b w:val="0"/>
                <w:bCs/>
                <w:spacing w:val="-6"/>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91" w:type="dxa"/>
            <w:vAlign w:val="center"/>
          </w:tcPr>
          <w:p>
            <w:pPr>
              <w:spacing w:line="360" w:lineRule="auto"/>
              <w:ind w:left="0" w:leftChars="0" w:firstLine="0" w:firstLineChars="0"/>
              <w:jc w:val="center"/>
              <w:rPr>
                <w:rFonts w:hint="eastAsia" w:ascii="宋体" w:hAnsi="宋体" w:cs="宋体"/>
                <w:b w:val="0"/>
                <w:bCs/>
                <w:spacing w:val="-6"/>
                <w:sz w:val="24"/>
              </w:rPr>
            </w:pPr>
            <w:r>
              <w:rPr>
                <w:rFonts w:hint="eastAsia" w:ascii="宋体" w:hAnsi="宋体" w:cs="宋体"/>
                <w:b w:val="0"/>
                <w:bCs/>
                <w:spacing w:val="-6"/>
                <w:sz w:val="24"/>
              </w:rPr>
              <w:t>1</w:t>
            </w:r>
          </w:p>
        </w:tc>
        <w:tc>
          <w:tcPr>
            <w:tcW w:w="1389" w:type="dxa"/>
            <w:vAlign w:val="center"/>
          </w:tcPr>
          <w:p>
            <w:pPr>
              <w:spacing w:line="360" w:lineRule="auto"/>
              <w:ind w:left="0" w:leftChars="0" w:firstLine="0" w:firstLineChars="0"/>
              <w:jc w:val="center"/>
              <w:rPr>
                <w:rFonts w:hint="eastAsia" w:ascii="宋体" w:hAnsi="宋体" w:cs="宋体"/>
                <w:b w:val="0"/>
                <w:bCs/>
                <w:spacing w:val="-6"/>
                <w:sz w:val="24"/>
              </w:rPr>
            </w:pPr>
            <w:r>
              <w:rPr>
                <w:rFonts w:hint="eastAsia" w:ascii="宋体" w:hAnsi="宋体" w:cs="宋体"/>
                <w:b w:val="0"/>
                <w:bCs/>
                <w:spacing w:val="-6"/>
                <w:sz w:val="24"/>
              </w:rPr>
              <w:t>产品总体性能及质量水平</w:t>
            </w:r>
          </w:p>
        </w:tc>
        <w:tc>
          <w:tcPr>
            <w:tcW w:w="6232" w:type="dxa"/>
            <w:vAlign w:val="center"/>
          </w:tcPr>
          <w:p>
            <w:pPr>
              <w:spacing w:line="360" w:lineRule="auto"/>
              <w:ind w:left="0" w:leftChars="0" w:firstLine="0" w:firstLineChars="0"/>
              <w:jc w:val="both"/>
              <w:rPr>
                <w:rFonts w:hint="eastAsia" w:ascii="宋体" w:hAnsi="宋体" w:cs="宋体"/>
                <w:b w:val="0"/>
                <w:bCs/>
                <w:spacing w:val="-6"/>
                <w:sz w:val="24"/>
              </w:rPr>
            </w:pPr>
            <w:r>
              <w:rPr>
                <w:rFonts w:hint="eastAsia" w:ascii="宋体" w:hAnsi="宋体" w:cs="宋体"/>
                <w:b w:val="0"/>
                <w:bCs/>
                <w:spacing w:val="-6"/>
                <w:sz w:val="24"/>
              </w:rPr>
              <w:t>根据所供产品总体性能及质量水平进行评析：</w:t>
            </w:r>
          </w:p>
          <w:p>
            <w:pPr>
              <w:spacing w:line="360" w:lineRule="auto"/>
              <w:ind w:left="0" w:leftChars="0" w:firstLine="0" w:firstLineChars="0"/>
              <w:jc w:val="both"/>
              <w:rPr>
                <w:rFonts w:hint="eastAsia" w:ascii="宋体" w:hAnsi="宋体" w:cs="宋体"/>
                <w:b w:val="0"/>
                <w:bCs/>
                <w:spacing w:val="-6"/>
                <w:sz w:val="24"/>
              </w:rPr>
            </w:pPr>
            <w:r>
              <w:rPr>
                <w:rFonts w:hint="eastAsia" w:ascii="宋体" w:hAnsi="宋体" w:cs="宋体"/>
                <w:b w:val="0"/>
                <w:bCs/>
                <w:spacing w:val="-6"/>
                <w:sz w:val="24"/>
              </w:rPr>
              <w:t>所提供产品的主要技术、结构、性能、特点、操作说明和质量水平的描述详细，技术支持资料或证明文件完整、有效，能较好地反映产品的性能特点和质量状况，得</w:t>
            </w:r>
            <w:r>
              <w:rPr>
                <w:rFonts w:hint="eastAsia" w:cs="宋体"/>
                <w:b w:val="0"/>
                <w:bCs/>
                <w:spacing w:val="-6"/>
                <w:sz w:val="24"/>
                <w:lang w:val="en-US" w:eastAsia="zh-CN"/>
              </w:rPr>
              <w:t>7</w:t>
            </w:r>
            <w:r>
              <w:rPr>
                <w:rFonts w:hint="eastAsia" w:ascii="宋体" w:hAnsi="宋体" w:cs="宋体"/>
                <w:b w:val="0"/>
                <w:bCs/>
                <w:spacing w:val="-6"/>
                <w:sz w:val="24"/>
              </w:rPr>
              <w:t>-</w:t>
            </w:r>
            <w:r>
              <w:rPr>
                <w:rFonts w:hint="eastAsia" w:cs="宋体"/>
                <w:b w:val="0"/>
                <w:bCs/>
                <w:spacing w:val="-6"/>
                <w:sz w:val="24"/>
                <w:lang w:val="en-US" w:eastAsia="zh-CN"/>
              </w:rPr>
              <w:t>10</w:t>
            </w:r>
            <w:r>
              <w:rPr>
                <w:rFonts w:hint="eastAsia" w:ascii="宋体" w:hAnsi="宋体" w:cs="宋体"/>
                <w:b w:val="0"/>
                <w:bCs/>
                <w:spacing w:val="-6"/>
                <w:sz w:val="24"/>
              </w:rPr>
              <w:t>分；所提供产品的性能特点、质量水平等描述基本完整，得</w:t>
            </w:r>
            <w:r>
              <w:rPr>
                <w:rFonts w:hint="eastAsia" w:cs="宋体"/>
                <w:b w:val="0"/>
                <w:bCs/>
                <w:spacing w:val="-6"/>
                <w:sz w:val="24"/>
                <w:lang w:val="en-US" w:eastAsia="zh-CN"/>
              </w:rPr>
              <w:t>4</w:t>
            </w:r>
            <w:r>
              <w:rPr>
                <w:rFonts w:hint="eastAsia" w:ascii="宋体" w:hAnsi="宋体" w:cs="宋体"/>
                <w:b w:val="0"/>
                <w:bCs/>
                <w:spacing w:val="-6"/>
                <w:sz w:val="24"/>
              </w:rPr>
              <w:t>-</w:t>
            </w:r>
            <w:r>
              <w:rPr>
                <w:rFonts w:hint="eastAsia" w:cs="宋体"/>
                <w:b w:val="0"/>
                <w:bCs/>
                <w:spacing w:val="-6"/>
                <w:sz w:val="24"/>
                <w:lang w:val="en-US" w:eastAsia="zh-CN"/>
              </w:rPr>
              <w:t>6</w:t>
            </w:r>
            <w:r>
              <w:rPr>
                <w:rFonts w:hint="eastAsia" w:ascii="宋体" w:hAnsi="宋体" w:cs="宋体"/>
                <w:b w:val="0"/>
                <w:bCs/>
                <w:spacing w:val="-6"/>
                <w:sz w:val="24"/>
              </w:rPr>
              <w:t>分；所提供产品的性能特点、质量水平等完整性较差或未描述完整,得0-</w:t>
            </w:r>
            <w:r>
              <w:rPr>
                <w:rFonts w:hint="eastAsia" w:cs="宋体"/>
                <w:b w:val="0"/>
                <w:bCs/>
                <w:spacing w:val="-6"/>
                <w:sz w:val="24"/>
                <w:lang w:val="en-US" w:eastAsia="zh-CN"/>
              </w:rPr>
              <w:t>3</w:t>
            </w:r>
            <w:r>
              <w:rPr>
                <w:rFonts w:hint="eastAsia" w:ascii="宋体" w:hAnsi="宋体" w:cs="宋体"/>
                <w:b w:val="0"/>
                <w:bCs/>
                <w:spacing w:val="-6"/>
                <w:sz w:val="24"/>
              </w:rPr>
              <w:t>分。</w:t>
            </w:r>
          </w:p>
        </w:tc>
        <w:tc>
          <w:tcPr>
            <w:tcW w:w="776" w:type="dxa"/>
            <w:vAlign w:val="center"/>
          </w:tcPr>
          <w:p>
            <w:pPr>
              <w:spacing w:line="360" w:lineRule="auto"/>
              <w:ind w:left="0" w:leftChars="0" w:firstLine="0" w:firstLineChars="0"/>
              <w:jc w:val="center"/>
              <w:rPr>
                <w:rFonts w:hint="eastAsia" w:ascii="宋体" w:hAnsi="宋体" w:eastAsia="宋体" w:cs="宋体"/>
                <w:b w:val="0"/>
                <w:bCs/>
                <w:spacing w:val="-6"/>
                <w:sz w:val="24"/>
                <w:lang w:eastAsia="zh-CN"/>
              </w:rPr>
            </w:pPr>
            <w:r>
              <w:rPr>
                <w:rFonts w:hint="eastAsia" w:cs="宋体"/>
                <w:b w:val="0"/>
                <w:bCs/>
                <w:spacing w:val="-6"/>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891" w:type="dxa"/>
            <w:vAlign w:val="center"/>
          </w:tcPr>
          <w:p>
            <w:pPr>
              <w:spacing w:line="360" w:lineRule="auto"/>
              <w:ind w:left="0" w:leftChars="0" w:firstLine="0" w:firstLineChars="0"/>
              <w:jc w:val="center"/>
              <w:rPr>
                <w:rFonts w:hint="eastAsia" w:ascii="宋体" w:hAnsi="宋体" w:cs="宋体"/>
                <w:b w:val="0"/>
                <w:bCs/>
                <w:spacing w:val="-6"/>
                <w:sz w:val="24"/>
              </w:rPr>
            </w:pPr>
            <w:r>
              <w:rPr>
                <w:rFonts w:hint="eastAsia" w:ascii="宋体" w:hAnsi="宋体" w:cs="宋体"/>
                <w:b w:val="0"/>
                <w:bCs/>
                <w:spacing w:val="-6"/>
                <w:sz w:val="24"/>
              </w:rPr>
              <w:t>2</w:t>
            </w:r>
          </w:p>
        </w:tc>
        <w:tc>
          <w:tcPr>
            <w:tcW w:w="1389" w:type="dxa"/>
            <w:vAlign w:val="center"/>
          </w:tcPr>
          <w:p>
            <w:pPr>
              <w:spacing w:line="360" w:lineRule="auto"/>
              <w:ind w:left="0" w:leftChars="0" w:firstLine="0" w:firstLineChars="0"/>
              <w:jc w:val="center"/>
              <w:rPr>
                <w:rFonts w:hint="eastAsia" w:ascii="宋体" w:hAnsi="宋体" w:cs="宋体"/>
                <w:b w:val="0"/>
                <w:bCs/>
                <w:spacing w:val="-6"/>
                <w:sz w:val="24"/>
              </w:rPr>
            </w:pPr>
            <w:r>
              <w:rPr>
                <w:rFonts w:hint="eastAsia" w:ascii="宋体" w:hAnsi="宋体" w:cs="宋体"/>
                <w:b w:val="0"/>
                <w:bCs/>
                <w:spacing w:val="-6"/>
                <w:sz w:val="24"/>
              </w:rPr>
              <w:t>产品技术指标及功能响应（满足）程度</w:t>
            </w:r>
          </w:p>
        </w:tc>
        <w:tc>
          <w:tcPr>
            <w:tcW w:w="6232" w:type="dxa"/>
            <w:vAlign w:val="center"/>
          </w:tcPr>
          <w:p>
            <w:pPr>
              <w:spacing w:line="360" w:lineRule="auto"/>
              <w:ind w:left="0" w:leftChars="0" w:firstLine="0" w:firstLineChars="0"/>
              <w:jc w:val="both"/>
              <w:rPr>
                <w:rFonts w:hint="eastAsia" w:ascii="宋体" w:hAnsi="宋体" w:cs="宋体"/>
                <w:b w:val="0"/>
                <w:bCs/>
                <w:spacing w:val="-6"/>
                <w:sz w:val="24"/>
              </w:rPr>
            </w:pPr>
            <w:r>
              <w:rPr>
                <w:rFonts w:hint="eastAsia" w:ascii="宋体" w:hAnsi="宋体" w:cs="宋体"/>
                <w:b w:val="0"/>
                <w:bCs/>
                <w:spacing w:val="-6"/>
                <w:sz w:val="24"/>
              </w:rPr>
              <w:t>根据所供产品的技术指标及功能描述的详细程度及响应（满足）程度进行评析：</w:t>
            </w:r>
          </w:p>
          <w:p>
            <w:pPr>
              <w:spacing w:line="360" w:lineRule="auto"/>
              <w:ind w:left="0" w:leftChars="0" w:firstLine="0" w:firstLineChars="0"/>
              <w:jc w:val="both"/>
              <w:rPr>
                <w:rFonts w:hint="eastAsia" w:ascii="宋体" w:hAnsi="宋体" w:cs="宋体"/>
                <w:b w:val="0"/>
                <w:bCs/>
                <w:spacing w:val="-6"/>
                <w:sz w:val="24"/>
              </w:rPr>
            </w:pPr>
            <w:r>
              <w:rPr>
                <w:rFonts w:hint="eastAsia" w:ascii="宋体" w:hAnsi="宋体" w:cs="宋体"/>
                <w:b w:val="0"/>
                <w:bCs/>
                <w:spacing w:val="-6"/>
                <w:sz w:val="24"/>
              </w:rPr>
              <w:t>全部满足招标文件要求：得2</w:t>
            </w:r>
            <w:r>
              <w:rPr>
                <w:rFonts w:hint="eastAsia" w:cs="宋体"/>
                <w:b w:val="0"/>
                <w:bCs/>
                <w:spacing w:val="-6"/>
                <w:sz w:val="24"/>
                <w:lang w:val="en-US" w:eastAsia="zh-CN"/>
              </w:rPr>
              <w:t>5</w:t>
            </w:r>
            <w:r>
              <w:rPr>
                <w:rFonts w:hint="eastAsia" w:ascii="宋体" w:hAnsi="宋体" w:cs="宋体"/>
                <w:b w:val="0"/>
                <w:bCs/>
                <w:spacing w:val="-6"/>
                <w:sz w:val="24"/>
              </w:rPr>
              <w:t>分，正偏离不加分；</w:t>
            </w:r>
          </w:p>
          <w:p>
            <w:pPr>
              <w:spacing w:line="360" w:lineRule="auto"/>
              <w:ind w:left="0" w:leftChars="0" w:firstLine="0" w:firstLineChars="0"/>
              <w:jc w:val="both"/>
              <w:rPr>
                <w:rFonts w:hint="eastAsia" w:ascii="宋体" w:hAnsi="宋体" w:cs="宋体"/>
                <w:b w:val="0"/>
                <w:bCs/>
                <w:spacing w:val="-6"/>
                <w:sz w:val="24"/>
              </w:rPr>
            </w:pPr>
            <w:r>
              <w:rPr>
                <w:rFonts w:hint="eastAsia" w:ascii="宋体" w:hAnsi="宋体" w:cs="宋体"/>
                <w:b w:val="0"/>
                <w:bCs/>
                <w:spacing w:val="-6"/>
                <w:sz w:val="24"/>
              </w:rPr>
              <w:t>标注 “★”的重要技术指标（条款、参数）有偏离的，负偏离（功能、性能和技术指标低于招标内容及需求）项每项扣4分；扣完为止。</w:t>
            </w:r>
          </w:p>
          <w:p>
            <w:pPr>
              <w:spacing w:line="360" w:lineRule="auto"/>
              <w:ind w:left="0" w:leftChars="0" w:firstLine="0" w:firstLineChars="0"/>
              <w:jc w:val="both"/>
              <w:rPr>
                <w:rFonts w:hint="eastAsia" w:ascii="宋体" w:hAnsi="宋体" w:cs="宋体"/>
                <w:b w:val="0"/>
                <w:bCs/>
                <w:spacing w:val="-6"/>
                <w:sz w:val="24"/>
              </w:rPr>
            </w:pPr>
            <w:r>
              <w:rPr>
                <w:rFonts w:hint="eastAsia" w:ascii="宋体" w:hAnsi="宋体" w:cs="宋体"/>
                <w:b w:val="0"/>
                <w:bCs/>
                <w:spacing w:val="-6"/>
                <w:sz w:val="24"/>
              </w:rPr>
              <w:t>未标注“★”或“▲”的一般技术指标（条款、参数）有偏离的，负偏离（功能、性能和技术指标低于招标内容及需求）项每项扣1分；扣完为止。</w:t>
            </w:r>
          </w:p>
          <w:p>
            <w:pPr>
              <w:spacing w:line="360" w:lineRule="auto"/>
              <w:ind w:left="0" w:leftChars="0" w:firstLine="0" w:firstLineChars="0"/>
              <w:jc w:val="both"/>
              <w:rPr>
                <w:rFonts w:hint="eastAsia" w:ascii="宋体" w:hAnsi="宋体" w:cs="宋体"/>
                <w:b w:val="0"/>
                <w:bCs/>
                <w:spacing w:val="-6"/>
                <w:sz w:val="24"/>
              </w:rPr>
            </w:pPr>
            <w:r>
              <w:rPr>
                <w:rFonts w:hint="eastAsia" w:ascii="宋体" w:hAnsi="宋体" w:cs="宋体"/>
                <w:b w:val="0"/>
                <w:bCs/>
                <w:spacing w:val="-6"/>
                <w:sz w:val="24"/>
              </w:rPr>
              <w:t>注：(1)未满足招标文件标注“▲”的实质性要求（条款、参数）的，该供应商的投标文件将被视为无效。</w:t>
            </w:r>
          </w:p>
          <w:p>
            <w:pPr>
              <w:spacing w:line="360" w:lineRule="auto"/>
              <w:ind w:left="0" w:leftChars="0" w:firstLine="0" w:firstLineChars="0"/>
              <w:jc w:val="both"/>
              <w:rPr>
                <w:rFonts w:hint="eastAsia" w:ascii="宋体" w:hAnsi="宋体" w:cs="宋体"/>
                <w:b w:val="0"/>
                <w:bCs/>
                <w:spacing w:val="-6"/>
                <w:sz w:val="24"/>
              </w:rPr>
            </w:pPr>
            <w:r>
              <w:rPr>
                <w:rFonts w:hint="eastAsia" w:ascii="宋体" w:hAnsi="宋体" w:cs="宋体"/>
                <w:b w:val="0"/>
                <w:bCs/>
                <w:spacing w:val="-6"/>
                <w:sz w:val="24"/>
              </w:rPr>
              <w:t>(2)若技术偏离表技术要求中响应规格与技术资料不一致的，评审专家有权对其按技术资料中的参</w:t>
            </w:r>
            <w:bookmarkStart w:id="192" w:name="_GoBack"/>
            <w:bookmarkEnd w:id="192"/>
            <w:r>
              <w:rPr>
                <w:rFonts w:hint="eastAsia" w:ascii="宋体" w:hAnsi="宋体" w:cs="宋体"/>
                <w:b w:val="0"/>
                <w:bCs/>
                <w:spacing w:val="-6"/>
                <w:sz w:val="24"/>
              </w:rPr>
              <w:t>数进行评分。</w:t>
            </w:r>
          </w:p>
        </w:tc>
        <w:tc>
          <w:tcPr>
            <w:tcW w:w="776" w:type="dxa"/>
            <w:vAlign w:val="center"/>
          </w:tcPr>
          <w:p>
            <w:pPr>
              <w:spacing w:line="360" w:lineRule="auto"/>
              <w:ind w:left="0" w:leftChars="0" w:firstLine="0" w:firstLineChars="0"/>
              <w:jc w:val="center"/>
              <w:rPr>
                <w:rFonts w:hint="eastAsia" w:ascii="宋体" w:hAnsi="宋体" w:cs="宋体"/>
                <w:b w:val="0"/>
                <w:bCs/>
                <w:spacing w:val="-6"/>
                <w:sz w:val="24"/>
              </w:rPr>
            </w:pPr>
            <w:r>
              <w:rPr>
                <w:rFonts w:hint="eastAsia" w:ascii="宋体" w:hAnsi="宋体" w:cs="宋体"/>
                <w:b w:val="0"/>
                <w:bCs/>
                <w:spacing w:val="-6"/>
                <w:sz w:val="24"/>
              </w:rPr>
              <w:t>2</w:t>
            </w:r>
            <w:r>
              <w:rPr>
                <w:rFonts w:hint="eastAsia" w:cs="宋体"/>
                <w:b w:val="0"/>
                <w:bCs/>
                <w:spacing w:val="-6"/>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891" w:type="dxa"/>
            <w:vAlign w:val="center"/>
          </w:tcPr>
          <w:p>
            <w:pPr>
              <w:spacing w:line="360" w:lineRule="auto"/>
              <w:ind w:left="0" w:leftChars="0" w:firstLine="0" w:firstLineChars="0"/>
              <w:jc w:val="center"/>
              <w:rPr>
                <w:rFonts w:hint="eastAsia" w:ascii="宋体" w:hAnsi="宋体" w:cs="宋体"/>
                <w:b w:val="0"/>
                <w:bCs/>
                <w:spacing w:val="-6"/>
                <w:sz w:val="24"/>
              </w:rPr>
            </w:pPr>
            <w:r>
              <w:rPr>
                <w:rFonts w:hint="eastAsia" w:ascii="宋体" w:hAnsi="宋体" w:cs="宋体"/>
                <w:b w:val="0"/>
                <w:bCs/>
                <w:spacing w:val="-6"/>
                <w:sz w:val="24"/>
              </w:rPr>
              <w:t>3</w:t>
            </w:r>
          </w:p>
        </w:tc>
        <w:tc>
          <w:tcPr>
            <w:tcW w:w="1389" w:type="dxa"/>
            <w:vAlign w:val="center"/>
          </w:tcPr>
          <w:p>
            <w:pPr>
              <w:spacing w:line="360" w:lineRule="auto"/>
              <w:ind w:left="0" w:leftChars="0" w:firstLine="0" w:firstLineChars="0"/>
              <w:jc w:val="center"/>
              <w:rPr>
                <w:rFonts w:hint="eastAsia" w:ascii="宋体" w:hAnsi="宋体" w:cs="宋体"/>
                <w:b w:val="0"/>
                <w:bCs/>
                <w:spacing w:val="-6"/>
                <w:sz w:val="24"/>
              </w:rPr>
            </w:pPr>
            <w:r>
              <w:rPr>
                <w:rFonts w:hint="eastAsia" w:ascii="宋体" w:hAnsi="宋体" w:cs="宋体"/>
                <w:b w:val="0"/>
                <w:bCs/>
                <w:spacing w:val="-6"/>
                <w:sz w:val="24"/>
              </w:rPr>
              <w:t>产品配置的先进性、完整性和适用性</w:t>
            </w:r>
          </w:p>
        </w:tc>
        <w:tc>
          <w:tcPr>
            <w:tcW w:w="6232" w:type="dxa"/>
            <w:vAlign w:val="center"/>
          </w:tcPr>
          <w:p>
            <w:pPr>
              <w:spacing w:line="360" w:lineRule="auto"/>
              <w:ind w:left="0" w:leftChars="0" w:firstLine="0" w:firstLineChars="0"/>
              <w:jc w:val="both"/>
              <w:rPr>
                <w:rFonts w:hint="eastAsia" w:ascii="宋体" w:hAnsi="宋体" w:cs="宋体"/>
                <w:b w:val="0"/>
                <w:bCs/>
                <w:spacing w:val="-6"/>
                <w:sz w:val="24"/>
              </w:rPr>
            </w:pPr>
            <w:r>
              <w:rPr>
                <w:rFonts w:hint="eastAsia" w:ascii="宋体" w:hAnsi="宋体" w:cs="宋体"/>
                <w:b w:val="0"/>
                <w:bCs/>
                <w:spacing w:val="-6"/>
                <w:sz w:val="24"/>
              </w:rPr>
              <w:t>根据所提供产品配置的先进性、完整性和适用性进行评析优：</w:t>
            </w:r>
          </w:p>
          <w:p>
            <w:pPr>
              <w:spacing w:line="360" w:lineRule="auto"/>
              <w:ind w:left="0" w:leftChars="0" w:firstLine="0" w:firstLineChars="0"/>
              <w:jc w:val="both"/>
              <w:rPr>
                <w:rFonts w:hint="eastAsia" w:ascii="宋体" w:hAnsi="宋体" w:cs="宋体"/>
                <w:b w:val="0"/>
                <w:bCs/>
                <w:spacing w:val="-6"/>
                <w:sz w:val="24"/>
              </w:rPr>
            </w:pPr>
            <w:r>
              <w:rPr>
                <w:rFonts w:hint="eastAsia" w:ascii="宋体" w:hAnsi="宋体" w:cs="宋体"/>
                <w:b w:val="0"/>
                <w:bCs/>
                <w:spacing w:val="-6"/>
                <w:sz w:val="24"/>
              </w:rPr>
              <w:t>所提供产品配置完整、技术先进，且完全能满足采购人的使用要求的，得5</w:t>
            </w:r>
            <w:r>
              <w:rPr>
                <w:rFonts w:hint="eastAsia" w:cs="宋体"/>
                <w:b w:val="0"/>
                <w:bCs/>
                <w:spacing w:val="-6"/>
                <w:sz w:val="24"/>
                <w:lang w:val="en-US" w:eastAsia="zh-CN"/>
              </w:rPr>
              <w:t>-6</w:t>
            </w:r>
            <w:r>
              <w:rPr>
                <w:rFonts w:hint="eastAsia" w:ascii="宋体" w:hAnsi="宋体" w:cs="宋体"/>
                <w:b w:val="0"/>
                <w:bCs/>
                <w:spacing w:val="-6"/>
                <w:sz w:val="24"/>
              </w:rPr>
              <w:t>分；所提供产品配置基本完整、基本能满足采购人的使用要求的，得3-4分；所提供产品配置的完整性较差或未描述完整的，得0-2分。</w:t>
            </w:r>
          </w:p>
        </w:tc>
        <w:tc>
          <w:tcPr>
            <w:tcW w:w="776" w:type="dxa"/>
            <w:vAlign w:val="center"/>
          </w:tcPr>
          <w:p>
            <w:pPr>
              <w:spacing w:line="360" w:lineRule="auto"/>
              <w:ind w:left="0" w:leftChars="0" w:firstLine="0" w:firstLineChars="0"/>
              <w:jc w:val="center"/>
              <w:rPr>
                <w:rFonts w:hint="eastAsia" w:ascii="宋体" w:hAnsi="宋体" w:eastAsia="宋体" w:cs="宋体"/>
                <w:b w:val="0"/>
                <w:bCs/>
                <w:spacing w:val="-6"/>
                <w:sz w:val="24"/>
                <w:lang w:eastAsia="zh-CN"/>
              </w:rPr>
            </w:pPr>
            <w:r>
              <w:rPr>
                <w:rFonts w:hint="eastAsia" w:cs="宋体"/>
                <w:b w:val="0"/>
                <w:bCs/>
                <w:spacing w:val="-6"/>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91" w:type="dxa"/>
            <w:vAlign w:val="center"/>
          </w:tcPr>
          <w:p>
            <w:pPr>
              <w:spacing w:line="360" w:lineRule="auto"/>
              <w:ind w:left="0" w:leftChars="0" w:firstLine="0" w:firstLineChars="0"/>
              <w:jc w:val="center"/>
              <w:rPr>
                <w:rFonts w:hint="eastAsia" w:ascii="宋体" w:hAnsi="宋体" w:cs="宋体"/>
                <w:b w:val="0"/>
                <w:bCs/>
                <w:spacing w:val="-6"/>
                <w:sz w:val="24"/>
              </w:rPr>
            </w:pPr>
            <w:r>
              <w:rPr>
                <w:rFonts w:hint="eastAsia" w:ascii="宋体" w:hAnsi="宋体" w:cs="宋体"/>
                <w:b w:val="0"/>
                <w:bCs/>
                <w:spacing w:val="-6"/>
                <w:sz w:val="24"/>
              </w:rPr>
              <w:t>4</w:t>
            </w:r>
          </w:p>
        </w:tc>
        <w:tc>
          <w:tcPr>
            <w:tcW w:w="1389" w:type="dxa"/>
            <w:vAlign w:val="center"/>
          </w:tcPr>
          <w:p>
            <w:pPr>
              <w:spacing w:line="360" w:lineRule="auto"/>
              <w:ind w:left="0" w:leftChars="0" w:firstLine="0" w:firstLineChars="0"/>
              <w:jc w:val="center"/>
              <w:rPr>
                <w:rFonts w:hint="eastAsia" w:ascii="宋体" w:hAnsi="宋体" w:cs="宋体"/>
                <w:b w:val="0"/>
                <w:bCs/>
                <w:spacing w:val="-6"/>
                <w:sz w:val="24"/>
              </w:rPr>
            </w:pPr>
            <w:r>
              <w:rPr>
                <w:rFonts w:hint="eastAsia" w:ascii="宋体" w:hAnsi="宋体" w:cs="宋体"/>
                <w:b w:val="0"/>
                <w:bCs/>
                <w:spacing w:val="-6"/>
                <w:sz w:val="24"/>
              </w:rPr>
              <w:t>产品的稳定性、可操作性和可维护性</w:t>
            </w:r>
          </w:p>
        </w:tc>
        <w:tc>
          <w:tcPr>
            <w:tcW w:w="6232" w:type="dxa"/>
            <w:vAlign w:val="center"/>
          </w:tcPr>
          <w:p>
            <w:pPr>
              <w:spacing w:line="360" w:lineRule="auto"/>
              <w:ind w:left="0" w:leftChars="0" w:firstLine="0" w:firstLineChars="0"/>
              <w:jc w:val="both"/>
              <w:rPr>
                <w:rFonts w:hint="eastAsia" w:ascii="宋体" w:hAnsi="宋体" w:cs="宋体"/>
                <w:b w:val="0"/>
                <w:bCs/>
                <w:spacing w:val="-6"/>
                <w:sz w:val="24"/>
              </w:rPr>
            </w:pPr>
            <w:r>
              <w:rPr>
                <w:rFonts w:hint="eastAsia" w:ascii="宋体" w:hAnsi="宋体" w:cs="宋体"/>
                <w:b w:val="0"/>
                <w:bCs/>
                <w:spacing w:val="-6"/>
                <w:sz w:val="24"/>
              </w:rPr>
              <w:t>根据所提供产品的稳定性、可操作性和可维护性进行评析：</w:t>
            </w:r>
          </w:p>
          <w:p>
            <w:pPr>
              <w:spacing w:line="360" w:lineRule="auto"/>
              <w:ind w:left="0" w:leftChars="0" w:firstLine="0" w:firstLineChars="0"/>
              <w:jc w:val="both"/>
              <w:rPr>
                <w:rFonts w:hint="eastAsia" w:ascii="宋体" w:hAnsi="宋体" w:cs="宋体"/>
                <w:b w:val="0"/>
                <w:bCs/>
                <w:spacing w:val="-6"/>
                <w:sz w:val="24"/>
              </w:rPr>
            </w:pPr>
            <w:r>
              <w:rPr>
                <w:rFonts w:hint="eastAsia" w:ascii="宋体" w:hAnsi="宋体" w:cs="宋体"/>
                <w:b w:val="0"/>
                <w:bCs/>
                <w:spacing w:val="-6"/>
                <w:sz w:val="24"/>
              </w:rPr>
              <w:t>所提供产品的稳定性好，可操作性强，维护简便，得5</w:t>
            </w:r>
            <w:r>
              <w:rPr>
                <w:rFonts w:hint="eastAsia" w:cs="宋体"/>
                <w:b w:val="0"/>
                <w:bCs/>
                <w:spacing w:val="-6"/>
                <w:sz w:val="24"/>
                <w:lang w:val="en-US" w:eastAsia="zh-CN"/>
              </w:rPr>
              <w:t>-6</w:t>
            </w:r>
            <w:r>
              <w:rPr>
                <w:rFonts w:hint="eastAsia" w:ascii="宋体" w:hAnsi="宋体" w:cs="宋体"/>
                <w:b w:val="0"/>
                <w:bCs/>
                <w:spacing w:val="-6"/>
                <w:sz w:val="24"/>
              </w:rPr>
              <w:t>分；所提供产品的稳定性一般，可操作性一般，维护相对简便的，得3-4分；所提供产品的稳定性、可操作性和可维护性较差的，得0-2分。</w:t>
            </w:r>
          </w:p>
        </w:tc>
        <w:tc>
          <w:tcPr>
            <w:tcW w:w="776" w:type="dxa"/>
            <w:vAlign w:val="center"/>
          </w:tcPr>
          <w:p>
            <w:pPr>
              <w:spacing w:line="360" w:lineRule="auto"/>
              <w:ind w:left="0" w:leftChars="0" w:firstLine="0" w:firstLineChars="0"/>
              <w:jc w:val="center"/>
              <w:rPr>
                <w:rFonts w:hint="eastAsia" w:ascii="宋体" w:hAnsi="宋体" w:eastAsia="宋体" w:cs="宋体"/>
                <w:b w:val="0"/>
                <w:bCs/>
                <w:spacing w:val="-6"/>
                <w:sz w:val="24"/>
                <w:lang w:eastAsia="zh-CN"/>
              </w:rPr>
            </w:pPr>
            <w:r>
              <w:rPr>
                <w:rFonts w:hint="eastAsia" w:cs="宋体"/>
                <w:b w:val="0"/>
                <w:bCs/>
                <w:spacing w:val="-6"/>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91" w:type="dxa"/>
            <w:vAlign w:val="center"/>
          </w:tcPr>
          <w:p>
            <w:pPr>
              <w:spacing w:line="360" w:lineRule="auto"/>
              <w:ind w:left="0" w:leftChars="0" w:firstLine="0" w:firstLineChars="0"/>
              <w:jc w:val="center"/>
              <w:rPr>
                <w:rFonts w:hint="eastAsia" w:ascii="宋体" w:hAnsi="宋体" w:cs="宋体"/>
                <w:b w:val="0"/>
                <w:bCs/>
                <w:spacing w:val="-6"/>
                <w:sz w:val="24"/>
              </w:rPr>
            </w:pPr>
            <w:r>
              <w:rPr>
                <w:rFonts w:hint="eastAsia" w:ascii="宋体" w:hAnsi="宋体" w:cs="宋体"/>
                <w:b w:val="0"/>
                <w:bCs/>
                <w:spacing w:val="-6"/>
                <w:sz w:val="24"/>
              </w:rPr>
              <w:t>5</w:t>
            </w:r>
          </w:p>
        </w:tc>
        <w:tc>
          <w:tcPr>
            <w:tcW w:w="1389" w:type="dxa"/>
            <w:vAlign w:val="center"/>
          </w:tcPr>
          <w:p>
            <w:pPr>
              <w:spacing w:line="360" w:lineRule="auto"/>
              <w:ind w:left="0" w:leftChars="0" w:firstLine="0" w:firstLineChars="0"/>
              <w:jc w:val="center"/>
              <w:rPr>
                <w:rFonts w:hint="eastAsia" w:ascii="宋体" w:hAnsi="宋体" w:cs="宋体"/>
                <w:b w:val="0"/>
                <w:bCs/>
                <w:spacing w:val="-6"/>
                <w:sz w:val="24"/>
              </w:rPr>
            </w:pPr>
            <w:r>
              <w:rPr>
                <w:rFonts w:hint="eastAsia" w:ascii="宋体" w:hAnsi="宋体" w:cs="宋体"/>
                <w:b w:val="0"/>
                <w:bCs/>
                <w:spacing w:val="-6"/>
                <w:sz w:val="24"/>
              </w:rPr>
              <w:t>安装、调试、验收计划及人员安排情况</w:t>
            </w:r>
          </w:p>
        </w:tc>
        <w:tc>
          <w:tcPr>
            <w:tcW w:w="6232" w:type="dxa"/>
            <w:vAlign w:val="center"/>
          </w:tcPr>
          <w:p>
            <w:pPr>
              <w:spacing w:line="360" w:lineRule="auto"/>
              <w:ind w:left="0" w:leftChars="0" w:firstLine="0" w:firstLineChars="0"/>
              <w:jc w:val="both"/>
              <w:rPr>
                <w:rFonts w:hint="eastAsia" w:ascii="宋体" w:hAnsi="宋体" w:cs="宋体"/>
                <w:b w:val="0"/>
                <w:bCs/>
                <w:spacing w:val="-6"/>
                <w:sz w:val="24"/>
              </w:rPr>
            </w:pPr>
            <w:r>
              <w:rPr>
                <w:rFonts w:hint="eastAsia" w:ascii="宋体" w:hAnsi="宋体" w:cs="宋体"/>
                <w:b w:val="0"/>
                <w:bCs/>
                <w:spacing w:val="-6"/>
                <w:sz w:val="24"/>
              </w:rPr>
              <w:t>根据供应商安装、调试、验收计划的完整性和合理性，以及拟派人员的经验能力情况进行评析：</w:t>
            </w:r>
          </w:p>
          <w:p>
            <w:pPr>
              <w:spacing w:line="360" w:lineRule="auto"/>
              <w:ind w:left="0" w:leftChars="0" w:firstLine="0" w:firstLineChars="0"/>
              <w:jc w:val="both"/>
              <w:rPr>
                <w:rFonts w:hint="eastAsia" w:ascii="宋体" w:hAnsi="宋体" w:cs="宋体"/>
                <w:b w:val="0"/>
                <w:bCs/>
                <w:spacing w:val="-6"/>
                <w:sz w:val="24"/>
              </w:rPr>
            </w:pPr>
            <w:r>
              <w:rPr>
                <w:rFonts w:hint="eastAsia" w:ascii="宋体" w:hAnsi="宋体" w:cs="宋体"/>
                <w:b w:val="0"/>
                <w:bCs/>
                <w:spacing w:val="-6"/>
                <w:sz w:val="24"/>
              </w:rPr>
              <w:t>供货、安装、调试计划科学、合理，拟派人员经验丰富、技术能力强得4-5分；供货、安装、调试计划基本合理，拟派人员具有一定的技术能力，得3-4分；供货、安装、调试计划及人员安排情况较差或未描述完整，得0-3分。</w:t>
            </w:r>
          </w:p>
        </w:tc>
        <w:tc>
          <w:tcPr>
            <w:tcW w:w="776" w:type="dxa"/>
            <w:vAlign w:val="center"/>
          </w:tcPr>
          <w:p>
            <w:pPr>
              <w:spacing w:line="360" w:lineRule="auto"/>
              <w:ind w:left="0" w:leftChars="0" w:firstLine="0" w:firstLineChars="0"/>
              <w:jc w:val="center"/>
              <w:rPr>
                <w:rFonts w:hint="eastAsia" w:ascii="宋体" w:hAnsi="宋体" w:cs="宋体"/>
                <w:b w:val="0"/>
                <w:bCs/>
                <w:spacing w:val="-6"/>
                <w:sz w:val="24"/>
              </w:rPr>
            </w:pPr>
            <w:r>
              <w:rPr>
                <w:rFonts w:hint="eastAsia" w:ascii="宋体" w:hAnsi="宋体" w:cs="宋体"/>
                <w:b w:val="0"/>
                <w:bCs/>
                <w:spacing w:val="-6"/>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91" w:type="dxa"/>
            <w:vMerge w:val="restart"/>
            <w:vAlign w:val="center"/>
          </w:tcPr>
          <w:p>
            <w:pPr>
              <w:spacing w:line="360" w:lineRule="auto"/>
              <w:ind w:left="0" w:leftChars="0" w:firstLine="0" w:firstLineChars="0"/>
              <w:jc w:val="center"/>
              <w:rPr>
                <w:rFonts w:hint="eastAsia" w:ascii="宋体" w:hAnsi="宋体" w:cs="宋体"/>
                <w:b w:val="0"/>
                <w:bCs/>
                <w:spacing w:val="-6"/>
                <w:sz w:val="24"/>
              </w:rPr>
            </w:pPr>
            <w:r>
              <w:rPr>
                <w:rFonts w:hint="eastAsia" w:ascii="宋体" w:hAnsi="宋体" w:cs="宋体"/>
                <w:b w:val="0"/>
                <w:bCs/>
                <w:spacing w:val="-6"/>
                <w:sz w:val="24"/>
              </w:rPr>
              <w:t>6</w:t>
            </w:r>
          </w:p>
        </w:tc>
        <w:tc>
          <w:tcPr>
            <w:tcW w:w="1389" w:type="dxa"/>
            <w:vMerge w:val="restart"/>
            <w:vAlign w:val="center"/>
          </w:tcPr>
          <w:p>
            <w:pPr>
              <w:spacing w:line="360" w:lineRule="auto"/>
              <w:ind w:left="0" w:leftChars="0" w:firstLine="0" w:firstLineChars="0"/>
              <w:jc w:val="center"/>
              <w:rPr>
                <w:rFonts w:hint="eastAsia" w:ascii="宋体" w:hAnsi="宋体" w:cs="宋体"/>
                <w:b w:val="0"/>
                <w:bCs/>
                <w:spacing w:val="-6"/>
                <w:sz w:val="24"/>
              </w:rPr>
            </w:pPr>
            <w:r>
              <w:rPr>
                <w:rFonts w:hint="eastAsia" w:ascii="宋体" w:hAnsi="宋体" w:cs="宋体"/>
                <w:b w:val="0"/>
                <w:bCs/>
                <w:spacing w:val="-6"/>
                <w:sz w:val="24"/>
              </w:rPr>
              <w:t>售后服务</w:t>
            </w:r>
          </w:p>
        </w:tc>
        <w:tc>
          <w:tcPr>
            <w:tcW w:w="6232" w:type="dxa"/>
            <w:vAlign w:val="center"/>
          </w:tcPr>
          <w:p>
            <w:pPr>
              <w:spacing w:line="360" w:lineRule="auto"/>
              <w:ind w:left="0" w:leftChars="0" w:firstLine="0" w:firstLineChars="0"/>
              <w:jc w:val="both"/>
              <w:rPr>
                <w:rFonts w:hint="eastAsia" w:ascii="宋体" w:hAnsi="宋体" w:cs="宋体"/>
                <w:b w:val="0"/>
                <w:bCs/>
                <w:spacing w:val="-6"/>
                <w:sz w:val="24"/>
              </w:rPr>
            </w:pPr>
            <w:bookmarkStart w:id="141" w:name="OLE_LINK5"/>
            <w:r>
              <w:rPr>
                <w:rFonts w:hint="eastAsia" w:ascii="宋体" w:hAnsi="宋体" w:cs="宋体"/>
                <w:b w:val="0"/>
                <w:bCs/>
                <w:spacing w:val="-6"/>
                <w:sz w:val="24"/>
              </w:rPr>
              <w:t>根据供应商及制造厂商提供的技术支持和售后服务方案（包括售后服务承诺和履约保证、售后服务范围、维修保养具体内容、具体服务标准等）的优劣评价。</w:t>
            </w:r>
            <w:bookmarkEnd w:id="141"/>
          </w:p>
          <w:p>
            <w:pPr>
              <w:spacing w:line="360" w:lineRule="auto"/>
              <w:ind w:left="0" w:leftChars="0" w:firstLine="0" w:firstLineChars="0"/>
              <w:jc w:val="both"/>
              <w:rPr>
                <w:rFonts w:hint="eastAsia" w:ascii="宋体" w:hAnsi="宋体" w:cs="宋体"/>
                <w:b w:val="0"/>
                <w:bCs/>
                <w:spacing w:val="-6"/>
                <w:sz w:val="24"/>
              </w:rPr>
            </w:pPr>
            <w:r>
              <w:rPr>
                <w:rFonts w:hint="eastAsia" w:ascii="宋体" w:hAnsi="宋体" w:cs="宋体"/>
                <w:b w:val="0"/>
                <w:bCs/>
                <w:spacing w:val="-6"/>
                <w:sz w:val="24"/>
              </w:rPr>
              <w:t>技术支持和售后服务方案合理，承诺和保证措施完整，服务范围广，维修保养和服务标准阐述详细的，得2分；</w:t>
            </w:r>
          </w:p>
          <w:p>
            <w:pPr>
              <w:spacing w:line="360" w:lineRule="auto"/>
              <w:ind w:left="0" w:leftChars="0" w:firstLine="0" w:firstLineChars="0"/>
              <w:jc w:val="both"/>
              <w:rPr>
                <w:rFonts w:hint="eastAsia" w:ascii="宋体" w:hAnsi="宋体" w:cs="宋体"/>
                <w:b w:val="0"/>
                <w:bCs/>
                <w:spacing w:val="-6"/>
                <w:sz w:val="24"/>
              </w:rPr>
            </w:pPr>
            <w:r>
              <w:rPr>
                <w:rFonts w:hint="eastAsia" w:ascii="宋体" w:hAnsi="宋体" w:cs="宋体"/>
                <w:b w:val="0"/>
                <w:bCs/>
                <w:spacing w:val="-6"/>
                <w:sz w:val="24"/>
              </w:rPr>
              <w:t>技术支持和售后服务方案比较合理，有承诺和保证措施，服务范围较广，有关于维修保养和服务标准的阐述的，得1分；</w:t>
            </w:r>
          </w:p>
          <w:p>
            <w:pPr>
              <w:spacing w:line="360" w:lineRule="auto"/>
              <w:ind w:left="0" w:leftChars="0" w:firstLine="0" w:firstLineChars="0"/>
              <w:jc w:val="both"/>
              <w:rPr>
                <w:rFonts w:hint="eastAsia" w:ascii="宋体" w:hAnsi="宋体" w:cs="宋体"/>
                <w:b w:val="0"/>
                <w:bCs/>
                <w:spacing w:val="-6"/>
                <w:sz w:val="24"/>
              </w:rPr>
            </w:pPr>
            <w:r>
              <w:rPr>
                <w:rFonts w:hint="eastAsia" w:ascii="宋体" w:hAnsi="宋体" w:cs="宋体"/>
                <w:b w:val="0"/>
                <w:bCs/>
                <w:spacing w:val="-6"/>
                <w:sz w:val="24"/>
              </w:rPr>
              <w:t>技术支持和售后服务方案简单，或缺少和保证措施，或服务范围极少，或缺少关于维修保养和服务标准的阐述的，0.5分；未提供技术支持和售后服务方案的，或未描述的，得0分。</w:t>
            </w:r>
          </w:p>
        </w:tc>
        <w:tc>
          <w:tcPr>
            <w:tcW w:w="776" w:type="dxa"/>
            <w:vAlign w:val="center"/>
          </w:tcPr>
          <w:p>
            <w:pPr>
              <w:spacing w:line="360" w:lineRule="auto"/>
              <w:ind w:left="0" w:leftChars="0" w:firstLine="0" w:firstLineChars="0"/>
              <w:jc w:val="center"/>
              <w:rPr>
                <w:rFonts w:hint="eastAsia" w:ascii="宋体" w:hAnsi="宋体" w:cs="宋体"/>
                <w:b w:val="0"/>
                <w:bCs/>
                <w:spacing w:val="-6"/>
                <w:sz w:val="24"/>
              </w:rPr>
            </w:pPr>
            <w:r>
              <w:rPr>
                <w:rFonts w:hint="eastAsia" w:ascii="宋体" w:hAnsi="宋体" w:cs="宋体"/>
                <w:b w:val="0"/>
                <w:bCs/>
                <w:spacing w:val="-6"/>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91" w:type="dxa"/>
            <w:vMerge w:val="continue"/>
            <w:vAlign w:val="center"/>
          </w:tcPr>
          <w:p>
            <w:pPr>
              <w:spacing w:line="360" w:lineRule="auto"/>
              <w:ind w:left="0" w:leftChars="0" w:firstLine="0" w:firstLineChars="0"/>
              <w:jc w:val="center"/>
              <w:rPr>
                <w:rFonts w:hint="eastAsia" w:ascii="宋体" w:hAnsi="宋体" w:cs="宋体"/>
                <w:b w:val="0"/>
                <w:bCs/>
                <w:spacing w:val="-6"/>
                <w:sz w:val="24"/>
              </w:rPr>
            </w:pPr>
          </w:p>
        </w:tc>
        <w:tc>
          <w:tcPr>
            <w:tcW w:w="1389" w:type="dxa"/>
            <w:vMerge w:val="continue"/>
            <w:vAlign w:val="center"/>
          </w:tcPr>
          <w:p>
            <w:pPr>
              <w:spacing w:line="360" w:lineRule="auto"/>
              <w:ind w:left="0" w:leftChars="0" w:firstLine="0" w:firstLineChars="0"/>
              <w:jc w:val="center"/>
              <w:rPr>
                <w:rFonts w:hint="eastAsia" w:ascii="宋体" w:hAnsi="宋体" w:cs="宋体"/>
                <w:b w:val="0"/>
                <w:bCs/>
                <w:spacing w:val="-6"/>
                <w:sz w:val="24"/>
              </w:rPr>
            </w:pPr>
          </w:p>
        </w:tc>
        <w:tc>
          <w:tcPr>
            <w:tcW w:w="6232" w:type="dxa"/>
            <w:vAlign w:val="center"/>
          </w:tcPr>
          <w:p>
            <w:pPr>
              <w:spacing w:line="360" w:lineRule="auto"/>
              <w:ind w:left="0" w:leftChars="0" w:firstLine="0" w:firstLineChars="0"/>
              <w:jc w:val="both"/>
              <w:rPr>
                <w:rFonts w:hint="eastAsia" w:ascii="宋体" w:hAnsi="宋体" w:cs="宋体"/>
                <w:b w:val="0"/>
                <w:bCs/>
                <w:spacing w:val="-6"/>
                <w:sz w:val="24"/>
              </w:rPr>
            </w:pPr>
            <w:r>
              <w:rPr>
                <w:rFonts w:hint="eastAsia" w:ascii="宋体" w:hAnsi="宋体" w:cs="宋体"/>
                <w:b w:val="0"/>
                <w:bCs/>
                <w:spacing w:val="-6"/>
                <w:sz w:val="24"/>
              </w:rPr>
              <w:t>根据售后服务机构的技术力量配备情况、培训计划、培训人员情况等的优劣评价。</w:t>
            </w:r>
          </w:p>
          <w:p>
            <w:pPr>
              <w:spacing w:line="360" w:lineRule="auto"/>
              <w:ind w:left="0" w:leftChars="0" w:firstLine="0" w:firstLineChars="0"/>
              <w:jc w:val="both"/>
              <w:rPr>
                <w:rFonts w:hint="eastAsia" w:ascii="宋体" w:hAnsi="宋体" w:cs="宋体"/>
                <w:b w:val="0"/>
                <w:bCs/>
                <w:spacing w:val="-6"/>
                <w:sz w:val="24"/>
              </w:rPr>
            </w:pPr>
            <w:r>
              <w:rPr>
                <w:rFonts w:hint="eastAsia" w:ascii="宋体" w:hAnsi="宋体" w:cs="宋体"/>
                <w:b w:val="0"/>
                <w:bCs/>
                <w:spacing w:val="-6"/>
                <w:sz w:val="24"/>
              </w:rPr>
              <w:t>售后服务机构的技术力量配备强，培训计划及人员安排详细合理的，得</w:t>
            </w:r>
            <w:r>
              <w:rPr>
                <w:rFonts w:hint="eastAsia" w:cs="宋体"/>
                <w:b w:val="0"/>
                <w:bCs/>
                <w:spacing w:val="-6"/>
                <w:sz w:val="24"/>
                <w:lang w:val="en-US" w:eastAsia="zh-CN"/>
              </w:rPr>
              <w:t>3</w:t>
            </w:r>
            <w:r>
              <w:rPr>
                <w:rFonts w:hint="eastAsia" w:ascii="宋体" w:hAnsi="宋体" w:cs="宋体"/>
                <w:b w:val="0"/>
                <w:bCs/>
                <w:spacing w:val="-6"/>
                <w:sz w:val="24"/>
              </w:rPr>
              <w:t>分；售后服务机构的技术力量配备较好，有培训计划及人员安排的，得</w:t>
            </w:r>
            <w:r>
              <w:rPr>
                <w:rFonts w:hint="eastAsia" w:cs="宋体"/>
                <w:b w:val="0"/>
                <w:bCs/>
                <w:spacing w:val="-6"/>
                <w:sz w:val="24"/>
                <w:lang w:val="en-US" w:eastAsia="zh-CN"/>
              </w:rPr>
              <w:t>2</w:t>
            </w:r>
            <w:r>
              <w:rPr>
                <w:rFonts w:hint="eastAsia" w:ascii="宋体" w:hAnsi="宋体" w:cs="宋体"/>
                <w:b w:val="0"/>
                <w:bCs/>
                <w:spacing w:val="-6"/>
                <w:sz w:val="24"/>
              </w:rPr>
              <w:t>分；售后服务机构的技术力量配备一般，或培训计划及人员安排简单的，得</w:t>
            </w:r>
            <w:r>
              <w:rPr>
                <w:rFonts w:hint="eastAsia" w:cs="宋体"/>
                <w:b w:val="0"/>
                <w:bCs/>
                <w:spacing w:val="-6"/>
                <w:sz w:val="24"/>
                <w:lang w:val="en-US" w:eastAsia="zh-CN"/>
              </w:rPr>
              <w:t>1</w:t>
            </w:r>
            <w:r>
              <w:rPr>
                <w:rFonts w:hint="eastAsia" w:ascii="宋体" w:hAnsi="宋体" w:cs="宋体"/>
                <w:b w:val="0"/>
                <w:bCs/>
                <w:spacing w:val="-6"/>
                <w:sz w:val="24"/>
              </w:rPr>
              <w:t>分；无售后服务机构的技术力量配备，或无培训计划的，或未描述的，得0分。</w:t>
            </w:r>
          </w:p>
        </w:tc>
        <w:tc>
          <w:tcPr>
            <w:tcW w:w="776" w:type="dxa"/>
            <w:vAlign w:val="center"/>
          </w:tcPr>
          <w:p>
            <w:pPr>
              <w:spacing w:line="360" w:lineRule="auto"/>
              <w:ind w:left="0" w:leftChars="0" w:firstLine="0" w:firstLineChars="0"/>
              <w:jc w:val="center"/>
              <w:rPr>
                <w:rFonts w:hint="eastAsia" w:ascii="宋体" w:hAnsi="宋体" w:eastAsia="宋体" w:cs="宋体"/>
                <w:b w:val="0"/>
                <w:bCs/>
                <w:spacing w:val="-6"/>
                <w:sz w:val="24"/>
                <w:lang w:eastAsia="zh-CN"/>
              </w:rPr>
            </w:pPr>
            <w:r>
              <w:rPr>
                <w:rFonts w:hint="eastAsia" w:cs="宋体"/>
                <w:b w:val="0"/>
                <w:bCs/>
                <w:spacing w:val="-6"/>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91" w:type="dxa"/>
            <w:vMerge w:val="continue"/>
            <w:vAlign w:val="center"/>
          </w:tcPr>
          <w:p>
            <w:pPr>
              <w:spacing w:line="360" w:lineRule="auto"/>
              <w:ind w:left="0" w:leftChars="0" w:firstLine="0" w:firstLineChars="0"/>
              <w:jc w:val="center"/>
              <w:rPr>
                <w:rFonts w:hint="eastAsia" w:ascii="宋体" w:hAnsi="宋体" w:cs="宋体"/>
                <w:b w:val="0"/>
                <w:bCs/>
                <w:spacing w:val="-6"/>
                <w:sz w:val="24"/>
              </w:rPr>
            </w:pPr>
          </w:p>
        </w:tc>
        <w:tc>
          <w:tcPr>
            <w:tcW w:w="1389" w:type="dxa"/>
            <w:vMerge w:val="continue"/>
            <w:vAlign w:val="center"/>
          </w:tcPr>
          <w:p>
            <w:pPr>
              <w:spacing w:line="360" w:lineRule="auto"/>
              <w:ind w:left="0" w:leftChars="0" w:firstLine="0" w:firstLineChars="0"/>
              <w:jc w:val="center"/>
              <w:rPr>
                <w:rFonts w:hint="eastAsia" w:ascii="宋体" w:hAnsi="宋体" w:cs="宋体"/>
                <w:b w:val="0"/>
                <w:bCs/>
                <w:spacing w:val="-6"/>
                <w:sz w:val="24"/>
              </w:rPr>
            </w:pPr>
          </w:p>
        </w:tc>
        <w:tc>
          <w:tcPr>
            <w:tcW w:w="6232" w:type="dxa"/>
            <w:vAlign w:val="center"/>
          </w:tcPr>
          <w:p>
            <w:pPr>
              <w:spacing w:line="360" w:lineRule="auto"/>
              <w:ind w:left="0" w:leftChars="0" w:firstLine="0" w:firstLineChars="0"/>
              <w:jc w:val="both"/>
              <w:rPr>
                <w:rFonts w:hint="eastAsia" w:ascii="宋体" w:hAnsi="宋体" w:cs="宋体"/>
                <w:b w:val="0"/>
                <w:bCs/>
                <w:spacing w:val="-6"/>
                <w:sz w:val="24"/>
              </w:rPr>
            </w:pPr>
            <w:r>
              <w:rPr>
                <w:rFonts w:hint="eastAsia" w:ascii="宋体" w:hAnsi="宋体" w:cs="宋体"/>
                <w:b w:val="0"/>
                <w:bCs/>
                <w:spacing w:val="-6"/>
                <w:sz w:val="24"/>
              </w:rPr>
              <w:t>售后服务响应时间、故障修复时间，优劣比较评价。</w:t>
            </w:r>
          </w:p>
          <w:p>
            <w:pPr>
              <w:spacing w:line="360" w:lineRule="auto"/>
              <w:ind w:left="0" w:leftChars="0" w:firstLine="0" w:firstLineChars="0"/>
              <w:jc w:val="both"/>
              <w:rPr>
                <w:rFonts w:hint="eastAsia" w:ascii="宋体" w:hAnsi="宋体" w:cs="宋体"/>
                <w:b w:val="0"/>
                <w:bCs/>
                <w:spacing w:val="-6"/>
                <w:sz w:val="24"/>
              </w:rPr>
            </w:pPr>
            <w:r>
              <w:rPr>
                <w:rFonts w:hint="eastAsia" w:ascii="宋体" w:hAnsi="宋体" w:cs="宋体"/>
                <w:b w:val="0"/>
                <w:bCs/>
                <w:spacing w:val="-6"/>
                <w:sz w:val="24"/>
              </w:rPr>
              <w:t>优于采购文件要求的，得2分；</w:t>
            </w:r>
          </w:p>
          <w:p>
            <w:pPr>
              <w:spacing w:line="360" w:lineRule="auto"/>
              <w:ind w:left="0" w:leftChars="0" w:firstLine="0" w:firstLineChars="0"/>
              <w:jc w:val="both"/>
              <w:rPr>
                <w:rFonts w:hint="eastAsia" w:ascii="宋体" w:hAnsi="宋体" w:cs="宋体"/>
                <w:b w:val="0"/>
                <w:bCs/>
                <w:spacing w:val="-6"/>
                <w:sz w:val="24"/>
              </w:rPr>
            </w:pPr>
            <w:r>
              <w:rPr>
                <w:rFonts w:hint="eastAsia" w:ascii="宋体" w:hAnsi="宋体" w:cs="宋体"/>
                <w:b w:val="0"/>
                <w:bCs/>
                <w:spacing w:val="-6"/>
                <w:sz w:val="24"/>
              </w:rPr>
              <w:t>满足采购文件要求的，得1.5分；</w:t>
            </w:r>
          </w:p>
          <w:p>
            <w:pPr>
              <w:spacing w:line="360" w:lineRule="auto"/>
              <w:ind w:left="0" w:leftChars="0" w:firstLine="0" w:firstLineChars="0"/>
              <w:jc w:val="both"/>
              <w:rPr>
                <w:rFonts w:hint="eastAsia" w:ascii="宋体" w:hAnsi="宋体" w:cs="宋体"/>
                <w:b w:val="0"/>
                <w:bCs/>
                <w:spacing w:val="-6"/>
                <w:sz w:val="24"/>
              </w:rPr>
            </w:pPr>
            <w:r>
              <w:rPr>
                <w:rFonts w:hint="eastAsia" w:ascii="宋体" w:hAnsi="宋体" w:cs="宋体"/>
                <w:b w:val="0"/>
                <w:bCs/>
                <w:spacing w:val="-6"/>
                <w:sz w:val="24"/>
              </w:rPr>
              <w:t>部分偏离采购文件要求的，得1分；</w:t>
            </w:r>
          </w:p>
          <w:p>
            <w:pPr>
              <w:spacing w:line="360" w:lineRule="auto"/>
              <w:ind w:left="0" w:leftChars="0" w:firstLine="0" w:firstLineChars="0"/>
              <w:jc w:val="both"/>
              <w:rPr>
                <w:rFonts w:hint="eastAsia" w:ascii="宋体" w:hAnsi="宋体" w:cs="宋体"/>
                <w:b w:val="0"/>
                <w:bCs/>
                <w:spacing w:val="-6"/>
                <w:sz w:val="24"/>
              </w:rPr>
            </w:pPr>
            <w:r>
              <w:rPr>
                <w:rFonts w:hint="eastAsia" w:ascii="宋体" w:hAnsi="宋体" w:cs="宋体"/>
                <w:b w:val="0"/>
                <w:bCs/>
                <w:spacing w:val="-6"/>
                <w:sz w:val="24"/>
              </w:rPr>
              <w:t>完全偏离采购文件要求，或未进行相关承诺的，得0分。</w:t>
            </w:r>
          </w:p>
        </w:tc>
        <w:tc>
          <w:tcPr>
            <w:tcW w:w="776" w:type="dxa"/>
            <w:vAlign w:val="center"/>
          </w:tcPr>
          <w:p>
            <w:pPr>
              <w:spacing w:line="360" w:lineRule="auto"/>
              <w:ind w:left="0" w:leftChars="0" w:firstLine="0" w:firstLineChars="0"/>
              <w:jc w:val="center"/>
              <w:rPr>
                <w:rFonts w:hint="eastAsia" w:ascii="宋体" w:hAnsi="宋体" w:cs="宋体"/>
                <w:b w:val="0"/>
                <w:bCs/>
                <w:spacing w:val="-6"/>
                <w:sz w:val="24"/>
              </w:rPr>
            </w:pPr>
            <w:r>
              <w:rPr>
                <w:rFonts w:hint="eastAsia" w:ascii="宋体" w:hAnsi="宋体" w:cs="宋体"/>
                <w:b w:val="0"/>
                <w:bCs/>
                <w:spacing w:val="-6"/>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91" w:type="dxa"/>
            <w:vAlign w:val="center"/>
          </w:tcPr>
          <w:p>
            <w:pPr>
              <w:spacing w:line="360" w:lineRule="auto"/>
              <w:ind w:left="0" w:leftChars="0" w:firstLine="0" w:firstLineChars="0"/>
              <w:jc w:val="center"/>
              <w:rPr>
                <w:rFonts w:hint="eastAsia" w:ascii="宋体" w:hAnsi="宋体" w:cs="宋体"/>
                <w:b w:val="0"/>
                <w:bCs/>
                <w:spacing w:val="-6"/>
                <w:sz w:val="24"/>
              </w:rPr>
            </w:pPr>
            <w:r>
              <w:rPr>
                <w:rFonts w:hint="eastAsia" w:ascii="宋体" w:hAnsi="宋体" w:cs="宋体"/>
                <w:b w:val="0"/>
                <w:bCs/>
                <w:spacing w:val="-6"/>
                <w:sz w:val="24"/>
              </w:rPr>
              <w:t>7</w:t>
            </w:r>
          </w:p>
        </w:tc>
        <w:tc>
          <w:tcPr>
            <w:tcW w:w="1389" w:type="dxa"/>
            <w:vAlign w:val="center"/>
          </w:tcPr>
          <w:p>
            <w:pPr>
              <w:spacing w:line="360" w:lineRule="auto"/>
              <w:ind w:left="0" w:leftChars="0" w:firstLine="0" w:firstLineChars="0"/>
              <w:jc w:val="center"/>
              <w:rPr>
                <w:rFonts w:hint="eastAsia" w:ascii="宋体" w:hAnsi="宋体" w:cs="宋体"/>
                <w:b w:val="0"/>
                <w:bCs/>
                <w:spacing w:val="-6"/>
                <w:sz w:val="24"/>
              </w:rPr>
            </w:pPr>
            <w:r>
              <w:rPr>
                <w:rFonts w:hint="eastAsia" w:ascii="宋体" w:hAnsi="宋体" w:cs="宋体"/>
                <w:b w:val="0"/>
                <w:bCs/>
                <w:spacing w:val="-6"/>
                <w:sz w:val="24"/>
              </w:rPr>
              <w:t>优惠条件</w:t>
            </w:r>
          </w:p>
        </w:tc>
        <w:tc>
          <w:tcPr>
            <w:tcW w:w="6232" w:type="dxa"/>
            <w:vAlign w:val="center"/>
          </w:tcPr>
          <w:p>
            <w:pPr>
              <w:spacing w:line="360" w:lineRule="auto"/>
              <w:ind w:left="0" w:leftChars="0" w:firstLine="0" w:firstLineChars="0"/>
              <w:jc w:val="both"/>
              <w:rPr>
                <w:rFonts w:hint="eastAsia" w:ascii="宋体" w:hAnsi="宋体" w:cs="宋体"/>
                <w:b w:val="0"/>
                <w:bCs/>
                <w:spacing w:val="-6"/>
                <w:sz w:val="24"/>
              </w:rPr>
            </w:pPr>
            <w:r>
              <w:rPr>
                <w:rFonts w:hint="eastAsia" w:ascii="宋体" w:hAnsi="宋体" w:cs="宋体"/>
                <w:b w:val="0"/>
                <w:bCs/>
                <w:spacing w:val="-6"/>
                <w:sz w:val="24"/>
              </w:rPr>
              <w:t>其他优惠条件（包括增加产品功能、配置，质保期外重要部件维修、更换及易耗件价格等）：横向比较各种价格优惠情况、折扣率力度等，综合评析。</w:t>
            </w:r>
          </w:p>
          <w:p>
            <w:pPr>
              <w:spacing w:line="360" w:lineRule="auto"/>
              <w:ind w:left="0" w:leftChars="0" w:firstLine="0" w:firstLineChars="0"/>
              <w:jc w:val="both"/>
              <w:rPr>
                <w:rFonts w:hint="eastAsia" w:ascii="宋体" w:hAnsi="宋体" w:cs="宋体"/>
                <w:b w:val="0"/>
                <w:bCs/>
                <w:spacing w:val="-6"/>
                <w:sz w:val="24"/>
              </w:rPr>
            </w:pPr>
            <w:r>
              <w:rPr>
                <w:rFonts w:hint="eastAsia" w:ascii="宋体" w:hAnsi="宋体" w:cs="宋体"/>
                <w:b w:val="0"/>
                <w:bCs/>
                <w:spacing w:val="-6"/>
                <w:sz w:val="24"/>
              </w:rPr>
              <w:t>增加了产品的使用功能或大大提高产品配置、利于采购人日常使用的，且维修、更换及易耗件价格优惠程度高的，得3分；增加产品的使用功能或提高产品配置、比较利于采购人日常使用的，或维修、更换及易耗件价格比较优惠的，得2-2.5分；增加产品使用功能或有提高产品配置，但对采购人日常使用益处不大的，或维修、更换及易耗件价格优惠程度不高的，得1；未提供优惠条件的，得0分。</w:t>
            </w:r>
          </w:p>
        </w:tc>
        <w:tc>
          <w:tcPr>
            <w:tcW w:w="776" w:type="dxa"/>
            <w:vAlign w:val="center"/>
          </w:tcPr>
          <w:p>
            <w:pPr>
              <w:spacing w:line="360" w:lineRule="auto"/>
              <w:ind w:left="0" w:leftChars="0" w:firstLine="0" w:firstLineChars="0"/>
              <w:jc w:val="center"/>
              <w:rPr>
                <w:rFonts w:hint="eastAsia" w:ascii="宋体" w:hAnsi="宋体" w:cs="宋体"/>
                <w:b w:val="0"/>
                <w:bCs/>
                <w:spacing w:val="-6"/>
                <w:sz w:val="24"/>
              </w:rPr>
            </w:pPr>
            <w:r>
              <w:rPr>
                <w:rFonts w:hint="eastAsia" w:ascii="宋体" w:hAnsi="宋体" w:cs="宋体"/>
                <w:b w:val="0"/>
                <w:bCs/>
                <w:spacing w:val="-6"/>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91" w:type="dxa"/>
            <w:vAlign w:val="center"/>
          </w:tcPr>
          <w:p>
            <w:pPr>
              <w:spacing w:line="360" w:lineRule="auto"/>
              <w:ind w:left="0" w:leftChars="0" w:firstLine="0" w:firstLineChars="0"/>
              <w:jc w:val="center"/>
              <w:rPr>
                <w:rFonts w:hint="eastAsia" w:ascii="宋体" w:hAnsi="宋体" w:cs="宋体"/>
                <w:b w:val="0"/>
                <w:bCs/>
                <w:spacing w:val="-6"/>
                <w:sz w:val="24"/>
              </w:rPr>
            </w:pPr>
            <w:r>
              <w:rPr>
                <w:rFonts w:hint="eastAsia" w:ascii="宋体" w:hAnsi="宋体" w:cs="宋体"/>
                <w:b w:val="0"/>
                <w:bCs/>
                <w:spacing w:val="-6"/>
                <w:sz w:val="24"/>
              </w:rPr>
              <w:t>8</w:t>
            </w:r>
          </w:p>
        </w:tc>
        <w:tc>
          <w:tcPr>
            <w:tcW w:w="1389" w:type="dxa"/>
            <w:vAlign w:val="center"/>
          </w:tcPr>
          <w:p>
            <w:pPr>
              <w:spacing w:line="360" w:lineRule="auto"/>
              <w:ind w:left="0" w:leftChars="0" w:firstLine="0" w:firstLineChars="0"/>
              <w:jc w:val="center"/>
              <w:rPr>
                <w:rFonts w:hint="eastAsia" w:ascii="宋体" w:hAnsi="宋体" w:cs="宋体"/>
                <w:b w:val="0"/>
                <w:bCs/>
                <w:spacing w:val="-6"/>
                <w:sz w:val="24"/>
              </w:rPr>
            </w:pPr>
            <w:r>
              <w:rPr>
                <w:rFonts w:hint="eastAsia" w:ascii="宋体" w:hAnsi="宋体" w:cs="宋体"/>
                <w:b w:val="0"/>
                <w:bCs/>
                <w:spacing w:val="-6"/>
                <w:sz w:val="24"/>
              </w:rPr>
              <w:t>政策分</w:t>
            </w:r>
          </w:p>
        </w:tc>
        <w:tc>
          <w:tcPr>
            <w:tcW w:w="6232" w:type="dxa"/>
            <w:vAlign w:val="center"/>
          </w:tcPr>
          <w:p>
            <w:pPr>
              <w:spacing w:line="360" w:lineRule="auto"/>
              <w:ind w:left="0" w:leftChars="0" w:firstLine="0" w:firstLineChars="0"/>
              <w:jc w:val="both"/>
              <w:rPr>
                <w:rFonts w:hint="eastAsia" w:ascii="宋体" w:hAnsi="宋体" w:cs="宋体"/>
                <w:b w:val="0"/>
                <w:bCs/>
                <w:spacing w:val="-6"/>
                <w:sz w:val="24"/>
              </w:rPr>
            </w:pPr>
            <w:r>
              <w:rPr>
                <w:rFonts w:hint="eastAsia" w:ascii="宋体" w:hAnsi="宋体" w:cs="宋体"/>
                <w:b w:val="0"/>
                <w:bCs/>
                <w:spacing w:val="-6"/>
                <w:sz w:val="24"/>
              </w:rPr>
              <w:t>（1）</w:t>
            </w:r>
            <w:r>
              <w:rPr>
                <w:rFonts w:hint="eastAsia" w:cs="宋体"/>
                <w:b w:val="0"/>
                <w:bCs/>
                <w:spacing w:val="-6"/>
                <w:sz w:val="24"/>
                <w:lang w:eastAsia="zh-CN"/>
              </w:rPr>
              <w:t>投标产品</w:t>
            </w:r>
            <w:r>
              <w:rPr>
                <w:rFonts w:hint="eastAsia" w:ascii="宋体" w:hAnsi="宋体" w:cs="宋体"/>
                <w:b w:val="0"/>
                <w:bCs/>
                <w:spacing w:val="-6"/>
                <w:sz w:val="24"/>
              </w:rPr>
              <w:t>列入财政部、发展改革委发布的节能产品品目清单的，提供国家市场监督管理总局公布的《参与实施政府采购节能产品认证机构名录》内的认证机构出具的、处于有效期之内的节能标志产品认证证书的，得0.5分。</w:t>
            </w:r>
          </w:p>
          <w:p>
            <w:pPr>
              <w:spacing w:line="360" w:lineRule="auto"/>
              <w:ind w:left="0" w:leftChars="0" w:firstLine="0" w:firstLineChars="0"/>
              <w:jc w:val="both"/>
              <w:rPr>
                <w:rFonts w:hint="eastAsia" w:ascii="宋体" w:hAnsi="宋体" w:cs="宋体"/>
                <w:b w:val="0"/>
                <w:bCs/>
                <w:spacing w:val="-6"/>
                <w:sz w:val="24"/>
              </w:rPr>
            </w:pPr>
            <w:r>
              <w:rPr>
                <w:rFonts w:hint="eastAsia" w:ascii="宋体" w:hAnsi="宋体" w:cs="宋体"/>
                <w:b w:val="0"/>
                <w:bCs/>
                <w:spacing w:val="-6"/>
                <w:sz w:val="24"/>
              </w:rPr>
              <w:t>（2）</w:t>
            </w:r>
            <w:r>
              <w:rPr>
                <w:rFonts w:hint="eastAsia" w:cs="宋体"/>
                <w:b w:val="0"/>
                <w:bCs/>
                <w:spacing w:val="-6"/>
                <w:sz w:val="24"/>
                <w:lang w:eastAsia="zh-CN"/>
              </w:rPr>
              <w:t>投标产品</w:t>
            </w:r>
            <w:r>
              <w:rPr>
                <w:rFonts w:hint="eastAsia" w:ascii="宋体" w:hAnsi="宋体" w:cs="宋体"/>
                <w:b w:val="0"/>
                <w:bCs/>
                <w:spacing w:val="-6"/>
                <w:sz w:val="24"/>
              </w:rPr>
              <w:t>列入财政部、生态环境部发布的环境标志产品品目清单的，提供国家市场监督管理总局公布的《参与实施政府采购环境标志产品认证机构名录》内的认证机构出具的、处于有效期之内的环境标志产品认证证书，得0.5分。</w:t>
            </w:r>
          </w:p>
        </w:tc>
        <w:tc>
          <w:tcPr>
            <w:tcW w:w="776" w:type="dxa"/>
            <w:vAlign w:val="center"/>
          </w:tcPr>
          <w:p>
            <w:pPr>
              <w:spacing w:line="360" w:lineRule="auto"/>
              <w:ind w:left="0" w:leftChars="0" w:firstLine="0" w:firstLineChars="0"/>
              <w:jc w:val="center"/>
              <w:rPr>
                <w:rFonts w:hint="eastAsia" w:ascii="宋体" w:hAnsi="宋体" w:cs="宋体"/>
                <w:b w:val="0"/>
                <w:bCs/>
                <w:spacing w:val="-6"/>
                <w:sz w:val="24"/>
              </w:rPr>
            </w:pPr>
            <w:r>
              <w:rPr>
                <w:rFonts w:hint="eastAsia" w:ascii="宋体" w:hAnsi="宋体" w:cs="宋体"/>
                <w:b w:val="0"/>
                <w:bCs/>
                <w:spacing w:val="-6"/>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91" w:type="dxa"/>
            <w:vAlign w:val="center"/>
          </w:tcPr>
          <w:p>
            <w:pPr>
              <w:spacing w:line="360" w:lineRule="auto"/>
              <w:ind w:left="0" w:leftChars="0" w:firstLine="0" w:firstLineChars="0"/>
              <w:jc w:val="center"/>
              <w:rPr>
                <w:rFonts w:hint="eastAsia" w:ascii="宋体" w:hAnsi="宋体" w:cs="宋体"/>
                <w:b w:val="0"/>
                <w:bCs/>
                <w:spacing w:val="-6"/>
                <w:sz w:val="24"/>
              </w:rPr>
            </w:pPr>
            <w:r>
              <w:rPr>
                <w:rFonts w:hint="eastAsia" w:ascii="宋体" w:hAnsi="宋体" w:cs="宋体"/>
                <w:b w:val="0"/>
                <w:bCs/>
                <w:spacing w:val="-6"/>
                <w:sz w:val="24"/>
              </w:rPr>
              <w:t>9</w:t>
            </w:r>
          </w:p>
        </w:tc>
        <w:tc>
          <w:tcPr>
            <w:tcW w:w="1389" w:type="dxa"/>
            <w:vAlign w:val="center"/>
          </w:tcPr>
          <w:p>
            <w:pPr>
              <w:spacing w:line="360" w:lineRule="auto"/>
              <w:ind w:left="0" w:leftChars="0" w:firstLine="0" w:firstLineChars="0"/>
              <w:jc w:val="center"/>
              <w:rPr>
                <w:rFonts w:hint="eastAsia" w:ascii="宋体" w:hAnsi="宋体" w:cs="宋体"/>
                <w:b w:val="0"/>
                <w:bCs/>
                <w:spacing w:val="-6"/>
                <w:sz w:val="24"/>
              </w:rPr>
            </w:pPr>
            <w:r>
              <w:rPr>
                <w:rFonts w:hint="eastAsia" w:ascii="宋体" w:hAnsi="宋体" w:cs="宋体"/>
                <w:b w:val="0"/>
                <w:bCs/>
                <w:spacing w:val="-6"/>
                <w:sz w:val="24"/>
              </w:rPr>
              <w:t>交货时间</w:t>
            </w:r>
          </w:p>
        </w:tc>
        <w:tc>
          <w:tcPr>
            <w:tcW w:w="6232" w:type="dxa"/>
            <w:vAlign w:val="center"/>
          </w:tcPr>
          <w:p>
            <w:pPr>
              <w:spacing w:line="360" w:lineRule="auto"/>
              <w:ind w:left="0" w:leftChars="0" w:firstLine="0" w:firstLineChars="0"/>
              <w:jc w:val="both"/>
              <w:rPr>
                <w:rFonts w:hint="eastAsia" w:ascii="宋体" w:hAnsi="宋体" w:cs="宋体"/>
                <w:b w:val="0"/>
                <w:bCs/>
                <w:spacing w:val="-6"/>
                <w:sz w:val="24"/>
              </w:rPr>
            </w:pPr>
            <w:r>
              <w:rPr>
                <w:rFonts w:hint="eastAsia" w:ascii="宋体" w:hAnsi="宋体" w:cs="宋体"/>
                <w:b w:val="0"/>
                <w:bCs/>
                <w:spacing w:val="-6"/>
                <w:sz w:val="24"/>
              </w:rPr>
              <w:t>交货时间满足或优于招标文件要求的得1分，不满足的得0分。</w:t>
            </w:r>
          </w:p>
        </w:tc>
        <w:tc>
          <w:tcPr>
            <w:tcW w:w="776" w:type="dxa"/>
            <w:vAlign w:val="center"/>
          </w:tcPr>
          <w:p>
            <w:pPr>
              <w:spacing w:line="360" w:lineRule="auto"/>
              <w:ind w:left="0" w:leftChars="0" w:firstLine="0" w:firstLineChars="0"/>
              <w:jc w:val="center"/>
              <w:rPr>
                <w:rFonts w:hint="eastAsia" w:ascii="宋体" w:hAnsi="宋体" w:cs="宋体"/>
                <w:b w:val="0"/>
                <w:bCs/>
                <w:spacing w:val="-6"/>
                <w:sz w:val="24"/>
              </w:rPr>
            </w:pPr>
            <w:r>
              <w:rPr>
                <w:rFonts w:hint="eastAsia" w:ascii="宋体" w:hAnsi="宋体" w:cs="宋体"/>
                <w:b w:val="0"/>
                <w:bCs/>
                <w:spacing w:val="-6"/>
                <w:sz w:val="24"/>
              </w:rPr>
              <w:t>1</w:t>
            </w:r>
          </w:p>
        </w:tc>
      </w:tr>
    </w:tbl>
    <w:p>
      <w:pPr>
        <w:pStyle w:val="3"/>
        <w:spacing w:before="156" w:beforeLines="50" w:after="156" w:afterLines="50" w:line="360" w:lineRule="auto"/>
        <w:ind w:firstLine="466" w:firstLineChars="200"/>
        <w:rPr>
          <w:rFonts w:hint="eastAsia" w:hAnsi="宋体" w:cs="宋体"/>
          <w:b/>
          <w:bCs/>
          <w:sz w:val="24"/>
        </w:rPr>
      </w:pPr>
      <w:r>
        <w:rPr>
          <w:rFonts w:hint="eastAsia" w:hAnsi="宋体" w:cs="宋体"/>
          <w:b/>
          <w:sz w:val="24"/>
        </w:rPr>
        <w:t>（三</w:t>
      </w:r>
      <w:r>
        <w:rPr>
          <w:rFonts w:hint="eastAsia" w:hAnsi="宋体" w:cs="宋体"/>
          <w:b/>
          <w:bCs/>
          <w:sz w:val="24"/>
        </w:rPr>
        <w:t>）价格部分（ 30分）</w:t>
      </w:r>
    </w:p>
    <w:p>
      <w:pPr>
        <w:rPr>
          <w:rFonts w:hint="eastAsia"/>
        </w:rPr>
      </w:pPr>
    </w:p>
    <w:tbl>
      <w:tblPr>
        <w:tblStyle w:val="46"/>
        <w:tblW w:w="94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7660"/>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2" w:type="dxa"/>
            <w:textDirection w:val="lrTb"/>
            <w:vAlign w:val="center"/>
          </w:tcPr>
          <w:p>
            <w:pPr>
              <w:spacing w:line="360" w:lineRule="auto"/>
              <w:ind w:left="0" w:leftChars="0" w:firstLine="0" w:firstLineChars="0"/>
              <w:jc w:val="center"/>
              <w:rPr>
                <w:rFonts w:hint="eastAsia" w:ascii="宋体" w:hAnsi="宋体" w:eastAsia="宋体" w:cs="宋体"/>
                <w:b w:val="0"/>
                <w:bCs/>
                <w:spacing w:val="-6"/>
                <w:sz w:val="24"/>
                <w:lang w:eastAsia="zh-CN"/>
              </w:rPr>
            </w:pPr>
            <w:r>
              <w:rPr>
                <w:rFonts w:hint="eastAsia" w:ascii="宋体" w:hAnsi="宋体" w:cs="宋体"/>
                <w:b w:val="0"/>
                <w:bCs/>
                <w:spacing w:val="-6"/>
                <w:sz w:val="24"/>
              </w:rPr>
              <w:t>序号</w:t>
            </w:r>
          </w:p>
        </w:tc>
        <w:tc>
          <w:tcPr>
            <w:tcW w:w="7660" w:type="dxa"/>
            <w:textDirection w:val="lrTb"/>
            <w:vAlign w:val="center"/>
          </w:tcPr>
          <w:p>
            <w:pPr>
              <w:spacing w:line="360" w:lineRule="auto"/>
              <w:ind w:left="0" w:leftChars="0" w:firstLine="0" w:firstLineChars="0"/>
              <w:jc w:val="center"/>
              <w:rPr>
                <w:rFonts w:hint="eastAsia" w:ascii="宋体" w:hAnsi="宋体" w:cs="宋体"/>
                <w:b w:val="0"/>
                <w:bCs/>
                <w:spacing w:val="-6"/>
                <w:sz w:val="24"/>
              </w:rPr>
            </w:pPr>
            <w:r>
              <w:rPr>
                <w:rFonts w:hint="eastAsia" w:ascii="宋体" w:hAnsi="宋体" w:cs="宋体"/>
                <w:b w:val="0"/>
                <w:bCs/>
                <w:spacing w:val="-6"/>
                <w:sz w:val="24"/>
              </w:rPr>
              <w:t>评审项目和评审标准</w:t>
            </w:r>
          </w:p>
        </w:tc>
        <w:tc>
          <w:tcPr>
            <w:tcW w:w="776" w:type="dxa"/>
            <w:textDirection w:val="lrTb"/>
            <w:vAlign w:val="center"/>
          </w:tcPr>
          <w:p>
            <w:pPr>
              <w:spacing w:line="360" w:lineRule="auto"/>
              <w:ind w:left="0" w:leftChars="0" w:firstLine="0" w:firstLineChars="0"/>
              <w:jc w:val="center"/>
              <w:rPr>
                <w:rFonts w:hint="eastAsia" w:ascii="宋体" w:hAnsi="宋体" w:cs="宋体"/>
                <w:b w:val="0"/>
                <w:bCs/>
                <w:spacing w:val="-6"/>
                <w:sz w:val="24"/>
              </w:rPr>
            </w:pPr>
            <w:r>
              <w:rPr>
                <w:rFonts w:hint="eastAsia" w:ascii="宋体" w:hAnsi="宋体" w:cs="宋体"/>
                <w:b w:val="0"/>
                <w:bCs/>
                <w:spacing w:val="-6"/>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2" w:type="dxa"/>
            <w:vAlign w:val="center"/>
          </w:tcPr>
          <w:p>
            <w:pPr>
              <w:spacing w:line="360" w:lineRule="auto"/>
              <w:ind w:left="0" w:leftChars="0" w:firstLine="0" w:firstLineChars="0"/>
              <w:jc w:val="center"/>
              <w:rPr>
                <w:rFonts w:hint="eastAsia" w:cs="宋体"/>
                <w:b w:val="0"/>
                <w:bCs/>
                <w:spacing w:val="-6"/>
                <w:sz w:val="24"/>
                <w:lang w:val="en-US" w:eastAsia="zh-CN"/>
              </w:rPr>
            </w:pPr>
            <w:r>
              <w:rPr>
                <w:rFonts w:hint="eastAsia" w:cs="宋体"/>
                <w:b w:val="0"/>
                <w:bCs/>
                <w:spacing w:val="-6"/>
                <w:sz w:val="24"/>
                <w:lang w:val="en-US" w:eastAsia="zh-CN"/>
              </w:rPr>
              <w:t>1</w:t>
            </w:r>
          </w:p>
        </w:tc>
        <w:tc>
          <w:tcPr>
            <w:tcW w:w="7660" w:type="dxa"/>
            <w:vAlign w:val="center"/>
          </w:tcPr>
          <w:p>
            <w:pPr>
              <w:spacing w:line="360" w:lineRule="auto"/>
              <w:ind w:left="0" w:leftChars="0" w:firstLine="0" w:firstLineChars="0"/>
              <w:jc w:val="both"/>
              <w:rPr>
                <w:rFonts w:hint="eastAsia" w:ascii="宋体" w:hAnsi="宋体" w:cs="宋体"/>
                <w:b w:val="0"/>
                <w:bCs/>
                <w:spacing w:val="-6"/>
                <w:sz w:val="24"/>
                <w:lang w:val="en"/>
              </w:rPr>
            </w:pPr>
            <w:r>
              <w:rPr>
                <w:rFonts w:hint="eastAsia" w:ascii="宋体" w:hAnsi="宋体" w:cs="宋体"/>
                <w:b w:val="0"/>
                <w:bCs/>
                <w:spacing w:val="-6"/>
                <w:sz w:val="24"/>
                <w:lang w:val="en"/>
              </w:rPr>
              <w:t>有效投标报价的最低价作为评标基准价，其最低报价为满分；</w:t>
            </w:r>
          </w:p>
          <w:p>
            <w:pPr>
              <w:spacing w:line="360" w:lineRule="auto"/>
              <w:ind w:left="0" w:leftChars="0" w:firstLine="0" w:firstLineChars="0"/>
              <w:jc w:val="both"/>
              <w:rPr>
                <w:rFonts w:hint="eastAsia" w:ascii="宋体" w:hAnsi="宋体" w:cs="宋体"/>
                <w:b w:val="0"/>
                <w:bCs/>
                <w:spacing w:val="-6"/>
                <w:sz w:val="24"/>
                <w:lang w:val="en"/>
              </w:rPr>
            </w:pPr>
            <w:r>
              <w:rPr>
                <w:rFonts w:hint="eastAsia" w:cs="宋体"/>
                <w:b w:val="0"/>
                <w:bCs/>
                <w:spacing w:val="-6"/>
                <w:sz w:val="24"/>
                <w:lang w:val="en" w:eastAsia="zh-CN"/>
              </w:rPr>
              <w:t>其他供应商报价得分</w:t>
            </w:r>
            <w:r>
              <w:rPr>
                <w:rFonts w:hint="eastAsia" w:ascii="宋体" w:hAnsi="宋体" w:cs="宋体"/>
                <w:b w:val="0"/>
                <w:bCs/>
                <w:spacing w:val="-6"/>
                <w:sz w:val="24"/>
                <w:lang w:val="en"/>
              </w:rPr>
              <w:t>按照［投标报价得分=（评标基准价/投标报价）*价格权值*100］的计算公式计算；</w:t>
            </w:r>
          </w:p>
        </w:tc>
        <w:tc>
          <w:tcPr>
            <w:tcW w:w="776" w:type="dxa"/>
            <w:vAlign w:val="center"/>
          </w:tcPr>
          <w:p>
            <w:pPr>
              <w:spacing w:line="360" w:lineRule="auto"/>
              <w:ind w:left="0" w:leftChars="0" w:firstLine="0" w:firstLineChars="0"/>
              <w:jc w:val="center"/>
              <w:rPr>
                <w:rFonts w:hint="eastAsia" w:ascii="宋体" w:hAnsi="宋体" w:eastAsia="宋体" w:cs="宋体"/>
                <w:b w:val="0"/>
                <w:bCs/>
                <w:spacing w:val="-6"/>
                <w:sz w:val="24"/>
                <w:lang w:val="en-US" w:eastAsia="zh-CN"/>
              </w:rPr>
            </w:pPr>
            <w:r>
              <w:rPr>
                <w:rFonts w:hint="eastAsia" w:cs="宋体"/>
                <w:b w:val="0"/>
                <w:bCs/>
                <w:spacing w:val="-6"/>
                <w:sz w:val="24"/>
                <w:lang w:val="en-US" w:eastAsia="zh-CN"/>
              </w:rPr>
              <w:t>30</w:t>
            </w:r>
          </w:p>
        </w:tc>
      </w:tr>
    </w:tbl>
    <w:p>
      <w:pPr>
        <w:pStyle w:val="4"/>
        <w:rPr>
          <w:rFonts w:hint="eastAsia"/>
        </w:rPr>
        <w:sectPr>
          <w:footerReference r:id="rId14" w:type="default"/>
          <w:pgSz w:w="11907" w:h="16840"/>
          <w:pgMar w:top="1440" w:right="1080" w:bottom="1440" w:left="1080" w:header="850" w:footer="992" w:gutter="0"/>
          <w:pgBorders>
            <w:top w:val="none" w:color="auto" w:sz="0" w:space="0"/>
            <w:left w:val="none" w:color="auto" w:sz="0" w:space="0"/>
            <w:bottom w:val="none" w:color="auto" w:sz="0" w:space="0"/>
            <w:right w:val="none" w:color="auto" w:sz="0" w:space="0"/>
          </w:pgBorders>
          <w:cols w:space="720" w:num="1"/>
          <w:docGrid w:linePitch="286" w:charSpace="0"/>
        </w:sectPr>
      </w:pPr>
    </w:p>
    <w:bookmarkEnd w:id="133"/>
    <w:bookmarkEnd w:id="134"/>
    <w:bookmarkEnd w:id="135"/>
    <w:p>
      <w:pPr>
        <w:pStyle w:val="4"/>
        <w:bidi w:val="0"/>
        <w:rPr>
          <w:rFonts w:hint="eastAsia" w:ascii="宋体" w:hAnsi="宋体" w:eastAsia="宋体" w:cs="宋体"/>
          <w:color w:val="auto"/>
          <w:highlight w:val="none"/>
        </w:rPr>
      </w:pPr>
      <w:bookmarkStart w:id="142" w:name="_Toc10616"/>
      <w:bookmarkStart w:id="143" w:name="_Toc28261"/>
      <w:r>
        <w:rPr>
          <w:rFonts w:hint="eastAsia" w:ascii="宋体" w:hAnsi="宋体" w:eastAsia="宋体" w:cs="宋体"/>
          <w:color w:val="auto"/>
          <w:highlight w:val="none"/>
        </w:rPr>
        <w:t>第五章 合同格式</w:t>
      </w:r>
      <w:bookmarkEnd w:id="142"/>
      <w:bookmarkEnd w:id="143"/>
    </w:p>
    <w:p>
      <w:pPr>
        <w:pStyle w:val="22"/>
        <w:snapToGrid w:val="0"/>
        <w:spacing w:line="360" w:lineRule="auto"/>
        <w:jc w:val="center"/>
        <w:rPr>
          <w:rFonts w:hint="eastAsia" w:ascii="宋体" w:hAnsi="宋体" w:eastAsia="宋体" w:cs="宋体"/>
          <w:b/>
          <w:color w:val="auto"/>
          <w:sz w:val="24"/>
          <w:szCs w:val="24"/>
        </w:rPr>
      </w:pPr>
      <w:bookmarkStart w:id="144" w:name="_Toc450840088"/>
      <w:r>
        <w:rPr>
          <w:rFonts w:hint="eastAsia" w:ascii="宋体" w:hAnsi="宋体" w:eastAsia="宋体" w:cs="宋体"/>
          <w:b/>
          <w:color w:val="auto"/>
          <w:sz w:val="24"/>
          <w:szCs w:val="24"/>
        </w:rPr>
        <w:t>（本合同为合同样稿，最终稿由甲乙双方协商后确定）</w:t>
      </w:r>
    </w:p>
    <w:p>
      <w:pPr>
        <w:pStyle w:val="22"/>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color w:val="auto"/>
          <w:sz w:val="24"/>
          <w:szCs w:val="24"/>
        </w:rPr>
        <w:t xml:space="preserve">                                      编号：</w:t>
      </w:r>
    </w:p>
    <w:p>
      <w:pPr>
        <w:spacing w:line="360" w:lineRule="auto"/>
        <w:rPr>
          <w:rFonts w:hint="eastAsia" w:ascii="宋体" w:hAnsi="宋体" w:eastAsia="宋体" w:cs="宋体"/>
          <w:color w:val="auto"/>
          <w:sz w:val="24"/>
          <w:szCs w:val="24"/>
          <w:u w:val="single"/>
        </w:rPr>
      </w:pPr>
      <w:r>
        <w:rPr>
          <w:rFonts w:hint="eastAsia" w:ascii="宋体" w:hAnsi="宋体" w:eastAsia="宋体" w:cs="宋体"/>
          <w:b/>
          <w:bCs/>
          <w:color w:val="auto"/>
          <w:sz w:val="24"/>
          <w:szCs w:val="24"/>
        </w:rPr>
        <w:t>甲方</w:t>
      </w:r>
      <w:r>
        <w:rPr>
          <w:rFonts w:hint="eastAsia" w:ascii="宋体" w:hAnsi="宋体" w:eastAsia="宋体" w:cs="宋体"/>
          <w:color w:val="auto"/>
          <w:sz w:val="24"/>
          <w:szCs w:val="24"/>
        </w:rPr>
        <w:t>（采购人）：</w:t>
      </w:r>
      <w:r>
        <w:rPr>
          <w:rFonts w:hint="eastAsia" w:ascii="宋体" w:hAnsi="宋体" w:eastAsia="宋体" w:cs="宋体"/>
          <w:color w:val="auto"/>
          <w:sz w:val="24"/>
          <w:szCs w:val="24"/>
          <w:u w:val="single"/>
        </w:rPr>
        <w:t xml:space="preserve">                       </w:t>
      </w:r>
    </w:p>
    <w:p>
      <w:pPr>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乙方</w:t>
      </w: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 xml:space="preserve">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i/>
          <w:color w:val="auto"/>
          <w:sz w:val="24"/>
          <w:szCs w:val="24"/>
          <w:u w:val="single"/>
        </w:rPr>
        <w:t>（采购人）</w:t>
      </w:r>
      <w:r>
        <w:rPr>
          <w:rFonts w:hint="eastAsia" w:ascii="宋体" w:hAnsi="宋体" w:eastAsia="宋体" w:cs="宋体"/>
          <w:color w:val="auto"/>
          <w:sz w:val="24"/>
          <w:szCs w:val="24"/>
        </w:rPr>
        <w:t>经过公开招标，确定</w:t>
      </w:r>
      <w:r>
        <w:rPr>
          <w:rFonts w:hint="eastAsia" w:ascii="宋体" w:hAnsi="宋体" w:eastAsia="宋体" w:cs="宋体"/>
          <w:i/>
          <w:color w:val="auto"/>
          <w:sz w:val="24"/>
          <w:szCs w:val="24"/>
          <w:u w:val="single"/>
        </w:rPr>
        <w:t>（中标供应商）</w:t>
      </w:r>
      <w:r>
        <w:rPr>
          <w:rFonts w:hint="eastAsia" w:ascii="宋体" w:hAnsi="宋体" w:eastAsia="宋体" w:cs="宋体"/>
          <w:color w:val="auto"/>
          <w:sz w:val="24"/>
          <w:szCs w:val="24"/>
        </w:rPr>
        <w:t>为供货单位，经甲乙双方协商，达成以下条款。具体如下：</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第一条</w:t>
      </w:r>
      <w:r>
        <w:rPr>
          <w:rFonts w:hint="eastAsia" w:ascii="宋体" w:hAnsi="宋体" w:eastAsia="宋体" w:cs="宋体"/>
          <w:color w:val="auto"/>
          <w:sz w:val="24"/>
          <w:szCs w:val="24"/>
        </w:rPr>
        <w:t xml:space="preserve">  采购商品清单及合同价格  </w:t>
      </w:r>
    </w:p>
    <w:tbl>
      <w:tblPr>
        <w:tblStyle w:val="46"/>
        <w:tblW w:w="87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2509"/>
        <w:gridCol w:w="900"/>
        <w:gridCol w:w="2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1440" w:type="dxa"/>
            <w:vAlign w:val="center"/>
          </w:tcPr>
          <w:p>
            <w:pPr>
              <w:pStyle w:val="22"/>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使用单位</w:t>
            </w:r>
          </w:p>
        </w:tc>
        <w:tc>
          <w:tcPr>
            <w:tcW w:w="1440" w:type="dxa"/>
            <w:vAlign w:val="center"/>
          </w:tcPr>
          <w:p>
            <w:pPr>
              <w:pStyle w:val="22"/>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商品名称</w:t>
            </w:r>
          </w:p>
        </w:tc>
        <w:tc>
          <w:tcPr>
            <w:tcW w:w="2509" w:type="dxa"/>
            <w:vAlign w:val="center"/>
          </w:tcPr>
          <w:p>
            <w:pPr>
              <w:pStyle w:val="22"/>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配置要求</w:t>
            </w:r>
          </w:p>
        </w:tc>
        <w:tc>
          <w:tcPr>
            <w:tcW w:w="900" w:type="dxa"/>
            <w:vAlign w:val="center"/>
          </w:tcPr>
          <w:p>
            <w:pPr>
              <w:pStyle w:val="22"/>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2502" w:type="dxa"/>
            <w:vAlign w:val="center"/>
          </w:tcPr>
          <w:p>
            <w:pPr>
              <w:pStyle w:val="22"/>
              <w:snapToGrid w:val="0"/>
              <w:spacing w:line="360" w:lineRule="auto"/>
              <w:jc w:val="center"/>
              <w:rPr>
                <w:rFonts w:hint="eastAsia" w:ascii="宋体" w:hAnsi="宋体" w:eastAsia="宋体" w:cs="宋体"/>
                <w:color w:val="auto"/>
                <w:sz w:val="24"/>
                <w:szCs w:val="24"/>
              </w:rPr>
            </w:pPr>
            <w:r>
              <w:rPr>
                <w:rFonts w:hint="eastAsia" w:hAnsi="宋体" w:cs="宋体"/>
                <w:color w:val="auto"/>
                <w:sz w:val="24"/>
                <w:szCs w:val="24"/>
                <w:lang w:eastAsia="zh-CN"/>
              </w:rPr>
              <w:t>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1440" w:type="dxa"/>
            <w:vAlign w:val="center"/>
          </w:tcPr>
          <w:p>
            <w:pPr>
              <w:pStyle w:val="150"/>
              <w:jc w:val="center"/>
              <w:rPr>
                <w:rFonts w:hint="eastAsia" w:ascii="宋体" w:hAnsi="宋体" w:eastAsia="宋体" w:cs="宋体"/>
                <w:color w:val="auto"/>
                <w:szCs w:val="24"/>
              </w:rPr>
            </w:pPr>
          </w:p>
        </w:tc>
        <w:tc>
          <w:tcPr>
            <w:tcW w:w="1440" w:type="dxa"/>
            <w:vAlign w:val="center"/>
          </w:tcPr>
          <w:p>
            <w:pPr>
              <w:spacing w:line="360" w:lineRule="auto"/>
              <w:jc w:val="center"/>
              <w:rPr>
                <w:rFonts w:hint="eastAsia" w:ascii="宋体" w:hAnsi="宋体" w:eastAsia="宋体" w:cs="宋体"/>
                <w:color w:val="auto"/>
                <w:sz w:val="24"/>
                <w:szCs w:val="24"/>
              </w:rPr>
            </w:pPr>
          </w:p>
        </w:tc>
        <w:tc>
          <w:tcPr>
            <w:tcW w:w="2509" w:type="dxa"/>
            <w:vAlign w:val="center"/>
          </w:tcPr>
          <w:p>
            <w:pPr>
              <w:spacing w:line="360" w:lineRule="auto"/>
              <w:jc w:val="center"/>
              <w:rPr>
                <w:rFonts w:hint="eastAsia" w:ascii="宋体" w:hAnsi="宋体" w:eastAsia="宋体" w:cs="宋体"/>
                <w:color w:val="auto"/>
                <w:sz w:val="24"/>
                <w:szCs w:val="24"/>
              </w:rPr>
            </w:pPr>
          </w:p>
        </w:tc>
        <w:tc>
          <w:tcPr>
            <w:tcW w:w="900" w:type="dxa"/>
            <w:vAlign w:val="center"/>
          </w:tcPr>
          <w:p>
            <w:pPr>
              <w:spacing w:line="360" w:lineRule="auto"/>
              <w:ind w:firstLine="240" w:firstLineChars="100"/>
              <w:jc w:val="center"/>
              <w:rPr>
                <w:rFonts w:hint="eastAsia" w:ascii="宋体" w:hAnsi="宋体" w:eastAsia="宋体" w:cs="宋体"/>
                <w:color w:val="auto"/>
                <w:sz w:val="24"/>
                <w:szCs w:val="24"/>
              </w:rPr>
            </w:pPr>
          </w:p>
        </w:tc>
        <w:tc>
          <w:tcPr>
            <w:tcW w:w="2502" w:type="dxa"/>
            <w:vAlign w:val="center"/>
          </w:tcPr>
          <w:p>
            <w:pPr>
              <w:pStyle w:val="150"/>
              <w:jc w:val="center"/>
              <w:rPr>
                <w:rFonts w:hint="eastAsia" w:ascii="宋体" w:hAnsi="宋体" w:eastAsia="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5389" w:type="dxa"/>
            <w:gridSpan w:val="3"/>
            <w:vAlign w:val="top"/>
          </w:tcPr>
          <w:p>
            <w:pPr>
              <w:pStyle w:val="22"/>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合    计</w:t>
            </w:r>
          </w:p>
        </w:tc>
        <w:tc>
          <w:tcPr>
            <w:tcW w:w="900" w:type="dxa"/>
            <w:vAlign w:val="top"/>
          </w:tcPr>
          <w:p>
            <w:pPr>
              <w:pStyle w:val="22"/>
              <w:snapToGrid w:val="0"/>
              <w:spacing w:line="360" w:lineRule="auto"/>
              <w:jc w:val="center"/>
              <w:rPr>
                <w:rFonts w:hint="eastAsia" w:ascii="宋体" w:hAnsi="宋体" w:eastAsia="宋体" w:cs="宋体"/>
                <w:color w:val="auto"/>
                <w:sz w:val="24"/>
                <w:szCs w:val="24"/>
              </w:rPr>
            </w:pPr>
          </w:p>
        </w:tc>
        <w:tc>
          <w:tcPr>
            <w:tcW w:w="2502" w:type="dxa"/>
            <w:vAlign w:val="top"/>
          </w:tcPr>
          <w:p>
            <w:pPr>
              <w:pStyle w:val="150"/>
              <w:rPr>
                <w:rFonts w:hint="eastAsia" w:ascii="宋体" w:hAnsi="宋体" w:eastAsia="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8791" w:type="dxa"/>
            <w:gridSpan w:val="5"/>
            <w:vAlign w:val="top"/>
          </w:tcPr>
          <w:p>
            <w:pPr>
              <w:pStyle w:val="22"/>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合同总价：（人民币）元整</w:t>
            </w:r>
          </w:p>
        </w:tc>
      </w:tr>
    </w:tbl>
    <w:p>
      <w:pPr>
        <w:pStyle w:val="22"/>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注：1、商品型号、数量、配置要求及使用单位地址等详后附清单</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2、以上合同总价包括运抵各使用单位的运费及安装调试费等。</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b/>
          <w:color w:val="auto"/>
          <w:sz w:val="24"/>
          <w:szCs w:val="24"/>
        </w:rPr>
        <w:t>第二条</w:t>
      </w:r>
      <w:r>
        <w:rPr>
          <w:rFonts w:hint="eastAsia" w:ascii="宋体" w:hAnsi="宋体" w:eastAsia="宋体" w:cs="宋体"/>
          <w:color w:val="auto"/>
          <w:sz w:val="24"/>
          <w:szCs w:val="24"/>
        </w:rPr>
        <w:t xml:space="preserve">  质量保证</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乙方保证本合同中所供应的国产商品是</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以后生产的符合国家技术规格和质量标准的出厂原装合格产品；进口商品是获得国家商检局颁布安全许可证的出厂原装合格产品。如发生所供商品与合同不符，甲方有权拒收或退货，由此产生的一切责任和后果由乙方承担。</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第三条</w:t>
      </w:r>
      <w:r>
        <w:rPr>
          <w:rFonts w:hint="eastAsia" w:ascii="宋体" w:hAnsi="宋体" w:eastAsia="宋体" w:cs="宋体"/>
          <w:color w:val="auto"/>
          <w:sz w:val="24"/>
          <w:szCs w:val="24"/>
        </w:rPr>
        <w:t xml:space="preserve">  交货时间、地点</w:t>
      </w:r>
    </w:p>
    <w:p>
      <w:pPr>
        <w:pStyle w:val="22"/>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1、乙方在合同签订后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个工作日内按照其与甲方事先直接联系约定（使用单位地址、联系人等见清单）将所供商品运至甲方指定地点拆箱，并负责安装调试完毕后交使用方验收。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2、在所供商品交付使用时，乙方必须向甲方提供产品说明书、质量保证书、保修卡等必须具备的相关资料和必备的附件。</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第四条</w:t>
      </w:r>
      <w:r>
        <w:rPr>
          <w:rFonts w:hint="eastAsia" w:ascii="宋体" w:hAnsi="宋体" w:eastAsia="宋体" w:cs="宋体"/>
          <w:color w:val="auto"/>
          <w:sz w:val="24"/>
          <w:szCs w:val="24"/>
        </w:rPr>
        <w:t xml:space="preserve">  售后服务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质量保修期(质保期从合同商品验收合格之日算起)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保质期内因不能排除的故障而影响工作的情况每发生一次，其质保期相应延长60天，保质期内因合同商品本身缺陷造成各种故障应由卖方免费技术服务和维修；质保期满后，仅收取零配件成本费用，免人工费用。合同商品出现故障后，中标人接到需方通知后,最迟于4小时内做出响应，2个工作日内解决故障。合同商品到达后,中标人提供安装调试，培训服务，帮助需方用户尽快熟悉使用。</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第五条</w:t>
      </w:r>
      <w:r>
        <w:rPr>
          <w:rFonts w:hint="eastAsia" w:ascii="宋体" w:hAnsi="宋体" w:eastAsia="宋体" w:cs="宋体"/>
          <w:color w:val="auto"/>
          <w:sz w:val="24"/>
          <w:szCs w:val="24"/>
        </w:rPr>
        <w:t xml:space="preserve">  验收</w:t>
      </w:r>
    </w:p>
    <w:p>
      <w:pPr>
        <w:pStyle w:val="22"/>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乙方将所供商品运至交货地点拆箱并安装调试完毕后，由各使用单位及时负责验收。</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合同商品从验收合格次日起7天内，出现非使用方人为因素造成的无法排除的故障，由乙方予以整机调换。</w:t>
      </w:r>
    </w:p>
    <w:p>
      <w:pPr>
        <w:spacing w:line="360" w:lineRule="auto"/>
        <w:ind w:firstLine="472" w:firstLineChars="196"/>
        <w:rPr>
          <w:rFonts w:hint="eastAsia" w:ascii="宋体" w:hAnsi="宋体" w:eastAsia="宋体" w:cs="宋体"/>
          <w:color w:val="auto"/>
          <w:sz w:val="24"/>
          <w:szCs w:val="24"/>
        </w:rPr>
      </w:pPr>
      <w:r>
        <w:rPr>
          <w:rFonts w:hint="eastAsia" w:ascii="宋体" w:hAnsi="宋体" w:eastAsia="宋体" w:cs="宋体"/>
          <w:b/>
          <w:color w:val="auto"/>
          <w:sz w:val="24"/>
          <w:szCs w:val="24"/>
        </w:rPr>
        <w:t>第六条</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履约保证金及</w:t>
      </w:r>
      <w:r>
        <w:rPr>
          <w:rFonts w:hint="eastAsia" w:ascii="宋体" w:hAnsi="宋体" w:eastAsia="宋体" w:cs="宋体"/>
          <w:color w:val="auto"/>
          <w:sz w:val="24"/>
          <w:szCs w:val="24"/>
        </w:rPr>
        <w:t>货款的支付</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结算价格为乙方所承诺的折扣价格。与中标人签订购书合同后，中标人根据合同规定将货物交付，完成履约验收后，验收合格后的30天内支付合同价格的100%。</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第七条</w:t>
      </w:r>
      <w:r>
        <w:rPr>
          <w:rFonts w:hint="eastAsia" w:ascii="宋体" w:hAnsi="宋体" w:eastAsia="宋体" w:cs="宋体"/>
          <w:color w:val="auto"/>
          <w:sz w:val="24"/>
          <w:szCs w:val="24"/>
        </w:rPr>
        <w:t xml:space="preserve">  其它约定</w:t>
      </w: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第八条</w:t>
      </w:r>
      <w:r>
        <w:rPr>
          <w:rFonts w:hint="eastAsia" w:ascii="宋体" w:hAnsi="宋体" w:eastAsia="宋体" w:cs="宋体"/>
          <w:color w:val="auto"/>
          <w:sz w:val="24"/>
          <w:szCs w:val="24"/>
        </w:rPr>
        <w:t xml:space="preserve">  违约责任</w:t>
      </w:r>
    </w:p>
    <w:p>
      <w:pPr>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乙方逾期履行合同的，甲方有权没收履约保证金，并自逾期之日起，向甲方每日偿付合同总价千分之二的滞纳金；乙方逾期20日不能交货的，视为乙方不能交货，甲方有权解除合同，乙方应承担违约责任，应向甲方支付合同总价百分之五的违约金。</w:t>
      </w:r>
    </w:p>
    <w:p>
      <w:pPr>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若乙方存在撤销响应文件和无正当理由放弃成交、不与甲方签订书面合同等情形或被行政部门查实存在违法违规行为，导致甲方重新采购的，除乙方按预算金额的2%向甲方偿付违约金（赔偿金额不足以弥补采购人损失的，乙方应继续承担超过部分的损失）外，甲方将拒绝该乙方再次响应本项目。</w:t>
      </w:r>
    </w:p>
    <w:p>
      <w:pPr>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3.乙方在采购过程中或合同履行过程中存在其他违法行为的，且违法行为严重的，乙方在承担相应的民事责任以外，甲方将有权向相关行政管理部门建议给予乙方限制本项目内容所涉及的市场响应采购的处罚。</w:t>
      </w:r>
    </w:p>
    <w:p>
      <w:pPr>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4.甲方逾期支付货款的（因财政原因除外），应向乙方每日偿付合同总价千分之二的滞纳金。甲方无正当理由拒收货物、拒付货款的，应向乙方偿付合同总价百分之五的违约金。</w:t>
      </w:r>
    </w:p>
    <w:p>
      <w:pPr>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5.甲方无故拖延支付货款超过合同规定支付时间的，乙方可按照有关规定向甲方直接发起支付申请，并要求当地有关部门对其违规情况予以处理。</w:t>
      </w:r>
    </w:p>
    <w:p>
      <w:pPr>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6.乙方在合同履约期间未完全履行投标文件的承诺内容的，采购人将视其情节严重程度给予相应处罚，甲方保留终止合同的权利。</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b/>
          <w:color w:val="auto"/>
          <w:sz w:val="24"/>
          <w:szCs w:val="24"/>
        </w:rPr>
        <w:t>第九条</w:t>
      </w:r>
      <w:r>
        <w:rPr>
          <w:rFonts w:hint="eastAsia" w:ascii="宋体" w:hAnsi="宋体" w:eastAsia="宋体" w:cs="宋体"/>
          <w:color w:val="auto"/>
          <w:sz w:val="24"/>
          <w:szCs w:val="24"/>
        </w:rPr>
        <w:t xml:space="preserve">  争议的解决</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本合同为政府采购之合同，在发生所供商品的质量、售后服务等问题时，甲方有权直接向乙方索赔，签订必要的书面处理协议。如协商不成，在甲方所在地选择诉讼的途径解决。</w:t>
      </w:r>
    </w:p>
    <w:p>
      <w:pPr>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第十条</w:t>
      </w:r>
      <w:r>
        <w:rPr>
          <w:rFonts w:hint="eastAsia" w:ascii="宋体" w:hAnsi="宋体" w:eastAsia="宋体" w:cs="宋体"/>
          <w:color w:val="auto"/>
          <w:sz w:val="24"/>
          <w:szCs w:val="24"/>
        </w:rPr>
        <w:t xml:space="preserve">  合同的生效</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1、本合同经甲乙双方法定代表人或其委托人签字并加盖公章后生效。</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2、本合同一式</w:t>
      </w:r>
      <w:r>
        <w:rPr>
          <w:rFonts w:hint="eastAsia" w:ascii="宋体" w:hAnsi="宋体" w:eastAsia="宋体" w:cs="宋体"/>
          <w:i/>
          <w:color w:val="auto"/>
          <w:sz w:val="24"/>
          <w:szCs w:val="24"/>
          <w:u w:val="single"/>
        </w:rPr>
        <w:t xml:space="preserve">五 </w:t>
      </w:r>
      <w:r>
        <w:rPr>
          <w:rFonts w:hint="eastAsia" w:ascii="宋体" w:hAnsi="宋体" w:eastAsia="宋体" w:cs="宋体"/>
          <w:color w:val="auto"/>
          <w:sz w:val="24"/>
          <w:szCs w:val="24"/>
        </w:rPr>
        <w:t>份，甲乙双方执</w:t>
      </w:r>
      <w:r>
        <w:rPr>
          <w:rFonts w:hint="eastAsia" w:ascii="宋体" w:hAnsi="宋体" w:eastAsia="宋体" w:cs="宋体"/>
          <w:i/>
          <w:color w:val="auto"/>
          <w:sz w:val="24"/>
          <w:szCs w:val="24"/>
          <w:u w:val="single"/>
        </w:rPr>
        <w:t xml:space="preserve">二 </w:t>
      </w:r>
      <w:r>
        <w:rPr>
          <w:rFonts w:hint="eastAsia" w:ascii="宋体" w:hAnsi="宋体" w:eastAsia="宋体" w:cs="宋体"/>
          <w:color w:val="auto"/>
          <w:sz w:val="24"/>
          <w:szCs w:val="24"/>
        </w:rPr>
        <w:t>份，代理机构执一份。</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3、相关招标文件、投标文件与本合同具有同等法律效力。</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甲  方（盖章）：                乙  方（盖章）：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法定代表人或受委托人（签字）：  法定代表人或受委托人（签字）：</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地  址：                       地 址：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电  话：                       电  话：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传  真：                       传  真： </w:t>
      </w:r>
    </w:p>
    <w:p>
      <w:pPr>
        <w:spacing w:line="360" w:lineRule="auto"/>
        <w:rPr>
          <w:rFonts w:hint="eastAsia" w:ascii="宋体" w:hAnsi="宋体" w:eastAsia="宋体" w:cs="宋体"/>
          <w:color w:val="auto"/>
          <w:sz w:val="24"/>
          <w:szCs w:val="24"/>
        </w:rPr>
      </w:pPr>
      <w:r>
        <w:rPr>
          <w:rFonts w:hint="eastAsia" w:ascii="宋体" w:hAnsi="宋体" w:eastAsia="宋体" w:cs="宋体"/>
          <w:color w:val="auto"/>
          <w:spacing w:val="-20"/>
          <w:sz w:val="24"/>
          <w:szCs w:val="24"/>
        </w:rPr>
        <w:t>开户银行</w:t>
      </w:r>
      <w:r>
        <w:rPr>
          <w:rFonts w:hint="eastAsia" w:ascii="宋体" w:hAnsi="宋体" w:eastAsia="宋体" w:cs="宋体"/>
          <w:color w:val="auto"/>
          <w:sz w:val="24"/>
          <w:szCs w:val="24"/>
        </w:rPr>
        <w:t xml:space="preserve">：                      </w:t>
      </w:r>
      <w:r>
        <w:rPr>
          <w:rFonts w:hint="eastAsia" w:ascii="宋体" w:hAnsi="宋体" w:eastAsia="宋体" w:cs="宋体"/>
          <w:color w:val="auto"/>
          <w:spacing w:val="-20"/>
          <w:sz w:val="24"/>
          <w:szCs w:val="24"/>
        </w:rPr>
        <w:t>开户银行</w:t>
      </w:r>
      <w:r>
        <w:rPr>
          <w:rFonts w:hint="eastAsia" w:ascii="宋体" w:hAnsi="宋体" w:eastAsia="宋体" w:cs="宋体"/>
          <w:color w:val="auto"/>
          <w:sz w:val="24"/>
          <w:szCs w:val="24"/>
        </w:rPr>
        <w:t>：</w:t>
      </w:r>
    </w:p>
    <w:p>
      <w:pPr>
        <w:spacing w:line="360" w:lineRule="auto"/>
        <w:rPr>
          <w:rFonts w:hint="eastAsia" w:ascii="宋体" w:hAnsi="宋体" w:eastAsia="宋体" w:cs="宋体"/>
          <w:color w:val="auto"/>
          <w:spacing w:val="-16"/>
          <w:sz w:val="24"/>
          <w:szCs w:val="24"/>
        </w:rPr>
      </w:pPr>
      <w:r>
        <w:rPr>
          <w:rFonts w:hint="eastAsia" w:ascii="宋体" w:hAnsi="宋体" w:eastAsia="宋体" w:cs="宋体"/>
          <w:color w:val="auto"/>
          <w:spacing w:val="-16"/>
          <w:sz w:val="24"/>
          <w:szCs w:val="24"/>
        </w:rPr>
        <w:t>帐  号：                               帐  号：</w:t>
      </w:r>
    </w:p>
    <w:p>
      <w:pPr>
        <w:spacing w:line="360" w:lineRule="auto"/>
        <w:rPr>
          <w:rFonts w:hint="eastAsia" w:ascii="宋体" w:hAnsi="宋体" w:eastAsia="宋体" w:cs="宋体"/>
          <w:color w:val="auto"/>
          <w:spacing w:val="-16"/>
          <w:sz w:val="24"/>
          <w:szCs w:val="24"/>
        </w:rPr>
      </w:pPr>
    </w:p>
    <w:p>
      <w:pPr>
        <w:spacing w:line="360" w:lineRule="auto"/>
        <w:jc w:val="right"/>
        <w:rPr>
          <w:rFonts w:hint="eastAsia" w:ascii="宋体" w:hAnsi="宋体" w:eastAsia="宋体" w:cs="宋体"/>
          <w:color w:val="auto"/>
          <w:spacing w:val="-16"/>
          <w:sz w:val="24"/>
          <w:szCs w:val="24"/>
        </w:rPr>
      </w:pPr>
      <w:r>
        <w:rPr>
          <w:rFonts w:hint="eastAsia" w:ascii="宋体" w:hAnsi="宋体" w:eastAsia="宋体" w:cs="宋体"/>
          <w:color w:val="auto"/>
          <w:spacing w:val="-16"/>
          <w:sz w:val="24"/>
          <w:szCs w:val="24"/>
        </w:rPr>
        <w:t>签约时间：</w:t>
      </w:r>
      <w:r>
        <w:rPr>
          <w:rFonts w:hint="eastAsia" w:ascii="宋体" w:hAnsi="宋体" w:eastAsia="宋体" w:cs="宋体"/>
          <w:color w:val="auto"/>
          <w:spacing w:val="-16"/>
          <w:sz w:val="24"/>
          <w:szCs w:val="24"/>
          <w:u w:val="single"/>
        </w:rPr>
        <w:t xml:space="preserve">      </w:t>
      </w:r>
      <w:r>
        <w:rPr>
          <w:rFonts w:hint="eastAsia" w:ascii="宋体" w:hAnsi="宋体" w:eastAsia="宋体" w:cs="宋体"/>
          <w:color w:val="auto"/>
          <w:spacing w:val="-16"/>
          <w:sz w:val="24"/>
          <w:szCs w:val="24"/>
        </w:rPr>
        <w:t>年</w:t>
      </w:r>
      <w:r>
        <w:rPr>
          <w:rFonts w:hint="eastAsia" w:ascii="宋体" w:hAnsi="宋体" w:eastAsia="宋体" w:cs="宋体"/>
          <w:color w:val="auto"/>
          <w:spacing w:val="-16"/>
          <w:sz w:val="24"/>
          <w:szCs w:val="24"/>
          <w:u w:val="single"/>
        </w:rPr>
        <w:t xml:space="preserve">    </w:t>
      </w:r>
      <w:r>
        <w:rPr>
          <w:rFonts w:hint="eastAsia" w:ascii="宋体" w:hAnsi="宋体" w:eastAsia="宋体" w:cs="宋体"/>
          <w:color w:val="auto"/>
          <w:spacing w:val="-16"/>
          <w:sz w:val="24"/>
          <w:szCs w:val="24"/>
        </w:rPr>
        <w:t>月</w:t>
      </w:r>
      <w:r>
        <w:rPr>
          <w:rFonts w:hint="eastAsia" w:ascii="宋体" w:hAnsi="宋体" w:eastAsia="宋体" w:cs="宋体"/>
          <w:color w:val="auto"/>
          <w:spacing w:val="-16"/>
          <w:sz w:val="24"/>
          <w:szCs w:val="24"/>
          <w:u w:val="single"/>
        </w:rPr>
        <w:t xml:space="preserve">    </w:t>
      </w:r>
      <w:r>
        <w:rPr>
          <w:rFonts w:hint="eastAsia" w:ascii="宋体" w:hAnsi="宋体" w:eastAsia="宋体" w:cs="宋体"/>
          <w:color w:val="auto"/>
          <w:spacing w:val="-16"/>
          <w:sz w:val="24"/>
          <w:szCs w:val="24"/>
        </w:rPr>
        <w:t>日</w:t>
      </w:r>
    </w:p>
    <w:p>
      <w:pPr>
        <w:spacing w:line="400" w:lineRule="atLeast"/>
        <w:ind w:left="688" w:leftChars="200" w:hanging="208" w:hangingChars="100"/>
        <w:jc w:val="left"/>
        <w:rPr>
          <w:rFonts w:hint="eastAsia" w:ascii="宋体" w:hAnsi="宋体" w:eastAsia="宋体" w:cs="宋体"/>
          <w:b/>
          <w:color w:val="auto"/>
          <w:highlight w:val="none"/>
        </w:rPr>
      </w:pPr>
      <w:r>
        <w:rPr>
          <w:rFonts w:hint="eastAsia" w:ascii="宋体" w:hAnsi="宋体" w:eastAsia="宋体" w:cs="宋体"/>
          <w:color w:val="auto"/>
          <w:spacing w:val="-16"/>
          <w:sz w:val="24"/>
          <w:szCs w:val="24"/>
          <w:lang w:val="en-US" w:eastAsia="zh-CN"/>
        </w:rPr>
        <w:t xml:space="preserve">                                                                        </w:t>
      </w:r>
      <w:r>
        <w:rPr>
          <w:rFonts w:hint="eastAsia" w:ascii="宋体" w:hAnsi="宋体" w:eastAsia="宋体" w:cs="宋体"/>
          <w:color w:val="auto"/>
          <w:spacing w:val="-16"/>
          <w:sz w:val="24"/>
          <w:szCs w:val="24"/>
        </w:rPr>
        <w:t>签约地点：</w:t>
      </w:r>
    </w:p>
    <w:p>
      <w:pPr>
        <w:pStyle w:val="48"/>
        <w:rPr>
          <w:rFonts w:hint="eastAsia" w:ascii="宋体" w:hAnsi="宋体" w:eastAsia="宋体" w:cs="宋体"/>
          <w:color w:val="auto"/>
          <w:highlight w:val="none"/>
        </w:rPr>
        <w:sectPr>
          <w:footerReference r:id="rId15" w:type="default"/>
          <w:pgSz w:w="11907" w:h="16840"/>
          <w:pgMar w:top="1440" w:right="1080" w:bottom="1440" w:left="1080" w:header="850" w:footer="992" w:gutter="0"/>
          <w:pgBorders>
            <w:top w:val="none" w:color="auto" w:sz="0" w:space="0"/>
            <w:left w:val="none" w:color="auto" w:sz="0" w:space="0"/>
            <w:bottom w:val="none" w:color="auto" w:sz="0" w:space="0"/>
            <w:right w:val="none" w:color="auto" w:sz="0" w:space="0"/>
          </w:pgBorders>
          <w:cols w:space="720" w:num="1"/>
          <w:docGrid w:linePitch="286" w:charSpace="0"/>
        </w:sectPr>
      </w:pPr>
    </w:p>
    <w:p>
      <w:pPr>
        <w:pStyle w:val="4"/>
        <w:bidi w:val="0"/>
        <w:rPr>
          <w:rFonts w:hint="eastAsia" w:ascii="宋体" w:hAnsi="宋体" w:eastAsia="宋体" w:cs="宋体"/>
          <w:color w:val="auto"/>
          <w:highlight w:val="none"/>
        </w:rPr>
      </w:pPr>
      <w:bookmarkStart w:id="145" w:name="_Toc11745"/>
      <w:bookmarkStart w:id="146" w:name="_Toc24575"/>
      <w:r>
        <w:rPr>
          <w:rFonts w:hint="eastAsia" w:ascii="宋体" w:hAnsi="宋体" w:eastAsia="宋体" w:cs="宋体"/>
          <w:color w:val="auto"/>
          <w:highlight w:val="none"/>
        </w:rPr>
        <w:t>第六章 投标文件格式</w:t>
      </w:r>
      <w:bookmarkEnd w:id="144"/>
      <w:bookmarkEnd w:id="145"/>
      <w:bookmarkEnd w:id="146"/>
    </w:p>
    <w:p>
      <w:pPr>
        <w:pStyle w:val="22"/>
        <w:spacing w:line="360" w:lineRule="auto"/>
        <w:ind w:firstLine="42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（要求提供但未提供格式的文件由投标人自行编制）</w:t>
      </w:r>
    </w:p>
    <w:p>
      <w:pPr>
        <w:pStyle w:val="5"/>
        <w:bidi w:val="0"/>
        <w:rPr>
          <w:rFonts w:hint="eastAsia" w:ascii="宋体" w:hAnsi="宋体" w:eastAsia="宋体" w:cs="宋体"/>
          <w:color w:val="auto"/>
          <w:highlight w:val="none"/>
        </w:rPr>
      </w:pPr>
      <w:bookmarkStart w:id="147" w:name="_Toc21050"/>
      <w:bookmarkStart w:id="148" w:name="_Toc5063"/>
      <w:r>
        <w:rPr>
          <w:rFonts w:hint="eastAsia" w:ascii="宋体" w:hAnsi="宋体" w:eastAsia="宋体" w:cs="宋体"/>
          <w:color w:val="auto"/>
          <w:highlight w:val="none"/>
        </w:rPr>
        <w:t>外层包装</w:t>
      </w:r>
      <w:bookmarkEnd w:id="147"/>
      <w:bookmarkEnd w:id="148"/>
    </w:p>
    <w:p>
      <w:pPr>
        <w:ind w:firstLine="456"/>
        <w:rPr>
          <w:rFonts w:hint="eastAsia" w:ascii="宋体" w:hAnsi="宋体" w:eastAsia="宋体" w:cs="宋体"/>
          <w:color w:val="auto"/>
          <w:spacing w:val="-6"/>
          <w:highlight w:val="none"/>
        </w:rPr>
      </w:pPr>
    </w:p>
    <w:p>
      <w:pPr>
        <w:spacing w:line="600" w:lineRule="auto"/>
        <w:ind w:firstLine="0" w:firstLineChars="0"/>
        <w:jc w:val="center"/>
        <w:rPr>
          <w:rFonts w:hint="eastAsia" w:ascii="宋体" w:hAnsi="宋体" w:eastAsia="宋体" w:cs="宋体"/>
          <w:b/>
          <w:bCs/>
          <w:color w:val="auto"/>
          <w:sz w:val="48"/>
          <w:szCs w:val="48"/>
          <w:highlight w:val="none"/>
        </w:rPr>
      </w:pPr>
      <w:r>
        <w:rPr>
          <w:rFonts w:hint="eastAsia" w:cs="宋体"/>
          <w:b/>
          <w:bCs/>
          <w:color w:val="auto"/>
          <w:sz w:val="48"/>
          <w:szCs w:val="48"/>
          <w:highlight w:val="none"/>
          <w:lang w:eastAsia="zh-CN"/>
        </w:rPr>
        <w:t>浙江海洋大学</w:t>
      </w:r>
    </w:p>
    <w:p>
      <w:pPr>
        <w:spacing w:line="600" w:lineRule="auto"/>
        <w:ind w:firstLine="0" w:firstLineChars="0"/>
        <w:jc w:val="center"/>
        <w:rPr>
          <w:rFonts w:hint="eastAsia" w:ascii="宋体" w:hAnsi="宋体" w:eastAsia="宋体" w:cs="宋体"/>
          <w:b/>
          <w:bCs/>
          <w:color w:val="auto"/>
          <w:sz w:val="48"/>
          <w:szCs w:val="48"/>
          <w:highlight w:val="none"/>
          <w:lang w:eastAsia="zh-CN"/>
        </w:rPr>
      </w:pPr>
      <w:r>
        <w:rPr>
          <w:rFonts w:hint="eastAsia" w:cs="宋体"/>
          <w:b/>
          <w:bCs/>
          <w:color w:val="auto"/>
          <w:sz w:val="48"/>
          <w:szCs w:val="48"/>
          <w:highlight w:val="none"/>
          <w:lang w:eastAsia="zh-CN"/>
        </w:rPr>
        <w:t>海洋食品质量安全溯源与区块链技术科研平台设备采购项目</w:t>
      </w:r>
    </w:p>
    <w:p>
      <w:pPr>
        <w:ind w:firstLine="456"/>
        <w:rPr>
          <w:rFonts w:hint="eastAsia" w:ascii="宋体" w:hAnsi="宋体" w:eastAsia="宋体" w:cs="宋体"/>
          <w:color w:val="auto"/>
          <w:spacing w:val="-6"/>
          <w:highlight w:val="none"/>
        </w:rPr>
      </w:pPr>
    </w:p>
    <w:p>
      <w:pPr>
        <w:ind w:firstLine="458"/>
        <w:jc w:val="center"/>
        <w:rPr>
          <w:rFonts w:hint="eastAsia" w:ascii="宋体" w:hAnsi="宋体" w:eastAsia="宋体" w:cs="宋体"/>
          <w:b/>
          <w:bCs/>
          <w:color w:val="auto"/>
          <w:spacing w:val="-6"/>
          <w:highlight w:val="none"/>
        </w:rPr>
      </w:pPr>
      <w:r>
        <w:rPr>
          <w:rFonts w:hint="eastAsia" w:ascii="宋体" w:hAnsi="宋体" w:eastAsia="宋体" w:cs="宋体"/>
          <w:b/>
          <w:bCs/>
          <w:color w:val="auto"/>
          <w:spacing w:val="-6"/>
          <w:highlight w:val="none"/>
        </w:rPr>
        <w:t>投 标 文 件</w:t>
      </w:r>
    </w:p>
    <w:p>
      <w:pPr>
        <w:ind w:firstLine="0" w:firstLineChars="0"/>
        <w:rPr>
          <w:rFonts w:hint="eastAsia" w:ascii="宋体" w:hAnsi="宋体" w:eastAsia="宋体" w:cs="宋体"/>
          <w:bCs/>
          <w:color w:val="auto"/>
          <w:spacing w:val="-6"/>
          <w:highlight w:val="none"/>
        </w:rPr>
      </w:pPr>
    </w:p>
    <w:p>
      <w:pPr>
        <w:pStyle w:val="13"/>
        <w:rPr>
          <w:rFonts w:hint="eastAsia" w:ascii="宋体" w:hAnsi="宋体" w:eastAsia="宋体" w:cs="宋体"/>
          <w:bCs/>
          <w:color w:val="auto"/>
          <w:spacing w:val="-6"/>
          <w:highlight w:val="none"/>
        </w:rPr>
      </w:pP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采 购 人：</w:t>
      </w: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项目名称：</w:t>
      </w: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项目编号：</w:t>
      </w: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投标人名称（盖章）：</w:t>
      </w: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投标人地址：</w:t>
      </w: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在    年  月  日  时  分之前不得启封</w:t>
      </w:r>
    </w:p>
    <w:p>
      <w:pPr>
        <w:ind w:firstLine="576"/>
        <w:rPr>
          <w:rFonts w:hint="eastAsia" w:ascii="宋体" w:hAnsi="宋体" w:eastAsia="宋体" w:cs="宋体"/>
          <w:bCs/>
          <w:color w:val="auto"/>
          <w:spacing w:val="-6"/>
          <w:sz w:val="30"/>
          <w:szCs w:val="30"/>
          <w:highlight w:val="none"/>
        </w:rPr>
      </w:pP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授权代表姓名：       手机号：</w:t>
      </w:r>
    </w:p>
    <w:p>
      <w:pPr>
        <w:pStyle w:val="13"/>
        <w:rPr>
          <w:rFonts w:hint="eastAsia" w:ascii="宋体" w:hAnsi="宋体" w:eastAsia="宋体" w:cs="宋体"/>
          <w:color w:val="auto"/>
          <w:highlight w:val="none"/>
        </w:rPr>
      </w:pPr>
    </w:p>
    <w:p>
      <w:pPr>
        <w:ind w:firstLine="576"/>
        <w:rPr>
          <w:rFonts w:hint="eastAsia" w:ascii="宋体" w:hAnsi="宋体" w:eastAsia="宋体" w:cs="宋体"/>
          <w:bCs/>
          <w:color w:val="auto"/>
          <w:spacing w:val="-6"/>
          <w:sz w:val="30"/>
          <w:szCs w:val="30"/>
          <w:highlight w:val="none"/>
        </w:rPr>
        <w:sectPr>
          <w:pgSz w:w="11907" w:h="16840"/>
          <w:pgMar w:top="1440" w:right="1080" w:bottom="1440" w:left="1080" w:header="850" w:footer="992" w:gutter="0"/>
          <w:pgBorders>
            <w:top w:val="none" w:color="auto" w:sz="0" w:space="0"/>
            <w:left w:val="none" w:color="auto" w:sz="0" w:space="0"/>
            <w:bottom w:val="none" w:color="auto" w:sz="0" w:space="0"/>
            <w:right w:val="none" w:color="auto" w:sz="0" w:space="0"/>
          </w:pgBorders>
          <w:cols w:space="720" w:num="1"/>
          <w:docGrid w:linePitch="286" w:charSpace="0"/>
        </w:sectPr>
      </w:pPr>
      <w:r>
        <w:rPr>
          <w:rFonts w:hint="eastAsia" w:ascii="宋体" w:hAnsi="宋体" w:eastAsia="宋体" w:cs="宋体"/>
          <w:bCs/>
          <w:color w:val="auto"/>
          <w:spacing w:val="-6"/>
          <w:sz w:val="30"/>
          <w:szCs w:val="30"/>
          <w:highlight w:val="none"/>
        </w:rPr>
        <w:t>日期：    年  月  日</w:t>
      </w:r>
    </w:p>
    <w:p>
      <w:pPr>
        <w:ind w:firstLine="576"/>
        <w:rPr>
          <w:rFonts w:hint="eastAsia" w:ascii="宋体" w:hAnsi="宋体" w:eastAsia="宋体" w:cs="宋体"/>
          <w:color w:val="auto"/>
          <w:szCs w:val="22"/>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2336" behindDoc="1" locked="0" layoutInCell="1" allowOverlap="1">
                <wp:simplePos x="0" y="0"/>
                <wp:positionH relativeFrom="column">
                  <wp:posOffset>4622800</wp:posOffset>
                </wp:positionH>
                <wp:positionV relativeFrom="paragraph">
                  <wp:posOffset>243205</wp:posOffset>
                </wp:positionV>
                <wp:extent cx="1403350" cy="507365"/>
                <wp:effectExtent l="5080" t="4445" r="20320" b="21590"/>
                <wp:wrapNone/>
                <wp:docPr id="1" name="文本框 2"/>
                <wp:cNvGraphicFramePr/>
                <a:graphic xmlns:a="http://schemas.openxmlformats.org/drawingml/2006/main">
                  <a:graphicData uri="http://schemas.microsoft.com/office/word/2010/wordprocessingShape">
                    <wps:wsp>
                      <wps:cNvSpPr txBox="1"/>
                      <wps:spPr>
                        <a:xfrm>
                          <a:off x="0" y="0"/>
                          <a:ext cx="1403350" cy="507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2" o:spid="_x0000_s1026" o:spt="202" type="#_x0000_t202" style="position:absolute;left:0pt;margin-left:364pt;margin-top:19.15pt;height:39.95pt;width:110.5pt;z-index:-251654144;mso-width-relative:page;mso-height-relative:page;" fillcolor="#FFFFFF" filled="t" stroked="t" coordsize="21600,21600" o:gfxdata="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Kba99kAAAAKAQAADwAAAAAAAAABACAAAAAiAAAAZHJzL2Rvd25yZXYueG1sUEsBAhQAFAAA&#10;AAgAh07iQOdLzMbuAQAA6AMAAA4AAAAAAAAAAQAgAAAAKAEAAGRycy9lMm9Eb2MueG1sUEsFBgAA&#10;AAAGAAYAWQEAAIgFA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ascii="宋体" w:hAnsi="宋体" w:eastAsia="宋体" w:cs="宋体"/>
          <w:bCs/>
          <w:color w:val="auto"/>
          <w:spacing w:val="-6"/>
          <w:highlight w:val="none"/>
        </w:rPr>
        <w:t xml:space="preserve"> </w:t>
      </w:r>
    </w:p>
    <w:p>
      <w:pPr>
        <w:pStyle w:val="5"/>
        <w:bidi w:val="0"/>
        <w:rPr>
          <w:rFonts w:hint="eastAsia" w:ascii="宋体" w:hAnsi="宋体" w:eastAsia="宋体" w:cs="宋体"/>
          <w:color w:val="auto"/>
          <w:highlight w:val="none"/>
        </w:rPr>
      </w:pPr>
      <w:bookmarkStart w:id="149" w:name="_Toc1784"/>
      <w:bookmarkStart w:id="150" w:name="_Toc29893"/>
      <w:r>
        <w:rPr>
          <w:rFonts w:hint="eastAsia" w:ascii="宋体" w:hAnsi="宋体" w:eastAsia="宋体" w:cs="宋体"/>
          <w:color w:val="auto"/>
          <w:highlight w:val="none"/>
        </w:rPr>
        <w:t>资格证明文件封面</w:t>
      </w:r>
      <w:bookmarkEnd w:id="149"/>
      <w:bookmarkEnd w:id="150"/>
    </w:p>
    <w:p>
      <w:pPr>
        <w:ind w:firstLine="880"/>
        <w:rPr>
          <w:rFonts w:hint="eastAsia" w:ascii="宋体" w:hAnsi="宋体" w:eastAsia="宋体" w:cs="宋体"/>
          <w:color w:val="auto"/>
          <w:sz w:val="44"/>
          <w:szCs w:val="32"/>
          <w:highlight w:val="none"/>
        </w:rPr>
      </w:pPr>
    </w:p>
    <w:p>
      <w:pPr>
        <w:spacing w:line="600" w:lineRule="auto"/>
        <w:ind w:firstLine="0" w:firstLineChars="0"/>
        <w:jc w:val="center"/>
        <w:rPr>
          <w:rFonts w:hint="eastAsia" w:ascii="宋体" w:hAnsi="宋体" w:eastAsia="宋体" w:cs="宋体"/>
          <w:b/>
          <w:bCs/>
          <w:color w:val="auto"/>
          <w:sz w:val="48"/>
          <w:szCs w:val="48"/>
          <w:highlight w:val="none"/>
        </w:rPr>
      </w:pPr>
      <w:r>
        <w:rPr>
          <w:rFonts w:hint="eastAsia" w:cs="宋体"/>
          <w:b/>
          <w:bCs/>
          <w:color w:val="auto"/>
          <w:sz w:val="48"/>
          <w:szCs w:val="48"/>
          <w:highlight w:val="none"/>
          <w:lang w:eastAsia="zh-CN"/>
        </w:rPr>
        <w:t>浙江海洋大学</w:t>
      </w:r>
    </w:p>
    <w:p>
      <w:pPr>
        <w:spacing w:line="600" w:lineRule="auto"/>
        <w:ind w:firstLine="0" w:firstLineChars="0"/>
        <w:jc w:val="center"/>
        <w:rPr>
          <w:rFonts w:hint="eastAsia" w:ascii="宋体" w:hAnsi="宋体" w:eastAsia="宋体" w:cs="宋体"/>
          <w:b/>
          <w:bCs/>
          <w:color w:val="auto"/>
          <w:sz w:val="48"/>
          <w:szCs w:val="48"/>
          <w:highlight w:val="none"/>
          <w:lang w:eastAsia="zh-CN"/>
        </w:rPr>
      </w:pPr>
      <w:r>
        <w:rPr>
          <w:rFonts w:hint="eastAsia" w:cs="宋体"/>
          <w:b/>
          <w:bCs/>
          <w:color w:val="auto"/>
          <w:sz w:val="48"/>
          <w:szCs w:val="48"/>
          <w:highlight w:val="none"/>
          <w:lang w:eastAsia="zh-CN"/>
        </w:rPr>
        <w:t>海洋食品质量安全溯源与区块链技术科研平台设备采购项目</w:t>
      </w:r>
    </w:p>
    <w:p>
      <w:pPr>
        <w:ind w:left="0" w:leftChars="0" w:right="0" w:rightChars="0" w:firstLine="0" w:firstLineChars="0"/>
        <w:jc w:val="center"/>
        <w:rPr>
          <w:rFonts w:hint="eastAsia" w:ascii="宋体" w:hAnsi="宋体" w:eastAsia="宋体" w:cs="宋体"/>
          <w:b/>
          <w:bCs/>
          <w:color w:val="auto"/>
          <w:sz w:val="30"/>
          <w:szCs w:val="30"/>
          <w:highlight w:val="none"/>
        </w:rPr>
      </w:pPr>
    </w:p>
    <w:p>
      <w:pPr>
        <w:ind w:left="0" w:leftChars="0" w:right="0" w:rightChars="0" w:firstLine="0" w:firstLineChars="0"/>
        <w:jc w:val="center"/>
        <w:rPr>
          <w:rFonts w:hint="eastAsia" w:ascii="宋体" w:hAnsi="宋体" w:eastAsia="宋体" w:cs="宋体"/>
          <w:color w:val="auto"/>
          <w:sz w:val="30"/>
          <w:szCs w:val="30"/>
          <w:highlight w:val="none"/>
        </w:rPr>
      </w:pPr>
      <w:r>
        <w:rPr>
          <w:rFonts w:hint="eastAsia" w:ascii="宋体" w:hAnsi="宋体" w:eastAsia="宋体" w:cs="宋体"/>
          <w:b/>
          <w:bCs/>
          <w:color w:val="auto"/>
          <w:sz w:val="30"/>
          <w:szCs w:val="30"/>
          <w:highlight w:val="none"/>
        </w:rPr>
        <w:t>资格证明文件</w:t>
      </w:r>
    </w:p>
    <w:p>
      <w:pPr>
        <w:ind w:firstLine="600"/>
        <w:rPr>
          <w:rFonts w:hint="eastAsia" w:ascii="宋体" w:hAnsi="宋体" w:eastAsia="宋体" w:cs="宋体"/>
          <w:color w:val="auto"/>
          <w:sz w:val="30"/>
          <w:szCs w:val="30"/>
          <w:highlight w:val="none"/>
        </w:rPr>
      </w:pP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 购 人：</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投标人名称（盖章）：</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投标人地址：</w:t>
      </w:r>
    </w:p>
    <w:p>
      <w:pPr>
        <w:ind w:firstLine="600"/>
        <w:rPr>
          <w:rFonts w:hint="eastAsia" w:ascii="宋体" w:hAnsi="宋体" w:eastAsia="宋体" w:cs="宋体"/>
          <w:color w:val="auto"/>
          <w:sz w:val="30"/>
          <w:szCs w:val="30"/>
          <w:highlight w:val="none"/>
        </w:rPr>
      </w:pPr>
    </w:p>
    <w:p>
      <w:pPr>
        <w:ind w:firstLine="600"/>
        <w:rPr>
          <w:rFonts w:hint="eastAsia" w:ascii="宋体" w:hAnsi="宋体" w:eastAsia="宋体" w:cs="宋体"/>
          <w:color w:val="auto"/>
          <w:sz w:val="30"/>
          <w:szCs w:val="30"/>
          <w:highlight w:val="none"/>
        </w:rPr>
      </w:pP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授权代表签字或盖章：</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日期：    年  月  日</w:t>
      </w:r>
    </w:p>
    <w:p>
      <w:pPr>
        <w:ind w:firstLine="576"/>
        <w:rPr>
          <w:rFonts w:hint="eastAsia" w:ascii="宋体" w:hAnsi="宋体" w:eastAsia="宋体" w:cs="宋体"/>
          <w:bCs/>
          <w:color w:val="auto"/>
          <w:spacing w:val="-6"/>
          <w:sz w:val="30"/>
          <w:szCs w:val="30"/>
          <w:highlight w:val="none"/>
        </w:rPr>
        <w:sectPr>
          <w:pgSz w:w="11907" w:h="16840"/>
          <w:pgMar w:top="1440" w:right="1080" w:bottom="1440" w:left="1080" w:header="850" w:footer="992" w:gutter="0"/>
          <w:pgBorders>
            <w:top w:val="none" w:color="auto" w:sz="0" w:space="0"/>
            <w:left w:val="none" w:color="auto" w:sz="0" w:space="0"/>
            <w:bottom w:val="none" w:color="auto" w:sz="0" w:space="0"/>
            <w:right w:val="none" w:color="auto" w:sz="0" w:space="0"/>
          </w:pgBorders>
          <w:cols w:space="720" w:num="1"/>
          <w:docGrid w:linePitch="286" w:charSpace="0"/>
        </w:sectPr>
      </w:pPr>
      <w:r>
        <w:rPr>
          <w:rFonts w:hint="eastAsia" w:ascii="宋体" w:hAnsi="宋体" w:eastAsia="宋体" w:cs="宋体"/>
          <w:bCs/>
          <w:color w:val="auto"/>
          <w:spacing w:val="-6"/>
          <w:sz w:val="30"/>
          <w:szCs w:val="30"/>
          <w:highlight w:val="none"/>
        </w:rPr>
        <w:t>授权代表姓名：       手机号：</w:t>
      </w:r>
    </w:p>
    <w:p>
      <w:pPr>
        <w:pStyle w:val="5"/>
        <w:bidi w:val="0"/>
        <w:ind w:left="0" w:leftChars="0" w:right="0" w:rightChars="0" w:firstLine="0" w:firstLineChars="0"/>
        <w:jc w:val="center"/>
        <w:rPr>
          <w:rFonts w:hint="eastAsia" w:ascii="宋体" w:hAnsi="宋体" w:eastAsia="宋体" w:cs="宋体"/>
          <w:color w:val="auto"/>
          <w:highlight w:val="none"/>
        </w:rPr>
      </w:pPr>
      <w:bookmarkStart w:id="151" w:name="_Toc5498"/>
      <w:r>
        <w:rPr>
          <w:rFonts w:hint="eastAsia" w:ascii="宋体" w:hAnsi="宋体" w:eastAsia="宋体" w:cs="宋体"/>
          <w:color w:val="auto"/>
          <w:highlight w:val="none"/>
        </w:rPr>
        <w:t>资格证明文件目录</w:t>
      </w:r>
      <w:bookmarkEnd w:id="151"/>
    </w:p>
    <w:p>
      <w:pPr>
        <w:bidi w:val="0"/>
        <w:rPr>
          <w:rFonts w:hint="eastAsia" w:ascii="宋体" w:hAnsi="宋体" w:eastAsia="宋体" w:cs="宋体"/>
          <w:color w:val="auto"/>
          <w:highlight w:val="none"/>
        </w:rPr>
      </w:pPr>
    </w:p>
    <w:p>
      <w:pPr>
        <w:keepNext w:val="0"/>
        <w:keepLines w:val="0"/>
        <w:pageBreakBefore w:val="0"/>
        <w:widowControl w:val="0"/>
        <w:numPr>
          <w:ilvl w:val="0"/>
          <w:numId w:val="37"/>
        </w:numPr>
        <w:kinsoku/>
        <w:wordWrap/>
        <w:overflowPunct/>
        <w:topLinePunct w:val="0"/>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有效的经营执照复印件；事业单位的，则提供有效的《事业单位法人证书》副本复印件章；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………………………………………………………………………………………（页码）</w:t>
      </w:r>
    </w:p>
    <w:p>
      <w:pPr>
        <w:keepNext w:val="0"/>
        <w:keepLines w:val="0"/>
        <w:pageBreakBefore w:val="0"/>
        <w:widowControl w:val="0"/>
        <w:numPr>
          <w:ilvl w:val="0"/>
          <w:numId w:val="37"/>
        </w:numPr>
        <w:kinsoku/>
        <w:wordWrap/>
        <w:overflowPunct/>
        <w:topLinePunct w:val="0"/>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上年度财务报告</w:t>
      </w:r>
      <w:r>
        <w:rPr>
          <w:rFonts w:hint="eastAsia" w:ascii="宋体" w:hAnsi="宋体" w:eastAsia="宋体" w:cs="宋体"/>
          <w:color w:val="auto"/>
          <w:highlight w:val="none"/>
        </w:rPr>
        <w:t>……………………………………………………………………（页码）</w:t>
      </w:r>
    </w:p>
    <w:p>
      <w:pPr>
        <w:keepNext w:val="0"/>
        <w:keepLines w:val="0"/>
        <w:pageBreakBefore w:val="0"/>
        <w:widowControl w:val="0"/>
        <w:numPr>
          <w:ilvl w:val="0"/>
          <w:numId w:val="37"/>
        </w:numPr>
        <w:kinsoku/>
        <w:wordWrap/>
        <w:overflowPunct/>
        <w:topLinePunct w:val="0"/>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近一年任意一个月依法缴纳税收证明</w:t>
      </w:r>
      <w:r>
        <w:rPr>
          <w:rFonts w:hint="eastAsia" w:ascii="宋体" w:hAnsi="宋体" w:eastAsia="宋体" w:cs="宋体"/>
          <w:color w:val="auto"/>
          <w:highlight w:val="none"/>
        </w:rPr>
        <w:t>……………………………………………（页码）</w:t>
      </w:r>
    </w:p>
    <w:p>
      <w:pPr>
        <w:keepNext w:val="0"/>
        <w:keepLines w:val="0"/>
        <w:pageBreakBefore w:val="0"/>
        <w:widowControl w:val="0"/>
        <w:numPr>
          <w:ilvl w:val="0"/>
          <w:numId w:val="37"/>
        </w:numPr>
        <w:kinsoku/>
        <w:wordWrap/>
        <w:overflowPunct/>
        <w:topLinePunct w:val="0"/>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近一年任意一个月依法缴纳社会保障资金证明</w:t>
      </w:r>
      <w:r>
        <w:rPr>
          <w:rFonts w:hint="eastAsia" w:ascii="宋体" w:hAnsi="宋体" w:eastAsia="宋体" w:cs="宋体"/>
          <w:color w:val="auto"/>
          <w:highlight w:val="none"/>
        </w:rPr>
        <w:t>…………………………………（页码）</w:t>
      </w:r>
    </w:p>
    <w:p>
      <w:pPr>
        <w:keepNext w:val="0"/>
        <w:keepLines w:val="0"/>
        <w:pageBreakBefore w:val="0"/>
        <w:widowControl w:val="0"/>
        <w:numPr>
          <w:ilvl w:val="0"/>
          <w:numId w:val="37"/>
        </w:numPr>
        <w:kinsoku/>
        <w:wordWrap/>
        <w:overflowPunct/>
        <w:topLinePunct w:val="0"/>
        <w:autoSpaceDE/>
        <w:autoSpaceDN/>
        <w:bidi w:val="0"/>
        <w:adjustRightInd w:val="0"/>
        <w:snapToGrid w:val="0"/>
        <w:ind w:left="0" w:leftChars="0"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具有履行合同所必需的设备和专业技术能力的承诺函</w:t>
      </w:r>
      <w:r>
        <w:rPr>
          <w:rFonts w:hint="eastAsia" w:ascii="宋体" w:hAnsi="宋体" w:eastAsia="宋体" w:cs="宋体"/>
          <w:color w:val="auto"/>
          <w:highlight w:val="none"/>
        </w:rPr>
        <w:t>…………………………（页码）</w:t>
      </w:r>
    </w:p>
    <w:p>
      <w:pPr>
        <w:keepNext w:val="0"/>
        <w:keepLines w:val="0"/>
        <w:pageBreakBefore w:val="0"/>
        <w:widowControl w:val="0"/>
        <w:numPr>
          <w:ilvl w:val="0"/>
          <w:numId w:val="37"/>
        </w:numPr>
        <w:kinsoku/>
        <w:wordWrap/>
        <w:overflowPunct/>
        <w:topLinePunct w:val="0"/>
        <w:autoSpaceDE/>
        <w:autoSpaceDN/>
        <w:bidi w:val="0"/>
        <w:adjustRightInd w:val="0"/>
        <w:snapToGrid w:val="0"/>
        <w:ind w:left="0" w:leftChars="0"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参加政府采购活动</w:t>
      </w:r>
      <w:r>
        <w:rPr>
          <w:rFonts w:hint="eastAsia" w:ascii="宋体" w:hAnsi="宋体" w:eastAsia="宋体" w:cs="宋体"/>
          <w:color w:val="auto"/>
          <w:highlight w:val="none"/>
        </w:rPr>
        <w:t>前3年内在经营活动中没有重大违法记录的书面声明……（页码）</w:t>
      </w:r>
    </w:p>
    <w:p>
      <w:pPr>
        <w:keepNext w:val="0"/>
        <w:keepLines w:val="0"/>
        <w:pageBreakBefore w:val="0"/>
        <w:widowControl w:val="0"/>
        <w:numPr>
          <w:ilvl w:val="0"/>
          <w:numId w:val="37"/>
        </w:numPr>
        <w:kinsoku/>
        <w:wordWrap/>
        <w:overflowPunct/>
        <w:topLinePunct w:val="0"/>
        <w:autoSpaceDE/>
        <w:autoSpaceDN/>
        <w:bidi w:val="0"/>
        <w:adjustRightInd w:val="0"/>
        <w:snapToGrid w:val="0"/>
        <w:ind w:left="0" w:leftChars="0"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信用记录查询网站截图</w:t>
      </w:r>
      <w:r>
        <w:rPr>
          <w:rFonts w:hint="eastAsia" w:ascii="宋体" w:hAnsi="宋体" w:eastAsia="宋体" w:cs="宋体"/>
          <w:color w:val="auto"/>
          <w:highlight w:val="none"/>
        </w:rPr>
        <w:t>……………………………………………………………（页码）</w:t>
      </w: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rPr>
      </w:pPr>
    </w:p>
    <w:p>
      <w:pPr>
        <w:pStyle w:val="12"/>
        <w:outlineLvl w:val="2"/>
        <w:rPr>
          <w:rFonts w:hint="eastAsia" w:ascii="宋体" w:hAnsi="宋体" w:eastAsia="宋体" w:cs="宋体"/>
          <w:color w:val="auto"/>
          <w:highlight w:val="none"/>
        </w:rPr>
        <w:sectPr>
          <w:pgSz w:w="11907" w:h="16840"/>
          <w:pgMar w:top="1440" w:right="1080" w:bottom="1440" w:left="1080" w:header="850" w:footer="992" w:gutter="0"/>
          <w:pgBorders>
            <w:top w:val="none" w:color="auto" w:sz="0" w:space="0"/>
            <w:left w:val="none" w:color="auto" w:sz="0" w:space="0"/>
            <w:bottom w:val="none" w:color="auto" w:sz="0" w:space="0"/>
            <w:right w:val="none" w:color="auto" w:sz="0" w:space="0"/>
          </w:pgBorders>
          <w:cols w:space="720" w:num="1"/>
          <w:docGrid w:linePitch="286" w:charSpace="0"/>
        </w:sectPr>
      </w:pPr>
      <w:bookmarkStart w:id="152" w:name="_Toc25810"/>
    </w:p>
    <w:p>
      <w:pPr>
        <w:pStyle w:val="6"/>
        <w:numPr>
          <w:ilvl w:val="0"/>
          <w:numId w:val="38"/>
        </w:numPr>
        <w:bidi w:val="0"/>
        <w:ind w:left="0" w:leftChars="0" w:firstLine="482" w:firstLineChars="200"/>
        <w:rPr>
          <w:rFonts w:hint="eastAsia" w:ascii="宋体" w:hAnsi="宋体" w:eastAsia="宋体" w:cs="宋体"/>
          <w:color w:val="auto"/>
          <w:highlight w:val="none"/>
        </w:rPr>
      </w:pPr>
      <w:r>
        <w:rPr>
          <w:rFonts w:hint="eastAsia" w:ascii="宋体" w:hAnsi="宋体" w:eastAsia="宋体" w:cs="宋体"/>
          <w:color w:val="auto"/>
          <w:highlight w:val="none"/>
        </w:rPr>
        <w:t>提供有效的经营执照复印件；事业单位的，则提供有效的《事业单位法人证书》副本复印件章；自然人的，则提供有效的身份证复印件并签字；</w:t>
      </w:r>
      <w:bookmarkEnd w:id="152"/>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pStyle w:val="6"/>
        <w:numPr>
          <w:ilvl w:val="0"/>
          <w:numId w:val="38"/>
        </w:numPr>
        <w:bidi w:val="0"/>
        <w:ind w:left="0" w:leftChars="0" w:firstLine="482" w:firstLineChars="200"/>
        <w:rPr>
          <w:rFonts w:hint="eastAsia" w:ascii="宋体" w:hAnsi="宋体" w:eastAsia="宋体" w:cs="宋体"/>
          <w:color w:val="auto"/>
          <w:highlight w:val="none"/>
          <w:lang w:val="en-US" w:eastAsia="zh-CN"/>
        </w:rPr>
      </w:pPr>
      <w:bookmarkStart w:id="153" w:name="_Toc29370"/>
      <w:r>
        <w:rPr>
          <w:rFonts w:hint="eastAsia" w:ascii="宋体" w:hAnsi="宋体" w:eastAsia="宋体" w:cs="宋体"/>
          <w:color w:val="auto"/>
          <w:highlight w:val="none"/>
          <w:lang w:val="en-US" w:eastAsia="zh-CN"/>
        </w:rPr>
        <w:t>提供上年度财务报告</w:t>
      </w:r>
      <w:bookmarkEnd w:id="153"/>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pStyle w:val="6"/>
        <w:numPr>
          <w:ilvl w:val="0"/>
          <w:numId w:val="38"/>
        </w:numPr>
        <w:bidi w:val="0"/>
        <w:ind w:left="0" w:leftChars="0" w:firstLine="482" w:firstLineChars="200"/>
        <w:rPr>
          <w:rFonts w:hint="eastAsia" w:ascii="宋体" w:hAnsi="宋体" w:eastAsia="宋体" w:cs="宋体"/>
          <w:color w:val="auto"/>
          <w:highlight w:val="none"/>
          <w:lang w:val="en-US" w:eastAsia="zh-CN"/>
        </w:rPr>
      </w:pPr>
      <w:bookmarkStart w:id="154" w:name="_Toc16270"/>
      <w:r>
        <w:rPr>
          <w:rFonts w:hint="eastAsia" w:ascii="宋体" w:hAnsi="宋体" w:eastAsia="宋体" w:cs="宋体"/>
          <w:color w:val="auto"/>
          <w:highlight w:val="none"/>
          <w:lang w:val="en-US" w:eastAsia="zh-CN"/>
        </w:rPr>
        <w:t>提供近一年任意一个月依法缴纳税收证明（完税凭证或税务部门出具的证明）；</w:t>
      </w:r>
      <w:bookmarkEnd w:id="154"/>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依法免税的投标人，应提供相应文件证明其依法免税；</w:t>
      </w:r>
    </w:p>
    <w:p>
      <w:pPr>
        <w:numPr>
          <w:ilvl w:val="0"/>
          <w:numId w:val="0"/>
        </w:numPr>
        <w:tabs>
          <w:tab w:val="clear" w:pos="360"/>
          <w:tab w:val="clear" w:pos="420"/>
        </w:tabs>
        <w:ind w:left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投标人因新注册成立等原因无法提供相关材料的，应在投标文件中提交如实的情况说明。</w:t>
      </w:r>
    </w:p>
    <w:p>
      <w:pPr>
        <w:bidi w:val="0"/>
        <w:rPr>
          <w:rFonts w:hint="eastAsia" w:ascii="宋体" w:hAnsi="宋体" w:eastAsia="宋体" w:cs="宋体"/>
          <w:color w:val="auto"/>
          <w:highlight w:val="none"/>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pStyle w:val="6"/>
        <w:numPr>
          <w:ilvl w:val="0"/>
          <w:numId w:val="38"/>
        </w:numPr>
        <w:bidi w:val="0"/>
        <w:ind w:left="0" w:leftChars="0" w:firstLine="482" w:firstLineChars="200"/>
        <w:rPr>
          <w:rFonts w:hint="eastAsia" w:ascii="宋体" w:hAnsi="宋体" w:eastAsia="宋体" w:cs="宋体"/>
          <w:color w:val="auto"/>
          <w:highlight w:val="none"/>
        </w:rPr>
      </w:pPr>
      <w:bookmarkStart w:id="155" w:name="_Toc28317"/>
      <w:r>
        <w:rPr>
          <w:rFonts w:hint="eastAsia" w:ascii="宋体" w:hAnsi="宋体" w:eastAsia="宋体" w:cs="宋体"/>
          <w:color w:val="auto"/>
          <w:highlight w:val="none"/>
        </w:rPr>
        <w:t>提供</w:t>
      </w:r>
      <w:r>
        <w:rPr>
          <w:rFonts w:hint="eastAsia" w:ascii="宋体" w:hAnsi="宋体" w:eastAsia="宋体" w:cs="宋体"/>
          <w:color w:val="auto"/>
          <w:highlight w:val="none"/>
          <w:lang w:val="en-US" w:eastAsia="zh-CN"/>
        </w:rPr>
        <w:t>近一年任意一个月</w:t>
      </w:r>
      <w:r>
        <w:rPr>
          <w:rFonts w:hint="eastAsia" w:ascii="宋体" w:hAnsi="宋体" w:eastAsia="宋体" w:cs="宋体"/>
          <w:color w:val="auto"/>
          <w:highlight w:val="none"/>
        </w:rPr>
        <w:t>依法缴纳社会保障资金证明（缴纳凭证或人社部门出具的证明）；</w:t>
      </w:r>
      <w:bookmarkEnd w:id="155"/>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依法不需要缴纳社会保障资金的投标人，应提供相应文件证明其依法不需要缴纳社会保障资金</w:t>
      </w:r>
      <w:r>
        <w:rPr>
          <w:rFonts w:hint="eastAsia" w:ascii="宋体" w:hAnsi="宋体" w:eastAsia="宋体" w:cs="宋体"/>
          <w:color w:val="auto"/>
          <w:highlight w:val="none"/>
          <w:lang w:eastAsia="zh-CN"/>
        </w:rPr>
        <w:t>。</w:t>
      </w:r>
    </w:p>
    <w:p>
      <w:pPr>
        <w:numPr>
          <w:ilvl w:val="0"/>
          <w:numId w:val="0"/>
        </w:numPr>
        <w:tabs>
          <w:tab w:val="clear" w:pos="360"/>
          <w:tab w:val="clear" w:pos="420"/>
        </w:tabs>
        <w:ind w:left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投标人因新注册成立等原因无法提供相关材料的，应在投标文件中提交如实的情况说明。</w:t>
      </w:r>
    </w:p>
    <w:p>
      <w:pPr>
        <w:widowControl w:val="0"/>
        <w:numPr>
          <w:ilvl w:val="0"/>
          <w:numId w:val="0"/>
        </w:numPr>
        <w:tabs>
          <w:tab w:val="clear" w:pos="360"/>
          <w:tab w:val="clear" w:pos="420"/>
        </w:tabs>
        <w:spacing w:line="360" w:lineRule="auto"/>
        <w:jc w:val="both"/>
        <w:rPr>
          <w:rFonts w:hint="eastAsia" w:ascii="宋体" w:hAnsi="宋体" w:eastAsia="宋体" w:cs="宋体"/>
          <w:color w:val="auto"/>
          <w:highlight w:val="none"/>
        </w:rPr>
        <w:sectPr>
          <w:pgSz w:w="11907" w:h="16840"/>
          <w:pgMar w:top="1440" w:right="1080" w:bottom="1440" w:left="1080" w:header="850" w:footer="992" w:gutter="0"/>
          <w:pgBorders>
            <w:top w:val="none" w:color="auto" w:sz="0" w:space="0"/>
            <w:left w:val="none" w:color="auto" w:sz="0" w:space="0"/>
            <w:bottom w:val="none" w:color="auto" w:sz="0" w:space="0"/>
            <w:right w:val="none" w:color="auto" w:sz="0" w:space="0"/>
          </w:pgBorders>
          <w:cols w:space="720" w:num="1"/>
          <w:docGrid w:linePitch="286" w:charSpace="0"/>
        </w:sectPr>
      </w:pPr>
    </w:p>
    <w:p>
      <w:pPr>
        <w:pStyle w:val="6"/>
        <w:numPr>
          <w:ilvl w:val="0"/>
          <w:numId w:val="38"/>
        </w:numPr>
        <w:bidi w:val="0"/>
        <w:ind w:left="0" w:leftChars="0" w:firstLine="482" w:firstLineChars="200"/>
        <w:rPr>
          <w:rFonts w:hint="eastAsia" w:ascii="宋体" w:hAnsi="宋体" w:eastAsia="宋体" w:cs="宋体"/>
          <w:color w:val="auto"/>
          <w:highlight w:val="none"/>
        </w:rPr>
      </w:pPr>
      <w:bookmarkStart w:id="156" w:name="_Toc30017"/>
      <w:r>
        <w:rPr>
          <w:rFonts w:hint="eastAsia" w:ascii="宋体" w:hAnsi="宋体" w:eastAsia="宋体" w:cs="宋体"/>
          <w:color w:val="auto"/>
          <w:highlight w:val="none"/>
        </w:rPr>
        <w:t>具有履行合同所必需的设备和专业技术能力的承诺函</w:t>
      </w:r>
      <w:bookmarkEnd w:id="156"/>
    </w:p>
    <w:p>
      <w:pPr>
        <w:bidi w:val="0"/>
        <w:rPr>
          <w:rFonts w:hint="eastAsia" w:ascii="宋体" w:hAnsi="宋体" w:eastAsia="宋体" w:cs="宋体"/>
          <w:color w:val="auto"/>
          <w:highlight w:val="none"/>
        </w:rPr>
      </w:pPr>
    </w:p>
    <w:p>
      <w:pPr>
        <w:snapToGrid w:val="0"/>
        <w:ind w:firstLine="0" w:firstLineChars="0"/>
        <w:rPr>
          <w:rFonts w:hint="eastAsia" w:ascii="宋体" w:hAnsi="宋体" w:eastAsia="宋体" w:cs="宋体"/>
          <w:color w:val="auto"/>
          <w:highlight w:val="none"/>
        </w:rPr>
      </w:pPr>
      <w:r>
        <w:rPr>
          <w:rFonts w:hint="eastAsia" w:cs="宋体"/>
          <w:color w:val="auto"/>
          <w:highlight w:val="none"/>
          <w:lang w:val="en-US" w:eastAsia="zh-CN"/>
        </w:rPr>
        <w:t>浙江海洋大学</w:t>
      </w:r>
      <w:r>
        <w:rPr>
          <w:rFonts w:hint="eastAsia" w:ascii="宋体" w:hAnsi="宋体" w:eastAsia="宋体" w:cs="宋体"/>
          <w:color w:val="auto"/>
          <w:highlight w:val="none"/>
        </w:rPr>
        <w:t>、浙江五石工程咨询有限公司：</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我方郑重承诺，我方具有履行</w:t>
      </w:r>
      <w:r>
        <w:rPr>
          <w:rFonts w:hint="eastAsia" w:ascii="宋体" w:hAnsi="宋体" w:eastAsia="宋体" w:cs="宋体"/>
          <w:color w:val="auto"/>
          <w:highlight w:val="none"/>
          <w:u w:val="single"/>
        </w:rPr>
        <w:t>（项目名称：           ）（项目编号：            ）</w:t>
      </w:r>
      <w:r>
        <w:rPr>
          <w:rFonts w:hint="eastAsia" w:ascii="宋体" w:hAnsi="宋体" w:eastAsia="宋体" w:cs="宋体"/>
          <w:color w:val="auto"/>
          <w:highlight w:val="none"/>
        </w:rPr>
        <w:t>合同所必需的设备和专业技术能力。如中标，我方将保证合同顺利履行。</w:t>
      </w:r>
    </w:p>
    <w:p>
      <w:pPr>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 </w:t>
      </w:r>
    </w:p>
    <w:p>
      <w:pPr>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lang w:val="zh-CN"/>
        </w:rPr>
        <w:t>投标人名称(公章)：</w:t>
      </w:r>
    </w:p>
    <w:p>
      <w:pPr>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lang w:val="zh-CN"/>
        </w:rPr>
        <w:t>法定代表人或其授权代表(签字或盖章)：</w:t>
      </w:r>
    </w:p>
    <w:p>
      <w:pPr>
        <w:snapToGrid w:val="0"/>
        <w:ind w:firstLine="480"/>
        <w:rPr>
          <w:rFonts w:hint="eastAsia" w:ascii="宋体" w:hAnsi="宋体" w:eastAsia="宋体" w:cs="宋体"/>
          <w:b/>
          <w:color w:val="auto"/>
          <w:kern w:val="0"/>
          <w:sz w:val="32"/>
          <w:szCs w:val="32"/>
          <w:highlight w:val="none"/>
        </w:rPr>
      </w:pPr>
      <w:r>
        <w:rPr>
          <w:rFonts w:hint="eastAsia" w:ascii="宋体" w:hAnsi="宋体" w:eastAsia="宋体" w:cs="宋体"/>
          <w:color w:val="auto"/>
          <w:highlight w:val="none"/>
          <w:lang w:val="zh-CN"/>
        </w:rPr>
        <w:t>日期</w:t>
      </w:r>
      <w:r>
        <w:rPr>
          <w:rFonts w:hint="eastAsia" w:ascii="宋体" w:hAnsi="宋体" w:eastAsia="宋体" w:cs="宋体"/>
          <w:color w:val="auto"/>
          <w:highlight w:val="none"/>
        </w:rPr>
        <w:t xml:space="preserve">：  年  </w:t>
      </w:r>
      <w:r>
        <w:rPr>
          <w:rFonts w:hint="eastAsia" w:ascii="宋体" w:hAnsi="宋体" w:eastAsia="宋体" w:cs="宋体"/>
          <w:color w:val="auto"/>
          <w:highlight w:val="none"/>
          <w:lang w:val="zh-CN"/>
        </w:rPr>
        <w:t>月</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日</w:t>
      </w:r>
    </w:p>
    <w:p>
      <w:pPr>
        <w:rPr>
          <w:rFonts w:hint="eastAsia" w:ascii="宋体" w:hAnsi="宋体" w:eastAsia="宋体" w:cs="宋体"/>
          <w:color w:val="auto"/>
          <w:highlight w:val="none"/>
          <w:lang w:val="en-US" w:eastAsia="zh-CN"/>
        </w:rPr>
      </w:pPr>
    </w:p>
    <w:p>
      <w:pPr>
        <w:rPr>
          <w:rFonts w:hint="eastAsia" w:ascii="宋体" w:hAnsi="宋体" w:eastAsia="宋体" w:cs="宋体"/>
          <w:color w:val="auto"/>
          <w:highlight w:val="none"/>
          <w:lang w:val="en-US" w:eastAsia="zh-CN"/>
        </w:rPr>
        <w:sectPr>
          <w:pgSz w:w="11907" w:h="16840"/>
          <w:pgMar w:top="1440" w:right="1080" w:bottom="1440" w:left="1080" w:header="850" w:footer="992" w:gutter="0"/>
          <w:pgBorders>
            <w:top w:val="none" w:color="auto" w:sz="0" w:space="0"/>
            <w:left w:val="none" w:color="auto" w:sz="0" w:space="0"/>
            <w:bottom w:val="none" w:color="auto" w:sz="0" w:space="0"/>
            <w:right w:val="none" w:color="auto" w:sz="0" w:space="0"/>
          </w:pgBorders>
          <w:cols w:space="720" w:num="1"/>
          <w:docGrid w:linePitch="286" w:charSpace="0"/>
        </w:sectPr>
      </w:pPr>
    </w:p>
    <w:p>
      <w:pPr>
        <w:pStyle w:val="6"/>
        <w:numPr>
          <w:ilvl w:val="0"/>
          <w:numId w:val="38"/>
        </w:numPr>
        <w:bidi w:val="0"/>
        <w:ind w:left="0" w:leftChars="0" w:firstLine="482" w:firstLineChars="200"/>
        <w:rPr>
          <w:rFonts w:hint="eastAsia" w:ascii="宋体" w:hAnsi="宋体" w:eastAsia="宋体" w:cs="宋体"/>
          <w:color w:val="auto"/>
          <w:highlight w:val="none"/>
        </w:rPr>
      </w:pPr>
      <w:bookmarkStart w:id="157" w:name="_Toc26770"/>
      <w:r>
        <w:rPr>
          <w:rFonts w:hint="eastAsia" w:ascii="宋体" w:hAnsi="宋体" w:eastAsia="宋体" w:cs="宋体"/>
          <w:color w:val="auto"/>
          <w:highlight w:val="none"/>
          <w:lang w:val="en-US" w:eastAsia="zh-CN"/>
        </w:rPr>
        <w:t>参加政府采购活动</w:t>
      </w:r>
      <w:r>
        <w:rPr>
          <w:rFonts w:hint="eastAsia" w:ascii="宋体" w:hAnsi="宋体" w:eastAsia="宋体" w:cs="宋体"/>
          <w:color w:val="auto"/>
          <w:highlight w:val="none"/>
        </w:rPr>
        <w:t>前3年内在经营活动中没有重大违法记录的书面声明；</w:t>
      </w:r>
      <w:bookmarkEnd w:id="157"/>
    </w:p>
    <w:p>
      <w:pPr>
        <w:snapToGrid w:val="0"/>
        <w:ind w:firstLine="0" w:firstLineChars="0"/>
        <w:rPr>
          <w:rFonts w:hint="eastAsia" w:ascii="宋体" w:hAnsi="宋体" w:eastAsia="宋体" w:cs="宋体"/>
          <w:color w:val="auto"/>
          <w:highlight w:val="none"/>
          <w:lang w:val="en-US" w:eastAsia="zh-CN"/>
        </w:rPr>
      </w:pPr>
    </w:p>
    <w:p>
      <w:pPr>
        <w:snapToGrid w:val="0"/>
        <w:ind w:firstLine="0" w:firstLineChars="0"/>
        <w:rPr>
          <w:rFonts w:hint="eastAsia" w:ascii="宋体" w:hAnsi="宋体" w:eastAsia="宋体" w:cs="宋体"/>
          <w:color w:val="auto"/>
          <w:highlight w:val="none"/>
        </w:rPr>
      </w:pPr>
      <w:r>
        <w:rPr>
          <w:rFonts w:hint="eastAsia" w:cs="宋体"/>
          <w:color w:val="auto"/>
          <w:highlight w:val="none"/>
          <w:lang w:val="en-US" w:eastAsia="zh-CN"/>
        </w:rPr>
        <w:t>浙江海洋大学</w:t>
      </w:r>
      <w:r>
        <w:rPr>
          <w:rFonts w:hint="eastAsia" w:ascii="宋体" w:hAnsi="宋体" w:eastAsia="宋体" w:cs="宋体"/>
          <w:color w:val="auto"/>
          <w:highlight w:val="none"/>
        </w:rPr>
        <w:t>、浙江五石工程咨询有限公司：</w:t>
      </w:r>
    </w:p>
    <w:p>
      <w:pPr>
        <w:snapToGrid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我公司</w:t>
      </w:r>
      <w:r>
        <w:rPr>
          <w:rFonts w:hint="eastAsia" w:ascii="宋体" w:hAnsi="宋体" w:eastAsia="宋体" w:cs="宋体"/>
          <w:color w:val="auto"/>
          <w:highlight w:val="none"/>
        </w:rPr>
        <w:t>声明截止投标时间近三年以来，在政府采购领域中，在项目招标、投标和合同履约期间无任何不良行为记录和违法、违规行为</w:t>
      </w:r>
      <w:r>
        <w:rPr>
          <w:rFonts w:hint="eastAsia" w:ascii="宋体" w:hAnsi="宋体" w:eastAsia="宋体" w:cs="宋体"/>
          <w:color w:val="auto"/>
          <w:highlight w:val="none"/>
          <w:lang w:val="zh-CN"/>
        </w:rPr>
        <w:t>。</w:t>
      </w:r>
    </w:p>
    <w:p>
      <w:pPr>
        <w:snapToGrid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我公司自愿参加（</w:t>
      </w: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的投标，并保证投标文件中所列举的投标报价文件及相关资料和公司基本情况资料是真实的、合法的。</w:t>
      </w:r>
    </w:p>
    <w:p>
      <w:pPr>
        <w:snapToGrid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我公司已详细阅读全部“招标文件”，包括修改文件（如果有）以及全部招标资料和相关附件，并已了解我公司在招投标过程中的权利和义务。</w:t>
      </w:r>
    </w:p>
    <w:p>
      <w:pPr>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lang w:val="zh-CN"/>
        </w:rPr>
        <w:t>我公司理解并接受招标文件的各项规定和要求，同意此次招标文件中的各项内容，</w:t>
      </w:r>
      <w:r>
        <w:rPr>
          <w:rFonts w:hint="eastAsia" w:ascii="宋体" w:hAnsi="宋体" w:eastAsia="宋体" w:cs="宋体"/>
          <w:color w:val="auto"/>
          <w:highlight w:val="none"/>
        </w:rPr>
        <w:t>并</w:t>
      </w:r>
      <w:r>
        <w:rPr>
          <w:rFonts w:hint="eastAsia" w:ascii="宋体" w:hAnsi="宋体" w:eastAsia="宋体" w:cs="宋体"/>
          <w:color w:val="auto"/>
          <w:highlight w:val="none"/>
          <w:lang w:val="zh-CN"/>
        </w:rPr>
        <w:t>同意提供按照贵方可能要求的与投标有关的一切数据或资料等。</w:t>
      </w:r>
    </w:p>
    <w:p>
      <w:pPr>
        <w:snapToGrid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本公司如中标，保证按照投标文件的承诺与贵方签订合同，保证履行合同条款并缴纳履约保证金。</w:t>
      </w:r>
    </w:p>
    <w:p>
      <w:pPr>
        <w:snapToGrid w:val="0"/>
        <w:ind w:firstLine="480"/>
        <w:rPr>
          <w:rFonts w:hint="eastAsia" w:ascii="宋体" w:hAnsi="宋体" w:eastAsia="宋体" w:cs="宋体"/>
          <w:color w:val="auto"/>
          <w:highlight w:val="none"/>
        </w:rPr>
      </w:pPr>
    </w:p>
    <w:p>
      <w:pPr>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lang w:val="zh-CN"/>
        </w:rPr>
        <w:t>投标人名称(公章)：</w:t>
      </w:r>
    </w:p>
    <w:p>
      <w:pPr>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lang w:val="zh-CN"/>
        </w:rPr>
        <w:t>法定代表人或其授权代表(签字或盖章)：</w:t>
      </w:r>
    </w:p>
    <w:p>
      <w:pPr>
        <w:snapToGrid w:val="0"/>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日期</w:t>
      </w:r>
      <w:r>
        <w:rPr>
          <w:rFonts w:hint="eastAsia" w:ascii="宋体" w:hAnsi="宋体" w:eastAsia="宋体" w:cs="宋体"/>
          <w:color w:val="auto"/>
          <w:highlight w:val="none"/>
        </w:rPr>
        <w:t xml:space="preserve">：  年  </w:t>
      </w:r>
      <w:r>
        <w:rPr>
          <w:rFonts w:hint="eastAsia" w:ascii="宋体" w:hAnsi="宋体" w:eastAsia="宋体" w:cs="宋体"/>
          <w:color w:val="auto"/>
          <w:highlight w:val="none"/>
          <w:lang w:val="zh-CN"/>
        </w:rPr>
        <w:t>月</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zh-CN"/>
        </w:rPr>
        <w:t>日</w:t>
      </w:r>
    </w:p>
    <w:p>
      <w:pPr>
        <w:rPr>
          <w:rFonts w:hint="eastAsia" w:ascii="宋体" w:hAnsi="宋体" w:eastAsia="宋体" w:cs="宋体"/>
          <w:color w:val="auto"/>
          <w:highlight w:val="none"/>
          <w:lang w:val="en-US" w:eastAsia="zh-CN"/>
        </w:rPr>
        <w:sectPr>
          <w:pgSz w:w="11907" w:h="16840"/>
          <w:pgMar w:top="1440" w:right="1080" w:bottom="1440" w:left="1080" w:header="850" w:footer="992" w:gutter="0"/>
          <w:pgBorders>
            <w:top w:val="none" w:color="auto" w:sz="0" w:space="0"/>
            <w:left w:val="none" w:color="auto" w:sz="0" w:space="0"/>
            <w:bottom w:val="none" w:color="auto" w:sz="0" w:space="0"/>
            <w:right w:val="none" w:color="auto" w:sz="0" w:space="0"/>
          </w:pgBorders>
          <w:cols w:space="720" w:num="1"/>
          <w:docGrid w:linePitch="286" w:charSpace="0"/>
        </w:sectPr>
      </w:pPr>
    </w:p>
    <w:p>
      <w:pPr>
        <w:pStyle w:val="6"/>
        <w:numPr>
          <w:ilvl w:val="0"/>
          <w:numId w:val="38"/>
        </w:numPr>
        <w:bidi w:val="0"/>
        <w:ind w:left="0" w:leftChars="0" w:firstLine="482" w:firstLineChars="200"/>
        <w:rPr>
          <w:rFonts w:hint="eastAsia" w:ascii="宋体" w:hAnsi="宋体" w:eastAsia="宋体" w:cs="宋体"/>
          <w:color w:val="auto"/>
          <w:highlight w:val="none"/>
          <w:lang w:eastAsia="zh-CN"/>
        </w:rPr>
      </w:pPr>
      <w:bookmarkStart w:id="158" w:name="_Toc28885"/>
      <w:r>
        <w:rPr>
          <w:rFonts w:hint="eastAsia" w:ascii="宋体" w:hAnsi="宋体" w:eastAsia="宋体" w:cs="宋体"/>
          <w:color w:val="auto"/>
          <w:highlight w:val="none"/>
        </w:rPr>
        <w:t>信用记录：查询</w:t>
      </w:r>
      <w:r>
        <w:rPr>
          <w:rFonts w:hint="eastAsia" w:ascii="宋体" w:hAnsi="宋体" w:eastAsia="宋体" w:cs="宋体"/>
          <w:color w:val="auto"/>
          <w:highlight w:val="none"/>
          <w:lang w:val="en-US" w:eastAsia="zh-CN"/>
        </w:rPr>
        <w:t>信息</w:t>
      </w:r>
      <w:r>
        <w:rPr>
          <w:rFonts w:hint="eastAsia" w:ascii="宋体" w:hAnsi="宋体" w:eastAsia="宋体" w:cs="宋体"/>
          <w:color w:val="auto"/>
          <w:highlight w:val="none"/>
        </w:rPr>
        <w:t>网站截图：查询渠道：“信用中国”（www.creditchina.gov.cn）、“中国政府采购网”（www.ccgp.gov.cn），最终审查以代理机构在</w:t>
      </w:r>
      <w:r>
        <w:rPr>
          <w:rFonts w:hint="eastAsia" w:ascii="宋体" w:hAnsi="宋体" w:eastAsia="宋体" w:cs="宋体"/>
          <w:color w:val="auto"/>
          <w:highlight w:val="none"/>
          <w:lang w:eastAsia="zh-CN"/>
        </w:rPr>
        <w:t>投标</w:t>
      </w:r>
      <w:r>
        <w:rPr>
          <w:rFonts w:hint="eastAsia" w:ascii="宋体" w:hAnsi="宋体" w:eastAsia="宋体" w:cs="宋体"/>
          <w:color w:val="auto"/>
          <w:highlight w:val="none"/>
        </w:rPr>
        <w:t>截止</w:t>
      </w:r>
      <w:r>
        <w:rPr>
          <w:rFonts w:hint="eastAsia" w:ascii="宋体" w:hAnsi="宋体" w:eastAsia="宋体" w:cs="宋体"/>
          <w:color w:val="auto"/>
          <w:highlight w:val="none"/>
          <w:lang w:eastAsia="zh-CN"/>
        </w:rPr>
        <w:t>时间</w:t>
      </w:r>
      <w:r>
        <w:rPr>
          <w:rFonts w:hint="eastAsia" w:ascii="宋体" w:hAnsi="宋体" w:eastAsia="宋体" w:cs="宋体"/>
          <w:color w:val="auto"/>
          <w:highlight w:val="none"/>
        </w:rPr>
        <w:t>查询的最新信息为准</w:t>
      </w:r>
      <w:r>
        <w:rPr>
          <w:rFonts w:hint="eastAsia" w:ascii="宋体" w:hAnsi="宋体" w:eastAsia="宋体" w:cs="宋体"/>
          <w:color w:val="auto"/>
          <w:highlight w:val="none"/>
          <w:lang w:eastAsia="zh-CN"/>
        </w:rPr>
        <w:t>。</w:t>
      </w:r>
      <w:bookmarkEnd w:id="158"/>
    </w:p>
    <w:p>
      <w:pPr>
        <w:pStyle w:val="38"/>
        <w:rPr>
          <w:rFonts w:hint="eastAsia" w:ascii="宋体" w:hAnsi="宋体" w:eastAsia="宋体" w:cs="宋体"/>
          <w:color w:val="auto"/>
          <w:kern w:val="2"/>
          <w:highlight w:val="none"/>
        </w:rPr>
      </w:pPr>
    </w:p>
    <w:p>
      <w:pPr>
        <w:pStyle w:val="38"/>
        <w:rPr>
          <w:rFonts w:hint="eastAsia" w:ascii="宋体" w:hAnsi="宋体" w:eastAsia="宋体" w:cs="宋体"/>
          <w:color w:val="auto"/>
          <w:kern w:val="2"/>
          <w:highlight w:val="none"/>
        </w:rPr>
      </w:pPr>
      <w:r>
        <w:rPr>
          <w:rFonts w:hint="eastAsia" w:ascii="宋体" w:hAnsi="宋体" w:eastAsia="宋体" w:cs="宋体"/>
          <w:color w:val="auto"/>
          <w:kern w:val="2"/>
          <w:highlight w:val="none"/>
        </w:rPr>
        <w:t>对列入失信被执行人、重大税收违法案件当事人名单、政府采购严重违法失信行为记录名单及其他不符合《中华人民共和国政府采购法》第二十二条规定条件的投标人，将拒绝其参与政府采购活动；</w:t>
      </w:r>
    </w:p>
    <w:p>
      <w:pPr>
        <w:pStyle w:val="2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行政处罚较大数额罚款标准认定：按照处罚机关所在地较大金额罚款标准进行认定。</w:t>
      </w:r>
    </w:p>
    <w:p>
      <w:pPr>
        <w:pStyle w:val="22"/>
        <w:rPr>
          <w:rFonts w:hint="eastAsia" w:ascii="宋体" w:hAnsi="宋体" w:eastAsia="宋体" w:cs="宋体"/>
          <w:color w:val="auto"/>
          <w:kern w:val="2"/>
          <w:sz w:val="24"/>
          <w:szCs w:val="24"/>
          <w:highlight w:val="none"/>
          <w:lang w:val="en-US" w:eastAsia="zh-CN" w:bidi="ar-SA"/>
        </w:rPr>
      </w:pPr>
    </w:p>
    <w:p>
      <w:pPr>
        <w:pStyle w:val="22"/>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pStyle w:val="22"/>
        <w:rPr>
          <w:rFonts w:hint="eastAsia" w:ascii="宋体" w:hAnsi="宋体" w:eastAsia="宋体" w:cs="宋体"/>
          <w:color w:val="auto"/>
          <w:highlight w:val="none"/>
        </w:rPr>
      </w:pPr>
    </w:p>
    <w:p>
      <w:pPr>
        <w:pStyle w:val="48"/>
        <w:rPr>
          <w:rFonts w:hint="eastAsia" w:ascii="宋体" w:hAnsi="宋体" w:eastAsia="宋体" w:cs="宋体"/>
          <w:color w:val="auto"/>
          <w:sz w:val="30"/>
          <w:szCs w:val="30"/>
          <w:highlight w:val="none"/>
        </w:rPr>
      </w:pPr>
    </w:p>
    <w:p>
      <w:pPr>
        <w:pStyle w:val="48"/>
        <w:rPr>
          <w:rFonts w:hint="eastAsia" w:ascii="宋体" w:hAnsi="宋体" w:eastAsia="宋体" w:cs="宋体"/>
          <w:color w:val="auto"/>
          <w:sz w:val="30"/>
          <w:szCs w:val="30"/>
          <w:highlight w:val="none"/>
        </w:rPr>
        <w:sectPr>
          <w:pgSz w:w="11907" w:h="16840"/>
          <w:pgMar w:top="1440" w:right="1080" w:bottom="1440" w:left="1080" w:header="850" w:footer="992" w:gutter="0"/>
          <w:pgBorders>
            <w:top w:val="none" w:color="auto" w:sz="0" w:space="0"/>
            <w:left w:val="none" w:color="auto" w:sz="0" w:space="0"/>
            <w:bottom w:val="none" w:color="auto" w:sz="0" w:space="0"/>
            <w:right w:val="none" w:color="auto" w:sz="0" w:space="0"/>
          </w:pgBorders>
          <w:cols w:space="720" w:num="1"/>
          <w:docGrid w:linePitch="286" w:charSpace="0"/>
        </w:sectPr>
      </w:pPr>
    </w:p>
    <w:p>
      <w:pPr>
        <w:pStyle w:val="5"/>
        <w:bidi w:val="0"/>
        <w:rPr>
          <w:rFonts w:hint="eastAsia" w:ascii="宋体" w:hAnsi="宋体" w:eastAsia="宋体" w:cs="宋体"/>
          <w:color w:val="auto"/>
          <w:highlight w:val="none"/>
        </w:rPr>
      </w:pPr>
      <w:bookmarkStart w:id="159" w:name="_Toc2451"/>
      <w:bookmarkStart w:id="160" w:name="_Toc32324"/>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4608830</wp:posOffset>
                </wp:positionH>
                <wp:positionV relativeFrom="paragraph">
                  <wp:posOffset>-50800</wp:posOffset>
                </wp:positionV>
                <wp:extent cx="1346200" cy="401955"/>
                <wp:effectExtent l="4445" t="4445" r="20955" b="12700"/>
                <wp:wrapNone/>
                <wp:docPr id="2" name="文本框 7"/>
                <wp:cNvGraphicFramePr/>
                <a:graphic xmlns:a="http://schemas.openxmlformats.org/drawingml/2006/main">
                  <a:graphicData uri="http://schemas.microsoft.com/office/word/2010/wordprocessingShape">
                    <wps:wsp>
                      <wps:cNvSpPr txBox="1"/>
                      <wps:spPr>
                        <a:xfrm>
                          <a:off x="0" y="0"/>
                          <a:ext cx="1346200" cy="401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7" o:spid="_x0000_s1026" o:spt="202" type="#_x0000_t202" style="position:absolute;left:0pt;margin-left:362.9pt;margin-top:-4pt;height:31.65pt;width:106pt;z-index:251663360;mso-width-relative:page;mso-height-relative:page;" fillcolor="#FFFFFF" filled="t" stroked="t" coordsize="21600,21600" o:gfxdata="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177LDZAAAACQEAAA8AAAAAAAAAAQAgAAAAIgAAAGRycy9kb3ducmV2LnhtbFBLAQIUABQA&#10;AAAIAIdO4kA33eJz7wEAAOgDAAAOAAAAAAAAAAEAIAAAACgBAABkcnMvZTJvRG9jLnhtbFBLBQYA&#10;AAAABgAGAFkBAACJBQ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ascii="宋体" w:hAnsi="宋体" w:eastAsia="宋体" w:cs="宋体"/>
          <w:color w:val="auto"/>
          <w:szCs w:val="40"/>
          <w:highlight w:val="none"/>
        </w:rPr>
        <w:t>报价</w:t>
      </w:r>
      <w:r>
        <w:rPr>
          <w:rFonts w:hint="eastAsia" w:ascii="宋体" w:hAnsi="宋体" w:eastAsia="宋体" w:cs="宋体"/>
          <w:color w:val="auto"/>
          <w:highlight w:val="none"/>
        </w:rPr>
        <w:t>文件封面</w:t>
      </w:r>
      <w:bookmarkEnd w:id="159"/>
      <w:bookmarkEnd w:id="160"/>
    </w:p>
    <w:p>
      <w:pPr>
        <w:ind w:firstLine="880"/>
        <w:rPr>
          <w:rFonts w:hint="eastAsia" w:ascii="宋体" w:hAnsi="宋体" w:eastAsia="宋体" w:cs="宋体"/>
          <w:color w:val="auto"/>
          <w:sz w:val="44"/>
          <w:szCs w:val="32"/>
          <w:highlight w:val="none"/>
        </w:rPr>
      </w:pPr>
    </w:p>
    <w:p>
      <w:pPr>
        <w:spacing w:line="600" w:lineRule="auto"/>
        <w:ind w:firstLine="0" w:firstLineChars="0"/>
        <w:jc w:val="center"/>
        <w:rPr>
          <w:rFonts w:hint="eastAsia" w:ascii="宋体" w:hAnsi="宋体" w:eastAsia="宋体" w:cs="宋体"/>
          <w:b/>
          <w:bCs/>
          <w:color w:val="auto"/>
          <w:sz w:val="48"/>
          <w:szCs w:val="48"/>
          <w:highlight w:val="none"/>
        </w:rPr>
      </w:pPr>
      <w:r>
        <w:rPr>
          <w:rFonts w:hint="eastAsia" w:cs="宋体"/>
          <w:b/>
          <w:bCs/>
          <w:color w:val="auto"/>
          <w:sz w:val="48"/>
          <w:szCs w:val="48"/>
          <w:highlight w:val="none"/>
          <w:lang w:eastAsia="zh-CN"/>
        </w:rPr>
        <w:t>浙江海洋大学</w:t>
      </w:r>
    </w:p>
    <w:p>
      <w:pPr>
        <w:spacing w:line="600" w:lineRule="auto"/>
        <w:ind w:firstLine="0" w:firstLineChars="0"/>
        <w:jc w:val="center"/>
        <w:rPr>
          <w:rFonts w:hint="eastAsia" w:ascii="宋体" w:hAnsi="宋体" w:eastAsia="宋体" w:cs="宋体"/>
          <w:b/>
          <w:bCs/>
          <w:color w:val="auto"/>
          <w:sz w:val="48"/>
          <w:szCs w:val="48"/>
          <w:highlight w:val="none"/>
          <w:lang w:eastAsia="zh-CN"/>
        </w:rPr>
      </w:pPr>
      <w:r>
        <w:rPr>
          <w:rFonts w:hint="eastAsia" w:cs="宋体"/>
          <w:b/>
          <w:bCs/>
          <w:color w:val="auto"/>
          <w:sz w:val="48"/>
          <w:szCs w:val="48"/>
          <w:highlight w:val="none"/>
          <w:lang w:eastAsia="zh-CN"/>
        </w:rPr>
        <w:t>海洋食品质量安全溯源与区块链技术科研平台设备采购项目</w:t>
      </w:r>
    </w:p>
    <w:p>
      <w:pPr>
        <w:ind w:firstLine="880"/>
        <w:rPr>
          <w:rFonts w:hint="eastAsia" w:ascii="宋体" w:hAnsi="宋体" w:eastAsia="宋体" w:cs="宋体"/>
          <w:color w:val="auto"/>
          <w:sz w:val="44"/>
          <w:szCs w:val="32"/>
          <w:highlight w:val="none"/>
        </w:rPr>
      </w:pPr>
    </w:p>
    <w:p>
      <w:pPr>
        <w:ind w:firstLine="602"/>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报价文件</w:t>
      </w:r>
    </w:p>
    <w:p>
      <w:pPr>
        <w:ind w:firstLine="600"/>
        <w:rPr>
          <w:rFonts w:hint="eastAsia" w:ascii="宋体" w:hAnsi="宋体" w:eastAsia="宋体" w:cs="宋体"/>
          <w:color w:val="auto"/>
          <w:sz w:val="30"/>
          <w:szCs w:val="30"/>
          <w:highlight w:val="none"/>
        </w:rPr>
      </w:pP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 购 人：</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投标人名称（盖章）：</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投标人地址：</w:t>
      </w:r>
    </w:p>
    <w:p>
      <w:pPr>
        <w:ind w:firstLine="600"/>
        <w:rPr>
          <w:rFonts w:hint="eastAsia" w:ascii="宋体" w:hAnsi="宋体" w:eastAsia="宋体" w:cs="宋体"/>
          <w:color w:val="auto"/>
          <w:sz w:val="30"/>
          <w:szCs w:val="30"/>
          <w:highlight w:val="none"/>
        </w:rPr>
      </w:pPr>
    </w:p>
    <w:p>
      <w:pPr>
        <w:ind w:firstLine="600"/>
        <w:rPr>
          <w:rFonts w:hint="eastAsia" w:ascii="宋体" w:hAnsi="宋体" w:eastAsia="宋体" w:cs="宋体"/>
          <w:color w:val="auto"/>
          <w:sz w:val="30"/>
          <w:szCs w:val="30"/>
          <w:highlight w:val="none"/>
        </w:rPr>
      </w:pP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授权代表签字或盖章：</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日期：    年  月  日</w:t>
      </w: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授权代表姓名：               手机号：</w:t>
      </w:r>
    </w:p>
    <w:p>
      <w:pPr>
        <w:pStyle w:val="168"/>
        <w:rPr>
          <w:rFonts w:hint="eastAsia" w:ascii="宋体" w:hAnsi="宋体" w:eastAsia="宋体" w:cs="宋体"/>
          <w:color w:val="auto"/>
          <w:highlight w:val="none"/>
        </w:rPr>
        <w:sectPr>
          <w:pgSz w:w="11907" w:h="16840"/>
          <w:pgMar w:top="1440" w:right="1080" w:bottom="1440" w:left="1080" w:header="850" w:footer="992" w:gutter="0"/>
          <w:pgBorders>
            <w:top w:val="none" w:color="auto" w:sz="0" w:space="0"/>
            <w:left w:val="none" w:color="auto" w:sz="0" w:space="0"/>
            <w:bottom w:val="none" w:color="auto" w:sz="0" w:space="0"/>
            <w:right w:val="none" w:color="auto" w:sz="0" w:space="0"/>
          </w:pgBorders>
          <w:cols w:space="720" w:num="1"/>
          <w:docGrid w:linePitch="286" w:charSpace="0"/>
        </w:sectPr>
      </w:pPr>
    </w:p>
    <w:p>
      <w:pPr>
        <w:pStyle w:val="5"/>
        <w:bidi w:val="0"/>
        <w:ind w:left="0" w:leftChars="0" w:right="0" w:rightChars="0" w:firstLine="0" w:firstLineChars="0"/>
        <w:jc w:val="center"/>
        <w:rPr>
          <w:rFonts w:hint="eastAsia" w:ascii="宋体" w:hAnsi="宋体" w:eastAsia="宋体" w:cs="宋体"/>
          <w:color w:val="auto"/>
          <w:highlight w:val="none"/>
        </w:rPr>
      </w:pPr>
      <w:bookmarkStart w:id="161" w:name="_Toc6136"/>
      <w:bookmarkStart w:id="162" w:name="_Toc24920"/>
      <w:r>
        <w:rPr>
          <w:rFonts w:hint="eastAsia" w:ascii="宋体" w:hAnsi="宋体" w:eastAsia="宋体" w:cs="宋体"/>
          <w:color w:val="auto"/>
          <w:highlight w:val="none"/>
        </w:rPr>
        <w:t>报价文件目录</w:t>
      </w:r>
      <w:bookmarkEnd w:id="161"/>
      <w:bookmarkEnd w:id="162"/>
    </w:p>
    <w:p>
      <w:pPr>
        <w:bidi w:val="0"/>
        <w:rPr>
          <w:rFonts w:hint="eastAsia" w:ascii="宋体" w:hAnsi="宋体" w:eastAsia="宋体" w:cs="宋体"/>
          <w:color w:val="auto"/>
          <w:highlight w:val="none"/>
        </w:rPr>
      </w:pPr>
    </w:p>
    <w:p>
      <w:pPr>
        <w:keepNext w:val="0"/>
        <w:keepLines w:val="0"/>
        <w:pageBreakBefore w:val="0"/>
        <w:widowControl w:val="0"/>
        <w:numPr>
          <w:ilvl w:val="0"/>
          <w:numId w:val="39"/>
        </w:numPr>
        <w:kinsoku/>
        <w:wordWrap/>
        <w:overflowPunct/>
        <w:topLinePunct w:val="0"/>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bookmarkStart w:id="163" w:name="_Toc16666"/>
      <w:r>
        <w:rPr>
          <w:rFonts w:hint="eastAsia" w:ascii="宋体" w:hAnsi="宋体" w:eastAsia="宋体" w:cs="宋体"/>
          <w:color w:val="auto"/>
          <w:highlight w:val="none"/>
        </w:rPr>
        <w:t>投标响应函………………………………………………………………………（页码）</w:t>
      </w:r>
      <w:bookmarkEnd w:id="163"/>
    </w:p>
    <w:p>
      <w:pPr>
        <w:keepNext w:val="0"/>
        <w:keepLines w:val="0"/>
        <w:pageBreakBefore w:val="0"/>
        <w:widowControl w:val="0"/>
        <w:numPr>
          <w:ilvl w:val="0"/>
          <w:numId w:val="39"/>
        </w:numPr>
        <w:kinsoku/>
        <w:wordWrap/>
        <w:overflowPunct/>
        <w:topLinePunct w:val="0"/>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bookmarkStart w:id="164" w:name="_Toc9814"/>
      <w:r>
        <w:rPr>
          <w:rFonts w:hint="eastAsia" w:ascii="宋体" w:hAnsi="宋体" w:eastAsia="宋体" w:cs="宋体"/>
          <w:color w:val="auto"/>
          <w:highlight w:val="none"/>
        </w:rPr>
        <w:t>开标一览表………………………………………………………………………（页码）</w:t>
      </w:r>
      <w:bookmarkEnd w:id="164"/>
    </w:p>
    <w:p>
      <w:pPr>
        <w:keepNext w:val="0"/>
        <w:keepLines w:val="0"/>
        <w:pageBreakBefore w:val="0"/>
        <w:widowControl w:val="0"/>
        <w:numPr>
          <w:ilvl w:val="0"/>
          <w:numId w:val="39"/>
        </w:numPr>
        <w:kinsoku/>
        <w:wordWrap/>
        <w:overflowPunct/>
        <w:topLinePunct w:val="0"/>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投标分项报价表</w:t>
      </w:r>
      <w:r>
        <w:rPr>
          <w:rFonts w:hint="eastAsia" w:ascii="宋体" w:hAnsi="宋体" w:eastAsia="宋体" w:cs="宋体"/>
          <w:color w:val="auto"/>
          <w:highlight w:val="none"/>
        </w:rPr>
        <w:t>…………………………………………………………………（页码）</w:t>
      </w:r>
    </w:p>
    <w:p>
      <w:pPr>
        <w:keepNext w:val="0"/>
        <w:keepLines w:val="0"/>
        <w:pageBreakBefore w:val="0"/>
        <w:widowControl w:val="0"/>
        <w:numPr>
          <w:ilvl w:val="0"/>
          <w:numId w:val="39"/>
        </w:numPr>
        <w:kinsoku/>
        <w:wordWrap/>
        <w:overflowPunct/>
        <w:topLinePunct w:val="0"/>
        <w:autoSpaceDE/>
        <w:autoSpaceDN/>
        <w:bidi w:val="0"/>
        <w:adjustRightInd w:val="0"/>
        <w:snapToGrid w:val="0"/>
        <w:ind w:left="0" w:leftChars="0" w:firstLine="480" w:firstLineChars="200"/>
        <w:textAlignment w:val="auto"/>
        <w:rPr>
          <w:rFonts w:hint="eastAsia" w:ascii="宋体" w:hAnsi="宋体" w:eastAsia="宋体" w:cs="宋体"/>
          <w:color w:val="auto"/>
          <w:highlight w:val="none"/>
        </w:rPr>
      </w:pPr>
      <w:bookmarkStart w:id="165" w:name="_Toc20916"/>
      <w:r>
        <w:rPr>
          <w:rFonts w:hint="eastAsia" w:ascii="宋体" w:hAnsi="宋体" w:eastAsia="宋体" w:cs="宋体"/>
          <w:color w:val="auto"/>
          <w:highlight w:val="none"/>
          <w:lang w:val="en-US" w:eastAsia="zh-CN"/>
        </w:rPr>
        <w:t>其他</w:t>
      </w:r>
      <w:r>
        <w:rPr>
          <w:rFonts w:hint="eastAsia" w:ascii="宋体" w:hAnsi="宋体" w:eastAsia="宋体" w:cs="宋体"/>
          <w:color w:val="auto"/>
          <w:highlight w:val="none"/>
        </w:rPr>
        <w:t>………………………………………………………………………………（页码）</w:t>
      </w:r>
      <w:bookmarkEnd w:id="165"/>
    </w:p>
    <w:p>
      <w:pPr>
        <w:pStyle w:val="12"/>
        <w:rPr>
          <w:rFonts w:hint="eastAsia" w:ascii="宋体" w:hAnsi="宋体" w:eastAsia="宋体" w:cs="宋体"/>
          <w:color w:val="auto"/>
          <w:highlight w:val="none"/>
        </w:rPr>
      </w:pPr>
    </w:p>
    <w:p>
      <w:pPr>
        <w:pStyle w:val="6"/>
        <w:outlineLvl w:val="9"/>
        <w:rPr>
          <w:rFonts w:hint="eastAsia" w:ascii="宋体" w:hAnsi="宋体" w:eastAsia="宋体" w:cs="宋体"/>
          <w:color w:val="auto"/>
          <w:highlight w:val="none"/>
        </w:rPr>
        <w:sectPr>
          <w:footerReference r:id="rId16" w:type="default"/>
          <w:pgSz w:w="11907" w:h="16840"/>
          <w:pgMar w:top="1440" w:right="1080" w:bottom="1440" w:left="1080" w:header="850" w:footer="992" w:gutter="0"/>
          <w:pgBorders>
            <w:top w:val="none" w:color="auto" w:sz="0" w:space="0"/>
            <w:left w:val="none" w:color="auto" w:sz="0" w:space="0"/>
            <w:bottom w:val="none" w:color="auto" w:sz="0" w:space="0"/>
            <w:right w:val="none" w:color="auto" w:sz="0" w:space="0"/>
          </w:pgBorders>
          <w:cols w:space="720" w:num="1"/>
          <w:docGrid w:linePitch="286" w:charSpace="0"/>
        </w:sectPr>
      </w:pPr>
    </w:p>
    <w:p>
      <w:pPr>
        <w:pStyle w:val="6"/>
        <w:numPr>
          <w:ilvl w:val="0"/>
          <w:numId w:val="40"/>
        </w:numPr>
        <w:bidi w:val="0"/>
        <w:rPr>
          <w:rFonts w:hint="eastAsia" w:ascii="宋体" w:hAnsi="宋体" w:eastAsia="宋体" w:cs="宋体"/>
          <w:color w:val="auto"/>
          <w:highlight w:val="none"/>
        </w:rPr>
      </w:pPr>
      <w:bookmarkStart w:id="166" w:name="_Toc25141"/>
      <w:r>
        <w:rPr>
          <w:rFonts w:hint="eastAsia" w:ascii="宋体" w:hAnsi="宋体" w:eastAsia="宋体" w:cs="宋体"/>
          <w:color w:val="auto"/>
          <w:highlight w:val="none"/>
        </w:rPr>
        <w:t>投标响应函</w:t>
      </w:r>
      <w:bookmarkEnd w:id="166"/>
    </w:p>
    <w:p>
      <w:pPr>
        <w:snapToGrid w:val="0"/>
        <w:ind w:left="0" w:leftChars="0" w:right="0" w:rightChars="0" w:firstLine="0" w:firstLineChars="0"/>
        <w:jc w:val="center"/>
        <w:rPr>
          <w:rFonts w:hint="eastAsia" w:ascii="宋体" w:hAnsi="宋体" w:eastAsia="宋体" w:cs="宋体"/>
          <w:color w:val="auto"/>
          <w:highlight w:val="none"/>
        </w:rPr>
      </w:pPr>
      <w:r>
        <w:rPr>
          <w:rFonts w:hint="eastAsia" w:ascii="宋体" w:hAnsi="宋体" w:eastAsia="宋体" w:cs="宋体"/>
          <w:b/>
          <w:color w:val="auto"/>
          <w:kern w:val="0"/>
          <w:sz w:val="32"/>
          <w:highlight w:val="none"/>
        </w:rPr>
        <w:t>投标响应</w:t>
      </w:r>
      <w:r>
        <w:rPr>
          <w:rFonts w:hint="eastAsia" w:ascii="宋体" w:hAnsi="宋体" w:eastAsia="宋体" w:cs="宋体"/>
          <w:b/>
          <w:color w:val="auto"/>
          <w:sz w:val="32"/>
          <w:highlight w:val="none"/>
        </w:rPr>
        <w:t>函</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cs="宋体"/>
          <w:bCs/>
          <w:color w:val="auto"/>
          <w:spacing w:val="-6"/>
          <w:highlight w:val="none"/>
          <w:lang w:eastAsia="zh-CN"/>
        </w:rPr>
        <w:t>浙江海洋大学</w:t>
      </w:r>
      <w:r>
        <w:rPr>
          <w:rFonts w:hint="eastAsia" w:ascii="宋体" w:hAnsi="宋体" w:eastAsia="宋体" w:cs="宋体"/>
          <w:bCs/>
          <w:color w:val="auto"/>
          <w:spacing w:val="-6"/>
          <w:highlight w:val="none"/>
        </w:rPr>
        <w:t>、浙江五石工程咨询有限公司</w:t>
      </w:r>
      <w:r>
        <w:rPr>
          <w:rFonts w:hint="eastAsia" w:ascii="宋体" w:hAnsi="宋体" w:eastAsia="宋体" w:cs="宋体"/>
          <w:color w:val="auto"/>
          <w:spacing w:val="-6"/>
          <w:highlight w:val="none"/>
        </w:rPr>
        <w:t>：</w:t>
      </w:r>
      <w:r>
        <w:rPr>
          <w:rFonts w:hint="eastAsia" w:ascii="宋体" w:hAnsi="宋体" w:eastAsia="宋体" w:cs="宋体"/>
          <w:color w:val="auto"/>
          <w:highlight w:val="none"/>
        </w:rPr>
        <w:t xml:space="preserve"> </w:t>
      </w:r>
    </w:p>
    <w:p>
      <w:pPr>
        <w:bidi w:val="0"/>
        <w:rPr>
          <w:rFonts w:hint="eastAsia" w:ascii="宋体" w:hAnsi="宋体" w:eastAsia="宋体" w:cs="宋体"/>
          <w:color w:val="auto"/>
          <w:highlight w:val="none"/>
        </w:rPr>
      </w:pPr>
      <w:r>
        <w:rPr>
          <w:rFonts w:hint="eastAsia" w:ascii="宋体" w:hAnsi="宋体" w:eastAsia="宋体" w:cs="宋体"/>
          <w:color w:val="auto"/>
          <w:kern w:val="0"/>
          <w:highlight w:val="none"/>
          <w:u w:val="single"/>
          <w:lang w:val="zh-CN"/>
        </w:rPr>
        <w:t xml:space="preserve">                         </w:t>
      </w:r>
      <w:r>
        <w:rPr>
          <w:rFonts w:hint="eastAsia" w:ascii="宋体" w:hAnsi="宋体" w:eastAsia="宋体" w:cs="宋体"/>
          <w:color w:val="auto"/>
          <w:highlight w:val="none"/>
        </w:rPr>
        <w:t>(投标人全称)授权</w:t>
      </w:r>
      <w:r>
        <w:rPr>
          <w:rFonts w:hint="eastAsia" w:ascii="宋体" w:hAnsi="宋体" w:eastAsia="宋体" w:cs="宋体"/>
          <w:color w:val="auto"/>
          <w:kern w:val="0"/>
          <w:highlight w:val="none"/>
          <w:u w:val="single"/>
          <w:lang w:val="zh-CN"/>
        </w:rPr>
        <w:t xml:space="preserve">                    </w:t>
      </w:r>
      <w:r>
        <w:rPr>
          <w:rFonts w:hint="eastAsia" w:ascii="宋体" w:hAnsi="宋体" w:eastAsia="宋体" w:cs="宋体"/>
          <w:color w:val="auto"/>
          <w:highlight w:val="none"/>
        </w:rPr>
        <w:t>(全权代表姓名)</w:t>
      </w:r>
      <w:r>
        <w:rPr>
          <w:rFonts w:hint="eastAsia" w:ascii="宋体" w:hAnsi="宋体" w:eastAsia="宋体" w:cs="宋体"/>
          <w:color w:val="auto"/>
          <w:kern w:val="0"/>
          <w:highlight w:val="none"/>
          <w:u w:val="single"/>
          <w:lang w:val="zh-CN"/>
        </w:rPr>
        <w:t xml:space="preserve">              </w:t>
      </w:r>
      <w:r>
        <w:rPr>
          <w:rFonts w:hint="eastAsia" w:ascii="宋体" w:hAnsi="宋体" w:eastAsia="宋体" w:cs="宋体"/>
          <w:color w:val="auto"/>
          <w:highlight w:val="none"/>
        </w:rPr>
        <w:t>(职务、职称)为全权代表，参加贵方组织的</w:t>
      </w:r>
      <w:r>
        <w:rPr>
          <w:rFonts w:hint="eastAsia" w:ascii="宋体" w:hAnsi="宋体" w:eastAsia="宋体" w:cs="宋体"/>
          <w:color w:val="auto"/>
          <w:highlight w:val="none"/>
          <w:u w:val="single"/>
        </w:rPr>
        <w:t>（项目名称）（项目编号）</w:t>
      </w:r>
      <w:r>
        <w:rPr>
          <w:rFonts w:hint="eastAsia" w:ascii="宋体" w:hAnsi="宋体" w:eastAsia="宋体" w:cs="宋体"/>
          <w:color w:val="auto"/>
          <w:highlight w:val="none"/>
        </w:rPr>
        <w:t>招标的有关活动，并对此项目进行投标。为此：</w:t>
      </w:r>
    </w:p>
    <w:p>
      <w:pPr>
        <w:bidi w:val="0"/>
        <w:rPr>
          <w:rFonts w:hint="eastAsia" w:ascii="宋体" w:hAnsi="宋体" w:eastAsia="宋体" w:cs="宋体"/>
          <w:color w:val="auto"/>
          <w:highlight w:val="none"/>
        </w:rPr>
      </w:pPr>
      <w:r>
        <w:rPr>
          <w:rFonts w:hint="eastAsia" w:ascii="宋体" w:hAnsi="宋体" w:eastAsia="宋体" w:cs="宋体"/>
          <w:color w:val="auto"/>
          <w:highlight w:val="none"/>
        </w:rPr>
        <w:t>1、我方同意在投标人编制和提交采购响应文件须知规定的开标日期起遵守本投标文件中的承诺且在投标有效期满之前均具有约束力。</w:t>
      </w:r>
    </w:p>
    <w:p>
      <w:pPr>
        <w:bidi w:val="0"/>
        <w:rPr>
          <w:rFonts w:hint="eastAsia" w:ascii="宋体" w:hAnsi="宋体" w:eastAsia="宋体" w:cs="宋体"/>
          <w:color w:val="auto"/>
          <w:highlight w:val="none"/>
        </w:rPr>
      </w:pPr>
      <w:r>
        <w:rPr>
          <w:rFonts w:hint="eastAsia" w:ascii="宋体" w:hAnsi="宋体" w:eastAsia="宋体" w:cs="宋体"/>
          <w:color w:val="auto"/>
          <w:highlight w:val="none"/>
        </w:rPr>
        <w:t>2、我方承诺已经具备《中华人民共和国政府采购法》中规定的参加政府采购活动的供应商应当具备的条件：</w:t>
      </w:r>
    </w:p>
    <w:p>
      <w:pPr>
        <w:bidi w:val="0"/>
        <w:rPr>
          <w:rFonts w:hint="eastAsia" w:ascii="宋体" w:hAnsi="宋体" w:eastAsia="宋体" w:cs="宋体"/>
          <w:color w:val="auto"/>
          <w:highlight w:val="none"/>
        </w:rPr>
      </w:pPr>
      <w:r>
        <w:rPr>
          <w:rFonts w:hint="eastAsia" w:ascii="宋体" w:hAnsi="宋体" w:eastAsia="宋体" w:cs="宋体"/>
          <w:color w:val="auto"/>
          <w:highlight w:val="none"/>
        </w:rPr>
        <w:t>(1)具有独立承担民事责任的能力；</w:t>
      </w:r>
    </w:p>
    <w:p>
      <w:pPr>
        <w:bidi w:val="0"/>
        <w:rPr>
          <w:rFonts w:hint="eastAsia" w:ascii="宋体" w:hAnsi="宋体" w:eastAsia="宋体" w:cs="宋体"/>
          <w:color w:val="auto"/>
          <w:highlight w:val="none"/>
        </w:rPr>
      </w:pPr>
      <w:r>
        <w:rPr>
          <w:rFonts w:hint="eastAsia" w:ascii="宋体" w:hAnsi="宋体" w:eastAsia="宋体" w:cs="宋体"/>
          <w:color w:val="auto"/>
          <w:highlight w:val="none"/>
        </w:rPr>
        <w:t>(2)遵守国家法律、行政法规，具有良好的信誉和商业道德；</w:t>
      </w:r>
    </w:p>
    <w:p>
      <w:pPr>
        <w:bidi w:val="0"/>
        <w:rPr>
          <w:rFonts w:hint="eastAsia" w:ascii="宋体" w:hAnsi="宋体" w:eastAsia="宋体" w:cs="宋体"/>
          <w:color w:val="auto"/>
          <w:highlight w:val="none"/>
        </w:rPr>
      </w:pPr>
      <w:r>
        <w:rPr>
          <w:rFonts w:hint="eastAsia" w:ascii="宋体" w:hAnsi="宋体" w:eastAsia="宋体" w:cs="宋体"/>
          <w:color w:val="auto"/>
          <w:highlight w:val="none"/>
        </w:rPr>
        <w:t>(3)具有履行合同的能力和良好的履行合同记录；</w:t>
      </w:r>
    </w:p>
    <w:p>
      <w:pPr>
        <w:bidi w:val="0"/>
        <w:rPr>
          <w:rFonts w:hint="eastAsia" w:ascii="宋体" w:hAnsi="宋体" w:eastAsia="宋体" w:cs="宋体"/>
          <w:color w:val="auto"/>
          <w:highlight w:val="none"/>
        </w:rPr>
      </w:pPr>
      <w:r>
        <w:rPr>
          <w:rFonts w:hint="eastAsia" w:ascii="宋体" w:hAnsi="宋体" w:eastAsia="宋体" w:cs="宋体"/>
          <w:color w:val="auto"/>
          <w:highlight w:val="none"/>
        </w:rPr>
        <w:t>(4)良好的资金、财务状况；</w:t>
      </w:r>
    </w:p>
    <w:p>
      <w:pPr>
        <w:bidi w:val="0"/>
        <w:rPr>
          <w:rFonts w:hint="eastAsia" w:ascii="宋体" w:hAnsi="宋体" w:eastAsia="宋体" w:cs="宋体"/>
          <w:color w:val="auto"/>
          <w:highlight w:val="none"/>
        </w:rPr>
      </w:pPr>
      <w:r>
        <w:rPr>
          <w:rFonts w:hint="eastAsia" w:ascii="宋体" w:hAnsi="宋体" w:eastAsia="宋体" w:cs="宋体"/>
          <w:color w:val="auto"/>
          <w:highlight w:val="none"/>
        </w:rPr>
        <w:t>(5)产品及生产所需装备符合中国政府规定的相应技术标准和环保标准；</w:t>
      </w:r>
    </w:p>
    <w:p>
      <w:pPr>
        <w:bidi w:val="0"/>
        <w:rPr>
          <w:rFonts w:hint="eastAsia" w:ascii="宋体" w:hAnsi="宋体" w:eastAsia="宋体" w:cs="宋体"/>
          <w:color w:val="auto"/>
          <w:highlight w:val="none"/>
        </w:rPr>
      </w:pPr>
      <w:r>
        <w:rPr>
          <w:rFonts w:hint="eastAsia" w:ascii="宋体" w:hAnsi="宋体" w:eastAsia="宋体" w:cs="宋体"/>
          <w:color w:val="auto"/>
          <w:highlight w:val="none"/>
        </w:rPr>
        <w:t>(6)没有违反政府采购法规、政策的记录；</w:t>
      </w:r>
    </w:p>
    <w:p>
      <w:pPr>
        <w:bidi w:val="0"/>
        <w:rPr>
          <w:rFonts w:hint="eastAsia" w:ascii="宋体" w:hAnsi="宋体" w:eastAsia="宋体" w:cs="宋体"/>
          <w:color w:val="auto"/>
          <w:highlight w:val="none"/>
        </w:rPr>
      </w:pPr>
      <w:r>
        <w:rPr>
          <w:rFonts w:hint="eastAsia" w:ascii="宋体" w:hAnsi="宋体" w:eastAsia="宋体" w:cs="宋体"/>
          <w:color w:val="auto"/>
          <w:highlight w:val="none"/>
        </w:rPr>
        <w:t>(7)没有发生重大经济纠纷和走私犯罪记录。</w:t>
      </w:r>
    </w:p>
    <w:p>
      <w:pPr>
        <w:bidi w:val="0"/>
        <w:rPr>
          <w:rFonts w:hint="eastAsia" w:ascii="宋体" w:hAnsi="宋体" w:eastAsia="宋体" w:cs="宋体"/>
          <w:color w:val="auto"/>
          <w:highlight w:val="none"/>
        </w:rPr>
      </w:pPr>
      <w:r>
        <w:rPr>
          <w:rFonts w:hint="eastAsia" w:ascii="宋体" w:hAnsi="宋体" w:eastAsia="宋体" w:cs="宋体"/>
          <w:color w:val="auto"/>
          <w:highlight w:val="none"/>
        </w:rPr>
        <w:t>3、提供编制和提交采购响应文件须知规定的全部投标文件。具体内容为：</w:t>
      </w:r>
    </w:p>
    <w:p>
      <w:pPr>
        <w:bidi w:val="0"/>
        <w:rPr>
          <w:rFonts w:hint="eastAsia" w:ascii="宋体" w:hAnsi="宋体" w:eastAsia="宋体" w:cs="宋体"/>
          <w:color w:val="auto"/>
          <w:highlight w:val="none"/>
        </w:rPr>
      </w:pPr>
      <w:r>
        <w:rPr>
          <w:rFonts w:hint="eastAsia" w:ascii="宋体" w:hAnsi="宋体" w:eastAsia="宋体" w:cs="宋体"/>
          <w:color w:val="auto"/>
          <w:highlight w:val="none"/>
        </w:rPr>
        <w:t>(1)开标一览表及投标报价明细清单；</w:t>
      </w:r>
    </w:p>
    <w:p>
      <w:pPr>
        <w:bidi w:val="0"/>
        <w:rPr>
          <w:rFonts w:hint="eastAsia" w:ascii="宋体" w:hAnsi="宋体" w:eastAsia="宋体" w:cs="宋体"/>
          <w:color w:val="auto"/>
          <w:highlight w:val="none"/>
        </w:rPr>
      </w:pPr>
      <w:r>
        <w:rPr>
          <w:rFonts w:hint="eastAsia" w:ascii="宋体" w:hAnsi="宋体" w:eastAsia="宋体" w:cs="宋体"/>
          <w:color w:val="auto"/>
          <w:highlight w:val="none"/>
        </w:rPr>
        <w:t>(2)投标商务</w:t>
      </w:r>
      <w:r>
        <w:rPr>
          <w:rFonts w:hint="eastAsia" w:ascii="宋体" w:hAnsi="宋体" w:eastAsia="宋体" w:cs="宋体"/>
          <w:color w:val="auto"/>
          <w:highlight w:val="none"/>
          <w:lang w:val="zh-CN"/>
        </w:rPr>
        <w:t>技术文件和资格文件</w:t>
      </w:r>
      <w:r>
        <w:rPr>
          <w:rFonts w:hint="eastAsia" w:ascii="宋体" w:hAnsi="宋体" w:eastAsia="宋体" w:cs="宋体"/>
          <w:color w:val="auto"/>
          <w:highlight w:val="none"/>
        </w:rPr>
        <w:t>；</w:t>
      </w:r>
    </w:p>
    <w:p>
      <w:pPr>
        <w:bidi w:val="0"/>
        <w:rPr>
          <w:rFonts w:hint="eastAsia" w:ascii="宋体" w:hAnsi="宋体" w:eastAsia="宋体" w:cs="宋体"/>
          <w:color w:val="auto"/>
          <w:highlight w:val="none"/>
        </w:rPr>
      </w:pPr>
      <w:r>
        <w:rPr>
          <w:rFonts w:hint="eastAsia" w:ascii="宋体" w:hAnsi="宋体" w:eastAsia="宋体" w:cs="宋体"/>
          <w:color w:val="auto"/>
          <w:highlight w:val="none"/>
        </w:rPr>
        <w:t>(3)编制和提交采购响应文件须知要求投标人提交的全部文件；</w:t>
      </w:r>
    </w:p>
    <w:p>
      <w:pPr>
        <w:bidi w:val="0"/>
        <w:rPr>
          <w:rFonts w:hint="eastAsia" w:ascii="宋体" w:hAnsi="宋体" w:eastAsia="宋体" w:cs="宋体"/>
          <w:color w:val="auto"/>
          <w:highlight w:val="none"/>
        </w:rPr>
      </w:pPr>
      <w:r>
        <w:rPr>
          <w:rFonts w:hint="eastAsia" w:ascii="宋体" w:hAnsi="宋体" w:eastAsia="宋体" w:cs="宋体"/>
          <w:color w:val="auto"/>
          <w:highlight w:val="none"/>
        </w:rPr>
        <w:t>(4)按招标文件要求提供和交付的货物和服务的投标报价详见投标(开标)一览表；</w:t>
      </w:r>
    </w:p>
    <w:p>
      <w:pPr>
        <w:bidi w:val="0"/>
        <w:rPr>
          <w:rFonts w:hint="eastAsia" w:ascii="宋体" w:hAnsi="宋体" w:eastAsia="宋体" w:cs="宋体"/>
          <w:color w:val="auto"/>
          <w:highlight w:val="none"/>
        </w:rPr>
      </w:pPr>
      <w:r>
        <w:rPr>
          <w:rFonts w:hint="eastAsia" w:ascii="宋体" w:hAnsi="宋体" w:eastAsia="宋体" w:cs="宋体"/>
          <w:color w:val="auto"/>
          <w:highlight w:val="none"/>
        </w:rPr>
        <w:t>(5)保证忠实地执行双方所签订的合同，并承担合同规定的责任和义务；</w:t>
      </w:r>
    </w:p>
    <w:p>
      <w:pPr>
        <w:bidi w:val="0"/>
        <w:rPr>
          <w:rFonts w:hint="eastAsia" w:ascii="宋体" w:hAnsi="宋体" w:eastAsia="宋体" w:cs="宋体"/>
          <w:color w:val="auto"/>
          <w:highlight w:val="none"/>
        </w:rPr>
      </w:pPr>
      <w:r>
        <w:rPr>
          <w:rFonts w:hint="eastAsia" w:ascii="宋体" w:hAnsi="宋体" w:eastAsia="宋体" w:cs="宋体"/>
          <w:color w:val="auto"/>
          <w:highlight w:val="none"/>
        </w:rPr>
        <w:t>(6)保证遵守招标文件中的其他有关规定。</w:t>
      </w:r>
    </w:p>
    <w:p>
      <w:pPr>
        <w:bidi w:val="0"/>
        <w:rPr>
          <w:rFonts w:hint="eastAsia" w:ascii="宋体" w:hAnsi="宋体" w:eastAsia="宋体" w:cs="宋体"/>
          <w:color w:val="auto"/>
          <w:highlight w:val="none"/>
        </w:rPr>
      </w:pPr>
      <w:r>
        <w:rPr>
          <w:rFonts w:hint="eastAsia" w:ascii="宋体" w:hAnsi="宋体" w:eastAsia="宋体" w:cs="宋体"/>
          <w:color w:val="auto"/>
          <w:highlight w:val="none"/>
        </w:rPr>
        <w:t>4、我方承诺投标有效期从提交投标文件的截止之日起 90 天，不少于招标文件中载明的投标有效期（从提交投标文件的截止之日起90天）。</w:t>
      </w:r>
    </w:p>
    <w:p>
      <w:pPr>
        <w:bidi w:val="0"/>
        <w:rPr>
          <w:rFonts w:hint="eastAsia" w:ascii="宋体" w:hAnsi="宋体" w:eastAsia="宋体" w:cs="宋体"/>
          <w:color w:val="auto"/>
          <w:highlight w:val="none"/>
        </w:rPr>
      </w:pPr>
      <w:r>
        <w:rPr>
          <w:rFonts w:hint="eastAsia" w:ascii="宋体" w:hAnsi="宋体" w:eastAsia="宋体" w:cs="宋体"/>
          <w:color w:val="auto"/>
          <w:highlight w:val="none"/>
        </w:rPr>
        <w:t>5、我方完全理解贵方不一定要接受最低价的投标。</w:t>
      </w:r>
    </w:p>
    <w:p>
      <w:pPr>
        <w:bidi w:val="0"/>
        <w:rPr>
          <w:rFonts w:hint="eastAsia" w:ascii="宋体" w:hAnsi="宋体" w:eastAsia="宋体" w:cs="宋体"/>
          <w:color w:val="auto"/>
          <w:highlight w:val="none"/>
        </w:rPr>
      </w:pPr>
      <w:r>
        <w:rPr>
          <w:rFonts w:hint="eastAsia" w:ascii="宋体" w:hAnsi="宋体" w:eastAsia="宋体" w:cs="宋体"/>
          <w:color w:val="auto"/>
          <w:highlight w:val="none"/>
        </w:rPr>
        <w:t>6、我方愿意向贵方提供任何与该项投标有关的数据、情况和技术资料。若贵方需要，我方愿意提供我方作出的一切承诺的证明材料。</w:t>
      </w:r>
    </w:p>
    <w:p>
      <w:pPr>
        <w:bidi w:val="0"/>
        <w:rPr>
          <w:rFonts w:hint="eastAsia" w:ascii="宋体" w:hAnsi="宋体" w:eastAsia="宋体" w:cs="宋体"/>
          <w:color w:val="auto"/>
          <w:highlight w:val="none"/>
        </w:rPr>
      </w:pPr>
      <w:r>
        <w:rPr>
          <w:rFonts w:hint="eastAsia" w:ascii="宋体" w:hAnsi="宋体" w:eastAsia="宋体" w:cs="宋体"/>
          <w:color w:val="auto"/>
          <w:highlight w:val="none"/>
        </w:rPr>
        <w:t>7、我方已详细审核全部招标文件，包括招标文件修改书(如果有)、参考资料及有关附件，确认无误。</w:t>
      </w:r>
    </w:p>
    <w:p>
      <w:pPr>
        <w:bidi w:val="0"/>
        <w:rPr>
          <w:rFonts w:hint="eastAsia" w:ascii="宋体" w:hAnsi="宋体" w:eastAsia="宋体" w:cs="宋体"/>
          <w:color w:val="auto"/>
          <w:highlight w:val="none"/>
        </w:rPr>
      </w:pPr>
      <w:r>
        <w:rPr>
          <w:rFonts w:hint="eastAsia" w:ascii="宋体" w:hAnsi="宋体" w:eastAsia="宋体" w:cs="宋体"/>
          <w:color w:val="auto"/>
          <w:highlight w:val="none"/>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bidi w:val="0"/>
        <w:rPr>
          <w:rFonts w:hint="eastAsia" w:ascii="宋体" w:hAnsi="宋体" w:eastAsia="宋体" w:cs="宋体"/>
          <w:color w:val="auto"/>
          <w:highlight w:val="none"/>
        </w:rPr>
      </w:pPr>
      <w:r>
        <w:rPr>
          <w:rFonts w:hint="eastAsia" w:ascii="宋体" w:hAnsi="宋体" w:eastAsia="宋体" w:cs="宋体"/>
          <w:color w:val="auto"/>
          <w:highlight w:val="none"/>
        </w:rPr>
        <w:t>a)提供虚假材料谋取中标、成交的；</w:t>
      </w:r>
    </w:p>
    <w:p>
      <w:pPr>
        <w:bidi w:val="0"/>
        <w:rPr>
          <w:rFonts w:hint="eastAsia" w:ascii="宋体" w:hAnsi="宋体" w:eastAsia="宋体" w:cs="宋体"/>
          <w:color w:val="auto"/>
          <w:highlight w:val="none"/>
        </w:rPr>
      </w:pPr>
      <w:r>
        <w:rPr>
          <w:rFonts w:hint="eastAsia" w:ascii="宋体" w:hAnsi="宋体" w:eastAsia="宋体" w:cs="宋体"/>
          <w:color w:val="auto"/>
          <w:highlight w:val="none"/>
        </w:rPr>
        <w:t>b)采取不正当手段诋毁、排挤其他供应商的；</w:t>
      </w:r>
    </w:p>
    <w:p>
      <w:pPr>
        <w:bidi w:val="0"/>
        <w:rPr>
          <w:rFonts w:hint="eastAsia" w:ascii="宋体" w:hAnsi="宋体" w:eastAsia="宋体" w:cs="宋体"/>
          <w:color w:val="auto"/>
          <w:highlight w:val="none"/>
        </w:rPr>
      </w:pPr>
      <w:r>
        <w:rPr>
          <w:rFonts w:hint="eastAsia" w:ascii="宋体" w:hAnsi="宋体" w:eastAsia="宋体" w:cs="宋体"/>
          <w:color w:val="auto"/>
          <w:highlight w:val="none"/>
        </w:rPr>
        <w:t>c)与采购人、其它供应商或者采购代理机构恶意串通的；</w:t>
      </w:r>
    </w:p>
    <w:p>
      <w:pPr>
        <w:bidi w:val="0"/>
        <w:rPr>
          <w:rFonts w:hint="eastAsia" w:ascii="宋体" w:hAnsi="宋体" w:eastAsia="宋体" w:cs="宋体"/>
          <w:color w:val="auto"/>
          <w:highlight w:val="none"/>
        </w:rPr>
      </w:pPr>
      <w:r>
        <w:rPr>
          <w:rFonts w:hint="eastAsia" w:ascii="宋体" w:hAnsi="宋体" w:eastAsia="宋体" w:cs="宋体"/>
          <w:color w:val="auto"/>
          <w:highlight w:val="none"/>
        </w:rPr>
        <w:t>d)向采购人、采购代理机构行贿或者提供其他不正当利益的；</w:t>
      </w:r>
    </w:p>
    <w:p>
      <w:pPr>
        <w:bidi w:val="0"/>
        <w:rPr>
          <w:rFonts w:hint="eastAsia" w:ascii="宋体" w:hAnsi="宋体" w:eastAsia="宋体" w:cs="宋体"/>
          <w:color w:val="auto"/>
          <w:highlight w:val="none"/>
        </w:rPr>
      </w:pPr>
      <w:r>
        <w:rPr>
          <w:rFonts w:hint="eastAsia" w:ascii="宋体" w:hAnsi="宋体" w:eastAsia="宋体" w:cs="宋体"/>
          <w:color w:val="auto"/>
          <w:highlight w:val="none"/>
        </w:rPr>
        <w:t>e)在招标采购过程中与采购人进行协商谈判的；</w:t>
      </w:r>
    </w:p>
    <w:p>
      <w:pPr>
        <w:bidi w:val="0"/>
        <w:rPr>
          <w:rFonts w:hint="eastAsia" w:ascii="宋体" w:hAnsi="宋体" w:eastAsia="宋体" w:cs="宋体"/>
          <w:color w:val="auto"/>
          <w:highlight w:val="none"/>
        </w:rPr>
      </w:pPr>
      <w:r>
        <w:rPr>
          <w:rFonts w:hint="eastAsia" w:ascii="宋体" w:hAnsi="宋体" w:eastAsia="宋体" w:cs="宋体"/>
          <w:color w:val="auto"/>
          <w:highlight w:val="none"/>
        </w:rPr>
        <w:t>f)拒绝有关部门监督检查或提供虚假情况的。</w:t>
      </w:r>
    </w:p>
    <w:p>
      <w:pPr>
        <w:bidi w:val="0"/>
        <w:rPr>
          <w:rFonts w:hint="eastAsia" w:ascii="宋体" w:hAnsi="宋体" w:eastAsia="宋体" w:cs="宋体"/>
          <w:color w:val="auto"/>
          <w:highlight w:val="none"/>
        </w:rPr>
      </w:pPr>
      <w:r>
        <w:rPr>
          <w:rFonts w:hint="eastAsia" w:ascii="宋体" w:hAnsi="宋体" w:eastAsia="宋体" w:cs="宋体"/>
          <w:color w:val="auto"/>
          <w:highlight w:val="none"/>
        </w:rPr>
        <w:t>供应商有前款第a)至e)项情形之一的，中标、成交无效。</w:t>
      </w:r>
    </w:p>
    <w:p>
      <w:pPr>
        <w:ind w:firstLine="3600" w:firstLineChars="1500"/>
        <w:rPr>
          <w:rFonts w:hint="eastAsia" w:ascii="宋体" w:hAnsi="宋体" w:eastAsia="宋体" w:cs="宋体"/>
          <w:color w:val="auto"/>
          <w:highlight w:val="none"/>
        </w:rPr>
      </w:pPr>
    </w:p>
    <w:p>
      <w:pPr>
        <w:pStyle w:val="48"/>
        <w:rPr>
          <w:rFonts w:hint="eastAsia" w:ascii="宋体" w:hAnsi="宋体" w:eastAsia="宋体" w:cs="宋体"/>
          <w:color w:val="auto"/>
          <w:highlight w:val="none"/>
        </w:rPr>
      </w:pPr>
    </w:p>
    <w:p>
      <w:pPr>
        <w:bidi w:val="0"/>
        <w:rPr>
          <w:rFonts w:hint="eastAsia" w:ascii="宋体" w:hAnsi="宋体" w:eastAsia="宋体" w:cs="宋体"/>
          <w:color w:val="auto"/>
          <w:highlight w:val="none"/>
        </w:rPr>
      </w:pPr>
      <w:r>
        <w:rPr>
          <w:rFonts w:hint="eastAsia" w:ascii="宋体" w:hAnsi="宋体" w:eastAsia="宋体" w:cs="宋体"/>
          <w:color w:val="auto"/>
          <w:highlight w:val="none"/>
        </w:rPr>
        <w:t>投标人名称（公章）：</w:t>
      </w:r>
    </w:p>
    <w:p>
      <w:pPr>
        <w:bidi w:val="0"/>
        <w:rPr>
          <w:rFonts w:hint="eastAsia" w:ascii="宋体" w:hAnsi="宋体" w:eastAsia="宋体" w:cs="宋体"/>
          <w:color w:val="auto"/>
          <w:highlight w:val="none"/>
        </w:rPr>
      </w:pPr>
      <w:r>
        <w:rPr>
          <w:rFonts w:hint="eastAsia" w:ascii="宋体" w:hAnsi="宋体" w:eastAsia="宋体" w:cs="宋体"/>
          <w:color w:val="auto"/>
          <w:highlight w:val="none"/>
        </w:rPr>
        <w:t>法定代表人或其授权代表（签字或盖章）：</w:t>
      </w:r>
    </w:p>
    <w:p>
      <w:pPr>
        <w:bidi w:val="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snapToGrid w:val="0"/>
        <w:ind w:left="480" w:leftChars="200" w:firstLine="4200" w:firstLineChars="1750"/>
        <w:rPr>
          <w:rFonts w:hint="eastAsia" w:ascii="宋体" w:hAnsi="宋体" w:eastAsia="宋体" w:cs="宋体"/>
          <w:color w:val="auto"/>
          <w:kern w:val="0"/>
          <w:highlight w:val="none"/>
          <w:u w:val="single"/>
          <w:lang w:val="zh-CN"/>
        </w:rPr>
      </w:pPr>
    </w:p>
    <w:p>
      <w:pPr>
        <w:bidi w:val="0"/>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联系人：                           联系电话：                 </w:t>
      </w:r>
    </w:p>
    <w:p>
      <w:pPr>
        <w:bidi w:val="0"/>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联系地址：                                                    </w:t>
      </w:r>
    </w:p>
    <w:p>
      <w:pPr>
        <w:bidi w:val="0"/>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邮政编码：                     传真号码：                     </w:t>
      </w:r>
    </w:p>
    <w:p>
      <w:pPr>
        <w:ind w:firstLine="482"/>
        <w:rPr>
          <w:rFonts w:hint="eastAsia" w:ascii="宋体" w:hAnsi="宋体" w:eastAsia="宋体" w:cs="宋体"/>
          <w:b/>
          <w:bCs/>
          <w:color w:val="auto"/>
          <w:highlight w:val="none"/>
          <w:lang w:val="zh-CN"/>
        </w:rPr>
      </w:pPr>
    </w:p>
    <w:p>
      <w:pPr>
        <w:bidi w:val="0"/>
        <w:rPr>
          <w:rFonts w:hint="eastAsia" w:ascii="宋体" w:hAnsi="宋体" w:eastAsia="宋体" w:cs="宋体"/>
          <w:color w:val="auto"/>
          <w:highlight w:val="none"/>
          <w:lang w:val="zh-CN"/>
        </w:rPr>
      </w:pPr>
      <w:r>
        <w:rPr>
          <w:rFonts w:hint="eastAsia" w:ascii="宋体" w:hAnsi="宋体" w:eastAsia="宋体" w:cs="宋体"/>
          <w:b/>
          <w:bCs/>
          <w:color w:val="auto"/>
          <w:highlight w:val="none"/>
          <w:lang w:val="zh-CN"/>
        </w:rPr>
        <w:t>注：未按照本投标响应函要求填报的将被视为非实质性响应投标，从而可能导致该投标被拒绝。</w:t>
      </w:r>
    </w:p>
    <w:p>
      <w:pPr>
        <w:bidi w:val="0"/>
        <w:rPr>
          <w:rFonts w:hint="eastAsia" w:ascii="宋体" w:hAnsi="宋体" w:eastAsia="宋体" w:cs="宋体"/>
          <w:color w:val="auto"/>
          <w:highlight w:val="none"/>
        </w:rPr>
        <w:sectPr>
          <w:footerReference r:id="rId17" w:type="default"/>
          <w:pgSz w:w="11907" w:h="16840"/>
          <w:pgMar w:top="1440" w:right="1080" w:bottom="1440" w:left="1080" w:header="850" w:footer="992" w:gutter="0"/>
          <w:pgBorders>
            <w:top w:val="none" w:color="auto" w:sz="0" w:space="0"/>
            <w:left w:val="none" w:color="auto" w:sz="0" w:space="0"/>
            <w:bottom w:val="none" w:color="auto" w:sz="0" w:space="0"/>
            <w:right w:val="none" w:color="auto" w:sz="0" w:space="0"/>
          </w:pgBorders>
          <w:cols w:space="720" w:num="1"/>
          <w:docGrid w:linePitch="286" w:charSpace="0"/>
        </w:sectPr>
      </w:pPr>
      <w:bookmarkStart w:id="167" w:name="_Toc2416"/>
    </w:p>
    <w:p>
      <w:pPr>
        <w:pStyle w:val="6"/>
        <w:numPr>
          <w:ilvl w:val="0"/>
          <w:numId w:val="40"/>
        </w:numPr>
        <w:bidi w:val="0"/>
        <w:rPr>
          <w:rFonts w:hint="eastAsia" w:ascii="宋体" w:hAnsi="宋体" w:eastAsia="宋体" w:cs="宋体"/>
          <w:color w:val="auto"/>
          <w:highlight w:val="none"/>
        </w:rPr>
      </w:pPr>
      <w:r>
        <w:rPr>
          <w:rFonts w:hint="eastAsia" w:ascii="宋体" w:hAnsi="宋体" w:eastAsia="宋体" w:cs="宋体"/>
          <w:color w:val="auto"/>
          <w:highlight w:val="none"/>
        </w:rPr>
        <w:t>开标一览表</w:t>
      </w:r>
      <w:bookmarkEnd w:id="167"/>
    </w:p>
    <w:p>
      <w:pPr>
        <w:snapToGrid w:val="0"/>
        <w:ind w:left="0" w:leftChars="0" w:right="0" w:rightChars="0" w:firstLine="0" w:firstLineChars="0"/>
        <w:jc w:val="center"/>
        <w:rPr>
          <w:rFonts w:hint="eastAsia" w:ascii="宋体" w:hAnsi="宋体" w:eastAsia="宋体" w:cs="宋体"/>
          <w:b/>
          <w:color w:val="auto"/>
          <w:kern w:val="0"/>
          <w:sz w:val="32"/>
          <w:highlight w:val="none"/>
        </w:rPr>
      </w:pPr>
      <w:bookmarkStart w:id="168" w:name="_Toc14446"/>
      <w:bookmarkStart w:id="169" w:name="_Toc29517"/>
      <w:r>
        <w:rPr>
          <w:rFonts w:hint="eastAsia" w:ascii="宋体" w:hAnsi="宋体" w:eastAsia="宋体" w:cs="宋体"/>
          <w:b/>
          <w:color w:val="auto"/>
          <w:kern w:val="0"/>
          <w:sz w:val="32"/>
          <w:highlight w:val="none"/>
        </w:rPr>
        <w:t>开标一览表</w:t>
      </w:r>
      <w:bookmarkEnd w:id="168"/>
      <w:bookmarkEnd w:id="169"/>
    </w:p>
    <w:p>
      <w:pPr>
        <w:bidi w:val="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cs="宋体"/>
          <w:bCs/>
          <w:color w:val="auto"/>
          <w:spacing w:val="-6"/>
          <w:highlight w:val="none"/>
          <w:lang w:eastAsia="zh-CN"/>
        </w:rPr>
        <w:t>浙江海洋大学</w:t>
      </w:r>
      <w:r>
        <w:rPr>
          <w:rFonts w:hint="eastAsia" w:ascii="宋体" w:hAnsi="宋体" w:eastAsia="宋体" w:cs="宋体"/>
          <w:bCs/>
          <w:color w:val="auto"/>
          <w:spacing w:val="-6"/>
          <w:highlight w:val="none"/>
        </w:rPr>
        <w:t>、浙江五石工程咨询有限公司</w:t>
      </w:r>
      <w:r>
        <w:rPr>
          <w:rFonts w:hint="eastAsia" w:ascii="宋体" w:hAnsi="宋体" w:eastAsia="宋体" w:cs="宋体"/>
          <w:color w:val="auto"/>
          <w:spacing w:val="-6"/>
          <w:highlight w:val="none"/>
        </w:rPr>
        <w:t>：</w:t>
      </w:r>
    </w:p>
    <w:p>
      <w:pPr>
        <w:ind w:firstLine="480" w:firstLineChars="200"/>
        <w:rPr>
          <w:rFonts w:hint="eastAsia" w:ascii="宋体" w:hAnsi="宋体" w:eastAsia="宋体" w:cs="宋体"/>
          <w:b w:val="0"/>
          <w:color w:val="auto"/>
          <w:kern w:val="0"/>
          <w:sz w:val="24"/>
          <w:highlight w:val="none"/>
          <w:lang w:val="zh-CN"/>
        </w:rPr>
      </w:pPr>
      <w:bookmarkStart w:id="170" w:name="_Toc32310"/>
      <w:bookmarkStart w:id="171" w:name="_Toc18686"/>
      <w:r>
        <w:rPr>
          <w:rFonts w:hint="eastAsia" w:ascii="宋体" w:hAnsi="宋体" w:eastAsia="宋体" w:cs="宋体"/>
          <w:b w:val="0"/>
          <w:color w:val="auto"/>
          <w:kern w:val="0"/>
          <w:sz w:val="24"/>
          <w:highlight w:val="none"/>
          <w:lang w:val="zh-CN"/>
        </w:rPr>
        <w:t>按招标文件要求，我方（</w:t>
      </w:r>
      <w:r>
        <w:rPr>
          <w:rFonts w:hint="eastAsia" w:ascii="宋体" w:hAnsi="宋体" w:eastAsia="宋体" w:cs="宋体"/>
          <w:b w:val="0"/>
          <w:color w:val="auto"/>
          <w:kern w:val="0"/>
          <w:sz w:val="24"/>
          <w:highlight w:val="none"/>
        </w:rPr>
        <w:t>投标人</w:t>
      </w:r>
      <w:r>
        <w:rPr>
          <w:rFonts w:hint="eastAsia" w:ascii="宋体" w:hAnsi="宋体" w:eastAsia="宋体" w:cs="宋体"/>
          <w:b w:val="0"/>
          <w:color w:val="auto"/>
          <w:kern w:val="0"/>
          <w:sz w:val="24"/>
          <w:highlight w:val="none"/>
          <w:lang w:val="zh-CN"/>
        </w:rPr>
        <w:t>）承诺按照如下开标一览表的价格完成[</w:t>
      </w:r>
      <w:r>
        <w:rPr>
          <w:rFonts w:hint="eastAsia" w:ascii="宋体" w:hAnsi="宋体" w:eastAsia="宋体" w:cs="宋体"/>
          <w:b w:val="0"/>
          <w:color w:val="auto"/>
          <w:kern w:val="0"/>
          <w:sz w:val="24"/>
          <w:highlight w:val="none"/>
        </w:rPr>
        <w:t>项目</w:t>
      </w:r>
      <w:r>
        <w:rPr>
          <w:rFonts w:hint="eastAsia" w:ascii="宋体" w:hAnsi="宋体" w:eastAsia="宋体" w:cs="宋体"/>
          <w:b w:val="0"/>
          <w:color w:val="auto"/>
          <w:kern w:val="0"/>
          <w:sz w:val="24"/>
          <w:highlight w:val="none"/>
          <w:lang w:val="zh-CN"/>
        </w:rPr>
        <w:t>编号：</w:t>
      </w:r>
      <w:r>
        <w:rPr>
          <w:rFonts w:hint="eastAsia" w:ascii="宋体" w:hAnsi="宋体" w:eastAsia="宋体" w:cs="宋体"/>
          <w:b w:val="0"/>
          <w:color w:val="auto"/>
          <w:kern w:val="0"/>
          <w:sz w:val="24"/>
          <w:highlight w:val="none"/>
          <w:u w:val="single"/>
        </w:rPr>
        <w:t xml:space="preserve">       </w:t>
      </w:r>
      <w:r>
        <w:rPr>
          <w:rFonts w:hint="eastAsia" w:ascii="宋体" w:hAnsi="宋体" w:eastAsia="宋体" w:cs="宋体"/>
          <w:b w:val="0"/>
          <w:color w:val="auto"/>
          <w:kern w:val="0"/>
          <w:sz w:val="24"/>
          <w:highlight w:val="none"/>
          <w:lang w:val="zh-CN"/>
        </w:rPr>
        <w:t>]项目名称：</w:t>
      </w:r>
      <w:r>
        <w:rPr>
          <w:rFonts w:hint="eastAsia" w:ascii="宋体" w:hAnsi="宋体" w:eastAsia="宋体" w:cs="宋体"/>
          <w:b w:val="0"/>
          <w:color w:val="auto"/>
          <w:sz w:val="24"/>
          <w:highlight w:val="none"/>
          <w:u w:val="single"/>
        </w:rPr>
        <w:t xml:space="preserve">      </w:t>
      </w:r>
      <w:r>
        <w:rPr>
          <w:rFonts w:hint="eastAsia" w:ascii="宋体" w:hAnsi="宋体" w:eastAsia="宋体" w:cs="宋体"/>
          <w:b w:val="0"/>
          <w:color w:val="auto"/>
          <w:kern w:val="0"/>
          <w:sz w:val="24"/>
          <w:highlight w:val="none"/>
          <w:lang w:val="zh-CN"/>
        </w:rPr>
        <w:t>]标项：</w:t>
      </w:r>
      <w:r>
        <w:rPr>
          <w:rFonts w:hint="eastAsia" w:ascii="宋体" w:hAnsi="宋体" w:eastAsia="宋体" w:cs="宋体"/>
          <w:b w:val="0"/>
          <w:color w:val="auto"/>
          <w:kern w:val="0"/>
          <w:sz w:val="24"/>
          <w:highlight w:val="none"/>
          <w:u w:val="single"/>
        </w:rPr>
        <w:t xml:space="preserve">     </w:t>
      </w:r>
      <w:r>
        <w:rPr>
          <w:rFonts w:hint="eastAsia" w:ascii="宋体" w:hAnsi="宋体" w:eastAsia="宋体" w:cs="宋体"/>
          <w:b w:val="0"/>
          <w:color w:val="auto"/>
          <w:kern w:val="0"/>
          <w:sz w:val="24"/>
          <w:highlight w:val="none"/>
          <w:lang w:val="zh-CN"/>
        </w:rPr>
        <w:t>的</w:t>
      </w:r>
      <w:r>
        <w:rPr>
          <w:rFonts w:hint="eastAsia" w:ascii="宋体" w:hAnsi="宋体" w:eastAsia="宋体" w:cs="宋体"/>
          <w:b w:val="0"/>
          <w:color w:val="auto"/>
          <w:kern w:val="0"/>
          <w:sz w:val="24"/>
          <w:highlight w:val="none"/>
        </w:rPr>
        <w:t>内容</w:t>
      </w:r>
      <w:r>
        <w:rPr>
          <w:rFonts w:hint="eastAsia" w:ascii="宋体" w:hAnsi="宋体" w:eastAsia="宋体" w:cs="宋体"/>
          <w:b w:val="0"/>
          <w:color w:val="auto"/>
          <w:kern w:val="0"/>
          <w:sz w:val="24"/>
          <w:highlight w:val="none"/>
          <w:lang w:val="zh-CN"/>
        </w:rPr>
        <w:t>实施。</w:t>
      </w:r>
      <w:bookmarkEnd w:id="170"/>
      <w:bookmarkEnd w:id="171"/>
    </w:p>
    <w:p>
      <w:pPr>
        <w:jc w:val="right"/>
        <w:rPr>
          <w:rFonts w:hint="eastAsia" w:ascii="宋体" w:hAnsi="宋体" w:eastAsia="宋体" w:cs="宋体"/>
          <w:b/>
          <w:bCs/>
          <w:color w:val="auto"/>
          <w:highlight w:val="none"/>
        </w:rPr>
      </w:pPr>
    </w:p>
    <w:p>
      <w:pPr>
        <w:jc w:val="right"/>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rPr>
        <w:t>金额单位：</w:t>
      </w:r>
      <w:r>
        <w:rPr>
          <w:rFonts w:hint="eastAsia" w:cs="宋体"/>
          <w:b/>
          <w:bCs/>
          <w:color w:val="auto"/>
          <w:highlight w:val="none"/>
          <w:lang w:eastAsia="zh-CN"/>
        </w:rPr>
        <w:t>元</w:t>
      </w:r>
    </w:p>
    <w:tbl>
      <w:tblPr>
        <w:tblStyle w:val="46"/>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247"/>
        <w:gridCol w:w="5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1080" w:type="dxa"/>
            <w:vAlign w:val="center"/>
          </w:tcPr>
          <w:p>
            <w:pPr>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标项号</w:t>
            </w:r>
          </w:p>
        </w:tc>
        <w:tc>
          <w:tcPr>
            <w:tcW w:w="3247" w:type="dxa"/>
            <w:vAlign w:val="center"/>
          </w:tcPr>
          <w:p>
            <w:pPr>
              <w:spacing w:line="360" w:lineRule="auto"/>
              <w:ind w:left="0" w:leftChars="0" w:firstLine="0" w:firstLineChars="0"/>
              <w:jc w:val="center"/>
              <w:rPr>
                <w:rFonts w:hint="eastAsia" w:ascii="宋体" w:hAnsi="宋体" w:eastAsia="宋体" w:cs="宋体"/>
                <w:color w:val="auto"/>
                <w:sz w:val="24"/>
                <w:szCs w:val="24"/>
              </w:rPr>
            </w:pPr>
            <w:r>
              <w:rPr>
                <w:rFonts w:hint="eastAsia" w:cs="宋体"/>
                <w:color w:val="auto"/>
                <w:sz w:val="24"/>
                <w:szCs w:val="24"/>
                <w:lang w:eastAsia="zh-CN"/>
              </w:rPr>
              <w:t>项目</w:t>
            </w:r>
            <w:r>
              <w:rPr>
                <w:rFonts w:hint="eastAsia" w:ascii="宋体" w:hAnsi="宋体" w:eastAsia="宋体" w:cs="宋体"/>
                <w:color w:val="auto"/>
                <w:sz w:val="24"/>
                <w:szCs w:val="24"/>
              </w:rPr>
              <w:t>名称</w:t>
            </w:r>
          </w:p>
        </w:tc>
        <w:tc>
          <w:tcPr>
            <w:tcW w:w="5213" w:type="dxa"/>
            <w:vAlign w:val="center"/>
          </w:tcPr>
          <w:p>
            <w:pPr>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w:t>
            </w:r>
            <w:r>
              <w:rPr>
                <w:rFonts w:hint="eastAsia" w:cs="宋体"/>
                <w:color w:val="auto"/>
                <w:sz w:val="24"/>
                <w:szCs w:val="24"/>
                <w:lang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080" w:type="dxa"/>
            <w:vAlign w:val="center"/>
          </w:tcPr>
          <w:p>
            <w:pPr>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一</w:t>
            </w:r>
          </w:p>
        </w:tc>
        <w:tc>
          <w:tcPr>
            <w:tcW w:w="3247" w:type="dxa"/>
            <w:vAlign w:val="center"/>
          </w:tcPr>
          <w:p>
            <w:pPr>
              <w:spacing w:line="360" w:lineRule="auto"/>
              <w:ind w:left="0" w:leftChars="0" w:firstLine="0" w:firstLineChars="0"/>
              <w:jc w:val="center"/>
              <w:rPr>
                <w:rFonts w:hint="eastAsia" w:ascii="宋体" w:hAnsi="宋体" w:eastAsia="宋体" w:cs="宋体"/>
                <w:color w:val="auto"/>
                <w:sz w:val="24"/>
                <w:szCs w:val="24"/>
              </w:rPr>
            </w:pPr>
          </w:p>
        </w:tc>
        <w:tc>
          <w:tcPr>
            <w:tcW w:w="5213" w:type="dxa"/>
            <w:vAlign w:val="center"/>
          </w:tcPr>
          <w:p>
            <w:pPr>
              <w:spacing w:line="360" w:lineRule="auto"/>
              <w:ind w:left="0" w:leftChars="0" w:firstLine="0" w:firstLineChars="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80" w:type="dxa"/>
            <w:vAlign w:val="top"/>
          </w:tcPr>
          <w:p>
            <w:pPr>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投</w:t>
            </w:r>
          </w:p>
          <w:p>
            <w:pPr>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标</w:t>
            </w:r>
          </w:p>
          <w:p>
            <w:pPr>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人</w:t>
            </w:r>
          </w:p>
          <w:p>
            <w:pPr>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申</w:t>
            </w:r>
          </w:p>
          <w:p>
            <w:pPr>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明</w:t>
            </w:r>
          </w:p>
        </w:tc>
        <w:tc>
          <w:tcPr>
            <w:tcW w:w="8460" w:type="dxa"/>
            <w:gridSpan w:val="2"/>
            <w:vAlign w:val="top"/>
          </w:tcPr>
          <w:p>
            <w:pPr>
              <w:spacing w:line="360" w:lineRule="auto"/>
              <w:ind w:left="0" w:leftChars="0" w:firstLine="0" w:firstLineChars="0"/>
              <w:jc w:val="center"/>
              <w:rPr>
                <w:rFonts w:hint="eastAsia" w:ascii="宋体" w:hAnsi="宋体" w:eastAsia="宋体" w:cs="宋体"/>
                <w:color w:val="auto"/>
                <w:sz w:val="24"/>
                <w:szCs w:val="24"/>
              </w:rPr>
            </w:pPr>
          </w:p>
          <w:p>
            <w:pPr>
              <w:spacing w:line="360" w:lineRule="auto"/>
              <w:ind w:left="0" w:leftChars="0" w:firstLine="0" w:firstLineChars="0"/>
              <w:jc w:val="center"/>
              <w:rPr>
                <w:rFonts w:hint="eastAsia" w:ascii="宋体" w:hAnsi="宋体" w:eastAsia="宋体" w:cs="宋体"/>
                <w:color w:val="auto"/>
                <w:sz w:val="24"/>
                <w:szCs w:val="24"/>
              </w:rPr>
            </w:pPr>
          </w:p>
          <w:p>
            <w:pPr>
              <w:spacing w:line="360" w:lineRule="auto"/>
              <w:ind w:left="0" w:leftChars="0" w:firstLine="0" w:firstLineChars="0"/>
              <w:jc w:val="center"/>
              <w:rPr>
                <w:rFonts w:hint="eastAsia" w:ascii="宋体" w:hAnsi="宋体" w:eastAsia="宋体" w:cs="宋体"/>
                <w:color w:val="auto"/>
                <w:sz w:val="24"/>
                <w:szCs w:val="24"/>
              </w:rPr>
            </w:pPr>
          </w:p>
          <w:p>
            <w:pPr>
              <w:spacing w:line="360" w:lineRule="auto"/>
              <w:ind w:left="0" w:leftChars="0" w:firstLine="0" w:firstLineChars="0"/>
              <w:jc w:val="center"/>
              <w:rPr>
                <w:rFonts w:hint="eastAsia" w:ascii="宋体" w:hAnsi="宋体" w:eastAsia="宋体" w:cs="宋体"/>
                <w:color w:val="auto"/>
                <w:sz w:val="24"/>
                <w:szCs w:val="24"/>
              </w:rPr>
            </w:pPr>
          </w:p>
          <w:p>
            <w:pPr>
              <w:spacing w:line="360" w:lineRule="auto"/>
              <w:ind w:left="0" w:leftChars="0" w:firstLine="0" w:firstLineChars="0"/>
              <w:jc w:val="center"/>
              <w:rPr>
                <w:rFonts w:hint="eastAsia" w:ascii="宋体" w:hAnsi="宋体" w:eastAsia="宋体" w:cs="宋体"/>
                <w:color w:val="auto"/>
                <w:sz w:val="24"/>
                <w:szCs w:val="24"/>
              </w:rPr>
            </w:pPr>
          </w:p>
        </w:tc>
      </w:tr>
    </w:tbl>
    <w:p>
      <w:pPr>
        <w:rPr>
          <w:rFonts w:hint="eastAsia" w:ascii="宋体" w:hAnsi="宋体" w:eastAsia="宋体" w:cs="宋体"/>
          <w:color w:val="auto"/>
          <w:highlight w:val="none"/>
        </w:rPr>
      </w:pPr>
    </w:p>
    <w:p>
      <w:pPr>
        <w:pStyle w:val="22"/>
        <w:rPr>
          <w:rFonts w:hint="eastAsia" w:ascii="宋体" w:hAnsi="宋体" w:eastAsia="宋体" w:cs="宋体"/>
          <w:color w:val="auto"/>
          <w:highlight w:val="none"/>
          <w:lang w:val="zh-CN"/>
        </w:rPr>
      </w:pPr>
    </w:p>
    <w:p>
      <w:pPr>
        <w:bidi w:val="0"/>
        <w:rPr>
          <w:rFonts w:hint="eastAsia" w:ascii="宋体" w:hAnsi="宋体" w:eastAsia="宋体" w:cs="宋体"/>
          <w:color w:val="auto"/>
          <w:highlight w:val="none"/>
        </w:rPr>
      </w:pPr>
      <w:r>
        <w:rPr>
          <w:rFonts w:hint="eastAsia" w:ascii="宋体" w:hAnsi="宋体" w:eastAsia="宋体" w:cs="宋体"/>
          <w:color w:val="auto"/>
          <w:highlight w:val="none"/>
        </w:rPr>
        <w:t>投标人名称（公章）：</w:t>
      </w:r>
    </w:p>
    <w:p>
      <w:pPr>
        <w:bidi w:val="0"/>
        <w:rPr>
          <w:rFonts w:hint="eastAsia" w:ascii="宋体" w:hAnsi="宋体" w:eastAsia="宋体" w:cs="宋体"/>
          <w:color w:val="auto"/>
          <w:highlight w:val="none"/>
        </w:rPr>
      </w:pPr>
      <w:r>
        <w:rPr>
          <w:rFonts w:hint="eastAsia" w:ascii="宋体" w:hAnsi="宋体" w:eastAsia="宋体" w:cs="宋体"/>
          <w:color w:val="auto"/>
          <w:highlight w:val="none"/>
        </w:rPr>
        <w:t>法定代表人或其授权代表（签字）：</w:t>
      </w:r>
    </w:p>
    <w:p>
      <w:pPr>
        <w:bidi w:val="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ind w:firstLine="480"/>
        <w:rPr>
          <w:rFonts w:hint="eastAsia" w:ascii="宋体" w:hAnsi="宋体" w:eastAsia="宋体" w:cs="宋体"/>
          <w:color w:val="auto"/>
          <w:highlight w:val="none"/>
          <w:lang w:val="zh-CN"/>
        </w:rPr>
      </w:pPr>
    </w:p>
    <w:p>
      <w:pPr>
        <w:pStyle w:val="22"/>
        <w:rPr>
          <w:rFonts w:hint="eastAsia" w:ascii="宋体" w:hAnsi="宋体" w:eastAsia="宋体" w:cs="宋体"/>
          <w:color w:val="auto"/>
          <w:highlight w:val="none"/>
          <w:lang w:val="zh-CN"/>
        </w:rPr>
      </w:pPr>
    </w:p>
    <w:p>
      <w:pPr>
        <w:pStyle w:val="22"/>
        <w:rPr>
          <w:rFonts w:hint="eastAsia" w:ascii="宋体" w:hAnsi="宋体" w:eastAsia="宋体" w:cs="宋体"/>
          <w:color w:val="auto"/>
          <w:highlight w:val="none"/>
          <w:lang w:val="zh-CN"/>
        </w:rPr>
      </w:pPr>
    </w:p>
    <w:p>
      <w:pPr>
        <w:pStyle w:val="22"/>
        <w:rPr>
          <w:rFonts w:hint="eastAsia" w:ascii="宋体" w:hAnsi="宋体" w:eastAsia="宋体" w:cs="宋体"/>
          <w:color w:val="auto"/>
          <w:highlight w:val="none"/>
          <w:lang w:val="zh-CN"/>
        </w:rPr>
      </w:pPr>
    </w:p>
    <w:p>
      <w:pPr>
        <w:pStyle w:val="22"/>
        <w:rPr>
          <w:rFonts w:hint="eastAsia" w:ascii="宋体" w:hAnsi="宋体" w:eastAsia="宋体" w:cs="宋体"/>
          <w:color w:val="auto"/>
          <w:highlight w:val="none"/>
          <w:lang w:val="zh-CN"/>
        </w:rPr>
      </w:pPr>
    </w:p>
    <w:p>
      <w:pPr>
        <w:pStyle w:val="22"/>
        <w:rPr>
          <w:rFonts w:hint="eastAsia" w:ascii="宋体" w:hAnsi="宋体" w:eastAsia="宋体" w:cs="宋体"/>
          <w:color w:val="auto"/>
          <w:highlight w:val="none"/>
          <w:lang w:val="zh-CN"/>
        </w:rPr>
      </w:pPr>
    </w:p>
    <w:p>
      <w:pPr>
        <w:pStyle w:val="12"/>
        <w:ind w:left="0" w:leftChars="0" w:firstLine="0" w:firstLineChars="0"/>
        <w:rPr>
          <w:rFonts w:hint="eastAsia" w:ascii="宋体" w:hAnsi="宋体" w:eastAsia="宋体" w:cs="宋体"/>
          <w:bCs/>
          <w:color w:val="auto"/>
          <w:spacing w:val="-6"/>
          <w:highlight w:val="none"/>
        </w:rPr>
      </w:pPr>
    </w:p>
    <w:p>
      <w:pPr>
        <w:spacing w:line="400" w:lineRule="exact"/>
        <w:jc w:val="center"/>
        <w:rPr>
          <w:rFonts w:hint="eastAsia" w:ascii="宋体" w:hAnsi="宋体" w:cs="宋体"/>
          <w:b/>
          <w:sz w:val="24"/>
          <w:szCs w:val="24"/>
        </w:rPr>
        <w:sectPr>
          <w:footerReference r:id="rId18" w:type="default"/>
          <w:pgSz w:w="11907" w:h="16840"/>
          <w:pgMar w:top="1440" w:right="1080" w:bottom="1440" w:left="1080" w:header="850" w:footer="992" w:gutter="0"/>
          <w:pgBorders>
            <w:top w:val="none" w:color="auto" w:sz="0" w:space="0"/>
            <w:left w:val="none" w:color="auto" w:sz="0" w:space="0"/>
            <w:bottom w:val="none" w:color="auto" w:sz="0" w:space="0"/>
            <w:right w:val="none" w:color="auto" w:sz="0" w:space="0"/>
          </w:pgBorders>
          <w:cols w:space="720" w:num="1"/>
          <w:docGrid w:linePitch="286" w:charSpace="0"/>
        </w:sectPr>
      </w:pPr>
    </w:p>
    <w:p>
      <w:pPr>
        <w:pStyle w:val="6"/>
        <w:numPr>
          <w:ilvl w:val="0"/>
          <w:numId w:val="40"/>
        </w:numPr>
        <w:bidi w:val="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投标分项报价表</w:t>
      </w:r>
    </w:p>
    <w:p>
      <w:pPr>
        <w:spacing w:line="400" w:lineRule="exact"/>
        <w:jc w:val="center"/>
        <w:rPr>
          <w:rFonts w:ascii="宋体" w:hAnsi="宋体" w:cs="宋体"/>
          <w:b/>
          <w:sz w:val="24"/>
          <w:szCs w:val="24"/>
        </w:rPr>
      </w:pPr>
      <w:r>
        <w:rPr>
          <w:rFonts w:hint="eastAsia" w:ascii="宋体" w:hAnsi="宋体" w:cs="宋体"/>
          <w:b/>
          <w:sz w:val="24"/>
          <w:szCs w:val="24"/>
        </w:rPr>
        <w:t>投标分项报价表</w:t>
      </w:r>
    </w:p>
    <w:p>
      <w:pPr>
        <w:spacing w:line="460" w:lineRule="exact"/>
        <w:rPr>
          <w:rFonts w:ascii="宋体" w:hAnsi="宋体" w:cs="宋体"/>
          <w:sz w:val="30"/>
        </w:rPr>
      </w:pPr>
      <w:r>
        <w:rPr>
          <w:rFonts w:hint="eastAsia" w:ascii="宋体" w:hAnsi="宋体" w:cs="宋体"/>
          <w:sz w:val="24"/>
          <w:szCs w:val="24"/>
        </w:rPr>
        <w:t>招标项目名称：</w:t>
      </w:r>
      <w:r>
        <w:rPr>
          <w:rFonts w:hint="eastAsia" w:ascii="宋体" w:hAnsi="宋体" w:cs="宋体"/>
          <w:sz w:val="24"/>
          <w:szCs w:val="24"/>
          <w:u w:val="single"/>
        </w:rPr>
        <w:t xml:space="preserve">_______               </w:t>
      </w:r>
      <w:r>
        <w:rPr>
          <w:rFonts w:hint="eastAsia" w:ascii="宋体" w:hAnsi="宋体" w:cs="宋体"/>
          <w:spacing w:val="14"/>
          <w:sz w:val="24"/>
          <w:szCs w:val="24"/>
        </w:rPr>
        <w:t>招标编号</w:t>
      </w:r>
      <w:r>
        <w:rPr>
          <w:rFonts w:hint="eastAsia" w:ascii="宋体" w:hAnsi="宋体" w:cs="宋体"/>
          <w:sz w:val="24"/>
          <w:szCs w:val="24"/>
        </w:rPr>
        <w:t>：</w:t>
      </w:r>
      <w:r>
        <w:rPr>
          <w:rFonts w:hint="eastAsia" w:ascii="宋体" w:hAnsi="宋体" w:cs="宋体"/>
          <w:sz w:val="24"/>
          <w:szCs w:val="24"/>
          <w:u w:val="single"/>
        </w:rPr>
        <w:t xml:space="preserve">_____                </w:t>
      </w:r>
      <w:r>
        <w:rPr>
          <w:rFonts w:hint="eastAsia" w:ascii="宋体" w:hAnsi="宋体" w:cs="宋体"/>
          <w:sz w:val="24"/>
          <w:szCs w:val="24"/>
        </w:rPr>
        <w:t xml:space="preserve">               （人民币：元）</w:t>
      </w:r>
    </w:p>
    <w:tbl>
      <w:tblPr>
        <w:tblStyle w:val="46"/>
        <w:tblW w:w="15821" w:type="dxa"/>
        <w:tblInd w:w="-10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2040"/>
        <w:gridCol w:w="1050"/>
        <w:gridCol w:w="840"/>
        <w:gridCol w:w="840"/>
        <w:gridCol w:w="1155"/>
        <w:gridCol w:w="1155"/>
        <w:gridCol w:w="1155"/>
        <w:gridCol w:w="1155"/>
        <w:gridCol w:w="1076"/>
        <w:gridCol w:w="1050"/>
        <w:gridCol w:w="123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trPr>
        <w:tc>
          <w:tcPr>
            <w:tcW w:w="735" w:type="dxa"/>
            <w:vMerge w:val="restart"/>
            <w:vAlign w:val="center"/>
          </w:tcPr>
          <w:p>
            <w:pPr>
              <w:spacing w:line="460" w:lineRule="exact"/>
              <w:ind w:left="0" w:leftChars="0" w:firstLine="0" w:firstLineChars="0"/>
              <w:jc w:val="center"/>
              <w:rPr>
                <w:rFonts w:hint="eastAsia" w:ascii="宋体" w:hAnsi="宋体" w:cs="宋体"/>
                <w:szCs w:val="21"/>
              </w:rPr>
            </w:pPr>
            <w:r>
              <w:rPr>
                <w:rFonts w:hint="eastAsia" w:ascii="宋体" w:hAnsi="宋体" w:cs="宋体"/>
                <w:szCs w:val="21"/>
              </w:rPr>
              <w:t>序号</w:t>
            </w:r>
          </w:p>
        </w:tc>
        <w:tc>
          <w:tcPr>
            <w:tcW w:w="1260" w:type="dxa"/>
            <w:vMerge w:val="restart"/>
            <w:vAlign w:val="center"/>
          </w:tcPr>
          <w:p>
            <w:pPr>
              <w:spacing w:line="460" w:lineRule="exact"/>
              <w:ind w:left="0" w:leftChars="0" w:firstLine="0" w:firstLineChars="0"/>
              <w:jc w:val="center"/>
              <w:rPr>
                <w:rFonts w:hint="eastAsia" w:ascii="宋体" w:hAnsi="宋体" w:cs="宋体"/>
                <w:szCs w:val="21"/>
              </w:rPr>
            </w:pPr>
            <w:r>
              <w:rPr>
                <w:rFonts w:hint="eastAsia" w:ascii="宋体" w:hAnsi="宋体" w:cs="宋体"/>
                <w:szCs w:val="21"/>
              </w:rPr>
              <w:t>产品名称</w:t>
            </w:r>
          </w:p>
        </w:tc>
        <w:tc>
          <w:tcPr>
            <w:tcW w:w="2040" w:type="dxa"/>
            <w:vMerge w:val="restart"/>
            <w:vAlign w:val="center"/>
          </w:tcPr>
          <w:p>
            <w:pPr>
              <w:spacing w:line="460" w:lineRule="exact"/>
              <w:ind w:left="0" w:leftChars="0" w:firstLine="0" w:firstLineChars="0"/>
              <w:jc w:val="center"/>
              <w:rPr>
                <w:rFonts w:hint="eastAsia" w:ascii="宋体" w:hAnsi="宋体" w:cs="宋体"/>
                <w:szCs w:val="21"/>
              </w:rPr>
            </w:pPr>
            <w:r>
              <w:rPr>
                <w:rFonts w:hint="eastAsia" w:ascii="宋体" w:hAnsi="宋体" w:cs="宋体"/>
                <w:szCs w:val="21"/>
              </w:rPr>
              <w:t>品牌、规格及型号</w:t>
            </w:r>
          </w:p>
        </w:tc>
        <w:tc>
          <w:tcPr>
            <w:tcW w:w="1050" w:type="dxa"/>
            <w:vMerge w:val="restart"/>
            <w:vAlign w:val="center"/>
          </w:tcPr>
          <w:p>
            <w:pPr>
              <w:spacing w:line="460" w:lineRule="exact"/>
              <w:ind w:left="0" w:leftChars="0" w:firstLine="0" w:firstLineChars="0"/>
              <w:jc w:val="center"/>
              <w:rPr>
                <w:rFonts w:hint="eastAsia" w:ascii="宋体" w:hAnsi="宋体" w:cs="宋体"/>
                <w:szCs w:val="21"/>
              </w:rPr>
            </w:pPr>
            <w:r>
              <w:rPr>
                <w:rFonts w:hint="eastAsia" w:ascii="宋体" w:hAnsi="宋体" w:cs="宋体"/>
                <w:szCs w:val="21"/>
              </w:rPr>
              <w:t>产地</w:t>
            </w:r>
          </w:p>
        </w:tc>
        <w:tc>
          <w:tcPr>
            <w:tcW w:w="840" w:type="dxa"/>
            <w:vMerge w:val="restart"/>
            <w:vAlign w:val="center"/>
          </w:tcPr>
          <w:p>
            <w:pPr>
              <w:spacing w:line="460" w:lineRule="exact"/>
              <w:ind w:left="0" w:leftChars="0" w:firstLine="0" w:firstLineChars="0"/>
              <w:jc w:val="center"/>
              <w:rPr>
                <w:rFonts w:hint="eastAsia" w:ascii="宋体" w:hAnsi="宋体" w:cs="宋体"/>
                <w:szCs w:val="21"/>
              </w:rPr>
            </w:pPr>
            <w:r>
              <w:rPr>
                <w:rFonts w:hint="eastAsia" w:ascii="宋体" w:hAnsi="宋体" w:cs="宋体"/>
                <w:szCs w:val="21"/>
              </w:rPr>
              <w:t>数量单位</w:t>
            </w:r>
          </w:p>
        </w:tc>
        <w:tc>
          <w:tcPr>
            <w:tcW w:w="840" w:type="dxa"/>
            <w:vMerge w:val="restart"/>
            <w:vAlign w:val="center"/>
          </w:tcPr>
          <w:p>
            <w:pPr>
              <w:spacing w:line="460" w:lineRule="exact"/>
              <w:ind w:left="0" w:leftChars="0" w:firstLine="0" w:firstLineChars="0"/>
              <w:jc w:val="center"/>
              <w:rPr>
                <w:rFonts w:hint="eastAsia" w:ascii="宋体" w:hAnsi="宋体" w:cs="宋体"/>
                <w:szCs w:val="21"/>
              </w:rPr>
            </w:pPr>
            <w:r>
              <w:rPr>
                <w:rFonts w:hint="eastAsia" w:ascii="宋体" w:hAnsi="宋体" w:cs="宋体"/>
                <w:szCs w:val="21"/>
              </w:rPr>
              <w:t>数量</w:t>
            </w:r>
          </w:p>
        </w:tc>
        <w:tc>
          <w:tcPr>
            <w:tcW w:w="1155" w:type="dxa"/>
            <w:vMerge w:val="restart"/>
            <w:vAlign w:val="center"/>
          </w:tcPr>
          <w:p>
            <w:pPr>
              <w:spacing w:line="460" w:lineRule="exact"/>
              <w:ind w:left="0" w:leftChars="0" w:firstLine="0" w:firstLineChars="0"/>
              <w:jc w:val="center"/>
              <w:rPr>
                <w:rFonts w:hint="eastAsia" w:ascii="宋体" w:hAnsi="宋体" w:cs="宋体"/>
                <w:szCs w:val="21"/>
              </w:rPr>
            </w:pPr>
            <w:r>
              <w:rPr>
                <w:rFonts w:hint="eastAsia" w:ascii="宋体" w:hAnsi="宋体" w:cs="宋体"/>
                <w:szCs w:val="21"/>
              </w:rPr>
              <w:t>投标单价</w:t>
            </w:r>
          </w:p>
        </w:tc>
        <w:tc>
          <w:tcPr>
            <w:tcW w:w="1155" w:type="dxa"/>
            <w:vMerge w:val="restart"/>
            <w:vAlign w:val="center"/>
          </w:tcPr>
          <w:p>
            <w:pPr>
              <w:spacing w:line="460" w:lineRule="exact"/>
              <w:ind w:left="0" w:leftChars="0" w:firstLine="0" w:firstLineChars="0"/>
              <w:jc w:val="center"/>
              <w:rPr>
                <w:rFonts w:hint="eastAsia" w:ascii="宋体" w:hAnsi="宋体" w:cs="宋体"/>
                <w:szCs w:val="21"/>
              </w:rPr>
            </w:pPr>
            <w:r>
              <w:rPr>
                <w:rFonts w:hint="eastAsia" w:ascii="宋体" w:hAnsi="宋体" w:cs="宋体"/>
                <w:szCs w:val="21"/>
              </w:rPr>
              <w:t>投标总价</w:t>
            </w:r>
          </w:p>
        </w:tc>
        <w:tc>
          <w:tcPr>
            <w:tcW w:w="6746" w:type="dxa"/>
            <w:gridSpan w:val="6"/>
            <w:vAlign w:val="center"/>
          </w:tcPr>
          <w:p>
            <w:pPr>
              <w:spacing w:line="460" w:lineRule="exact"/>
              <w:ind w:left="0" w:leftChars="0" w:firstLine="0" w:firstLineChars="0"/>
              <w:jc w:val="center"/>
              <w:rPr>
                <w:rFonts w:hint="eastAsia" w:ascii="宋体" w:hAnsi="宋体" w:cs="宋体"/>
                <w:szCs w:val="21"/>
              </w:rPr>
            </w:pPr>
            <w:r>
              <w:rPr>
                <w:rFonts w:hint="eastAsia" w:ascii="宋体" w:hAnsi="宋体" w:cs="宋体"/>
                <w:szCs w:val="21"/>
              </w:rPr>
              <w:t>投标总价组成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atLeast"/>
        </w:trPr>
        <w:tc>
          <w:tcPr>
            <w:tcW w:w="735" w:type="dxa"/>
            <w:vMerge w:val="continue"/>
            <w:vAlign w:val="center"/>
          </w:tcPr>
          <w:p>
            <w:pPr>
              <w:spacing w:line="460" w:lineRule="exact"/>
              <w:ind w:left="0" w:leftChars="0" w:firstLine="0" w:firstLineChars="0"/>
              <w:jc w:val="center"/>
              <w:rPr>
                <w:rFonts w:hint="eastAsia" w:ascii="宋体" w:hAnsi="宋体" w:cs="宋体"/>
                <w:szCs w:val="21"/>
              </w:rPr>
            </w:pPr>
          </w:p>
        </w:tc>
        <w:tc>
          <w:tcPr>
            <w:tcW w:w="1260" w:type="dxa"/>
            <w:vMerge w:val="continue"/>
            <w:vAlign w:val="center"/>
          </w:tcPr>
          <w:p>
            <w:pPr>
              <w:spacing w:line="460" w:lineRule="exact"/>
              <w:ind w:left="0" w:leftChars="0" w:firstLine="0" w:firstLineChars="0"/>
              <w:jc w:val="center"/>
              <w:rPr>
                <w:rFonts w:hint="eastAsia" w:ascii="宋体" w:hAnsi="宋体" w:cs="宋体"/>
                <w:szCs w:val="21"/>
              </w:rPr>
            </w:pPr>
          </w:p>
        </w:tc>
        <w:tc>
          <w:tcPr>
            <w:tcW w:w="2040" w:type="dxa"/>
            <w:vMerge w:val="continue"/>
            <w:vAlign w:val="center"/>
          </w:tcPr>
          <w:p>
            <w:pPr>
              <w:spacing w:line="460" w:lineRule="exact"/>
              <w:ind w:left="0" w:leftChars="0" w:firstLine="0" w:firstLineChars="0"/>
              <w:jc w:val="center"/>
              <w:rPr>
                <w:rFonts w:hint="eastAsia" w:ascii="宋体" w:hAnsi="宋体" w:cs="宋体"/>
                <w:szCs w:val="21"/>
              </w:rPr>
            </w:pPr>
          </w:p>
        </w:tc>
        <w:tc>
          <w:tcPr>
            <w:tcW w:w="1050" w:type="dxa"/>
            <w:vMerge w:val="continue"/>
          </w:tcPr>
          <w:p>
            <w:pPr>
              <w:spacing w:line="460" w:lineRule="exact"/>
              <w:ind w:left="0" w:leftChars="0" w:firstLine="0" w:firstLineChars="0"/>
              <w:jc w:val="center"/>
              <w:rPr>
                <w:rFonts w:hint="eastAsia" w:ascii="宋体" w:hAnsi="宋体" w:cs="宋体"/>
                <w:szCs w:val="21"/>
              </w:rPr>
            </w:pPr>
          </w:p>
        </w:tc>
        <w:tc>
          <w:tcPr>
            <w:tcW w:w="840" w:type="dxa"/>
            <w:vMerge w:val="continue"/>
            <w:vAlign w:val="center"/>
          </w:tcPr>
          <w:p>
            <w:pPr>
              <w:spacing w:line="460" w:lineRule="exact"/>
              <w:ind w:left="0" w:leftChars="0" w:firstLine="0" w:firstLineChars="0"/>
              <w:jc w:val="center"/>
              <w:rPr>
                <w:rFonts w:hint="eastAsia" w:ascii="宋体" w:hAnsi="宋体" w:cs="宋体"/>
                <w:szCs w:val="21"/>
              </w:rPr>
            </w:pPr>
          </w:p>
        </w:tc>
        <w:tc>
          <w:tcPr>
            <w:tcW w:w="840" w:type="dxa"/>
            <w:vMerge w:val="continue"/>
            <w:vAlign w:val="center"/>
          </w:tcPr>
          <w:p>
            <w:pPr>
              <w:spacing w:line="460" w:lineRule="exact"/>
              <w:ind w:left="0" w:leftChars="0" w:firstLine="0" w:firstLineChars="0"/>
              <w:jc w:val="center"/>
              <w:rPr>
                <w:rFonts w:hint="eastAsia" w:ascii="宋体" w:hAnsi="宋体" w:cs="宋体"/>
                <w:szCs w:val="21"/>
              </w:rPr>
            </w:pPr>
          </w:p>
        </w:tc>
        <w:tc>
          <w:tcPr>
            <w:tcW w:w="1155" w:type="dxa"/>
            <w:vMerge w:val="continue"/>
          </w:tcPr>
          <w:p>
            <w:pPr>
              <w:spacing w:line="460" w:lineRule="exact"/>
              <w:ind w:left="0" w:leftChars="0" w:firstLine="0" w:firstLineChars="0"/>
              <w:jc w:val="center"/>
              <w:rPr>
                <w:rFonts w:hint="eastAsia" w:ascii="宋体" w:hAnsi="宋体" w:cs="宋体"/>
                <w:szCs w:val="21"/>
              </w:rPr>
            </w:pPr>
          </w:p>
        </w:tc>
        <w:tc>
          <w:tcPr>
            <w:tcW w:w="1155" w:type="dxa"/>
            <w:vMerge w:val="continue"/>
            <w:vAlign w:val="center"/>
          </w:tcPr>
          <w:p>
            <w:pPr>
              <w:spacing w:line="460" w:lineRule="exact"/>
              <w:ind w:left="0" w:leftChars="0" w:firstLine="0" w:firstLineChars="0"/>
              <w:jc w:val="center"/>
              <w:rPr>
                <w:rFonts w:hint="eastAsia" w:ascii="宋体" w:hAnsi="宋体" w:cs="宋体"/>
                <w:szCs w:val="21"/>
              </w:rPr>
            </w:pPr>
          </w:p>
        </w:tc>
        <w:tc>
          <w:tcPr>
            <w:tcW w:w="1155" w:type="dxa"/>
            <w:vAlign w:val="center"/>
          </w:tcPr>
          <w:p>
            <w:pPr>
              <w:spacing w:line="460" w:lineRule="exact"/>
              <w:ind w:left="0" w:leftChars="0" w:firstLine="0" w:firstLineChars="0"/>
              <w:jc w:val="center"/>
              <w:rPr>
                <w:rFonts w:hint="eastAsia" w:ascii="宋体" w:hAnsi="宋体" w:cs="宋体"/>
                <w:szCs w:val="21"/>
              </w:rPr>
            </w:pPr>
            <w:r>
              <w:rPr>
                <w:rFonts w:hint="eastAsia" w:ascii="宋体" w:hAnsi="宋体" w:cs="宋体"/>
                <w:szCs w:val="21"/>
              </w:rPr>
              <w:t>产品总价</w:t>
            </w:r>
          </w:p>
        </w:tc>
        <w:tc>
          <w:tcPr>
            <w:tcW w:w="1155" w:type="dxa"/>
          </w:tcPr>
          <w:p>
            <w:pPr>
              <w:spacing w:line="460" w:lineRule="exact"/>
              <w:ind w:left="0" w:leftChars="0" w:firstLine="0" w:firstLineChars="0"/>
              <w:jc w:val="center"/>
              <w:rPr>
                <w:rFonts w:hint="eastAsia" w:ascii="宋体" w:hAnsi="宋体" w:cs="宋体"/>
                <w:szCs w:val="21"/>
              </w:rPr>
            </w:pPr>
            <w:r>
              <w:rPr>
                <w:rFonts w:hint="eastAsia" w:ascii="宋体" w:hAnsi="宋体" w:cs="宋体"/>
                <w:szCs w:val="21"/>
              </w:rPr>
              <w:t>备品备件费</w:t>
            </w:r>
          </w:p>
        </w:tc>
        <w:tc>
          <w:tcPr>
            <w:tcW w:w="1076" w:type="dxa"/>
          </w:tcPr>
          <w:p>
            <w:pPr>
              <w:spacing w:line="460" w:lineRule="exact"/>
              <w:ind w:left="0" w:leftChars="0" w:firstLine="0" w:firstLineChars="0"/>
              <w:jc w:val="center"/>
              <w:rPr>
                <w:rFonts w:hint="eastAsia" w:ascii="宋体" w:hAnsi="宋体" w:cs="宋体"/>
                <w:szCs w:val="21"/>
              </w:rPr>
            </w:pPr>
            <w:r>
              <w:rPr>
                <w:rFonts w:hint="eastAsia" w:ascii="宋体" w:hAnsi="宋体" w:cs="宋体"/>
                <w:szCs w:val="21"/>
              </w:rPr>
              <w:t>专用工具费</w:t>
            </w:r>
          </w:p>
        </w:tc>
        <w:tc>
          <w:tcPr>
            <w:tcW w:w="1050" w:type="dxa"/>
            <w:vAlign w:val="center"/>
          </w:tcPr>
          <w:p>
            <w:pPr>
              <w:spacing w:line="460" w:lineRule="exact"/>
              <w:ind w:left="0" w:leftChars="0" w:firstLine="0" w:firstLineChars="0"/>
              <w:jc w:val="center"/>
              <w:rPr>
                <w:rFonts w:hint="eastAsia" w:ascii="宋体" w:hAnsi="宋体" w:cs="宋体"/>
                <w:szCs w:val="21"/>
              </w:rPr>
            </w:pPr>
            <w:r>
              <w:rPr>
                <w:rFonts w:hint="eastAsia" w:ascii="宋体" w:hAnsi="宋体" w:cs="宋体"/>
                <w:szCs w:val="21"/>
              </w:rPr>
              <w:t>安装调试费</w:t>
            </w:r>
          </w:p>
        </w:tc>
        <w:tc>
          <w:tcPr>
            <w:tcW w:w="1234" w:type="dxa"/>
            <w:vAlign w:val="center"/>
          </w:tcPr>
          <w:p>
            <w:pPr>
              <w:spacing w:line="460" w:lineRule="exact"/>
              <w:ind w:left="0" w:leftChars="0" w:firstLine="0" w:firstLineChars="0"/>
              <w:jc w:val="center"/>
              <w:rPr>
                <w:rFonts w:hint="eastAsia" w:ascii="宋体" w:hAnsi="宋体" w:cs="宋体"/>
                <w:szCs w:val="21"/>
              </w:rPr>
            </w:pPr>
            <w:r>
              <w:rPr>
                <w:rFonts w:hint="eastAsia" w:ascii="宋体" w:hAnsi="宋体" w:cs="宋体"/>
                <w:szCs w:val="21"/>
              </w:rPr>
              <w:t>技术服务培训费</w:t>
            </w:r>
          </w:p>
        </w:tc>
        <w:tc>
          <w:tcPr>
            <w:tcW w:w="1076" w:type="dxa"/>
            <w:tcBorders>
              <w:bottom w:val="single" w:color="auto" w:sz="4" w:space="0"/>
            </w:tcBorders>
            <w:vAlign w:val="center"/>
          </w:tcPr>
          <w:p>
            <w:pPr>
              <w:spacing w:line="460" w:lineRule="exact"/>
              <w:ind w:left="0" w:leftChars="0" w:firstLine="0" w:firstLineChars="0"/>
              <w:jc w:val="center"/>
              <w:rPr>
                <w:rFonts w:hint="eastAsia" w:ascii="宋体" w:hAnsi="宋体" w:cs="宋体"/>
                <w:szCs w:val="21"/>
              </w:rPr>
            </w:pPr>
            <w:r>
              <w:rPr>
                <w:rFonts w:hint="eastAsia" w:ascii="宋体" w:hAnsi="宋体" w:cs="宋体"/>
                <w:szCs w:val="21"/>
              </w:rPr>
              <w:t>运输保险费等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735" w:type="dxa"/>
            <w:vAlign w:val="center"/>
          </w:tcPr>
          <w:p>
            <w:pPr>
              <w:spacing w:line="460" w:lineRule="exact"/>
              <w:ind w:left="0" w:leftChars="0" w:firstLine="0" w:firstLineChars="0"/>
              <w:jc w:val="center"/>
              <w:rPr>
                <w:rFonts w:hint="eastAsia" w:ascii="宋体" w:hAnsi="宋体" w:cs="宋体"/>
                <w:szCs w:val="21"/>
              </w:rPr>
            </w:pPr>
          </w:p>
        </w:tc>
        <w:tc>
          <w:tcPr>
            <w:tcW w:w="1260" w:type="dxa"/>
            <w:vAlign w:val="center"/>
          </w:tcPr>
          <w:p>
            <w:pPr>
              <w:spacing w:line="460" w:lineRule="exact"/>
              <w:ind w:left="0" w:leftChars="0" w:firstLine="0" w:firstLineChars="0"/>
              <w:jc w:val="center"/>
              <w:rPr>
                <w:rFonts w:hint="eastAsia" w:ascii="宋体" w:hAnsi="宋体" w:cs="宋体"/>
                <w:szCs w:val="21"/>
              </w:rPr>
            </w:pPr>
            <w:r>
              <w:rPr>
                <w:rFonts w:hint="eastAsia" w:ascii="宋体" w:hAnsi="宋体" w:cs="宋体"/>
                <w:szCs w:val="21"/>
              </w:rPr>
              <w:t>1</w:t>
            </w:r>
          </w:p>
        </w:tc>
        <w:tc>
          <w:tcPr>
            <w:tcW w:w="2040" w:type="dxa"/>
            <w:vAlign w:val="center"/>
          </w:tcPr>
          <w:p>
            <w:pPr>
              <w:spacing w:line="460" w:lineRule="exact"/>
              <w:ind w:left="0" w:leftChars="0" w:firstLine="0" w:firstLineChars="0"/>
              <w:jc w:val="center"/>
              <w:rPr>
                <w:rFonts w:hint="eastAsia" w:ascii="宋体" w:hAnsi="宋体" w:cs="宋体"/>
                <w:szCs w:val="21"/>
              </w:rPr>
            </w:pPr>
            <w:r>
              <w:rPr>
                <w:rFonts w:hint="eastAsia" w:ascii="宋体" w:hAnsi="宋体" w:cs="宋体"/>
                <w:szCs w:val="21"/>
              </w:rPr>
              <w:t>2</w:t>
            </w:r>
          </w:p>
        </w:tc>
        <w:tc>
          <w:tcPr>
            <w:tcW w:w="1050" w:type="dxa"/>
          </w:tcPr>
          <w:p>
            <w:pPr>
              <w:spacing w:line="460" w:lineRule="exact"/>
              <w:ind w:left="0" w:leftChars="0" w:firstLine="0" w:firstLineChars="0"/>
              <w:jc w:val="center"/>
              <w:rPr>
                <w:rFonts w:hint="eastAsia" w:ascii="宋体" w:hAnsi="宋体" w:cs="宋体"/>
                <w:szCs w:val="21"/>
              </w:rPr>
            </w:pPr>
            <w:r>
              <w:rPr>
                <w:rFonts w:hint="eastAsia" w:ascii="宋体" w:hAnsi="宋体" w:cs="宋体"/>
                <w:szCs w:val="21"/>
              </w:rPr>
              <w:t>3</w:t>
            </w:r>
          </w:p>
        </w:tc>
        <w:tc>
          <w:tcPr>
            <w:tcW w:w="840" w:type="dxa"/>
            <w:vAlign w:val="center"/>
          </w:tcPr>
          <w:p>
            <w:pPr>
              <w:spacing w:line="460" w:lineRule="exact"/>
              <w:ind w:left="0" w:leftChars="0" w:firstLine="0" w:firstLineChars="0"/>
              <w:jc w:val="center"/>
              <w:rPr>
                <w:rFonts w:hint="eastAsia" w:ascii="宋体" w:hAnsi="宋体" w:cs="宋体"/>
                <w:szCs w:val="21"/>
              </w:rPr>
            </w:pPr>
            <w:r>
              <w:rPr>
                <w:rFonts w:hint="eastAsia" w:ascii="宋体" w:hAnsi="宋体" w:cs="宋体"/>
                <w:szCs w:val="21"/>
              </w:rPr>
              <w:t>4</w:t>
            </w:r>
          </w:p>
        </w:tc>
        <w:tc>
          <w:tcPr>
            <w:tcW w:w="840" w:type="dxa"/>
            <w:vAlign w:val="center"/>
          </w:tcPr>
          <w:p>
            <w:pPr>
              <w:spacing w:line="460" w:lineRule="exact"/>
              <w:ind w:left="0" w:leftChars="0" w:firstLine="0" w:firstLineChars="0"/>
              <w:jc w:val="center"/>
              <w:rPr>
                <w:rFonts w:hint="eastAsia" w:ascii="宋体" w:hAnsi="宋体" w:cs="宋体"/>
                <w:szCs w:val="21"/>
              </w:rPr>
            </w:pPr>
            <w:r>
              <w:rPr>
                <w:rFonts w:hint="eastAsia" w:ascii="宋体" w:hAnsi="宋体" w:cs="宋体"/>
                <w:szCs w:val="21"/>
              </w:rPr>
              <w:t>5</w:t>
            </w:r>
          </w:p>
        </w:tc>
        <w:tc>
          <w:tcPr>
            <w:tcW w:w="1155" w:type="dxa"/>
          </w:tcPr>
          <w:p>
            <w:pPr>
              <w:spacing w:line="460" w:lineRule="exact"/>
              <w:ind w:left="0" w:leftChars="0" w:firstLine="0" w:firstLineChars="0"/>
              <w:jc w:val="center"/>
              <w:rPr>
                <w:rFonts w:hint="eastAsia" w:ascii="宋体" w:hAnsi="宋体" w:cs="宋体"/>
                <w:szCs w:val="21"/>
              </w:rPr>
            </w:pPr>
            <w:r>
              <w:rPr>
                <w:rFonts w:hint="eastAsia" w:ascii="宋体" w:hAnsi="宋体" w:cs="宋体"/>
                <w:szCs w:val="21"/>
              </w:rPr>
              <w:t>6</w:t>
            </w:r>
          </w:p>
        </w:tc>
        <w:tc>
          <w:tcPr>
            <w:tcW w:w="1155" w:type="dxa"/>
            <w:vAlign w:val="center"/>
          </w:tcPr>
          <w:p>
            <w:pPr>
              <w:spacing w:line="460" w:lineRule="exact"/>
              <w:ind w:left="0" w:leftChars="0" w:firstLine="0" w:firstLineChars="0"/>
              <w:jc w:val="center"/>
              <w:rPr>
                <w:rFonts w:hint="eastAsia" w:ascii="宋体" w:hAnsi="宋体" w:cs="宋体"/>
                <w:szCs w:val="21"/>
              </w:rPr>
            </w:pPr>
            <w:r>
              <w:rPr>
                <w:rFonts w:hint="eastAsia" w:ascii="宋体" w:hAnsi="宋体" w:cs="宋体"/>
                <w:szCs w:val="21"/>
              </w:rPr>
              <w:t>7</w:t>
            </w:r>
          </w:p>
        </w:tc>
        <w:tc>
          <w:tcPr>
            <w:tcW w:w="1155" w:type="dxa"/>
            <w:vAlign w:val="center"/>
          </w:tcPr>
          <w:p>
            <w:pPr>
              <w:spacing w:line="460" w:lineRule="exact"/>
              <w:ind w:left="0" w:leftChars="0" w:firstLine="0" w:firstLineChars="0"/>
              <w:jc w:val="center"/>
              <w:rPr>
                <w:rFonts w:hint="eastAsia" w:ascii="宋体" w:hAnsi="宋体" w:cs="宋体"/>
                <w:szCs w:val="21"/>
              </w:rPr>
            </w:pPr>
            <w:r>
              <w:rPr>
                <w:rFonts w:hint="eastAsia" w:ascii="宋体" w:hAnsi="宋体" w:cs="宋体"/>
                <w:szCs w:val="21"/>
              </w:rPr>
              <w:t>8</w:t>
            </w:r>
          </w:p>
        </w:tc>
        <w:tc>
          <w:tcPr>
            <w:tcW w:w="1155" w:type="dxa"/>
          </w:tcPr>
          <w:p>
            <w:pPr>
              <w:spacing w:line="460" w:lineRule="exact"/>
              <w:ind w:left="0" w:leftChars="0" w:firstLine="0" w:firstLineChars="0"/>
              <w:jc w:val="center"/>
              <w:rPr>
                <w:rFonts w:hint="eastAsia" w:ascii="宋体" w:hAnsi="宋体" w:cs="宋体"/>
                <w:szCs w:val="21"/>
              </w:rPr>
            </w:pPr>
            <w:r>
              <w:rPr>
                <w:rFonts w:hint="eastAsia" w:ascii="宋体" w:hAnsi="宋体" w:cs="宋体"/>
                <w:szCs w:val="21"/>
              </w:rPr>
              <w:t>9</w:t>
            </w:r>
          </w:p>
        </w:tc>
        <w:tc>
          <w:tcPr>
            <w:tcW w:w="1076" w:type="dxa"/>
          </w:tcPr>
          <w:p>
            <w:pPr>
              <w:spacing w:line="460" w:lineRule="exact"/>
              <w:ind w:left="0" w:leftChars="0" w:firstLine="0" w:firstLineChars="0"/>
              <w:jc w:val="center"/>
              <w:rPr>
                <w:rFonts w:hint="eastAsia" w:ascii="宋体" w:hAnsi="宋体" w:cs="宋体"/>
                <w:szCs w:val="21"/>
              </w:rPr>
            </w:pPr>
            <w:r>
              <w:rPr>
                <w:rFonts w:hint="eastAsia" w:ascii="宋体" w:hAnsi="宋体" w:cs="宋体"/>
                <w:szCs w:val="21"/>
              </w:rPr>
              <w:t>10</w:t>
            </w:r>
          </w:p>
        </w:tc>
        <w:tc>
          <w:tcPr>
            <w:tcW w:w="1050" w:type="dxa"/>
            <w:vAlign w:val="center"/>
          </w:tcPr>
          <w:p>
            <w:pPr>
              <w:spacing w:line="460" w:lineRule="exact"/>
              <w:ind w:left="0" w:leftChars="0" w:firstLine="0" w:firstLineChars="0"/>
              <w:jc w:val="center"/>
              <w:rPr>
                <w:rFonts w:hint="eastAsia" w:ascii="宋体" w:hAnsi="宋体" w:cs="宋体"/>
                <w:szCs w:val="21"/>
              </w:rPr>
            </w:pPr>
            <w:r>
              <w:rPr>
                <w:rFonts w:hint="eastAsia" w:ascii="宋体" w:hAnsi="宋体" w:cs="宋体"/>
                <w:szCs w:val="21"/>
              </w:rPr>
              <w:t>11</w:t>
            </w:r>
          </w:p>
        </w:tc>
        <w:tc>
          <w:tcPr>
            <w:tcW w:w="1234" w:type="dxa"/>
            <w:vAlign w:val="center"/>
          </w:tcPr>
          <w:p>
            <w:pPr>
              <w:spacing w:line="460" w:lineRule="exact"/>
              <w:ind w:left="0" w:leftChars="0" w:firstLine="0" w:firstLineChars="0"/>
              <w:jc w:val="center"/>
              <w:rPr>
                <w:rFonts w:hint="eastAsia" w:ascii="宋体" w:hAnsi="宋体" w:cs="宋体"/>
                <w:szCs w:val="21"/>
              </w:rPr>
            </w:pPr>
            <w:r>
              <w:rPr>
                <w:rFonts w:hint="eastAsia" w:ascii="宋体" w:hAnsi="宋体" w:cs="宋体"/>
                <w:szCs w:val="21"/>
              </w:rPr>
              <w:t>12</w:t>
            </w:r>
          </w:p>
        </w:tc>
        <w:tc>
          <w:tcPr>
            <w:tcW w:w="1076" w:type="dxa"/>
            <w:vAlign w:val="center"/>
          </w:tcPr>
          <w:p>
            <w:pPr>
              <w:spacing w:line="460" w:lineRule="exact"/>
              <w:ind w:left="0" w:leftChars="0" w:firstLine="0" w:firstLineChars="0"/>
              <w:jc w:val="center"/>
              <w:rPr>
                <w:rFonts w:hint="eastAsia" w:ascii="宋体" w:hAnsi="宋体" w:cs="宋体"/>
                <w:szCs w:val="21"/>
              </w:rPr>
            </w:pPr>
            <w:r>
              <w:rPr>
                <w:rFonts w:hint="eastAsia" w:ascii="宋体" w:hAnsi="宋体" w:cs="宋体"/>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left="0" w:leftChars="0" w:firstLine="0" w:firstLineChars="0"/>
              <w:jc w:val="center"/>
              <w:rPr>
                <w:rFonts w:hint="eastAsia" w:ascii="宋体" w:hAnsi="宋体" w:cs="宋体"/>
                <w:szCs w:val="21"/>
              </w:rPr>
            </w:pPr>
          </w:p>
        </w:tc>
        <w:tc>
          <w:tcPr>
            <w:tcW w:w="1260" w:type="dxa"/>
          </w:tcPr>
          <w:p>
            <w:pPr>
              <w:spacing w:line="460" w:lineRule="exact"/>
              <w:ind w:left="0" w:leftChars="0" w:firstLine="0" w:firstLineChars="0"/>
              <w:jc w:val="center"/>
              <w:rPr>
                <w:rFonts w:hint="eastAsia" w:ascii="宋体" w:hAnsi="宋体" w:cs="宋体"/>
                <w:szCs w:val="21"/>
              </w:rPr>
            </w:pPr>
          </w:p>
        </w:tc>
        <w:tc>
          <w:tcPr>
            <w:tcW w:w="2040" w:type="dxa"/>
          </w:tcPr>
          <w:p>
            <w:pPr>
              <w:spacing w:line="460" w:lineRule="exact"/>
              <w:ind w:left="0" w:leftChars="0" w:firstLine="0" w:firstLineChars="0"/>
              <w:jc w:val="center"/>
              <w:rPr>
                <w:rFonts w:hint="eastAsia" w:ascii="宋体" w:hAnsi="宋体" w:cs="宋体"/>
                <w:szCs w:val="21"/>
              </w:rPr>
            </w:pPr>
          </w:p>
        </w:tc>
        <w:tc>
          <w:tcPr>
            <w:tcW w:w="1050" w:type="dxa"/>
          </w:tcPr>
          <w:p>
            <w:pPr>
              <w:spacing w:line="460" w:lineRule="exact"/>
              <w:ind w:left="0" w:leftChars="0" w:firstLine="0" w:firstLineChars="0"/>
              <w:jc w:val="center"/>
              <w:rPr>
                <w:rFonts w:hint="eastAsia" w:ascii="宋体" w:hAnsi="宋体" w:cs="宋体"/>
                <w:szCs w:val="21"/>
              </w:rPr>
            </w:pPr>
          </w:p>
        </w:tc>
        <w:tc>
          <w:tcPr>
            <w:tcW w:w="840" w:type="dxa"/>
          </w:tcPr>
          <w:p>
            <w:pPr>
              <w:spacing w:line="460" w:lineRule="exact"/>
              <w:ind w:left="0" w:leftChars="0" w:firstLine="0" w:firstLineChars="0"/>
              <w:jc w:val="center"/>
              <w:rPr>
                <w:rFonts w:hint="eastAsia" w:ascii="宋体" w:hAnsi="宋体" w:cs="宋体"/>
                <w:szCs w:val="21"/>
              </w:rPr>
            </w:pPr>
          </w:p>
        </w:tc>
        <w:tc>
          <w:tcPr>
            <w:tcW w:w="840" w:type="dxa"/>
          </w:tcPr>
          <w:p>
            <w:pPr>
              <w:spacing w:line="460" w:lineRule="exact"/>
              <w:ind w:left="0" w:leftChars="0" w:firstLine="0" w:firstLineChars="0"/>
              <w:jc w:val="center"/>
              <w:rPr>
                <w:rFonts w:hint="eastAsia" w:ascii="宋体" w:hAnsi="宋体" w:cs="宋体"/>
                <w:szCs w:val="21"/>
              </w:rPr>
            </w:pPr>
          </w:p>
        </w:tc>
        <w:tc>
          <w:tcPr>
            <w:tcW w:w="1155" w:type="dxa"/>
          </w:tcPr>
          <w:p>
            <w:pPr>
              <w:spacing w:line="460" w:lineRule="exact"/>
              <w:ind w:left="0" w:leftChars="0" w:firstLine="0" w:firstLineChars="0"/>
              <w:jc w:val="center"/>
              <w:rPr>
                <w:rFonts w:hint="eastAsia" w:ascii="宋体" w:hAnsi="宋体" w:cs="宋体"/>
                <w:szCs w:val="21"/>
              </w:rPr>
            </w:pPr>
          </w:p>
        </w:tc>
        <w:tc>
          <w:tcPr>
            <w:tcW w:w="1155" w:type="dxa"/>
          </w:tcPr>
          <w:p>
            <w:pPr>
              <w:spacing w:line="460" w:lineRule="exact"/>
              <w:ind w:left="0" w:leftChars="0" w:firstLine="0" w:firstLineChars="0"/>
              <w:jc w:val="center"/>
              <w:rPr>
                <w:rFonts w:hint="eastAsia" w:ascii="宋体" w:hAnsi="宋体" w:cs="宋体"/>
                <w:szCs w:val="21"/>
              </w:rPr>
            </w:pPr>
          </w:p>
        </w:tc>
        <w:tc>
          <w:tcPr>
            <w:tcW w:w="1155" w:type="dxa"/>
          </w:tcPr>
          <w:p>
            <w:pPr>
              <w:spacing w:line="460" w:lineRule="exact"/>
              <w:ind w:left="0" w:leftChars="0" w:firstLine="0" w:firstLineChars="0"/>
              <w:jc w:val="center"/>
              <w:rPr>
                <w:rFonts w:hint="eastAsia" w:ascii="宋体" w:hAnsi="宋体" w:cs="宋体"/>
                <w:szCs w:val="21"/>
              </w:rPr>
            </w:pPr>
          </w:p>
        </w:tc>
        <w:tc>
          <w:tcPr>
            <w:tcW w:w="1155" w:type="dxa"/>
          </w:tcPr>
          <w:p>
            <w:pPr>
              <w:spacing w:line="460" w:lineRule="exact"/>
              <w:ind w:left="0" w:leftChars="0" w:firstLine="0" w:firstLineChars="0"/>
              <w:jc w:val="center"/>
              <w:rPr>
                <w:rFonts w:hint="eastAsia" w:ascii="宋体" w:hAnsi="宋体" w:cs="宋体"/>
                <w:szCs w:val="21"/>
              </w:rPr>
            </w:pPr>
          </w:p>
        </w:tc>
        <w:tc>
          <w:tcPr>
            <w:tcW w:w="1076" w:type="dxa"/>
          </w:tcPr>
          <w:p>
            <w:pPr>
              <w:spacing w:line="460" w:lineRule="exact"/>
              <w:ind w:left="0" w:leftChars="0" w:firstLine="0" w:firstLineChars="0"/>
              <w:jc w:val="center"/>
              <w:rPr>
                <w:rFonts w:hint="eastAsia" w:ascii="宋体" w:hAnsi="宋体" w:cs="宋体"/>
                <w:szCs w:val="21"/>
              </w:rPr>
            </w:pPr>
          </w:p>
        </w:tc>
        <w:tc>
          <w:tcPr>
            <w:tcW w:w="1050" w:type="dxa"/>
          </w:tcPr>
          <w:p>
            <w:pPr>
              <w:spacing w:line="460" w:lineRule="exact"/>
              <w:ind w:left="0" w:leftChars="0" w:firstLine="0" w:firstLineChars="0"/>
              <w:jc w:val="center"/>
              <w:rPr>
                <w:rFonts w:hint="eastAsia" w:ascii="宋体" w:hAnsi="宋体" w:cs="宋体"/>
                <w:szCs w:val="21"/>
              </w:rPr>
            </w:pPr>
          </w:p>
        </w:tc>
        <w:tc>
          <w:tcPr>
            <w:tcW w:w="1234" w:type="dxa"/>
          </w:tcPr>
          <w:p>
            <w:pPr>
              <w:spacing w:line="460" w:lineRule="exact"/>
              <w:ind w:left="0" w:leftChars="0" w:firstLine="0" w:firstLineChars="0"/>
              <w:jc w:val="center"/>
              <w:rPr>
                <w:rFonts w:hint="eastAsia" w:ascii="宋体" w:hAnsi="宋体" w:cs="宋体"/>
                <w:szCs w:val="21"/>
              </w:rPr>
            </w:pPr>
          </w:p>
        </w:tc>
        <w:tc>
          <w:tcPr>
            <w:tcW w:w="1076" w:type="dxa"/>
          </w:tcPr>
          <w:p>
            <w:pPr>
              <w:spacing w:line="460" w:lineRule="exact"/>
              <w:ind w:left="0" w:leftChars="0" w:firstLine="0" w:firstLineChars="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left="0" w:leftChars="0" w:firstLine="0" w:firstLineChars="0"/>
              <w:jc w:val="center"/>
              <w:rPr>
                <w:rFonts w:hint="eastAsia" w:ascii="宋体" w:hAnsi="宋体" w:cs="宋体"/>
                <w:szCs w:val="21"/>
              </w:rPr>
            </w:pPr>
          </w:p>
        </w:tc>
        <w:tc>
          <w:tcPr>
            <w:tcW w:w="1260" w:type="dxa"/>
          </w:tcPr>
          <w:p>
            <w:pPr>
              <w:spacing w:line="460" w:lineRule="exact"/>
              <w:ind w:left="0" w:leftChars="0" w:firstLine="0" w:firstLineChars="0"/>
              <w:jc w:val="center"/>
              <w:rPr>
                <w:rFonts w:hint="eastAsia" w:ascii="宋体" w:hAnsi="宋体" w:cs="宋体"/>
                <w:szCs w:val="21"/>
              </w:rPr>
            </w:pPr>
          </w:p>
        </w:tc>
        <w:tc>
          <w:tcPr>
            <w:tcW w:w="2040" w:type="dxa"/>
          </w:tcPr>
          <w:p>
            <w:pPr>
              <w:spacing w:line="460" w:lineRule="exact"/>
              <w:ind w:left="0" w:leftChars="0" w:firstLine="0" w:firstLineChars="0"/>
              <w:jc w:val="center"/>
              <w:rPr>
                <w:rFonts w:hint="eastAsia" w:ascii="宋体" w:hAnsi="宋体" w:cs="宋体"/>
                <w:szCs w:val="21"/>
              </w:rPr>
            </w:pPr>
          </w:p>
        </w:tc>
        <w:tc>
          <w:tcPr>
            <w:tcW w:w="1050" w:type="dxa"/>
          </w:tcPr>
          <w:p>
            <w:pPr>
              <w:spacing w:line="460" w:lineRule="exact"/>
              <w:ind w:left="0" w:leftChars="0" w:firstLine="0" w:firstLineChars="0"/>
              <w:jc w:val="center"/>
              <w:rPr>
                <w:rFonts w:hint="eastAsia" w:ascii="宋体" w:hAnsi="宋体" w:cs="宋体"/>
                <w:szCs w:val="21"/>
              </w:rPr>
            </w:pPr>
          </w:p>
        </w:tc>
        <w:tc>
          <w:tcPr>
            <w:tcW w:w="840" w:type="dxa"/>
          </w:tcPr>
          <w:p>
            <w:pPr>
              <w:spacing w:line="460" w:lineRule="exact"/>
              <w:ind w:left="0" w:leftChars="0" w:firstLine="0" w:firstLineChars="0"/>
              <w:jc w:val="center"/>
              <w:rPr>
                <w:rFonts w:hint="eastAsia" w:ascii="宋体" w:hAnsi="宋体" w:cs="宋体"/>
                <w:szCs w:val="21"/>
              </w:rPr>
            </w:pPr>
          </w:p>
        </w:tc>
        <w:tc>
          <w:tcPr>
            <w:tcW w:w="840" w:type="dxa"/>
          </w:tcPr>
          <w:p>
            <w:pPr>
              <w:spacing w:line="460" w:lineRule="exact"/>
              <w:ind w:left="0" w:leftChars="0" w:firstLine="0" w:firstLineChars="0"/>
              <w:jc w:val="center"/>
              <w:rPr>
                <w:rFonts w:hint="eastAsia" w:ascii="宋体" w:hAnsi="宋体" w:cs="宋体"/>
                <w:szCs w:val="21"/>
              </w:rPr>
            </w:pPr>
          </w:p>
        </w:tc>
        <w:tc>
          <w:tcPr>
            <w:tcW w:w="1155" w:type="dxa"/>
          </w:tcPr>
          <w:p>
            <w:pPr>
              <w:spacing w:line="460" w:lineRule="exact"/>
              <w:ind w:left="0" w:leftChars="0" w:firstLine="0" w:firstLineChars="0"/>
              <w:jc w:val="center"/>
              <w:rPr>
                <w:rFonts w:hint="eastAsia" w:ascii="宋体" w:hAnsi="宋体" w:cs="宋体"/>
                <w:szCs w:val="21"/>
              </w:rPr>
            </w:pPr>
          </w:p>
        </w:tc>
        <w:tc>
          <w:tcPr>
            <w:tcW w:w="1155" w:type="dxa"/>
          </w:tcPr>
          <w:p>
            <w:pPr>
              <w:spacing w:line="460" w:lineRule="exact"/>
              <w:ind w:left="0" w:leftChars="0" w:firstLine="0" w:firstLineChars="0"/>
              <w:jc w:val="center"/>
              <w:rPr>
                <w:rFonts w:hint="eastAsia" w:ascii="宋体" w:hAnsi="宋体" w:cs="宋体"/>
                <w:szCs w:val="21"/>
              </w:rPr>
            </w:pPr>
          </w:p>
        </w:tc>
        <w:tc>
          <w:tcPr>
            <w:tcW w:w="1155" w:type="dxa"/>
          </w:tcPr>
          <w:p>
            <w:pPr>
              <w:spacing w:line="460" w:lineRule="exact"/>
              <w:ind w:left="0" w:leftChars="0" w:firstLine="0" w:firstLineChars="0"/>
              <w:jc w:val="center"/>
              <w:rPr>
                <w:rFonts w:hint="eastAsia" w:ascii="宋体" w:hAnsi="宋体" w:cs="宋体"/>
                <w:szCs w:val="21"/>
              </w:rPr>
            </w:pPr>
          </w:p>
        </w:tc>
        <w:tc>
          <w:tcPr>
            <w:tcW w:w="1155" w:type="dxa"/>
          </w:tcPr>
          <w:p>
            <w:pPr>
              <w:spacing w:line="460" w:lineRule="exact"/>
              <w:ind w:left="0" w:leftChars="0" w:firstLine="0" w:firstLineChars="0"/>
              <w:jc w:val="center"/>
              <w:rPr>
                <w:rFonts w:hint="eastAsia" w:ascii="宋体" w:hAnsi="宋体" w:cs="宋体"/>
                <w:szCs w:val="21"/>
              </w:rPr>
            </w:pPr>
          </w:p>
        </w:tc>
        <w:tc>
          <w:tcPr>
            <w:tcW w:w="1076" w:type="dxa"/>
          </w:tcPr>
          <w:p>
            <w:pPr>
              <w:spacing w:line="460" w:lineRule="exact"/>
              <w:ind w:left="0" w:leftChars="0" w:firstLine="0" w:firstLineChars="0"/>
              <w:jc w:val="center"/>
              <w:rPr>
                <w:rFonts w:hint="eastAsia" w:ascii="宋体" w:hAnsi="宋体" w:cs="宋体"/>
                <w:szCs w:val="21"/>
              </w:rPr>
            </w:pPr>
          </w:p>
        </w:tc>
        <w:tc>
          <w:tcPr>
            <w:tcW w:w="1050" w:type="dxa"/>
          </w:tcPr>
          <w:p>
            <w:pPr>
              <w:spacing w:line="460" w:lineRule="exact"/>
              <w:ind w:left="0" w:leftChars="0" w:firstLine="0" w:firstLineChars="0"/>
              <w:jc w:val="center"/>
              <w:rPr>
                <w:rFonts w:hint="eastAsia" w:ascii="宋体" w:hAnsi="宋体" w:cs="宋体"/>
                <w:szCs w:val="21"/>
              </w:rPr>
            </w:pPr>
          </w:p>
        </w:tc>
        <w:tc>
          <w:tcPr>
            <w:tcW w:w="1234" w:type="dxa"/>
          </w:tcPr>
          <w:p>
            <w:pPr>
              <w:spacing w:line="460" w:lineRule="exact"/>
              <w:ind w:left="0" w:leftChars="0" w:firstLine="0" w:firstLineChars="0"/>
              <w:jc w:val="center"/>
              <w:rPr>
                <w:rFonts w:hint="eastAsia" w:ascii="宋体" w:hAnsi="宋体" w:cs="宋体"/>
                <w:szCs w:val="21"/>
              </w:rPr>
            </w:pPr>
          </w:p>
        </w:tc>
        <w:tc>
          <w:tcPr>
            <w:tcW w:w="1076" w:type="dxa"/>
          </w:tcPr>
          <w:p>
            <w:pPr>
              <w:spacing w:line="460" w:lineRule="exact"/>
              <w:ind w:left="0" w:leftChars="0" w:firstLine="0" w:firstLineChars="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left="0" w:leftChars="0" w:firstLine="0" w:firstLineChars="0"/>
              <w:jc w:val="center"/>
              <w:rPr>
                <w:rFonts w:hint="eastAsia" w:ascii="宋体" w:hAnsi="宋体" w:cs="宋体"/>
                <w:szCs w:val="21"/>
              </w:rPr>
            </w:pPr>
          </w:p>
        </w:tc>
        <w:tc>
          <w:tcPr>
            <w:tcW w:w="1260" w:type="dxa"/>
          </w:tcPr>
          <w:p>
            <w:pPr>
              <w:spacing w:line="460" w:lineRule="exact"/>
              <w:ind w:left="0" w:leftChars="0" w:firstLine="0" w:firstLineChars="0"/>
              <w:jc w:val="center"/>
              <w:rPr>
                <w:rFonts w:hint="eastAsia" w:ascii="宋体" w:hAnsi="宋体" w:cs="宋体"/>
                <w:szCs w:val="21"/>
              </w:rPr>
            </w:pPr>
          </w:p>
        </w:tc>
        <w:tc>
          <w:tcPr>
            <w:tcW w:w="2040" w:type="dxa"/>
          </w:tcPr>
          <w:p>
            <w:pPr>
              <w:spacing w:line="460" w:lineRule="exact"/>
              <w:ind w:left="0" w:leftChars="0" w:firstLine="0" w:firstLineChars="0"/>
              <w:jc w:val="center"/>
              <w:rPr>
                <w:rFonts w:hint="eastAsia" w:ascii="宋体" w:hAnsi="宋体" w:cs="宋体"/>
                <w:szCs w:val="21"/>
              </w:rPr>
            </w:pPr>
          </w:p>
        </w:tc>
        <w:tc>
          <w:tcPr>
            <w:tcW w:w="1050" w:type="dxa"/>
          </w:tcPr>
          <w:p>
            <w:pPr>
              <w:spacing w:line="460" w:lineRule="exact"/>
              <w:ind w:left="0" w:leftChars="0" w:firstLine="0" w:firstLineChars="0"/>
              <w:jc w:val="center"/>
              <w:rPr>
                <w:rFonts w:hint="eastAsia" w:ascii="宋体" w:hAnsi="宋体" w:cs="宋体"/>
                <w:szCs w:val="21"/>
              </w:rPr>
            </w:pPr>
          </w:p>
        </w:tc>
        <w:tc>
          <w:tcPr>
            <w:tcW w:w="840" w:type="dxa"/>
          </w:tcPr>
          <w:p>
            <w:pPr>
              <w:spacing w:line="460" w:lineRule="exact"/>
              <w:ind w:left="0" w:leftChars="0" w:firstLine="0" w:firstLineChars="0"/>
              <w:jc w:val="center"/>
              <w:rPr>
                <w:rFonts w:hint="eastAsia" w:ascii="宋体" w:hAnsi="宋体" w:cs="宋体"/>
                <w:szCs w:val="21"/>
              </w:rPr>
            </w:pPr>
          </w:p>
        </w:tc>
        <w:tc>
          <w:tcPr>
            <w:tcW w:w="840" w:type="dxa"/>
          </w:tcPr>
          <w:p>
            <w:pPr>
              <w:spacing w:line="460" w:lineRule="exact"/>
              <w:ind w:left="0" w:leftChars="0" w:firstLine="0" w:firstLineChars="0"/>
              <w:jc w:val="center"/>
              <w:rPr>
                <w:rFonts w:hint="eastAsia" w:ascii="宋体" w:hAnsi="宋体" w:cs="宋体"/>
                <w:szCs w:val="21"/>
              </w:rPr>
            </w:pPr>
          </w:p>
        </w:tc>
        <w:tc>
          <w:tcPr>
            <w:tcW w:w="1155" w:type="dxa"/>
          </w:tcPr>
          <w:p>
            <w:pPr>
              <w:spacing w:line="460" w:lineRule="exact"/>
              <w:ind w:left="0" w:leftChars="0" w:firstLine="0" w:firstLineChars="0"/>
              <w:jc w:val="center"/>
              <w:rPr>
                <w:rFonts w:hint="eastAsia" w:ascii="宋体" w:hAnsi="宋体" w:cs="宋体"/>
                <w:szCs w:val="21"/>
              </w:rPr>
            </w:pPr>
          </w:p>
        </w:tc>
        <w:tc>
          <w:tcPr>
            <w:tcW w:w="1155" w:type="dxa"/>
          </w:tcPr>
          <w:p>
            <w:pPr>
              <w:spacing w:line="460" w:lineRule="exact"/>
              <w:ind w:left="0" w:leftChars="0" w:firstLine="0" w:firstLineChars="0"/>
              <w:jc w:val="center"/>
              <w:rPr>
                <w:rFonts w:hint="eastAsia" w:ascii="宋体" w:hAnsi="宋体" w:cs="宋体"/>
                <w:szCs w:val="21"/>
              </w:rPr>
            </w:pPr>
          </w:p>
        </w:tc>
        <w:tc>
          <w:tcPr>
            <w:tcW w:w="1155" w:type="dxa"/>
          </w:tcPr>
          <w:p>
            <w:pPr>
              <w:spacing w:line="460" w:lineRule="exact"/>
              <w:ind w:left="0" w:leftChars="0" w:firstLine="0" w:firstLineChars="0"/>
              <w:jc w:val="center"/>
              <w:rPr>
                <w:rFonts w:hint="eastAsia" w:ascii="宋体" w:hAnsi="宋体" w:cs="宋体"/>
                <w:szCs w:val="21"/>
              </w:rPr>
            </w:pPr>
          </w:p>
        </w:tc>
        <w:tc>
          <w:tcPr>
            <w:tcW w:w="1155" w:type="dxa"/>
          </w:tcPr>
          <w:p>
            <w:pPr>
              <w:spacing w:line="460" w:lineRule="exact"/>
              <w:ind w:left="0" w:leftChars="0" w:firstLine="0" w:firstLineChars="0"/>
              <w:jc w:val="center"/>
              <w:rPr>
                <w:rFonts w:hint="eastAsia" w:ascii="宋体" w:hAnsi="宋体" w:cs="宋体"/>
                <w:szCs w:val="21"/>
              </w:rPr>
            </w:pPr>
          </w:p>
        </w:tc>
        <w:tc>
          <w:tcPr>
            <w:tcW w:w="1076" w:type="dxa"/>
          </w:tcPr>
          <w:p>
            <w:pPr>
              <w:spacing w:line="460" w:lineRule="exact"/>
              <w:ind w:left="0" w:leftChars="0" w:firstLine="0" w:firstLineChars="0"/>
              <w:jc w:val="center"/>
              <w:rPr>
                <w:rFonts w:hint="eastAsia" w:ascii="宋体" w:hAnsi="宋体" w:cs="宋体"/>
                <w:szCs w:val="21"/>
              </w:rPr>
            </w:pPr>
          </w:p>
        </w:tc>
        <w:tc>
          <w:tcPr>
            <w:tcW w:w="1050" w:type="dxa"/>
          </w:tcPr>
          <w:p>
            <w:pPr>
              <w:spacing w:line="460" w:lineRule="exact"/>
              <w:ind w:left="0" w:leftChars="0" w:firstLine="0" w:firstLineChars="0"/>
              <w:jc w:val="center"/>
              <w:rPr>
                <w:rFonts w:hint="eastAsia" w:ascii="宋体" w:hAnsi="宋体" w:cs="宋体"/>
                <w:szCs w:val="21"/>
              </w:rPr>
            </w:pPr>
          </w:p>
        </w:tc>
        <w:tc>
          <w:tcPr>
            <w:tcW w:w="1234" w:type="dxa"/>
          </w:tcPr>
          <w:p>
            <w:pPr>
              <w:spacing w:line="460" w:lineRule="exact"/>
              <w:ind w:left="0" w:leftChars="0" w:firstLine="0" w:firstLineChars="0"/>
              <w:jc w:val="center"/>
              <w:rPr>
                <w:rFonts w:hint="eastAsia" w:ascii="宋体" w:hAnsi="宋体" w:cs="宋体"/>
                <w:szCs w:val="21"/>
              </w:rPr>
            </w:pPr>
          </w:p>
        </w:tc>
        <w:tc>
          <w:tcPr>
            <w:tcW w:w="1076" w:type="dxa"/>
          </w:tcPr>
          <w:p>
            <w:pPr>
              <w:spacing w:line="460" w:lineRule="exact"/>
              <w:ind w:left="0" w:leftChars="0" w:firstLine="0" w:firstLineChars="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left="0" w:leftChars="0" w:firstLine="0" w:firstLineChars="0"/>
              <w:jc w:val="center"/>
              <w:rPr>
                <w:rFonts w:hint="eastAsia" w:ascii="宋体" w:hAnsi="宋体" w:cs="宋体"/>
                <w:szCs w:val="21"/>
              </w:rPr>
            </w:pPr>
          </w:p>
        </w:tc>
        <w:tc>
          <w:tcPr>
            <w:tcW w:w="1260" w:type="dxa"/>
          </w:tcPr>
          <w:p>
            <w:pPr>
              <w:spacing w:line="460" w:lineRule="exact"/>
              <w:ind w:left="0" w:leftChars="0" w:firstLine="0" w:firstLineChars="0"/>
              <w:jc w:val="center"/>
              <w:rPr>
                <w:rFonts w:hint="eastAsia" w:ascii="宋体" w:hAnsi="宋体" w:cs="宋体"/>
                <w:szCs w:val="21"/>
              </w:rPr>
            </w:pPr>
          </w:p>
        </w:tc>
        <w:tc>
          <w:tcPr>
            <w:tcW w:w="2040" w:type="dxa"/>
          </w:tcPr>
          <w:p>
            <w:pPr>
              <w:spacing w:line="460" w:lineRule="exact"/>
              <w:ind w:left="0" w:leftChars="0" w:firstLine="0" w:firstLineChars="0"/>
              <w:jc w:val="center"/>
              <w:rPr>
                <w:rFonts w:hint="eastAsia" w:ascii="宋体" w:hAnsi="宋体" w:cs="宋体"/>
                <w:szCs w:val="21"/>
              </w:rPr>
            </w:pPr>
          </w:p>
        </w:tc>
        <w:tc>
          <w:tcPr>
            <w:tcW w:w="1050" w:type="dxa"/>
          </w:tcPr>
          <w:p>
            <w:pPr>
              <w:spacing w:line="460" w:lineRule="exact"/>
              <w:ind w:left="0" w:leftChars="0" w:firstLine="0" w:firstLineChars="0"/>
              <w:jc w:val="center"/>
              <w:rPr>
                <w:rFonts w:hint="eastAsia" w:ascii="宋体" w:hAnsi="宋体" w:cs="宋体"/>
                <w:szCs w:val="21"/>
              </w:rPr>
            </w:pPr>
          </w:p>
        </w:tc>
        <w:tc>
          <w:tcPr>
            <w:tcW w:w="840" w:type="dxa"/>
          </w:tcPr>
          <w:p>
            <w:pPr>
              <w:spacing w:line="460" w:lineRule="exact"/>
              <w:ind w:left="0" w:leftChars="0" w:firstLine="0" w:firstLineChars="0"/>
              <w:jc w:val="center"/>
              <w:rPr>
                <w:rFonts w:hint="eastAsia" w:ascii="宋体" w:hAnsi="宋体" w:cs="宋体"/>
                <w:szCs w:val="21"/>
              </w:rPr>
            </w:pPr>
          </w:p>
        </w:tc>
        <w:tc>
          <w:tcPr>
            <w:tcW w:w="840" w:type="dxa"/>
          </w:tcPr>
          <w:p>
            <w:pPr>
              <w:spacing w:line="460" w:lineRule="exact"/>
              <w:ind w:left="0" w:leftChars="0" w:firstLine="0" w:firstLineChars="0"/>
              <w:jc w:val="center"/>
              <w:rPr>
                <w:rFonts w:hint="eastAsia" w:ascii="宋体" w:hAnsi="宋体" w:cs="宋体"/>
                <w:szCs w:val="21"/>
              </w:rPr>
            </w:pPr>
          </w:p>
        </w:tc>
        <w:tc>
          <w:tcPr>
            <w:tcW w:w="1155" w:type="dxa"/>
          </w:tcPr>
          <w:p>
            <w:pPr>
              <w:spacing w:line="460" w:lineRule="exact"/>
              <w:ind w:left="0" w:leftChars="0" w:firstLine="0" w:firstLineChars="0"/>
              <w:jc w:val="center"/>
              <w:rPr>
                <w:rFonts w:hint="eastAsia" w:ascii="宋体" w:hAnsi="宋体" w:cs="宋体"/>
                <w:szCs w:val="21"/>
              </w:rPr>
            </w:pPr>
          </w:p>
        </w:tc>
        <w:tc>
          <w:tcPr>
            <w:tcW w:w="1155" w:type="dxa"/>
          </w:tcPr>
          <w:p>
            <w:pPr>
              <w:spacing w:line="460" w:lineRule="exact"/>
              <w:ind w:left="0" w:leftChars="0" w:firstLine="0" w:firstLineChars="0"/>
              <w:jc w:val="center"/>
              <w:rPr>
                <w:rFonts w:hint="eastAsia" w:ascii="宋体" w:hAnsi="宋体" w:cs="宋体"/>
                <w:szCs w:val="21"/>
              </w:rPr>
            </w:pPr>
          </w:p>
        </w:tc>
        <w:tc>
          <w:tcPr>
            <w:tcW w:w="1155" w:type="dxa"/>
          </w:tcPr>
          <w:p>
            <w:pPr>
              <w:spacing w:line="460" w:lineRule="exact"/>
              <w:ind w:left="0" w:leftChars="0" w:firstLine="0" w:firstLineChars="0"/>
              <w:jc w:val="center"/>
              <w:rPr>
                <w:rFonts w:hint="eastAsia" w:ascii="宋体" w:hAnsi="宋体" w:cs="宋体"/>
                <w:szCs w:val="21"/>
              </w:rPr>
            </w:pPr>
          </w:p>
        </w:tc>
        <w:tc>
          <w:tcPr>
            <w:tcW w:w="1155" w:type="dxa"/>
          </w:tcPr>
          <w:p>
            <w:pPr>
              <w:spacing w:line="460" w:lineRule="exact"/>
              <w:ind w:left="0" w:leftChars="0" w:firstLine="0" w:firstLineChars="0"/>
              <w:jc w:val="center"/>
              <w:rPr>
                <w:rFonts w:hint="eastAsia" w:ascii="宋体" w:hAnsi="宋体" w:cs="宋体"/>
                <w:szCs w:val="21"/>
              </w:rPr>
            </w:pPr>
          </w:p>
        </w:tc>
        <w:tc>
          <w:tcPr>
            <w:tcW w:w="1076" w:type="dxa"/>
          </w:tcPr>
          <w:p>
            <w:pPr>
              <w:spacing w:line="460" w:lineRule="exact"/>
              <w:ind w:left="0" w:leftChars="0" w:firstLine="0" w:firstLineChars="0"/>
              <w:jc w:val="center"/>
              <w:rPr>
                <w:rFonts w:hint="eastAsia" w:ascii="宋体" w:hAnsi="宋体" w:cs="宋体"/>
                <w:szCs w:val="21"/>
              </w:rPr>
            </w:pPr>
          </w:p>
        </w:tc>
        <w:tc>
          <w:tcPr>
            <w:tcW w:w="1050" w:type="dxa"/>
          </w:tcPr>
          <w:p>
            <w:pPr>
              <w:spacing w:line="460" w:lineRule="exact"/>
              <w:ind w:left="0" w:leftChars="0" w:firstLine="0" w:firstLineChars="0"/>
              <w:jc w:val="center"/>
              <w:rPr>
                <w:rFonts w:hint="eastAsia" w:ascii="宋体" w:hAnsi="宋体" w:cs="宋体"/>
                <w:szCs w:val="21"/>
              </w:rPr>
            </w:pPr>
          </w:p>
        </w:tc>
        <w:tc>
          <w:tcPr>
            <w:tcW w:w="1234" w:type="dxa"/>
          </w:tcPr>
          <w:p>
            <w:pPr>
              <w:spacing w:line="460" w:lineRule="exact"/>
              <w:ind w:left="0" w:leftChars="0" w:firstLine="0" w:firstLineChars="0"/>
              <w:jc w:val="center"/>
              <w:rPr>
                <w:rFonts w:hint="eastAsia" w:ascii="宋体" w:hAnsi="宋体" w:cs="宋体"/>
                <w:szCs w:val="21"/>
              </w:rPr>
            </w:pPr>
          </w:p>
        </w:tc>
        <w:tc>
          <w:tcPr>
            <w:tcW w:w="1076" w:type="dxa"/>
          </w:tcPr>
          <w:p>
            <w:pPr>
              <w:spacing w:line="460" w:lineRule="exact"/>
              <w:ind w:left="0" w:leftChars="0" w:firstLine="0" w:firstLineChars="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left="0" w:leftChars="0" w:firstLine="0" w:firstLineChars="0"/>
              <w:jc w:val="center"/>
              <w:rPr>
                <w:rFonts w:hint="eastAsia" w:ascii="宋体" w:hAnsi="宋体" w:cs="宋体"/>
                <w:szCs w:val="21"/>
              </w:rPr>
            </w:pPr>
          </w:p>
        </w:tc>
        <w:tc>
          <w:tcPr>
            <w:tcW w:w="1260" w:type="dxa"/>
          </w:tcPr>
          <w:p>
            <w:pPr>
              <w:spacing w:line="460" w:lineRule="exact"/>
              <w:ind w:left="0" w:leftChars="0" w:firstLine="0" w:firstLineChars="0"/>
              <w:jc w:val="center"/>
              <w:rPr>
                <w:rFonts w:hint="eastAsia" w:ascii="宋体" w:hAnsi="宋体" w:cs="宋体"/>
                <w:szCs w:val="21"/>
              </w:rPr>
            </w:pPr>
          </w:p>
        </w:tc>
        <w:tc>
          <w:tcPr>
            <w:tcW w:w="2040" w:type="dxa"/>
          </w:tcPr>
          <w:p>
            <w:pPr>
              <w:spacing w:line="460" w:lineRule="exact"/>
              <w:ind w:left="0" w:leftChars="0" w:firstLine="0" w:firstLineChars="0"/>
              <w:jc w:val="center"/>
              <w:rPr>
                <w:rFonts w:hint="eastAsia" w:ascii="宋体" w:hAnsi="宋体" w:cs="宋体"/>
                <w:szCs w:val="21"/>
              </w:rPr>
            </w:pPr>
          </w:p>
        </w:tc>
        <w:tc>
          <w:tcPr>
            <w:tcW w:w="1050" w:type="dxa"/>
          </w:tcPr>
          <w:p>
            <w:pPr>
              <w:spacing w:line="460" w:lineRule="exact"/>
              <w:ind w:left="0" w:leftChars="0" w:firstLine="0" w:firstLineChars="0"/>
              <w:jc w:val="center"/>
              <w:rPr>
                <w:rFonts w:hint="eastAsia" w:ascii="宋体" w:hAnsi="宋体" w:cs="宋体"/>
                <w:szCs w:val="21"/>
              </w:rPr>
            </w:pPr>
          </w:p>
        </w:tc>
        <w:tc>
          <w:tcPr>
            <w:tcW w:w="840" w:type="dxa"/>
          </w:tcPr>
          <w:p>
            <w:pPr>
              <w:spacing w:line="460" w:lineRule="exact"/>
              <w:ind w:left="0" w:leftChars="0" w:firstLine="0" w:firstLineChars="0"/>
              <w:jc w:val="center"/>
              <w:rPr>
                <w:rFonts w:hint="eastAsia" w:ascii="宋体" w:hAnsi="宋体" w:cs="宋体"/>
                <w:szCs w:val="21"/>
              </w:rPr>
            </w:pPr>
          </w:p>
        </w:tc>
        <w:tc>
          <w:tcPr>
            <w:tcW w:w="840" w:type="dxa"/>
          </w:tcPr>
          <w:p>
            <w:pPr>
              <w:spacing w:line="460" w:lineRule="exact"/>
              <w:ind w:left="0" w:leftChars="0" w:firstLine="0" w:firstLineChars="0"/>
              <w:jc w:val="center"/>
              <w:rPr>
                <w:rFonts w:hint="eastAsia" w:ascii="宋体" w:hAnsi="宋体" w:cs="宋体"/>
                <w:szCs w:val="21"/>
              </w:rPr>
            </w:pPr>
          </w:p>
        </w:tc>
        <w:tc>
          <w:tcPr>
            <w:tcW w:w="1155" w:type="dxa"/>
          </w:tcPr>
          <w:p>
            <w:pPr>
              <w:spacing w:line="460" w:lineRule="exact"/>
              <w:ind w:left="0" w:leftChars="0" w:firstLine="0" w:firstLineChars="0"/>
              <w:jc w:val="center"/>
              <w:rPr>
                <w:rFonts w:hint="eastAsia" w:ascii="宋体" w:hAnsi="宋体" w:cs="宋体"/>
                <w:szCs w:val="21"/>
              </w:rPr>
            </w:pPr>
          </w:p>
        </w:tc>
        <w:tc>
          <w:tcPr>
            <w:tcW w:w="1155" w:type="dxa"/>
          </w:tcPr>
          <w:p>
            <w:pPr>
              <w:spacing w:line="460" w:lineRule="exact"/>
              <w:ind w:left="0" w:leftChars="0" w:firstLine="0" w:firstLineChars="0"/>
              <w:jc w:val="center"/>
              <w:rPr>
                <w:rFonts w:hint="eastAsia" w:ascii="宋体" w:hAnsi="宋体" w:cs="宋体"/>
                <w:szCs w:val="21"/>
              </w:rPr>
            </w:pPr>
          </w:p>
        </w:tc>
        <w:tc>
          <w:tcPr>
            <w:tcW w:w="1155" w:type="dxa"/>
          </w:tcPr>
          <w:p>
            <w:pPr>
              <w:spacing w:line="460" w:lineRule="exact"/>
              <w:ind w:left="0" w:leftChars="0" w:firstLine="0" w:firstLineChars="0"/>
              <w:jc w:val="center"/>
              <w:rPr>
                <w:rFonts w:hint="eastAsia" w:ascii="宋体" w:hAnsi="宋体" w:cs="宋体"/>
                <w:szCs w:val="21"/>
              </w:rPr>
            </w:pPr>
          </w:p>
        </w:tc>
        <w:tc>
          <w:tcPr>
            <w:tcW w:w="1155" w:type="dxa"/>
          </w:tcPr>
          <w:p>
            <w:pPr>
              <w:spacing w:line="460" w:lineRule="exact"/>
              <w:ind w:left="0" w:leftChars="0" w:firstLine="0" w:firstLineChars="0"/>
              <w:jc w:val="center"/>
              <w:rPr>
                <w:rFonts w:hint="eastAsia" w:ascii="宋体" w:hAnsi="宋体" w:cs="宋体"/>
                <w:szCs w:val="21"/>
              </w:rPr>
            </w:pPr>
          </w:p>
        </w:tc>
        <w:tc>
          <w:tcPr>
            <w:tcW w:w="1076" w:type="dxa"/>
          </w:tcPr>
          <w:p>
            <w:pPr>
              <w:spacing w:line="460" w:lineRule="exact"/>
              <w:ind w:left="0" w:leftChars="0" w:firstLine="0" w:firstLineChars="0"/>
              <w:jc w:val="center"/>
              <w:rPr>
                <w:rFonts w:hint="eastAsia" w:ascii="宋体" w:hAnsi="宋体" w:cs="宋体"/>
                <w:szCs w:val="21"/>
              </w:rPr>
            </w:pPr>
          </w:p>
        </w:tc>
        <w:tc>
          <w:tcPr>
            <w:tcW w:w="1050" w:type="dxa"/>
          </w:tcPr>
          <w:p>
            <w:pPr>
              <w:spacing w:line="460" w:lineRule="exact"/>
              <w:ind w:left="0" w:leftChars="0" w:firstLine="0" w:firstLineChars="0"/>
              <w:jc w:val="center"/>
              <w:rPr>
                <w:rFonts w:hint="eastAsia" w:ascii="宋体" w:hAnsi="宋体" w:cs="宋体"/>
                <w:szCs w:val="21"/>
              </w:rPr>
            </w:pPr>
          </w:p>
        </w:tc>
        <w:tc>
          <w:tcPr>
            <w:tcW w:w="1234" w:type="dxa"/>
          </w:tcPr>
          <w:p>
            <w:pPr>
              <w:spacing w:line="460" w:lineRule="exact"/>
              <w:ind w:left="0" w:leftChars="0" w:firstLine="0" w:firstLineChars="0"/>
              <w:jc w:val="center"/>
              <w:rPr>
                <w:rFonts w:hint="eastAsia" w:ascii="宋体" w:hAnsi="宋体" w:cs="宋体"/>
                <w:szCs w:val="21"/>
              </w:rPr>
            </w:pPr>
          </w:p>
        </w:tc>
        <w:tc>
          <w:tcPr>
            <w:tcW w:w="1076" w:type="dxa"/>
          </w:tcPr>
          <w:p>
            <w:pPr>
              <w:spacing w:line="460" w:lineRule="exact"/>
              <w:ind w:left="0" w:leftChars="0" w:firstLine="0" w:firstLineChars="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5" w:type="dxa"/>
            <w:gridSpan w:val="4"/>
          </w:tcPr>
          <w:p>
            <w:pPr>
              <w:spacing w:line="460" w:lineRule="exact"/>
              <w:ind w:left="0" w:leftChars="0" w:firstLine="0" w:firstLineChars="0"/>
              <w:jc w:val="center"/>
              <w:rPr>
                <w:rFonts w:hint="eastAsia" w:ascii="宋体" w:hAnsi="宋体" w:cs="宋体"/>
                <w:szCs w:val="21"/>
              </w:rPr>
            </w:pPr>
            <w:r>
              <w:rPr>
                <w:rFonts w:hint="eastAsia" w:ascii="宋体" w:hAnsi="宋体" w:cs="宋体"/>
                <w:szCs w:val="21"/>
              </w:rPr>
              <w:t>投标总价合计：</w:t>
            </w:r>
          </w:p>
        </w:tc>
        <w:tc>
          <w:tcPr>
            <w:tcW w:w="10736" w:type="dxa"/>
            <w:gridSpan w:val="10"/>
          </w:tcPr>
          <w:p>
            <w:pPr>
              <w:spacing w:line="460" w:lineRule="exact"/>
              <w:ind w:left="0" w:leftChars="0" w:firstLine="0" w:firstLineChars="0"/>
              <w:jc w:val="center"/>
              <w:rPr>
                <w:rFonts w:hint="eastAsia" w:ascii="宋体" w:hAnsi="宋体" w:cs="宋体"/>
                <w:szCs w:val="21"/>
              </w:rPr>
            </w:pPr>
          </w:p>
        </w:tc>
      </w:tr>
    </w:tbl>
    <w:p>
      <w:pPr>
        <w:spacing w:line="440" w:lineRule="exact"/>
        <w:rPr>
          <w:rFonts w:ascii="宋体" w:hAnsi="宋体" w:cs="宋体"/>
          <w:i/>
          <w:iCs/>
          <w:sz w:val="24"/>
          <w:szCs w:val="24"/>
        </w:rPr>
      </w:pPr>
    </w:p>
    <w:p>
      <w:pPr>
        <w:spacing w:line="440" w:lineRule="exact"/>
        <w:rPr>
          <w:rFonts w:ascii="宋体" w:hAnsi="宋体" w:cs="宋体"/>
          <w:i/>
          <w:iCs/>
          <w:sz w:val="24"/>
          <w:szCs w:val="24"/>
        </w:rPr>
      </w:pPr>
      <w:r>
        <w:rPr>
          <w:rFonts w:hint="eastAsia" w:ascii="宋体" w:hAnsi="宋体" w:cs="宋体"/>
          <w:i/>
          <w:iCs/>
          <w:sz w:val="24"/>
          <w:szCs w:val="24"/>
        </w:rPr>
        <w:t>说明：  1、项7=项8+项9+项10+项11+项12+项13，项7=项6*项5；</w:t>
      </w:r>
    </w:p>
    <w:p>
      <w:pPr>
        <w:widowControl w:val="0"/>
        <w:numPr>
          <w:ilvl w:val="0"/>
          <w:numId w:val="41"/>
        </w:numPr>
        <w:tabs>
          <w:tab w:val="left" w:pos="1365"/>
          <w:tab w:val="left" w:pos="1620"/>
        </w:tabs>
        <w:spacing w:line="440" w:lineRule="exact"/>
        <w:ind w:left="1365" w:hanging="465"/>
        <w:jc w:val="both"/>
        <w:rPr>
          <w:rFonts w:ascii="宋体" w:hAnsi="宋体" w:cs="宋体"/>
          <w:i/>
          <w:iCs/>
          <w:sz w:val="24"/>
          <w:szCs w:val="24"/>
        </w:rPr>
      </w:pPr>
      <w:r>
        <w:rPr>
          <w:rFonts w:hint="eastAsia" w:ascii="宋体" w:hAnsi="宋体" w:cs="宋体"/>
          <w:i/>
          <w:iCs/>
          <w:sz w:val="24"/>
          <w:szCs w:val="24"/>
        </w:rPr>
        <w:t xml:space="preserve">“投标总价合计”应与“附件一、投标函”中第二项“投标项目的总投标价”一致。 </w:t>
      </w:r>
    </w:p>
    <w:p>
      <w:pPr>
        <w:spacing w:line="460" w:lineRule="exact"/>
        <w:rPr>
          <w:rFonts w:ascii="宋体" w:hAnsi="宋体" w:cs="宋体"/>
          <w:sz w:val="24"/>
          <w:szCs w:val="24"/>
        </w:rPr>
      </w:pPr>
    </w:p>
    <w:p>
      <w:pPr>
        <w:pStyle w:val="6"/>
        <w:numPr>
          <w:ilvl w:val="0"/>
          <w:numId w:val="0"/>
        </w:numPr>
        <w:tabs>
          <w:tab w:val="clear" w:pos="360"/>
          <w:tab w:val="clear" w:pos="420"/>
          <w:tab w:val="clear" w:pos="1620"/>
        </w:tabs>
        <w:bidi w:val="0"/>
        <w:ind w:left="400" w:leftChars="0"/>
        <w:rPr>
          <w:rFonts w:hint="eastAsia" w:ascii="宋体" w:hAnsi="宋体" w:eastAsia="宋体" w:cs="宋体"/>
          <w:b w:val="0"/>
          <w:bCs w:val="0"/>
          <w:color w:val="auto"/>
          <w:highlight w:val="none"/>
          <w:lang w:val="en-US" w:eastAsia="zh-CN"/>
        </w:rPr>
        <w:sectPr>
          <w:pgSz w:w="16840" w:h="11907" w:orient="landscape"/>
          <w:pgMar w:top="1083" w:right="1440" w:bottom="1083" w:left="1440" w:header="850" w:footer="992" w:gutter="0"/>
          <w:pgBorders>
            <w:top w:val="none" w:color="auto" w:sz="0" w:space="0"/>
            <w:left w:val="none" w:color="auto" w:sz="0" w:space="0"/>
            <w:bottom w:val="none" w:color="auto" w:sz="0" w:space="0"/>
            <w:right w:val="none" w:color="auto" w:sz="0" w:space="0"/>
          </w:pgBorders>
          <w:cols w:space="0" w:num="1"/>
          <w:rtlGutter w:val="0"/>
          <w:docGrid w:linePitch="286" w:charSpace="0"/>
        </w:sectPr>
      </w:pPr>
      <w:r>
        <w:rPr>
          <w:rFonts w:hint="eastAsia" w:ascii="宋体" w:hAnsi="宋体" w:cs="宋体"/>
          <w:b w:val="0"/>
          <w:bCs w:val="0"/>
          <w:sz w:val="24"/>
          <w:szCs w:val="24"/>
        </w:rPr>
        <w:t>投标方（盖章）：                     授权代表（签字）：                           日  期：</w:t>
      </w:r>
    </w:p>
    <w:p>
      <w:pPr>
        <w:pStyle w:val="6"/>
        <w:numPr>
          <w:ilvl w:val="0"/>
          <w:numId w:val="40"/>
        </w:numPr>
        <w:bidi w:val="0"/>
        <w:jc w:val="left"/>
        <w:rPr>
          <w:rFonts w:hint="eastAsia" w:ascii="宋体" w:hAnsi="宋体" w:eastAsia="宋体" w:cs="宋体"/>
          <w:color w:val="auto"/>
          <w:highlight w:val="none"/>
          <w:lang w:val="en-US" w:eastAsia="zh-CN"/>
        </w:rPr>
      </w:pPr>
      <w:bookmarkStart w:id="172" w:name="_Toc8480"/>
      <w:bookmarkStart w:id="173" w:name="_Toc9524"/>
      <w:r>
        <w:rPr>
          <w:rFonts w:hint="eastAsia" w:ascii="宋体" w:hAnsi="宋体" w:eastAsia="宋体" w:cs="宋体"/>
          <w:color w:val="auto"/>
          <w:highlight w:val="none"/>
          <w:lang w:val="en-US" w:eastAsia="zh-CN"/>
        </w:rPr>
        <w:t>中小企业声明函</w:t>
      </w:r>
    </w:p>
    <w:p>
      <w:pPr>
        <w:snapToGrid w:val="0"/>
        <w:ind w:left="0" w:leftChars="0" w:right="0" w:rightChars="0" w:firstLine="0" w:firstLineChars="0"/>
        <w:jc w:val="center"/>
        <w:rPr>
          <w:rFonts w:hint="eastAsia" w:ascii="宋体" w:hAnsi="宋体" w:eastAsia="宋体" w:cs="宋体"/>
          <w:b/>
          <w:color w:val="auto"/>
          <w:kern w:val="0"/>
          <w:sz w:val="32"/>
          <w:highlight w:val="none"/>
          <w:lang w:val="en-US" w:eastAsia="zh-CN"/>
        </w:rPr>
      </w:pPr>
      <w:r>
        <w:rPr>
          <w:rFonts w:hint="eastAsia" w:ascii="宋体" w:hAnsi="宋体" w:eastAsia="宋体" w:cs="宋体"/>
          <w:b/>
          <w:color w:val="auto"/>
          <w:kern w:val="0"/>
          <w:sz w:val="32"/>
          <w:highlight w:val="none"/>
          <w:lang w:val="en-US" w:eastAsia="zh-CN"/>
        </w:rPr>
        <w:t>中小企业声明函</w:t>
      </w:r>
    </w:p>
    <w:p>
      <w:pPr>
        <w:widowControl w:val="0"/>
        <w:spacing w:line="360" w:lineRule="auto"/>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本公司（联合体）郑重声明，根据《政府采购促进中小企业发展管理办法》（财库﹝2020﹞46 号）的规定，本公司（联合体）参加 </w:t>
      </w:r>
      <w:r>
        <w:rPr>
          <w:rFonts w:hint="eastAsia" w:ascii="宋体" w:hAnsi="宋体" w:eastAsia="宋体" w:cs="宋体"/>
          <w:color w:val="auto"/>
          <w:sz w:val="24"/>
          <w:szCs w:val="24"/>
          <w:u w:val="single"/>
        </w:rPr>
        <w:t xml:space="preserve"> </w:t>
      </w:r>
      <w:r>
        <w:rPr>
          <w:rFonts w:hint="eastAsia" w:ascii="宋体" w:hAnsi="宋体" w:eastAsia="宋体" w:cs="宋体"/>
          <w:i/>
          <w:iCs/>
          <w:color w:val="auto"/>
          <w:sz w:val="24"/>
          <w:szCs w:val="24"/>
          <w:u w:val="single"/>
        </w:rPr>
        <w:t xml:space="preserve">（单位名称）  </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 xml:space="preserve"> </w:t>
      </w:r>
      <w:r>
        <w:rPr>
          <w:rFonts w:hint="eastAsia" w:ascii="宋体" w:hAnsi="宋体" w:eastAsia="宋体" w:cs="宋体"/>
          <w:i/>
          <w:iCs/>
          <w:color w:val="auto"/>
          <w:sz w:val="24"/>
          <w:szCs w:val="24"/>
          <w:u w:val="single"/>
        </w:rPr>
        <w:t xml:space="preserve">（项目名称）   </w:t>
      </w:r>
      <w:r>
        <w:rPr>
          <w:rFonts w:hint="eastAsia" w:ascii="宋体" w:hAnsi="宋体" w:eastAsia="宋体" w:cs="宋体"/>
          <w:color w:val="auto"/>
          <w:sz w:val="24"/>
          <w:szCs w:val="24"/>
        </w:rPr>
        <w:t xml:space="preserve">采购活动，提供的货物全部由符合政策要求的中小企业制造。相关企业（含联合体中的中小企业、签订分包意向协议的中小企业）的具体情况如下： </w:t>
      </w:r>
    </w:p>
    <w:p>
      <w:pPr>
        <w:widowControl w:val="0"/>
        <w:numPr>
          <w:ilvl w:val="0"/>
          <w:numId w:val="42"/>
        </w:numPr>
        <w:spacing w:line="360" w:lineRule="auto"/>
        <w:ind w:firstLine="480"/>
        <w:jc w:val="both"/>
        <w:rPr>
          <w:rFonts w:hint="eastAsia" w:ascii="宋体" w:hAnsi="宋体" w:eastAsia="宋体" w:cs="宋体"/>
          <w:color w:val="auto"/>
          <w:sz w:val="24"/>
          <w:szCs w:val="24"/>
        </w:rPr>
      </w:pPr>
      <w:r>
        <w:rPr>
          <w:rFonts w:hint="eastAsia" w:ascii="宋体" w:hAnsi="宋体" w:eastAsia="宋体" w:cs="宋体"/>
          <w:i/>
          <w:iCs/>
          <w:color w:val="auto"/>
          <w:sz w:val="24"/>
          <w:szCs w:val="24"/>
          <w:u w:val="single"/>
        </w:rPr>
        <w:t xml:space="preserve">（标的名称） </w:t>
      </w:r>
      <w:r>
        <w:rPr>
          <w:rFonts w:hint="eastAsia" w:ascii="宋体" w:hAnsi="宋体" w:eastAsia="宋体" w:cs="宋体"/>
          <w:color w:val="auto"/>
          <w:sz w:val="24"/>
          <w:szCs w:val="24"/>
        </w:rPr>
        <w:t>，属于</w:t>
      </w:r>
      <w:r>
        <w:rPr>
          <w:rFonts w:hint="eastAsia" w:ascii="宋体" w:hAnsi="宋体" w:eastAsia="宋体" w:cs="宋体"/>
          <w:i/>
          <w:iCs/>
          <w:color w:val="auto"/>
          <w:sz w:val="24"/>
          <w:szCs w:val="24"/>
          <w:u w:val="single"/>
        </w:rPr>
        <w:t>（采购文件中明确的所属行业）行业</w:t>
      </w:r>
      <w:r>
        <w:rPr>
          <w:rFonts w:hint="eastAsia" w:ascii="宋体" w:hAnsi="宋体" w:eastAsia="宋体" w:cs="宋体"/>
          <w:color w:val="auto"/>
          <w:sz w:val="24"/>
          <w:szCs w:val="24"/>
        </w:rPr>
        <w:t>；制造商为</w:t>
      </w:r>
      <w:r>
        <w:rPr>
          <w:rFonts w:hint="eastAsia" w:ascii="宋体" w:hAnsi="宋体" w:eastAsia="宋体" w:cs="宋体"/>
          <w:i/>
          <w:iCs/>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i/>
          <w:iCs/>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w:t>
      </w:r>
      <w:r>
        <w:rPr>
          <w:rFonts w:hint="eastAsia" w:ascii="宋体" w:hAnsi="宋体" w:eastAsia="宋体" w:cs="宋体"/>
          <w:color w:val="auto"/>
          <w:sz w:val="24"/>
          <w:szCs w:val="24"/>
          <w:vertAlign w:val="superscript"/>
        </w:rPr>
        <w:t xml:space="preserve"> 1</w:t>
      </w:r>
      <w:r>
        <w:rPr>
          <w:rFonts w:hint="eastAsia" w:ascii="宋体" w:hAnsi="宋体" w:eastAsia="宋体" w:cs="宋体"/>
          <w:color w:val="auto"/>
          <w:sz w:val="24"/>
          <w:szCs w:val="24"/>
        </w:rPr>
        <w:t>，属于</w:t>
      </w:r>
      <w:r>
        <w:rPr>
          <w:rFonts w:hint="eastAsia" w:ascii="宋体" w:hAnsi="宋体" w:eastAsia="宋体" w:cs="宋体"/>
          <w:i/>
          <w:iCs/>
          <w:color w:val="auto"/>
          <w:sz w:val="24"/>
          <w:szCs w:val="24"/>
          <w:u w:val="single"/>
        </w:rPr>
        <w:t>（中型企业、小 型企业、微型企业）</w:t>
      </w:r>
      <w:r>
        <w:rPr>
          <w:rFonts w:hint="eastAsia" w:ascii="宋体" w:hAnsi="宋体" w:eastAsia="宋体" w:cs="宋体"/>
          <w:color w:val="auto"/>
          <w:sz w:val="24"/>
          <w:szCs w:val="24"/>
        </w:rPr>
        <w:t xml:space="preserve"> ；</w:t>
      </w:r>
    </w:p>
    <w:p>
      <w:pPr>
        <w:widowControl w:val="0"/>
        <w:numPr>
          <w:ilvl w:val="0"/>
          <w:numId w:val="42"/>
        </w:numPr>
        <w:spacing w:line="360" w:lineRule="auto"/>
        <w:ind w:firstLine="480"/>
        <w:jc w:val="both"/>
        <w:rPr>
          <w:rFonts w:hint="eastAsia" w:ascii="宋体" w:hAnsi="宋体" w:eastAsia="宋体" w:cs="宋体"/>
          <w:color w:val="auto"/>
          <w:sz w:val="24"/>
          <w:szCs w:val="24"/>
        </w:rPr>
      </w:pPr>
      <w:r>
        <w:rPr>
          <w:rFonts w:hint="eastAsia" w:ascii="宋体" w:hAnsi="宋体" w:eastAsia="宋体" w:cs="宋体"/>
          <w:i/>
          <w:iCs/>
          <w:color w:val="auto"/>
          <w:sz w:val="24"/>
          <w:szCs w:val="24"/>
          <w:u w:val="single"/>
        </w:rPr>
        <w:t xml:space="preserve"> （标的名称） </w:t>
      </w:r>
      <w:r>
        <w:rPr>
          <w:rFonts w:hint="eastAsia" w:ascii="宋体" w:hAnsi="宋体" w:eastAsia="宋体" w:cs="宋体"/>
          <w:color w:val="auto"/>
          <w:sz w:val="24"/>
          <w:szCs w:val="24"/>
        </w:rPr>
        <w:t>，属于</w:t>
      </w:r>
      <w:r>
        <w:rPr>
          <w:rFonts w:hint="eastAsia" w:ascii="宋体" w:hAnsi="宋体" w:eastAsia="宋体" w:cs="宋体"/>
          <w:i/>
          <w:iCs/>
          <w:color w:val="auto"/>
          <w:sz w:val="24"/>
          <w:szCs w:val="24"/>
          <w:u w:val="single"/>
        </w:rPr>
        <w:t>（采购文件中明确的所属行业）行业</w:t>
      </w:r>
      <w:r>
        <w:rPr>
          <w:rFonts w:hint="eastAsia" w:ascii="宋体" w:hAnsi="宋体" w:eastAsia="宋体" w:cs="宋体"/>
          <w:color w:val="auto"/>
          <w:sz w:val="24"/>
          <w:szCs w:val="24"/>
        </w:rPr>
        <w:t>；制造商为</w:t>
      </w:r>
      <w:r>
        <w:rPr>
          <w:rFonts w:hint="eastAsia" w:ascii="宋体" w:hAnsi="宋体" w:eastAsia="宋体" w:cs="宋体"/>
          <w:i/>
          <w:iCs/>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i/>
          <w:iCs/>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w:t>
      </w:r>
      <w:r>
        <w:rPr>
          <w:rFonts w:hint="eastAsia" w:ascii="宋体" w:hAnsi="宋体" w:eastAsia="宋体" w:cs="宋体"/>
          <w:color w:val="auto"/>
          <w:sz w:val="24"/>
          <w:szCs w:val="24"/>
          <w:vertAlign w:val="superscript"/>
        </w:rPr>
        <w:t xml:space="preserve"> 1</w:t>
      </w:r>
      <w:r>
        <w:rPr>
          <w:rFonts w:hint="eastAsia" w:ascii="宋体" w:hAnsi="宋体" w:eastAsia="宋体" w:cs="宋体"/>
          <w:color w:val="auto"/>
          <w:sz w:val="24"/>
          <w:szCs w:val="24"/>
        </w:rPr>
        <w:t>，属于</w:t>
      </w:r>
      <w:r>
        <w:rPr>
          <w:rFonts w:hint="eastAsia" w:ascii="宋体" w:hAnsi="宋体" w:eastAsia="宋体" w:cs="宋体"/>
          <w:i/>
          <w:iCs/>
          <w:color w:val="auto"/>
          <w:sz w:val="24"/>
          <w:szCs w:val="24"/>
          <w:u w:val="single"/>
        </w:rPr>
        <w:t>（中型企业、小 型企业、微型企业）</w:t>
      </w:r>
      <w:r>
        <w:rPr>
          <w:rFonts w:hint="eastAsia" w:ascii="宋体" w:hAnsi="宋体" w:eastAsia="宋体" w:cs="宋体"/>
          <w:color w:val="auto"/>
          <w:sz w:val="24"/>
          <w:szCs w:val="24"/>
        </w:rPr>
        <w:t xml:space="preserve"> ；</w:t>
      </w:r>
    </w:p>
    <w:p>
      <w:pPr>
        <w:widowControl w:val="0"/>
        <w:spacing w:line="360" w:lineRule="auto"/>
        <w:ind w:left="48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widowControl w:val="0"/>
        <w:spacing w:line="360" w:lineRule="auto"/>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以上企业，不属于大企业的分支机构，不存在控股股东为大企业的情形，也不存在与大企业的负责人为同一人的情形。 </w:t>
      </w:r>
    </w:p>
    <w:p>
      <w:pPr>
        <w:widowControl w:val="0"/>
        <w:spacing w:line="360" w:lineRule="auto"/>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本企业对上述声明内容的真实性负责。如有虚假，将依法承担相应责任。 </w:t>
      </w:r>
    </w:p>
    <w:p>
      <w:pPr>
        <w:widowControl w:val="0"/>
        <w:spacing w:line="360" w:lineRule="auto"/>
        <w:ind w:firstLine="480"/>
        <w:jc w:val="both"/>
        <w:rPr>
          <w:rFonts w:hint="eastAsia" w:ascii="宋体" w:hAnsi="宋体" w:eastAsia="宋体" w:cs="宋体"/>
          <w:color w:val="auto"/>
          <w:sz w:val="24"/>
          <w:szCs w:val="24"/>
        </w:rPr>
      </w:pPr>
    </w:p>
    <w:p>
      <w:pPr>
        <w:widowControl w:val="0"/>
        <w:spacing w:line="360" w:lineRule="auto"/>
        <w:ind w:firstLine="480"/>
        <w:jc w:val="both"/>
        <w:rPr>
          <w:rFonts w:hint="eastAsia" w:ascii="宋体" w:hAnsi="宋体" w:eastAsia="宋体" w:cs="宋体"/>
          <w:color w:val="auto"/>
          <w:sz w:val="24"/>
          <w:szCs w:val="24"/>
        </w:rPr>
      </w:pPr>
    </w:p>
    <w:p>
      <w:pPr>
        <w:widowControl w:val="0"/>
        <w:spacing w:line="360" w:lineRule="auto"/>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企业名称（盖章）： </w:t>
      </w:r>
    </w:p>
    <w:p>
      <w:pPr>
        <w:widowControl w:val="0"/>
        <w:spacing w:line="360" w:lineRule="auto"/>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日 期： </w:t>
      </w:r>
    </w:p>
    <w:p>
      <w:pPr>
        <w:widowControl w:val="0"/>
        <w:spacing w:line="360" w:lineRule="auto"/>
        <w:jc w:val="both"/>
        <w:rPr>
          <w:rFonts w:hint="eastAsia" w:ascii="宋体" w:hAnsi="宋体" w:eastAsia="宋体" w:cs="宋体"/>
          <w:color w:val="auto"/>
          <w:sz w:val="18"/>
          <w:szCs w:val="18"/>
        </w:rPr>
      </w:pPr>
    </w:p>
    <w:p>
      <w:pPr>
        <w:widowControl w:val="0"/>
        <w:spacing w:line="360" w:lineRule="auto"/>
        <w:jc w:val="both"/>
        <w:rPr>
          <w:rFonts w:hint="eastAsia" w:ascii="宋体" w:hAnsi="宋体" w:eastAsia="宋体" w:cs="宋体"/>
          <w:color w:val="auto"/>
          <w:sz w:val="18"/>
          <w:szCs w:val="18"/>
        </w:rPr>
      </w:pPr>
    </w:p>
    <w:p>
      <w:pPr>
        <w:snapToGrid w:val="0"/>
        <w:spacing w:before="120" w:beforeLines="50" w:after="50"/>
        <w:rPr>
          <w:rFonts w:hint="eastAsia" w:ascii="宋体" w:hAnsi="宋体" w:eastAsia="宋体" w:cs="宋体"/>
          <w:b/>
          <w:color w:val="auto"/>
        </w:rPr>
      </w:pPr>
      <w:r>
        <w:rPr>
          <w:rFonts w:hint="eastAsia" w:ascii="宋体" w:hAnsi="宋体" w:eastAsia="宋体" w:cs="宋体"/>
          <w:color w:val="auto"/>
          <w:sz w:val="18"/>
          <w:szCs w:val="18"/>
        </w:rPr>
        <w:t>1 从业人员、营业收入、资产总额填报上一年度数据，无上一年度数据的新成立企业可不填报。</w:t>
      </w:r>
    </w:p>
    <w:p>
      <w:pPr>
        <w:spacing w:line="588" w:lineRule="exact"/>
        <w:ind w:left="0" w:leftChars="0" w:firstLine="0" w:firstLineChars="0"/>
        <w:jc w:val="both"/>
        <w:rPr>
          <w:rFonts w:hint="eastAsia" w:ascii="宋体" w:hAnsi="宋体" w:eastAsia="宋体" w:cs="宋体"/>
          <w:color w:val="auto"/>
          <w:sz w:val="30"/>
          <w:szCs w:val="30"/>
        </w:rPr>
      </w:pPr>
      <w:r>
        <w:rPr>
          <w:rFonts w:hint="eastAsia" w:ascii="宋体" w:hAnsi="宋体" w:eastAsia="宋体" w:cs="宋体"/>
          <w:color w:val="auto"/>
          <w:sz w:val="30"/>
          <w:szCs w:val="30"/>
        </w:rPr>
        <w:br w:type="page"/>
      </w:r>
    </w:p>
    <w:p>
      <w:pPr>
        <w:pStyle w:val="6"/>
        <w:numPr>
          <w:ilvl w:val="0"/>
          <w:numId w:val="40"/>
        </w:numPr>
        <w:bidi w:val="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残疾人福利性单位声明函</w:t>
      </w:r>
    </w:p>
    <w:p>
      <w:pPr>
        <w:pStyle w:val="22"/>
        <w:rPr>
          <w:rFonts w:hint="eastAsia" w:ascii="宋体" w:hAnsi="宋体" w:eastAsia="宋体" w:cs="宋体"/>
          <w:lang w:val="en-US" w:eastAsia="zh-CN"/>
        </w:rPr>
      </w:pPr>
    </w:p>
    <w:p>
      <w:pPr>
        <w:snapToGrid w:val="0"/>
        <w:ind w:left="0" w:leftChars="0" w:right="0" w:rightChars="0" w:firstLine="0" w:firstLineChars="0"/>
        <w:jc w:val="center"/>
        <w:rPr>
          <w:rFonts w:hint="eastAsia" w:ascii="宋体" w:hAnsi="宋体" w:eastAsia="宋体" w:cs="宋体"/>
          <w:b/>
          <w:color w:val="auto"/>
          <w:kern w:val="0"/>
          <w:sz w:val="32"/>
          <w:highlight w:val="none"/>
          <w:lang w:val="en-US" w:eastAsia="zh-CN"/>
        </w:rPr>
      </w:pPr>
      <w:r>
        <w:rPr>
          <w:rFonts w:hint="eastAsia" w:ascii="宋体" w:hAnsi="宋体" w:eastAsia="宋体" w:cs="宋体"/>
          <w:b/>
          <w:color w:val="auto"/>
          <w:kern w:val="0"/>
          <w:sz w:val="32"/>
          <w:highlight w:val="none"/>
          <w:lang w:val="en-US" w:eastAsia="zh-CN"/>
        </w:rPr>
        <w:t>残疾人福利性单位声明函</w:t>
      </w:r>
    </w:p>
    <w:p>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本单位对上述声明的真实性负责。如有虚假，将依法承担相应责任。</w:t>
      </w:r>
    </w:p>
    <w:p>
      <w:pPr>
        <w:snapToGrid w:val="0"/>
        <w:spacing w:line="360" w:lineRule="auto"/>
        <w:ind w:firstLine="480" w:firstLineChars="200"/>
        <w:rPr>
          <w:rFonts w:hint="eastAsia" w:ascii="宋体" w:hAnsi="宋体" w:eastAsia="宋体" w:cs="宋体"/>
          <w:color w:val="auto"/>
        </w:rPr>
      </w:pPr>
    </w:p>
    <w:p>
      <w:pPr>
        <w:spacing w:line="588" w:lineRule="exact"/>
        <w:ind w:firstLine="504" w:firstLineChars="200"/>
        <w:rPr>
          <w:rFonts w:hint="eastAsia" w:ascii="宋体" w:hAnsi="宋体" w:eastAsia="宋体" w:cs="宋体"/>
          <w:color w:val="auto"/>
          <w:spacing w:val="6"/>
        </w:rPr>
      </w:pPr>
    </w:p>
    <w:p>
      <w:pPr>
        <w:snapToGrid w:val="0"/>
        <w:spacing w:line="360" w:lineRule="auto"/>
        <w:ind w:firstLine="480" w:firstLineChars="200"/>
        <w:jc w:val="right"/>
        <w:rPr>
          <w:rFonts w:hint="eastAsia" w:ascii="宋体" w:hAnsi="宋体" w:eastAsia="宋体" w:cs="宋体"/>
          <w:color w:val="auto"/>
        </w:rPr>
      </w:pPr>
      <w:r>
        <w:rPr>
          <w:rFonts w:hint="eastAsia" w:ascii="宋体" w:hAnsi="宋体" w:eastAsia="宋体" w:cs="宋体"/>
          <w:color w:val="auto"/>
        </w:rPr>
        <w:t xml:space="preserve">      单位名称（盖章）：</w:t>
      </w:r>
    </w:p>
    <w:p>
      <w:pPr>
        <w:snapToGrid w:val="0"/>
        <w:spacing w:line="360" w:lineRule="auto"/>
        <w:ind w:firstLine="480" w:firstLineChars="200"/>
        <w:jc w:val="right"/>
        <w:rPr>
          <w:rFonts w:hint="eastAsia" w:ascii="宋体" w:hAnsi="宋体" w:eastAsia="宋体" w:cs="宋体"/>
          <w:color w:val="auto"/>
        </w:rPr>
      </w:pPr>
      <w:r>
        <w:rPr>
          <w:rFonts w:hint="eastAsia" w:ascii="宋体" w:hAnsi="宋体" w:eastAsia="宋体" w:cs="宋体"/>
          <w:color w:val="auto"/>
        </w:rPr>
        <w:t xml:space="preserve">       日  期：</w:t>
      </w:r>
    </w:p>
    <w:p>
      <w:pPr>
        <w:tabs>
          <w:tab w:val="left" w:pos="4860"/>
        </w:tabs>
        <w:spacing w:line="588" w:lineRule="exact"/>
        <w:ind w:right="1560" w:firstLine="504" w:firstLineChars="200"/>
        <w:rPr>
          <w:rFonts w:hint="eastAsia" w:ascii="宋体" w:hAnsi="宋体" w:eastAsia="宋体" w:cs="宋体"/>
          <w:color w:val="auto"/>
          <w:spacing w:val="6"/>
        </w:rPr>
      </w:pPr>
      <w:r>
        <w:rPr>
          <w:rFonts w:hint="eastAsia" w:ascii="宋体" w:hAnsi="宋体" w:eastAsia="宋体" w:cs="宋体"/>
          <w:color w:val="auto"/>
          <w:spacing w:val="6"/>
        </w:rPr>
        <w:t>填写说明：</w:t>
      </w:r>
    </w:p>
    <w:p>
      <w:pPr>
        <w:numPr>
          <w:ilvl w:val="0"/>
          <w:numId w:val="43"/>
        </w:numPr>
        <w:tabs>
          <w:tab w:val="left" w:pos="4860"/>
        </w:tabs>
        <w:ind w:right="106" w:firstLine="506" w:firstLineChars="200"/>
        <w:rPr>
          <w:rFonts w:hint="eastAsia" w:ascii="宋体" w:hAnsi="宋体" w:eastAsia="宋体" w:cs="宋体"/>
          <w:b/>
          <w:bCs/>
          <w:color w:val="auto"/>
        </w:rPr>
      </w:pPr>
      <w:r>
        <w:rPr>
          <w:rFonts w:hint="eastAsia" w:ascii="宋体" w:hAnsi="宋体" w:eastAsia="宋体" w:cs="宋体"/>
          <w:b/>
          <w:bCs/>
          <w:color w:val="auto"/>
          <w:spacing w:val="6"/>
        </w:rPr>
        <w:t>本声明是残疾人福利性单位的提供，其他不符合规定的单位禁止提供，中标、成交单位提供《残疾人福利性单位声明函》的，代理机构将在发布中标、成交公告时同时公告其《残疾人福利性单位声明函》，接受社会监督。</w:t>
      </w:r>
    </w:p>
    <w:p>
      <w:pPr>
        <w:numPr>
          <w:ilvl w:val="0"/>
          <w:numId w:val="43"/>
        </w:numPr>
        <w:tabs>
          <w:tab w:val="left" w:pos="4860"/>
        </w:tabs>
        <w:ind w:right="251" w:firstLine="480" w:firstLineChars="200"/>
        <w:rPr>
          <w:rFonts w:hint="eastAsia" w:ascii="宋体" w:hAnsi="宋体" w:eastAsia="宋体" w:cs="宋体"/>
          <w:color w:val="auto"/>
        </w:rPr>
      </w:pPr>
      <w:r>
        <w:rPr>
          <w:rFonts w:hint="eastAsia" w:ascii="宋体" w:hAnsi="宋体" w:eastAsia="宋体" w:cs="宋体"/>
          <w:color w:val="auto"/>
        </w:rPr>
        <w:t>享受政府采购支持政策的残疾人福利性单位应当同时满足以下条件：</w:t>
      </w:r>
    </w:p>
    <w:p>
      <w:pPr>
        <w:pStyle w:val="38"/>
        <w:rPr>
          <w:rFonts w:hint="eastAsia" w:ascii="宋体" w:hAnsi="宋体" w:eastAsia="宋体" w:cs="宋体"/>
          <w:color w:val="auto"/>
          <w:sz w:val="20"/>
          <w:szCs w:val="20"/>
        </w:rPr>
      </w:pPr>
      <w:r>
        <w:rPr>
          <w:rFonts w:hint="eastAsia" w:ascii="宋体" w:hAnsi="宋体" w:eastAsia="宋体" w:cs="宋体"/>
          <w:color w:val="auto"/>
          <w:sz w:val="20"/>
          <w:szCs w:val="20"/>
        </w:rPr>
        <w:t>　　（1）安置的残疾人占本单位在职职工人数的比例不低于210%（含210%），并且安置的残疾人人数不少于10人（含10人）；</w:t>
      </w:r>
    </w:p>
    <w:p>
      <w:pPr>
        <w:pStyle w:val="38"/>
        <w:rPr>
          <w:rFonts w:hint="eastAsia" w:ascii="宋体" w:hAnsi="宋体" w:eastAsia="宋体" w:cs="宋体"/>
          <w:color w:val="auto"/>
          <w:sz w:val="20"/>
          <w:szCs w:val="20"/>
        </w:rPr>
      </w:pPr>
      <w:r>
        <w:rPr>
          <w:rFonts w:hint="eastAsia" w:ascii="宋体" w:hAnsi="宋体" w:eastAsia="宋体" w:cs="宋体"/>
          <w:color w:val="auto"/>
          <w:sz w:val="20"/>
          <w:szCs w:val="20"/>
        </w:rPr>
        <w:t>　　（2）依法与安置的每位残疾人签订了一年以上（含一年）的劳动合同或服务协议；</w:t>
      </w:r>
    </w:p>
    <w:p>
      <w:pPr>
        <w:pStyle w:val="38"/>
        <w:rPr>
          <w:rFonts w:hint="eastAsia" w:ascii="宋体" w:hAnsi="宋体" w:eastAsia="宋体" w:cs="宋体"/>
          <w:color w:val="auto"/>
          <w:sz w:val="20"/>
          <w:szCs w:val="20"/>
        </w:rPr>
      </w:pPr>
      <w:r>
        <w:rPr>
          <w:rFonts w:hint="eastAsia" w:ascii="宋体" w:hAnsi="宋体" w:eastAsia="宋体" w:cs="宋体"/>
          <w:color w:val="auto"/>
          <w:sz w:val="20"/>
          <w:szCs w:val="20"/>
        </w:rPr>
        <w:t>　　（3）为安置的每位残疾人按月足额缴纳了基本养老保险、基本医疗保险、失业保险、工伤保险和生育保险等社会保险费；</w:t>
      </w:r>
    </w:p>
    <w:p>
      <w:pPr>
        <w:pStyle w:val="38"/>
        <w:rPr>
          <w:rFonts w:hint="eastAsia" w:ascii="宋体" w:hAnsi="宋体" w:eastAsia="宋体" w:cs="宋体"/>
          <w:color w:val="auto"/>
          <w:sz w:val="20"/>
          <w:szCs w:val="20"/>
        </w:rPr>
      </w:pPr>
      <w:r>
        <w:rPr>
          <w:rFonts w:hint="eastAsia" w:ascii="宋体" w:hAnsi="宋体" w:eastAsia="宋体" w:cs="宋体"/>
          <w:color w:val="auto"/>
          <w:sz w:val="20"/>
          <w:szCs w:val="20"/>
        </w:rPr>
        <w:t>　　（4）通过银行等金融机构向安置的每位残疾人，按月支付了不低于单位所在区县适用的经省级人民政府批准的月最低工资标准的工资；</w:t>
      </w:r>
    </w:p>
    <w:p>
      <w:pPr>
        <w:pStyle w:val="38"/>
        <w:rPr>
          <w:rFonts w:hint="eastAsia" w:ascii="宋体" w:hAnsi="宋体" w:eastAsia="宋体" w:cs="宋体"/>
          <w:color w:val="auto"/>
          <w:sz w:val="20"/>
          <w:szCs w:val="20"/>
        </w:rPr>
      </w:pPr>
      <w:r>
        <w:rPr>
          <w:rFonts w:hint="eastAsia" w:ascii="宋体" w:hAnsi="宋体" w:eastAsia="宋体" w:cs="宋体"/>
          <w:color w:val="auto"/>
          <w:sz w:val="20"/>
          <w:szCs w:val="20"/>
        </w:rPr>
        <w:t>　　（5）提供本单位制造的货物、承担的工程或者服务（以下简称产品），或者提供其他残疾人福利性单位制造的货物（不包括使用非残疾人福利性单位注册商标的货物）。</w:t>
      </w:r>
    </w:p>
    <w:p>
      <w:pPr>
        <w:pStyle w:val="38"/>
        <w:rPr>
          <w:rFonts w:hint="eastAsia" w:ascii="宋体" w:hAnsi="宋体" w:eastAsia="宋体" w:cs="宋体"/>
          <w:color w:val="auto"/>
          <w:szCs w:val="21"/>
        </w:rPr>
      </w:pPr>
      <w:r>
        <w:rPr>
          <w:rFonts w:hint="eastAsia" w:ascii="宋体" w:hAnsi="宋体" w:eastAsia="宋体" w:cs="宋体"/>
          <w:color w:val="auto"/>
          <w:sz w:val="20"/>
          <w:szCs w:val="20"/>
        </w:rPr>
        <w:t>　　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tabs>
          <w:tab w:val="left" w:pos="4860"/>
        </w:tabs>
        <w:spacing w:line="588" w:lineRule="exact"/>
        <w:ind w:right="1560"/>
        <w:rPr>
          <w:rFonts w:hint="eastAsia" w:ascii="宋体" w:hAnsi="宋体" w:eastAsia="宋体" w:cs="宋体"/>
          <w:color w:val="auto"/>
          <w:szCs w:val="21"/>
        </w:rPr>
        <w:sectPr>
          <w:pgSz w:w="11906" w:h="16838"/>
          <w:pgMar w:top="1440" w:right="1106" w:bottom="1440" w:left="1622" w:header="851" w:footer="851" w:gutter="0"/>
          <w:pgBorders>
            <w:top w:val="none" w:color="auto" w:sz="0" w:space="0"/>
            <w:left w:val="none" w:color="auto" w:sz="0" w:space="0"/>
            <w:bottom w:val="none" w:color="auto" w:sz="0" w:space="0"/>
            <w:right w:val="none" w:color="auto" w:sz="0" w:space="0"/>
          </w:pgBorders>
          <w:pgNumType w:fmt="decimal"/>
          <w:cols w:space="720" w:num="1"/>
          <w:docGrid w:linePitch="312" w:charSpace="0"/>
        </w:sectPr>
      </w:pPr>
    </w:p>
    <w:tbl>
      <w:tblPr>
        <w:tblStyle w:val="46"/>
        <w:tblW w:w="15079" w:type="dxa"/>
        <w:tblInd w:w="-176" w:type="dxa"/>
        <w:tblLayout w:type="fixed"/>
        <w:tblCellMar>
          <w:top w:w="0" w:type="dxa"/>
          <w:left w:w="108" w:type="dxa"/>
          <w:bottom w:w="0" w:type="dxa"/>
          <w:right w:w="108" w:type="dxa"/>
        </w:tblCellMar>
      </w:tblPr>
      <w:tblGrid>
        <w:gridCol w:w="1985"/>
        <w:gridCol w:w="1498"/>
        <w:gridCol w:w="1763"/>
        <w:gridCol w:w="1660"/>
        <w:gridCol w:w="1240"/>
        <w:gridCol w:w="1562"/>
        <w:gridCol w:w="1590"/>
        <w:gridCol w:w="1285"/>
        <w:gridCol w:w="1275"/>
        <w:gridCol w:w="1069"/>
        <w:gridCol w:w="152"/>
      </w:tblGrid>
      <w:tr>
        <w:tblPrEx>
          <w:tblLayout w:type="fixed"/>
          <w:tblCellMar>
            <w:top w:w="0" w:type="dxa"/>
            <w:left w:w="108" w:type="dxa"/>
            <w:bottom w:w="0" w:type="dxa"/>
            <w:right w:w="108" w:type="dxa"/>
          </w:tblCellMar>
        </w:tblPrEx>
        <w:trPr>
          <w:gridAfter w:val="1"/>
          <w:wAfter w:w="152" w:type="dxa"/>
          <w:trHeight w:val="420" w:hRule="atLeast"/>
        </w:trPr>
        <w:tc>
          <w:tcPr>
            <w:tcW w:w="14927" w:type="dxa"/>
            <w:gridSpan w:val="10"/>
            <w:tcBorders>
              <w:top w:val="nil"/>
              <w:left w:val="nil"/>
              <w:bottom w:val="nil"/>
              <w:right w:val="nil"/>
            </w:tcBorders>
            <w:vAlign w:val="bottom"/>
          </w:tcPr>
          <w:p>
            <w:pPr>
              <w:jc w:val="center"/>
              <w:rPr>
                <w:rFonts w:hint="eastAsia" w:ascii="宋体" w:hAnsi="宋体" w:eastAsia="宋体" w:cs="宋体"/>
                <w:b/>
                <w:bCs/>
                <w:color w:val="auto"/>
                <w:sz w:val="14"/>
                <w:szCs w:val="14"/>
              </w:rPr>
            </w:pPr>
            <w:r>
              <w:rPr>
                <w:rFonts w:hint="eastAsia" w:ascii="宋体" w:hAnsi="宋体" w:eastAsia="宋体" w:cs="宋体"/>
                <w:b/>
                <w:bCs/>
                <w:color w:val="auto"/>
                <w:sz w:val="14"/>
                <w:szCs w:val="14"/>
              </w:rPr>
              <w:t>中小微行业划型标准规定（根据工信部联企业〔2011〕300号制定）</w:t>
            </w:r>
          </w:p>
        </w:tc>
      </w:tr>
      <w:tr>
        <w:tblPrEx>
          <w:tblLayout w:type="fixed"/>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vAlign w:val="center"/>
          </w:tcPr>
          <w:p>
            <w:pPr>
              <w:jc w:val="center"/>
              <w:rPr>
                <w:rFonts w:hint="eastAsia" w:ascii="宋体" w:hAnsi="宋体" w:eastAsia="宋体" w:cs="宋体"/>
                <w:b/>
                <w:bCs/>
                <w:color w:val="auto"/>
                <w:sz w:val="14"/>
                <w:szCs w:val="14"/>
              </w:rPr>
            </w:pPr>
            <w:r>
              <w:rPr>
                <w:rFonts w:hint="eastAsia" w:ascii="宋体" w:hAnsi="宋体" w:eastAsia="宋体" w:cs="宋体"/>
                <w:b/>
                <w:bCs/>
                <w:color w:val="auto"/>
                <w:sz w:val="14"/>
                <w:szCs w:val="14"/>
              </w:rPr>
              <w:t>行业</w:t>
            </w:r>
          </w:p>
        </w:tc>
        <w:tc>
          <w:tcPr>
            <w:tcW w:w="4921" w:type="dxa"/>
            <w:gridSpan w:val="3"/>
            <w:tcBorders>
              <w:top w:val="single" w:color="auto" w:sz="8" w:space="0"/>
              <w:left w:val="nil"/>
              <w:bottom w:val="single" w:color="auto" w:sz="4" w:space="0"/>
              <w:right w:val="single" w:color="000000" w:sz="8" w:space="0"/>
            </w:tcBorders>
            <w:vAlign w:val="bottom"/>
          </w:tcPr>
          <w:p>
            <w:pPr>
              <w:jc w:val="center"/>
              <w:rPr>
                <w:rFonts w:hint="eastAsia" w:ascii="宋体" w:hAnsi="宋体" w:eastAsia="宋体" w:cs="宋体"/>
                <w:b/>
                <w:bCs/>
                <w:color w:val="auto"/>
                <w:sz w:val="14"/>
                <w:szCs w:val="14"/>
              </w:rPr>
            </w:pPr>
            <w:r>
              <w:rPr>
                <w:rFonts w:hint="eastAsia" w:ascii="宋体" w:hAnsi="宋体" w:eastAsia="宋体" w:cs="宋体"/>
                <w:b/>
                <w:bCs/>
                <w:color w:val="auto"/>
                <w:sz w:val="14"/>
                <w:szCs w:val="14"/>
              </w:rPr>
              <w:t>中型企业</w:t>
            </w:r>
          </w:p>
        </w:tc>
        <w:tc>
          <w:tcPr>
            <w:tcW w:w="4392" w:type="dxa"/>
            <w:gridSpan w:val="3"/>
            <w:tcBorders>
              <w:top w:val="single" w:color="auto" w:sz="8" w:space="0"/>
              <w:left w:val="nil"/>
              <w:bottom w:val="single" w:color="auto" w:sz="4" w:space="0"/>
              <w:right w:val="single" w:color="000000" w:sz="8" w:space="0"/>
            </w:tcBorders>
            <w:vAlign w:val="bottom"/>
          </w:tcPr>
          <w:p>
            <w:pPr>
              <w:jc w:val="center"/>
              <w:rPr>
                <w:rFonts w:hint="eastAsia" w:ascii="宋体" w:hAnsi="宋体" w:eastAsia="宋体" w:cs="宋体"/>
                <w:b/>
                <w:bCs/>
                <w:color w:val="auto"/>
                <w:sz w:val="14"/>
                <w:szCs w:val="14"/>
              </w:rPr>
            </w:pPr>
            <w:r>
              <w:rPr>
                <w:rFonts w:hint="eastAsia" w:ascii="宋体" w:hAnsi="宋体" w:eastAsia="宋体" w:cs="宋体"/>
                <w:b/>
                <w:bCs/>
                <w:color w:val="auto"/>
                <w:sz w:val="14"/>
                <w:szCs w:val="14"/>
              </w:rPr>
              <w:t>小型企业</w:t>
            </w:r>
          </w:p>
        </w:tc>
        <w:tc>
          <w:tcPr>
            <w:tcW w:w="3781" w:type="dxa"/>
            <w:gridSpan w:val="4"/>
            <w:tcBorders>
              <w:top w:val="single" w:color="auto" w:sz="8" w:space="0"/>
              <w:left w:val="nil"/>
              <w:bottom w:val="single" w:color="auto" w:sz="4" w:space="0"/>
              <w:right w:val="single" w:color="000000" w:sz="8" w:space="0"/>
            </w:tcBorders>
            <w:vAlign w:val="bottom"/>
          </w:tcPr>
          <w:p>
            <w:pPr>
              <w:jc w:val="center"/>
              <w:rPr>
                <w:rFonts w:hint="eastAsia" w:ascii="宋体" w:hAnsi="宋体" w:eastAsia="宋体" w:cs="宋体"/>
                <w:b/>
                <w:bCs/>
                <w:color w:val="auto"/>
                <w:sz w:val="14"/>
                <w:szCs w:val="14"/>
              </w:rPr>
            </w:pPr>
            <w:r>
              <w:rPr>
                <w:rFonts w:hint="eastAsia" w:ascii="宋体" w:hAnsi="宋体" w:eastAsia="宋体" w:cs="宋体"/>
                <w:b/>
                <w:bCs/>
                <w:color w:val="auto"/>
                <w:sz w:val="14"/>
                <w:szCs w:val="14"/>
              </w:rPr>
              <w:t>微型企业</w:t>
            </w:r>
          </w:p>
        </w:tc>
      </w:tr>
      <w:tr>
        <w:tblPrEx>
          <w:tblLayout w:type="fixed"/>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vAlign w:val="center"/>
          </w:tcPr>
          <w:p>
            <w:pPr>
              <w:rPr>
                <w:rFonts w:hint="eastAsia" w:ascii="宋体" w:hAnsi="宋体" w:eastAsia="宋体" w:cs="宋体"/>
                <w:b/>
                <w:bCs/>
                <w:color w:val="auto"/>
                <w:sz w:val="14"/>
                <w:szCs w:val="14"/>
              </w:rPr>
            </w:pPr>
          </w:p>
        </w:tc>
        <w:tc>
          <w:tcPr>
            <w:tcW w:w="1498" w:type="dxa"/>
            <w:tcBorders>
              <w:top w:val="nil"/>
              <w:left w:val="nil"/>
              <w:bottom w:val="single" w:color="auto" w:sz="4" w:space="0"/>
              <w:right w:val="single" w:color="auto" w:sz="4" w:space="0"/>
            </w:tcBorders>
            <w:vAlign w:val="bottom"/>
          </w:tcPr>
          <w:p>
            <w:pPr>
              <w:jc w:val="center"/>
              <w:rPr>
                <w:rFonts w:hint="eastAsia" w:ascii="宋体" w:hAnsi="宋体" w:eastAsia="宋体" w:cs="宋体"/>
                <w:color w:val="auto"/>
                <w:sz w:val="14"/>
                <w:szCs w:val="14"/>
              </w:rPr>
            </w:pPr>
            <w:r>
              <w:rPr>
                <w:rFonts w:hint="eastAsia" w:ascii="宋体" w:hAnsi="宋体" w:eastAsia="宋体" w:cs="宋体"/>
                <w:color w:val="auto"/>
                <w:sz w:val="14"/>
                <w:szCs w:val="14"/>
              </w:rPr>
              <w:t>从业人员X（人）</w:t>
            </w:r>
          </w:p>
        </w:tc>
        <w:tc>
          <w:tcPr>
            <w:tcW w:w="1763" w:type="dxa"/>
            <w:tcBorders>
              <w:top w:val="nil"/>
              <w:left w:val="nil"/>
              <w:bottom w:val="single" w:color="auto" w:sz="4" w:space="0"/>
              <w:right w:val="single" w:color="auto" w:sz="4" w:space="0"/>
            </w:tcBorders>
            <w:vAlign w:val="bottom"/>
          </w:tcPr>
          <w:p>
            <w:pPr>
              <w:jc w:val="center"/>
              <w:rPr>
                <w:rFonts w:hint="eastAsia" w:ascii="宋体" w:hAnsi="宋体" w:eastAsia="宋体" w:cs="宋体"/>
                <w:color w:val="auto"/>
                <w:sz w:val="14"/>
                <w:szCs w:val="14"/>
              </w:rPr>
            </w:pPr>
            <w:r>
              <w:rPr>
                <w:rFonts w:hint="eastAsia" w:ascii="宋体" w:hAnsi="宋体" w:eastAsia="宋体" w:cs="宋体"/>
                <w:color w:val="auto"/>
                <w:sz w:val="14"/>
                <w:szCs w:val="14"/>
              </w:rPr>
              <w:t>营业收入Y</w:t>
            </w:r>
          </w:p>
          <w:p>
            <w:pPr>
              <w:jc w:val="center"/>
              <w:rPr>
                <w:rFonts w:hint="eastAsia" w:ascii="宋体" w:hAnsi="宋体" w:eastAsia="宋体" w:cs="宋体"/>
                <w:color w:val="auto"/>
                <w:sz w:val="14"/>
                <w:szCs w:val="14"/>
              </w:rPr>
            </w:pPr>
            <w:r>
              <w:rPr>
                <w:rFonts w:hint="eastAsia" w:ascii="宋体" w:hAnsi="宋体" w:eastAsia="宋体" w:cs="宋体"/>
                <w:color w:val="auto"/>
                <w:sz w:val="14"/>
                <w:szCs w:val="14"/>
              </w:rPr>
              <w:t>（万元）</w:t>
            </w:r>
          </w:p>
        </w:tc>
        <w:tc>
          <w:tcPr>
            <w:tcW w:w="1660" w:type="dxa"/>
            <w:tcBorders>
              <w:top w:val="nil"/>
              <w:left w:val="nil"/>
              <w:bottom w:val="single" w:color="auto" w:sz="4" w:space="0"/>
              <w:right w:val="single" w:color="auto" w:sz="8" w:space="0"/>
            </w:tcBorders>
            <w:vAlign w:val="bottom"/>
          </w:tcPr>
          <w:p>
            <w:pPr>
              <w:jc w:val="center"/>
              <w:rPr>
                <w:rFonts w:hint="eastAsia" w:ascii="宋体" w:hAnsi="宋体" w:eastAsia="宋体" w:cs="宋体"/>
                <w:color w:val="auto"/>
                <w:sz w:val="14"/>
                <w:szCs w:val="14"/>
              </w:rPr>
            </w:pPr>
            <w:r>
              <w:rPr>
                <w:rFonts w:hint="eastAsia" w:ascii="宋体" w:hAnsi="宋体" w:eastAsia="宋体" w:cs="宋体"/>
                <w:color w:val="auto"/>
                <w:sz w:val="14"/>
                <w:szCs w:val="14"/>
              </w:rPr>
              <w:t>资产总额Z</w:t>
            </w:r>
          </w:p>
          <w:p>
            <w:pPr>
              <w:jc w:val="center"/>
              <w:rPr>
                <w:rFonts w:hint="eastAsia" w:ascii="宋体" w:hAnsi="宋体" w:eastAsia="宋体" w:cs="宋体"/>
                <w:color w:val="auto"/>
                <w:sz w:val="14"/>
                <w:szCs w:val="14"/>
              </w:rPr>
            </w:pPr>
            <w:r>
              <w:rPr>
                <w:rFonts w:hint="eastAsia" w:ascii="宋体" w:hAnsi="宋体" w:eastAsia="宋体" w:cs="宋体"/>
                <w:color w:val="auto"/>
                <w:sz w:val="14"/>
                <w:szCs w:val="14"/>
              </w:rPr>
              <w:t>（万元）</w:t>
            </w:r>
          </w:p>
        </w:tc>
        <w:tc>
          <w:tcPr>
            <w:tcW w:w="1240" w:type="dxa"/>
            <w:tcBorders>
              <w:top w:val="nil"/>
              <w:left w:val="nil"/>
              <w:bottom w:val="single" w:color="auto" w:sz="4" w:space="0"/>
              <w:right w:val="single" w:color="auto" w:sz="4" w:space="0"/>
            </w:tcBorders>
            <w:vAlign w:val="bottom"/>
          </w:tcPr>
          <w:p>
            <w:pPr>
              <w:jc w:val="center"/>
              <w:rPr>
                <w:rFonts w:hint="eastAsia" w:ascii="宋体" w:hAnsi="宋体" w:eastAsia="宋体" w:cs="宋体"/>
                <w:color w:val="auto"/>
                <w:sz w:val="14"/>
                <w:szCs w:val="14"/>
              </w:rPr>
            </w:pPr>
            <w:r>
              <w:rPr>
                <w:rFonts w:hint="eastAsia" w:ascii="宋体" w:hAnsi="宋体" w:eastAsia="宋体" w:cs="宋体"/>
                <w:color w:val="auto"/>
                <w:sz w:val="14"/>
                <w:szCs w:val="14"/>
              </w:rPr>
              <w:t>从业人员X（人）</w:t>
            </w:r>
          </w:p>
        </w:tc>
        <w:tc>
          <w:tcPr>
            <w:tcW w:w="1562" w:type="dxa"/>
            <w:tcBorders>
              <w:top w:val="nil"/>
              <w:left w:val="nil"/>
              <w:bottom w:val="single" w:color="auto" w:sz="4" w:space="0"/>
              <w:right w:val="single" w:color="auto" w:sz="4" w:space="0"/>
            </w:tcBorders>
            <w:vAlign w:val="bottom"/>
          </w:tcPr>
          <w:p>
            <w:pPr>
              <w:jc w:val="center"/>
              <w:rPr>
                <w:rFonts w:hint="eastAsia" w:ascii="宋体" w:hAnsi="宋体" w:eastAsia="宋体" w:cs="宋体"/>
                <w:color w:val="auto"/>
                <w:sz w:val="14"/>
                <w:szCs w:val="14"/>
              </w:rPr>
            </w:pPr>
            <w:r>
              <w:rPr>
                <w:rFonts w:hint="eastAsia" w:ascii="宋体" w:hAnsi="宋体" w:eastAsia="宋体" w:cs="宋体"/>
                <w:color w:val="auto"/>
                <w:sz w:val="14"/>
                <w:szCs w:val="14"/>
              </w:rPr>
              <w:t>营业收入Y</w:t>
            </w:r>
          </w:p>
          <w:p>
            <w:pPr>
              <w:jc w:val="center"/>
              <w:rPr>
                <w:rFonts w:hint="eastAsia" w:ascii="宋体" w:hAnsi="宋体" w:eastAsia="宋体" w:cs="宋体"/>
                <w:color w:val="auto"/>
                <w:sz w:val="14"/>
                <w:szCs w:val="14"/>
              </w:rPr>
            </w:pPr>
            <w:r>
              <w:rPr>
                <w:rFonts w:hint="eastAsia" w:ascii="宋体" w:hAnsi="宋体" w:eastAsia="宋体" w:cs="宋体"/>
                <w:color w:val="auto"/>
                <w:sz w:val="14"/>
                <w:szCs w:val="14"/>
              </w:rPr>
              <w:t>（万元）</w:t>
            </w:r>
          </w:p>
        </w:tc>
        <w:tc>
          <w:tcPr>
            <w:tcW w:w="1590" w:type="dxa"/>
            <w:tcBorders>
              <w:top w:val="nil"/>
              <w:left w:val="nil"/>
              <w:bottom w:val="single" w:color="auto" w:sz="4" w:space="0"/>
              <w:right w:val="single" w:color="auto" w:sz="8" w:space="0"/>
            </w:tcBorders>
            <w:vAlign w:val="bottom"/>
          </w:tcPr>
          <w:p>
            <w:pPr>
              <w:jc w:val="center"/>
              <w:rPr>
                <w:rFonts w:hint="eastAsia" w:ascii="宋体" w:hAnsi="宋体" w:eastAsia="宋体" w:cs="宋体"/>
                <w:color w:val="auto"/>
                <w:sz w:val="14"/>
                <w:szCs w:val="14"/>
              </w:rPr>
            </w:pPr>
            <w:r>
              <w:rPr>
                <w:rFonts w:hint="eastAsia" w:ascii="宋体" w:hAnsi="宋体" w:eastAsia="宋体" w:cs="宋体"/>
                <w:color w:val="auto"/>
                <w:sz w:val="14"/>
                <w:szCs w:val="14"/>
              </w:rPr>
              <w:t>资产总额Z</w:t>
            </w:r>
          </w:p>
          <w:p>
            <w:pPr>
              <w:jc w:val="center"/>
              <w:rPr>
                <w:rFonts w:hint="eastAsia" w:ascii="宋体" w:hAnsi="宋体" w:eastAsia="宋体" w:cs="宋体"/>
                <w:color w:val="auto"/>
                <w:sz w:val="14"/>
                <w:szCs w:val="14"/>
              </w:rPr>
            </w:pPr>
            <w:r>
              <w:rPr>
                <w:rFonts w:hint="eastAsia" w:ascii="宋体" w:hAnsi="宋体" w:eastAsia="宋体" w:cs="宋体"/>
                <w:color w:val="auto"/>
                <w:sz w:val="14"/>
                <w:szCs w:val="14"/>
              </w:rPr>
              <w:t>（万元）</w:t>
            </w:r>
          </w:p>
        </w:tc>
        <w:tc>
          <w:tcPr>
            <w:tcW w:w="1285" w:type="dxa"/>
            <w:tcBorders>
              <w:top w:val="nil"/>
              <w:left w:val="nil"/>
              <w:bottom w:val="single" w:color="auto" w:sz="4" w:space="0"/>
              <w:right w:val="single" w:color="auto" w:sz="4" w:space="0"/>
            </w:tcBorders>
            <w:vAlign w:val="bottom"/>
          </w:tcPr>
          <w:p>
            <w:pPr>
              <w:jc w:val="center"/>
              <w:rPr>
                <w:rFonts w:hint="eastAsia" w:ascii="宋体" w:hAnsi="宋体" w:eastAsia="宋体" w:cs="宋体"/>
                <w:color w:val="auto"/>
                <w:sz w:val="14"/>
                <w:szCs w:val="14"/>
              </w:rPr>
            </w:pPr>
            <w:r>
              <w:rPr>
                <w:rFonts w:hint="eastAsia" w:ascii="宋体" w:hAnsi="宋体" w:eastAsia="宋体" w:cs="宋体"/>
                <w:color w:val="auto"/>
                <w:sz w:val="14"/>
                <w:szCs w:val="14"/>
              </w:rPr>
              <w:t>从业人员X（人）</w:t>
            </w:r>
          </w:p>
        </w:tc>
        <w:tc>
          <w:tcPr>
            <w:tcW w:w="1275" w:type="dxa"/>
            <w:tcBorders>
              <w:top w:val="nil"/>
              <w:left w:val="nil"/>
              <w:bottom w:val="single" w:color="auto" w:sz="4" w:space="0"/>
              <w:right w:val="single" w:color="auto" w:sz="4" w:space="0"/>
            </w:tcBorders>
            <w:vAlign w:val="bottom"/>
          </w:tcPr>
          <w:p>
            <w:pPr>
              <w:jc w:val="center"/>
              <w:rPr>
                <w:rFonts w:hint="eastAsia" w:ascii="宋体" w:hAnsi="宋体" w:eastAsia="宋体" w:cs="宋体"/>
                <w:color w:val="auto"/>
                <w:sz w:val="14"/>
                <w:szCs w:val="14"/>
              </w:rPr>
            </w:pPr>
            <w:r>
              <w:rPr>
                <w:rFonts w:hint="eastAsia" w:ascii="宋体" w:hAnsi="宋体" w:eastAsia="宋体" w:cs="宋体"/>
                <w:color w:val="auto"/>
                <w:sz w:val="14"/>
                <w:szCs w:val="14"/>
              </w:rPr>
              <w:t>营业收入Y（万元）</w:t>
            </w:r>
          </w:p>
        </w:tc>
        <w:tc>
          <w:tcPr>
            <w:tcW w:w="1221" w:type="dxa"/>
            <w:gridSpan w:val="2"/>
            <w:tcBorders>
              <w:top w:val="nil"/>
              <w:left w:val="nil"/>
              <w:bottom w:val="single" w:color="auto" w:sz="4" w:space="0"/>
              <w:right w:val="single" w:color="auto" w:sz="8" w:space="0"/>
            </w:tcBorders>
            <w:vAlign w:val="bottom"/>
          </w:tcPr>
          <w:p>
            <w:pPr>
              <w:jc w:val="center"/>
              <w:rPr>
                <w:rFonts w:hint="eastAsia" w:ascii="宋体" w:hAnsi="宋体" w:eastAsia="宋体" w:cs="宋体"/>
                <w:color w:val="auto"/>
                <w:sz w:val="14"/>
                <w:szCs w:val="14"/>
              </w:rPr>
            </w:pPr>
            <w:r>
              <w:rPr>
                <w:rFonts w:hint="eastAsia" w:ascii="宋体" w:hAnsi="宋体" w:eastAsia="宋体" w:cs="宋体"/>
                <w:color w:val="auto"/>
                <w:sz w:val="14"/>
                <w:szCs w:val="14"/>
              </w:rPr>
              <w:t>资产总额Z（万元）</w:t>
            </w:r>
          </w:p>
        </w:tc>
      </w:tr>
      <w:tr>
        <w:tblPrEx>
          <w:tblLayout w:type="fixed"/>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xml:space="preserve"> 1、农林牧渔业</w:t>
            </w:r>
          </w:p>
        </w:tc>
        <w:tc>
          <w:tcPr>
            <w:tcW w:w="1498"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w:t>
            </w:r>
          </w:p>
        </w:tc>
        <w:tc>
          <w:tcPr>
            <w:tcW w:w="1763"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xml:space="preserve"> 500≤Y＜20000</w:t>
            </w:r>
          </w:p>
        </w:tc>
        <w:tc>
          <w:tcPr>
            <w:tcW w:w="1660" w:type="dxa"/>
            <w:tcBorders>
              <w:top w:val="nil"/>
              <w:left w:val="nil"/>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w:t>
            </w:r>
          </w:p>
        </w:tc>
        <w:tc>
          <w:tcPr>
            <w:tcW w:w="1240"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w:t>
            </w:r>
          </w:p>
        </w:tc>
        <w:tc>
          <w:tcPr>
            <w:tcW w:w="1562"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xml:space="preserve"> 50≤Y＜500</w:t>
            </w:r>
          </w:p>
        </w:tc>
        <w:tc>
          <w:tcPr>
            <w:tcW w:w="1590" w:type="dxa"/>
            <w:tcBorders>
              <w:top w:val="nil"/>
              <w:left w:val="nil"/>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w:t>
            </w:r>
          </w:p>
        </w:tc>
        <w:tc>
          <w:tcPr>
            <w:tcW w:w="1285"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w:t>
            </w:r>
          </w:p>
        </w:tc>
        <w:tc>
          <w:tcPr>
            <w:tcW w:w="1275"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Y＜50</w:t>
            </w:r>
          </w:p>
        </w:tc>
        <w:tc>
          <w:tcPr>
            <w:tcW w:w="1221" w:type="dxa"/>
            <w:gridSpan w:val="2"/>
            <w:tcBorders>
              <w:top w:val="nil"/>
              <w:left w:val="nil"/>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w:t>
            </w:r>
          </w:p>
        </w:tc>
      </w:tr>
      <w:tr>
        <w:tblPrEx>
          <w:tblLayout w:type="fixed"/>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xml:space="preserve"> 2、工业</w:t>
            </w:r>
          </w:p>
        </w:tc>
        <w:tc>
          <w:tcPr>
            <w:tcW w:w="1498"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300≤X＜1000</w:t>
            </w:r>
          </w:p>
        </w:tc>
        <w:tc>
          <w:tcPr>
            <w:tcW w:w="1763"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2000≤Y＜40000</w:t>
            </w:r>
          </w:p>
        </w:tc>
        <w:tc>
          <w:tcPr>
            <w:tcW w:w="1660" w:type="dxa"/>
            <w:tcBorders>
              <w:top w:val="nil"/>
              <w:left w:val="nil"/>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w:t>
            </w:r>
          </w:p>
        </w:tc>
        <w:tc>
          <w:tcPr>
            <w:tcW w:w="1240"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20≤X＜300</w:t>
            </w:r>
          </w:p>
        </w:tc>
        <w:tc>
          <w:tcPr>
            <w:tcW w:w="1562"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300≤Y＜2000</w:t>
            </w:r>
          </w:p>
        </w:tc>
        <w:tc>
          <w:tcPr>
            <w:tcW w:w="1590" w:type="dxa"/>
            <w:tcBorders>
              <w:top w:val="nil"/>
              <w:left w:val="nil"/>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w:t>
            </w:r>
          </w:p>
        </w:tc>
        <w:tc>
          <w:tcPr>
            <w:tcW w:w="1285"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X＜20</w:t>
            </w:r>
          </w:p>
        </w:tc>
        <w:tc>
          <w:tcPr>
            <w:tcW w:w="1275"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Y＜300</w:t>
            </w:r>
          </w:p>
        </w:tc>
        <w:tc>
          <w:tcPr>
            <w:tcW w:w="1221" w:type="dxa"/>
            <w:gridSpan w:val="2"/>
            <w:tcBorders>
              <w:top w:val="nil"/>
              <w:left w:val="nil"/>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w:t>
            </w:r>
          </w:p>
        </w:tc>
      </w:tr>
      <w:tr>
        <w:tblPrEx>
          <w:tblLayout w:type="fixed"/>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xml:space="preserve"> 3、建筑业</w:t>
            </w:r>
          </w:p>
        </w:tc>
        <w:tc>
          <w:tcPr>
            <w:tcW w:w="1498"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w:t>
            </w:r>
          </w:p>
        </w:tc>
        <w:tc>
          <w:tcPr>
            <w:tcW w:w="1763"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6000≤Y＜80000</w:t>
            </w:r>
          </w:p>
        </w:tc>
        <w:tc>
          <w:tcPr>
            <w:tcW w:w="1660" w:type="dxa"/>
            <w:tcBorders>
              <w:top w:val="nil"/>
              <w:left w:val="nil"/>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5000≤Z＜80000</w:t>
            </w:r>
          </w:p>
        </w:tc>
        <w:tc>
          <w:tcPr>
            <w:tcW w:w="1240"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w:t>
            </w:r>
          </w:p>
        </w:tc>
        <w:tc>
          <w:tcPr>
            <w:tcW w:w="1562"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300≤Y＜6000</w:t>
            </w:r>
          </w:p>
        </w:tc>
        <w:tc>
          <w:tcPr>
            <w:tcW w:w="1590" w:type="dxa"/>
            <w:tcBorders>
              <w:top w:val="nil"/>
              <w:left w:val="nil"/>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xml:space="preserve"> 300≤Z＜5000</w:t>
            </w:r>
          </w:p>
        </w:tc>
        <w:tc>
          <w:tcPr>
            <w:tcW w:w="1285"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w:t>
            </w:r>
          </w:p>
        </w:tc>
        <w:tc>
          <w:tcPr>
            <w:tcW w:w="1275"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Y＜300</w:t>
            </w:r>
          </w:p>
        </w:tc>
        <w:tc>
          <w:tcPr>
            <w:tcW w:w="1221" w:type="dxa"/>
            <w:gridSpan w:val="2"/>
            <w:tcBorders>
              <w:top w:val="nil"/>
              <w:left w:val="nil"/>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Z＜300</w:t>
            </w:r>
          </w:p>
        </w:tc>
      </w:tr>
      <w:tr>
        <w:tblPrEx>
          <w:tblLayout w:type="fixed"/>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xml:space="preserve"> 4、批发业</w:t>
            </w:r>
          </w:p>
        </w:tc>
        <w:tc>
          <w:tcPr>
            <w:tcW w:w="1498"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xml:space="preserve"> 20≤X＜200</w:t>
            </w:r>
          </w:p>
        </w:tc>
        <w:tc>
          <w:tcPr>
            <w:tcW w:w="1763"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5000≤Y＜40000</w:t>
            </w:r>
          </w:p>
        </w:tc>
        <w:tc>
          <w:tcPr>
            <w:tcW w:w="1660" w:type="dxa"/>
            <w:tcBorders>
              <w:top w:val="nil"/>
              <w:left w:val="nil"/>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w:t>
            </w:r>
          </w:p>
        </w:tc>
        <w:tc>
          <w:tcPr>
            <w:tcW w:w="1240"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xml:space="preserve"> 5≤X＜20</w:t>
            </w:r>
          </w:p>
        </w:tc>
        <w:tc>
          <w:tcPr>
            <w:tcW w:w="1562"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1000≤Y＜5000</w:t>
            </w:r>
          </w:p>
        </w:tc>
        <w:tc>
          <w:tcPr>
            <w:tcW w:w="1590" w:type="dxa"/>
            <w:tcBorders>
              <w:top w:val="nil"/>
              <w:left w:val="nil"/>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w:t>
            </w:r>
          </w:p>
        </w:tc>
        <w:tc>
          <w:tcPr>
            <w:tcW w:w="1285"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X＜5</w:t>
            </w:r>
          </w:p>
        </w:tc>
        <w:tc>
          <w:tcPr>
            <w:tcW w:w="1275"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Y＜1000</w:t>
            </w:r>
          </w:p>
        </w:tc>
        <w:tc>
          <w:tcPr>
            <w:tcW w:w="1221" w:type="dxa"/>
            <w:gridSpan w:val="2"/>
            <w:tcBorders>
              <w:top w:val="nil"/>
              <w:left w:val="nil"/>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w:t>
            </w:r>
          </w:p>
        </w:tc>
      </w:tr>
      <w:tr>
        <w:tblPrEx>
          <w:tblLayout w:type="fixed"/>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xml:space="preserve"> 5、零售业</w:t>
            </w:r>
          </w:p>
        </w:tc>
        <w:tc>
          <w:tcPr>
            <w:tcW w:w="1498"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xml:space="preserve"> 50≤X＜300</w:t>
            </w:r>
          </w:p>
        </w:tc>
        <w:tc>
          <w:tcPr>
            <w:tcW w:w="1763"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xml:space="preserve"> 500≤Y＜20000</w:t>
            </w:r>
          </w:p>
        </w:tc>
        <w:tc>
          <w:tcPr>
            <w:tcW w:w="1660" w:type="dxa"/>
            <w:tcBorders>
              <w:top w:val="nil"/>
              <w:left w:val="nil"/>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w:t>
            </w:r>
          </w:p>
        </w:tc>
        <w:tc>
          <w:tcPr>
            <w:tcW w:w="1240"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10≤X＜50</w:t>
            </w:r>
          </w:p>
        </w:tc>
        <w:tc>
          <w:tcPr>
            <w:tcW w:w="1562"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100≤Y＜500</w:t>
            </w:r>
          </w:p>
        </w:tc>
        <w:tc>
          <w:tcPr>
            <w:tcW w:w="1590" w:type="dxa"/>
            <w:tcBorders>
              <w:top w:val="nil"/>
              <w:left w:val="nil"/>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w:t>
            </w:r>
          </w:p>
        </w:tc>
        <w:tc>
          <w:tcPr>
            <w:tcW w:w="1285"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X＜10</w:t>
            </w:r>
          </w:p>
        </w:tc>
        <w:tc>
          <w:tcPr>
            <w:tcW w:w="1275"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Y＜100</w:t>
            </w:r>
          </w:p>
        </w:tc>
        <w:tc>
          <w:tcPr>
            <w:tcW w:w="1221" w:type="dxa"/>
            <w:gridSpan w:val="2"/>
            <w:tcBorders>
              <w:top w:val="nil"/>
              <w:left w:val="nil"/>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w:t>
            </w:r>
          </w:p>
        </w:tc>
      </w:tr>
      <w:tr>
        <w:tblPrEx>
          <w:tblLayout w:type="fixed"/>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xml:space="preserve"> 6、交通运输业</w:t>
            </w:r>
          </w:p>
        </w:tc>
        <w:tc>
          <w:tcPr>
            <w:tcW w:w="1498"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300≤X＜1000</w:t>
            </w:r>
          </w:p>
        </w:tc>
        <w:tc>
          <w:tcPr>
            <w:tcW w:w="1763"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3000≤Y＜30000</w:t>
            </w:r>
          </w:p>
        </w:tc>
        <w:tc>
          <w:tcPr>
            <w:tcW w:w="1660" w:type="dxa"/>
            <w:tcBorders>
              <w:top w:val="nil"/>
              <w:left w:val="nil"/>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w:t>
            </w:r>
          </w:p>
        </w:tc>
        <w:tc>
          <w:tcPr>
            <w:tcW w:w="1240"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20≤X＜300</w:t>
            </w:r>
          </w:p>
        </w:tc>
        <w:tc>
          <w:tcPr>
            <w:tcW w:w="1562"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200≤Y＜3000</w:t>
            </w:r>
          </w:p>
        </w:tc>
        <w:tc>
          <w:tcPr>
            <w:tcW w:w="1590" w:type="dxa"/>
            <w:tcBorders>
              <w:top w:val="nil"/>
              <w:left w:val="nil"/>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w:t>
            </w:r>
          </w:p>
        </w:tc>
        <w:tc>
          <w:tcPr>
            <w:tcW w:w="1285"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X＜20</w:t>
            </w:r>
          </w:p>
        </w:tc>
        <w:tc>
          <w:tcPr>
            <w:tcW w:w="1275"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V＜200</w:t>
            </w:r>
          </w:p>
        </w:tc>
        <w:tc>
          <w:tcPr>
            <w:tcW w:w="1221" w:type="dxa"/>
            <w:gridSpan w:val="2"/>
            <w:tcBorders>
              <w:top w:val="nil"/>
              <w:left w:val="nil"/>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w:t>
            </w:r>
          </w:p>
        </w:tc>
      </w:tr>
      <w:tr>
        <w:tblPrEx>
          <w:tblLayout w:type="fixed"/>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xml:space="preserve"> 7、仓储业</w:t>
            </w:r>
          </w:p>
        </w:tc>
        <w:tc>
          <w:tcPr>
            <w:tcW w:w="1498"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100≤X＜200</w:t>
            </w:r>
          </w:p>
        </w:tc>
        <w:tc>
          <w:tcPr>
            <w:tcW w:w="1763"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1000≤Y＜30000</w:t>
            </w:r>
          </w:p>
        </w:tc>
        <w:tc>
          <w:tcPr>
            <w:tcW w:w="1660" w:type="dxa"/>
            <w:tcBorders>
              <w:top w:val="nil"/>
              <w:left w:val="nil"/>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w:t>
            </w:r>
          </w:p>
        </w:tc>
        <w:tc>
          <w:tcPr>
            <w:tcW w:w="1240"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20≤X＜100</w:t>
            </w:r>
          </w:p>
        </w:tc>
        <w:tc>
          <w:tcPr>
            <w:tcW w:w="1562"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100≤Y＜1000</w:t>
            </w:r>
          </w:p>
        </w:tc>
        <w:tc>
          <w:tcPr>
            <w:tcW w:w="1590" w:type="dxa"/>
            <w:tcBorders>
              <w:top w:val="nil"/>
              <w:left w:val="nil"/>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w:t>
            </w:r>
          </w:p>
        </w:tc>
        <w:tc>
          <w:tcPr>
            <w:tcW w:w="1285"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X＜20</w:t>
            </w:r>
          </w:p>
        </w:tc>
        <w:tc>
          <w:tcPr>
            <w:tcW w:w="1275"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Y＜100</w:t>
            </w:r>
          </w:p>
        </w:tc>
        <w:tc>
          <w:tcPr>
            <w:tcW w:w="1221" w:type="dxa"/>
            <w:gridSpan w:val="2"/>
            <w:tcBorders>
              <w:top w:val="nil"/>
              <w:left w:val="nil"/>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w:t>
            </w:r>
          </w:p>
        </w:tc>
      </w:tr>
      <w:tr>
        <w:tblPrEx>
          <w:tblLayout w:type="fixed"/>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xml:space="preserve"> 8、邮政业</w:t>
            </w:r>
          </w:p>
        </w:tc>
        <w:tc>
          <w:tcPr>
            <w:tcW w:w="1498"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300≤X＜1000</w:t>
            </w:r>
          </w:p>
        </w:tc>
        <w:tc>
          <w:tcPr>
            <w:tcW w:w="1763"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2000≤Y＜30000</w:t>
            </w:r>
          </w:p>
        </w:tc>
        <w:tc>
          <w:tcPr>
            <w:tcW w:w="1660" w:type="dxa"/>
            <w:tcBorders>
              <w:top w:val="nil"/>
              <w:left w:val="nil"/>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w:t>
            </w:r>
          </w:p>
        </w:tc>
        <w:tc>
          <w:tcPr>
            <w:tcW w:w="1240"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20≤X＜300</w:t>
            </w:r>
          </w:p>
        </w:tc>
        <w:tc>
          <w:tcPr>
            <w:tcW w:w="1562"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100≤Y＜2000</w:t>
            </w:r>
          </w:p>
        </w:tc>
        <w:tc>
          <w:tcPr>
            <w:tcW w:w="1590" w:type="dxa"/>
            <w:tcBorders>
              <w:top w:val="nil"/>
              <w:left w:val="nil"/>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w:t>
            </w:r>
          </w:p>
        </w:tc>
        <w:tc>
          <w:tcPr>
            <w:tcW w:w="1285"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X＜20</w:t>
            </w:r>
          </w:p>
        </w:tc>
        <w:tc>
          <w:tcPr>
            <w:tcW w:w="1275"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Y＜100</w:t>
            </w:r>
          </w:p>
        </w:tc>
        <w:tc>
          <w:tcPr>
            <w:tcW w:w="1221" w:type="dxa"/>
            <w:gridSpan w:val="2"/>
            <w:tcBorders>
              <w:top w:val="nil"/>
              <w:left w:val="nil"/>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w:t>
            </w:r>
          </w:p>
        </w:tc>
      </w:tr>
      <w:tr>
        <w:tblPrEx>
          <w:tblLayout w:type="fixed"/>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xml:space="preserve"> 9、住宿业</w:t>
            </w:r>
          </w:p>
        </w:tc>
        <w:tc>
          <w:tcPr>
            <w:tcW w:w="1498"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100≤X＜300</w:t>
            </w:r>
          </w:p>
        </w:tc>
        <w:tc>
          <w:tcPr>
            <w:tcW w:w="1763"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2000≤Y＜10000</w:t>
            </w:r>
          </w:p>
        </w:tc>
        <w:tc>
          <w:tcPr>
            <w:tcW w:w="1660" w:type="dxa"/>
            <w:tcBorders>
              <w:top w:val="nil"/>
              <w:left w:val="nil"/>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w:t>
            </w:r>
          </w:p>
        </w:tc>
        <w:tc>
          <w:tcPr>
            <w:tcW w:w="1240"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10≤X＜100</w:t>
            </w:r>
          </w:p>
        </w:tc>
        <w:tc>
          <w:tcPr>
            <w:tcW w:w="1562"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100≤Y＜2000</w:t>
            </w:r>
          </w:p>
        </w:tc>
        <w:tc>
          <w:tcPr>
            <w:tcW w:w="1590" w:type="dxa"/>
            <w:tcBorders>
              <w:top w:val="nil"/>
              <w:left w:val="nil"/>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w:t>
            </w:r>
          </w:p>
        </w:tc>
        <w:tc>
          <w:tcPr>
            <w:tcW w:w="1285"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X＜10</w:t>
            </w:r>
          </w:p>
        </w:tc>
        <w:tc>
          <w:tcPr>
            <w:tcW w:w="1275"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Y＜100</w:t>
            </w:r>
          </w:p>
        </w:tc>
        <w:tc>
          <w:tcPr>
            <w:tcW w:w="1221" w:type="dxa"/>
            <w:gridSpan w:val="2"/>
            <w:tcBorders>
              <w:top w:val="nil"/>
              <w:left w:val="nil"/>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w:t>
            </w:r>
          </w:p>
        </w:tc>
      </w:tr>
      <w:tr>
        <w:tblPrEx>
          <w:tblLayout w:type="fixed"/>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10、餐饮业</w:t>
            </w:r>
          </w:p>
        </w:tc>
        <w:tc>
          <w:tcPr>
            <w:tcW w:w="1498"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100≤X＜300</w:t>
            </w:r>
          </w:p>
        </w:tc>
        <w:tc>
          <w:tcPr>
            <w:tcW w:w="1763"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2000≤Y＜10000</w:t>
            </w:r>
          </w:p>
        </w:tc>
        <w:tc>
          <w:tcPr>
            <w:tcW w:w="1660" w:type="dxa"/>
            <w:tcBorders>
              <w:top w:val="nil"/>
              <w:left w:val="nil"/>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w:t>
            </w:r>
          </w:p>
        </w:tc>
        <w:tc>
          <w:tcPr>
            <w:tcW w:w="1240"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10≤X＜100</w:t>
            </w:r>
          </w:p>
        </w:tc>
        <w:tc>
          <w:tcPr>
            <w:tcW w:w="1562"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100≤Y＜2000</w:t>
            </w:r>
          </w:p>
        </w:tc>
        <w:tc>
          <w:tcPr>
            <w:tcW w:w="1590" w:type="dxa"/>
            <w:tcBorders>
              <w:top w:val="nil"/>
              <w:left w:val="nil"/>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w:t>
            </w:r>
          </w:p>
        </w:tc>
        <w:tc>
          <w:tcPr>
            <w:tcW w:w="1285"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X＜10</w:t>
            </w:r>
          </w:p>
        </w:tc>
        <w:tc>
          <w:tcPr>
            <w:tcW w:w="1275"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V＜100</w:t>
            </w:r>
          </w:p>
        </w:tc>
        <w:tc>
          <w:tcPr>
            <w:tcW w:w="1221" w:type="dxa"/>
            <w:gridSpan w:val="2"/>
            <w:tcBorders>
              <w:top w:val="nil"/>
              <w:left w:val="nil"/>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w:t>
            </w:r>
          </w:p>
        </w:tc>
      </w:tr>
      <w:tr>
        <w:tblPrEx>
          <w:tblLayout w:type="fixed"/>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11、信息传输业</w:t>
            </w:r>
          </w:p>
        </w:tc>
        <w:tc>
          <w:tcPr>
            <w:tcW w:w="1498"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100≤X＜2000</w:t>
            </w:r>
          </w:p>
        </w:tc>
        <w:tc>
          <w:tcPr>
            <w:tcW w:w="1763"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1000≤Y＜100000</w:t>
            </w:r>
          </w:p>
        </w:tc>
        <w:tc>
          <w:tcPr>
            <w:tcW w:w="1660" w:type="dxa"/>
            <w:tcBorders>
              <w:top w:val="nil"/>
              <w:left w:val="nil"/>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w:t>
            </w:r>
          </w:p>
        </w:tc>
        <w:tc>
          <w:tcPr>
            <w:tcW w:w="1240"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10≤X＜100</w:t>
            </w:r>
          </w:p>
        </w:tc>
        <w:tc>
          <w:tcPr>
            <w:tcW w:w="1562"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100≤Y＜1000</w:t>
            </w:r>
          </w:p>
        </w:tc>
        <w:tc>
          <w:tcPr>
            <w:tcW w:w="1590" w:type="dxa"/>
            <w:tcBorders>
              <w:top w:val="nil"/>
              <w:left w:val="nil"/>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w:t>
            </w:r>
          </w:p>
        </w:tc>
        <w:tc>
          <w:tcPr>
            <w:tcW w:w="1285"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X＜10</w:t>
            </w:r>
          </w:p>
        </w:tc>
        <w:tc>
          <w:tcPr>
            <w:tcW w:w="1275"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Y＜100</w:t>
            </w:r>
          </w:p>
        </w:tc>
        <w:tc>
          <w:tcPr>
            <w:tcW w:w="1221" w:type="dxa"/>
            <w:gridSpan w:val="2"/>
            <w:tcBorders>
              <w:top w:val="nil"/>
              <w:left w:val="nil"/>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w:t>
            </w:r>
          </w:p>
        </w:tc>
      </w:tr>
      <w:tr>
        <w:tblPrEx>
          <w:tblLayout w:type="fixed"/>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12、软件和信息技术服务业</w:t>
            </w:r>
          </w:p>
        </w:tc>
        <w:tc>
          <w:tcPr>
            <w:tcW w:w="1498"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100≤X＜300</w:t>
            </w:r>
          </w:p>
        </w:tc>
        <w:tc>
          <w:tcPr>
            <w:tcW w:w="1763"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1000≤Y＜10000</w:t>
            </w:r>
          </w:p>
        </w:tc>
        <w:tc>
          <w:tcPr>
            <w:tcW w:w="1660" w:type="dxa"/>
            <w:tcBorders>
              <w:top w:val="nil"/>
              <w:left w:val="nil"/>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w:t>
            </w:r>
          </w:p>
        </w:tc>
        <w:tc>
          <w:tcPr>
            <w:tcW w:w="1240"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10≤X＜100</w:t>
            </w:r>
          </w:p>
        </w:tc>
        <w:tc>
          <w:tcPr>
            <w:tcW w:w="1562"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xml:space="preserve"> 50≤Y＜1000</w:t>
            </w:r>
          </w:p>
        </w:tc>
        <w:tc>
          <w:tcPr>
            <w:tcW w:w="1590" w:type="dxa"/>
            <w:tcBorders>
              <w:top w:val="nil"/>
              <w:left w:val="nil"/>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w:t>
            </w:r>
          </w:p>
        </w:tc>
        <w:tc>
          <w:tcPr>
            <w:tcW w:w="1285"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X＜10</w:t>
            </w:r>
          </w:p>
        </w:tc>
        <w:tc>
          <w:tcPr>
            <w:tcW w:w="1275"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Y＜50</w:t>
            </w:r>
          </w:p>
        </w:tc>
        <w:tc>
          <w:tcPr>
            <w:tcW w:w="1221" w:type="dxa"/>
            <w:gridSpan w:val="2"/>
            <w:tcBorders>
              <w:top w:val="nil"/>
              <w:left w:val="nil"/>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w:t>
            </w:r>
          </w:p>
        </w:tc>
      </w:tr>
      <w:tr>
        <w:tblPrEx>
          <w:tblLayout w:type="fixed"/>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13、房地产开发经营</w:t>
            </w:r>
          </w:p>
        </w:tc>
        <w:tc>
          <w:tcPr>
            <w:tcW w:w="1498"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w:t>
            </w:r>
          </w:p>
        </w:tc>
        <w:tc>
          <w:tcPr>
            <w:tcW w:w="1763"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1000≤Y＜200000</w:t>
            </w:r>
          </w:p>
        </w:tc>
        <w:tc>
          <w:tcPr>
            <w:tcW w:w="1660" w:type="dxa"/>
            <w:tcBorders>
              <w:top w:val="nil"/>
              <w:left w:val="nil"/>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5000≤Z＜10000</w:t>
            </w:r>
          </w:p>
        </w:tc>
        <w:tc>
          <w:tcPr>
            <w:tcW w:w="1240"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w:t>
            </w:r>
          </w:p>
        </w:tc>
        <w:tc>
          <w:tcPr>
            <w:tcW w:w="1562"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100≤Y＜1000</w:t>
            </w:r>
          </w:p>
        </w:tc>
        <w:tc>
          <w:tcPr>
            <w:tcW w:w="1590" w:type="dxa"/>
            <w:tcBorders>
              <w:top w:val="nil"/>
              <w:left w:val="nil"/>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2000≤Z＜5000</w:t>
            </w:r>
          </w:p>
        </w:tc>
        <w:tc>
          <w:tcPr>
            <w:tcW w:w="1285"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w:t>
            </w:r>
          </w:p>
        </w:tc>
        <w:tc>
          <w:tcPr>
            <w:tcW w:w="1275"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Y＜100</w:t>
            </w:r>
          </w:p>
        </w:tc>
        <w:tc>
          <w:tcPr>
            <w:tcW w:w="1221" w:type="dxa"/>
            <w:gridSpan w:val="2"/>
            <w:tcBorders>
              <w:top w:val="nil"/>
              <w:left w:val="nil"/>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Z＜2000</w:t>
            </w:r>
          </w:p>
        </w:tc>
      </w:tr>
      <w:tr>
        <w:tblPrEx>
          <w:tblLayout w:type="fixed"/>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14、物业管理</w:t>
            </w:r>
          </w:p>
        </w:tc>
        <w:tc>
          <w:tcPr>
            <w:tcW w:w="1498"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300≤X＜1000</w:t>
            </w:r>
          </w:p>
        </w:tc>
        <w:tc>
          <w:tcPr>
            <w:tcW w:w="1763"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1000≤Y＜5000</w:t>
            </w:r>
          </w:p>
        </w:tc>
        <w:tc>
          <w:tcPr>
            <w:tcW w:w="1660" w:type="dxa"/>
            <w:tcBorders>
              <w:top w:val="nil"/>
              <w:left w:val="nil"/>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w:t>
            </w:r>
          </w:p>
        </w:tc>
        <w:tc>
          <w:tcPr>
            <w:tcW w:w="1240"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100≤X＜300</w:t>
            </w:r>
          </w:p>
        </w:tc>
        <w:tc>
          <w:tcPr>
            <w:tcW w:w="1562"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500≤Y＜1000</w:t>
            </w:r>
          </w:p>
        </w:tc>
        <w:tc>
          <w:tcPr>
            <w:tcW w:w="1590" w:type="dxa"/>
            <w:tcBorders>
              <w:top w:val="nil"/>
              <w:left w:val="nil"/>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w:t>
            </w:r>
          </w:p>
        </w:tc>
        <w:tc>
          <w:tcPr>
            <w:tcW w:w="1285"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X＜100</w:t>
            </w:r>
          </w:p>
        </w:tc>
        <w:tc>
          <w:tcPr>
            <w:tcW w:w="1275"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Y＜500</w:t>
            </w:r>
          </w:p>
        </w:tc>
        <w:tc>
          <w:tcPr>
            <w:tcW w:w="1221" w:type="dxa"/>
            <w:gridSpan w:val="2"/>
            <w:tcBorders>
              <w:top w:val="nil"/>
              <w:left w:val="nil"/>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w:t>
            </w:r>
          </w:p>
        </w:tc>
      </w:tr>
      <w:tr>
        <w:tblPrEx>
          <w:tblLayout w:type="fixed"/>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15、租赁和商务服务业</w:t>
            </w:r>
          </w:p>
        </w:tc>
        <w:tc>
          <w:tcPr>
            <w:tcW w:w="1498"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100≤X＜300</w:t>
            </w:r>
          </w:p>
        </w:tc>
        <w:tc>
          <w:tcPr>
            <w:tcW w:w="1763"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w:t>
            </w:r>
          </w:p>
        </w:tc>
        <w:tc>
          <w:tcPr>
            <w:tcW w:w="1660" w:type="dxa"/>
            <w:tcBorders>
              <w:top w:val="nil"/>
              <w:left w:val="nil"/>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8000≤Z＜120000</w:t>
            </w:r>
          </w:p>
        </w:tc>
        <w:tc>
          <w:tcPr>
            <w:tcW w:w="1240"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10≤X＜100</w:t>
            </w:r>
          </w:p>
        </w:tc>
        <w:tc>
          <w:tcPr>
            <w:tcW w:w="1562"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w:t>
            </w:r>
          </w:p>
        </w:tc>
        <w:tc>
          <w:tcPr>
            <w:tcW w:w="1590" w:type="dxa"/>
            <w:tcBorders>
              <w:top w:val="nil"/>
              <w:left w:val="nil"/>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xml:space="preserve"> 100≤Z＜8000</w:t>
            </w:r>
          </w:p>
        </w:tc>
        <w:tc>
          <w:tcPr>
            <w:tcW w:w="1285"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X＜10</w:t>
            </w:r>
          </w:p>
        </w:tc>
        <w:tc>
          <w:tcPr>
            <w:tcW w:w="1275" w:type="dxa"/>
            <w:tcBorders>
              <w:top w:val="nil"/>
              <w:left w:val="nil"/>
              <w:bottom w:val="single" w:color="auto" w:sz="4"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w:t>
            </w:r>
          </w:p>
        </w:tc>
        <w:tc>
          <w:tcPr>
            <w:tcW w:w="1221" w:type="dxa"/>
            <w:gridSpan w:val="2"/>
            <w:tcBorders>
              <w:top w:val="nil"/>
              <w:left w:val="nil"/>
              <w:bottom w:val="single" w:color="auto" w:sz="4"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Z＜100</w:t>
            </w:r>
          </w:p>
        </w:tc>
      </w:tr>
      <w:tr>
        <w:tblPrEx>
          <w:tblLayout w:type="fixed"/>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8"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16、其他未列明行业</w:t>
            </w:r>
          </w:p>
        </w:tc>
        <w:tc>
          <w:tcPr>
            <w:tcW w:w="1498" w:type="dxa"/>
            <w:tcBorders>
              <w:top w:val="nil"/>
              <w:left w:val="nil"/>
              <w:bottom w:val="single" w:color="auto" w:sz="8"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100≤X＜300</w:t>
            </w:r>
          </w:p>
        </w:tc>
        <w:tc>
          <w:tcPr>
            <w:tcW w:w="1763" w:type="dxa"/>
            <w:tcBorders>
              <w:top w:val="nil"/>
              <w:left w:val="nil"/>
              <w:bottom w:val="single" w:color="auto" w:sz="8"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w:t>
            </w:r>
          </w:p>
        </w:tc>
        <w:tc>
          <w:tcPr>
            <w:tcW w:w="1660" w:type="dxa"/>
            <w:tcBorders>
              <w:top w:val="nil"/>
              <w:left w:val="nil"/>
              <w:bottom w:val="single" w:color="auto" w:sz="8"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w:t>
            </w:r>
          </w:p>
        </w:tc>
        <w:tc>
          <w:tcPr>
            <w:tcW w:w="1240" w:type="dxa"/>
            <w:tcBorders>
              <w:top w:val="nil"/>
              <w:left w:val="nil"/>
              <w:bottom w:val="single" w:color="auto" w:sz="8"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10≤X＜100</w:t>
            </w:r>
          </w:p>
        </w:tc>
        <w:tc>
          <w:tcPr>
            <w:tcW w:w="1562" w:type="dxa"/>
            <w:tcBorders>
              <w:top w:val="nil"/>
              <w:left w:val="nil"/>
              <w:bottom w:val="single" w:color="auto" w:sz="8"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w:t>
            </w:r>
          </w:p>
        </w:tc>
        <w:tc>
          <w:tcPr>
            <w:tcW w:w="1590" w:type="dxa"/>
            <w:tcBorders>
              <w:top w:val="nil"/>
              <w:left w:val="nil"/>
              <w:bottom w:val="single" w:color="auto" w:sz="8"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w:t>
            </w:r>
          </w:p>
        </w:tc>
        <w:tc>
          <w:tcPr>
            <w:tcW w:w="1285" w:type="dxa"/>
            <w:tcBorders>
              <w:top w:val="nil"/>
              <w:left w:val="nil"/>
              <w:bottom w:val="single" w:color="auto" w:sz="8"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X＜10</w:t>
            </w:r>
          </w:p>
        </w:tc>
        <w:tc>
          <w:tcPr>
            <w:tcW w:w="1275" w:type="dxa"/>
            <w:tcBorders>
              <w:top w:val="nil"/>
              <w:left w:val="nil"/>
              <w:bottom w:val="single" w:color="auto" w:sz="8" w:space="0"/>
              <w:right w:val="single" w:color="auto" w:sz="4"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w:t>
            </w:r>
          </w:p>
        </w:tc>
        <w:tc>
          <w:tcPr>
            <w:tcW w:w="1221" w:type="dxa"/>
            <w:gridSpan w:val="2"/>
            <w:tcBorders>
              <w:top w:val="nil"/>
              <w:left w:val="nil"/>
              <w:bottom w:val="single" w:color="auto" w:sz="8" w:space="0"/>
              <w:right w:val="single" w:color="auto" w:sz="8" w:space="0"/>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　</w:t>
            </w:r>
          </w:p>
        </w:tc>
      </w:tr>
      <w:tr>
        <w:tblPrEx>
          <w:tblLayout w:type="fixed"/>
          <w:tblCellMar>
            <w:top w:w="0" w:type="dxa"/>
            <w:left w:w="108" w:type="dxa"/>
            <w:bottom w:w="0" w:type="dxa"/>
            <w:right w:w="108" w:type="dxa"/>
          </w:tblCellMar>
        </w:tblPrEx>
        <w:trPr>
          <w:gridAfter w:val="1"/>
          <w:wAfter w:w="152" w:type="dxa"/>
          <w:trHeight w:val="285" w:hRule="atLeast"/>
        </w:trPr>
        <w:tc>
          <w:tcPr>
            <w:tcW w:w="14927" w:type="dxa"/>
            <w:gridSpan w:val="10"/>
            <w:tcBorders>
              <w:top w:val="nil"/>
              <w:left w:val="nil"/>
              <w:bottom w:val="nil"/>
              <w:right w:val="nil"/>
            </w:tcBorders>
            <w:vAlign w:val="bottom"/>
          </w:tcPr>
          <w:p>
            <w:pPr>
              <w:rPr>
                <w:rFonts w:hint="eastAsia" w:ascii="宋体" w:hAnsi="宋体" w:eastAsia="宋体" w:cs="宋体"/>
                <w:color w:val="auto"/>
                <w:sz w:val="14"/>
                <w:szCs w:val="14"/>
              </w:rPr>
            </w:pPr>
            <w:r>
              <w:rPr>
                <w:rFonts w:hint="eastAsia" w:ascii="宋体" w:hAnsi="宋体" w:eastAsia="宋体" w:cs="宋体"/>
                <w:color w:val="auto"/>
                <w:sz w:val="14"/>
                <w:szCs w:val="14"/>
              </w:rPr>
              <w:t>说明　1、企业类型的划分以统计部门的统计数据为依据。</w:t>
            </w:r>
          </w:p>
          <w:p>
            <w:pPr>
              <w:numPr>
                <w:ilvl w:val="0"/>
                <w:numId w:val="44"/>
              </w:numPr>
              <w:ind w:firstLine="420" w:firstLineChars="300"/>
              <w:rPr>
                <w:rFonts w:hint="eastAsia" w:ascii="宋体" w:hAnsi="宋体" w:eastAsia="宋体" w:cs="宋体"/>
                <w:color w:val="auto"/>
                <w:sz w:val="14"/>
                <w:szCs w:val="14"/>
              </w:rPr>
            </w:pPr>
            <w:r>
              <w:rPr>
                <w:rFonts w:hint="eastAsia" w:ascii="宋体" w:hAnsi="宋体" w:eastAsia="宋体" w:cs="宋体"/>
                <w:color w:val="auto"/>
                <w:sz w:val="14"/>
                <w:szCs w:val="14"/>
              </w:rPr>
              <w:t>个体工商户和本规定以外的行业，参照本规定进行划型。</w:t>
            </w:r>
          </w:p>
          <w:p>
            <w:pPr>
              <w:numPr>
                <w:ilvl w:val="0"/>
                <w:numId w:val="44"/>
              </w:numPr>
              <w:ind w:firstLine="420" w:firstLineChars="300"/>
              <w:rPr>
                <w:rFonts w:hint="eastAsia" w:ascii="宋体" w:hAnsi="宋体" w:eastAsia="宋体" w:cs="宋体"/>
                <w:color w:val="auto"/>
                <w:sz w:val="14"/>
                <w:szCs w:val="14"/>
              </w:rPr>
            </w:pPr>
            <w:r>
              <w:rPr>
                <w:rFonts w:hint="eastAsia" w:ascii="宋体" w:hAnsi="宋体" w:eastAsia="宋体" w:cs="宋体"/>
                <w:color w:val="auto"/>
                <w:sz w:val="14"/>
                <w:szCs w:val="14"/>
              </w:rPr>
              <w:t>本规定的中型企业标准上限即为大型企业标准的下限。</w:t>
            </w:r>
          </w:p>
        </w:tc>
      </w:tr>
    </w:tbl>
    <w:p>
      <w:pPr>
        <w:rPr>
          <w:rFonts w:hint="eastAsia" w:ascii="宋体" w:hAnsi="宋体" w:eastAsia="宋体" w:cs="宋体"/>
          <w:i/>
          <w:iCs/>
          <w:color w:val="auto"/>
          <w:sz w:val="30"/>
        </w:rPr>
        <w:sectPr>
          <w:type w:val="continuous"/>
          <w:pgSz w:w="16838" w:h="11906" w:orient="landscape"/>
          <w:pgMar w:top="1417" w:right="1701" w:bottom="1417" w:left="1134" w:header="851" w:footer="992" w:gutter="0"/>
          <w:pgBorders>
            <w:top w:val="none" w:color="auto" w:sz="0" w:space="0"/>
            <w:left w:val="none" w:color="auto" w:sz="0" w:space="0"/>
            <w:bottom w:val="none" w:color="auto" w:sz="0" w:space="0"/>
            <w:right w:val="none" w:color="auto" w:sz="0" w:space="0"/>
          </w:pgBorders>
          <w:pgNumType w:fmt="decimal"/>
          <w:cols w:space="720" w:num="1"/>
          <w:docGrid w:linePitch="312" w:charSpace="0"/>
        </w:sectPr>
      </w:pPr>
    </w:p>
    <w:p>
      <w:pPr>
        <w:pStyle w:val="5"/>
        <w:bidi w:val="0"/>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4608830</wp:posOffset>
                </wp:positionH>
                <wp:positionV relativeFrom="paragraph">
                  <wp:posOffset>-50800</wp:posOffset>
                </wp:positionV>
                <wp:extent cx="1346200" cy="401955"/>
                <wp:effectExtent l="4445" t="4445" r="20955" b="12700"/>
                <wp:wrapNone/>
                <wp:docPr id="3" name="文本框 8"/>
                <wp:cNvGraphicFramePr/>
                <a:graphic xmlns:a="http://schemas.openxmlformats.org/drawingml/2006/main">
                  <a:graphicData uri="http://schemas.microsoft.com/office/word/2010/wordprocessingShape">
                    <wps:wsp>
                      <wps:cNvSpPr txBox="1"/>
                      <wps:spPr>
                        <a:xfrm>
                          <a:off x="0" y="0"/>
                          <a:ext cx="1346200" cy="401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8" o:spid="_x0000_s1026" o:spt="202" type="#_x0000_t202" style="position:absolute;left:0pt;margin-left:362.9pt;margin-top:-4pt;height:31.65pt;width:106pt;z-index:251663360;mso-width-relative:page;mso-height-relative:page;" fillcolor="#FFFFFF" filled="t" stroked="t" coordsize="21600,21600" o:gfxdata="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de+yw2QAAAAkBAAAPAAAAAAAAAAEAIAAAACIAAABkcnMvZG93bnJldi54bWxQSwECFAAU&#10;AAAACACHTuJAIpMh+vABAADoAwAADgAAAAAAAAABACAAAAAoAQAAZHJzL2Uyb0RvYy54bWxQSwUG&#10;AAAAAAYABgBZAQAAigU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cs="宋体"/>
          <w:color w:val="auto"/>
          <w:highlight w:val="none"/>
          <w:lang w:eastAsia="zh-CN"/>
        </w:rPr>
        <w:t>商务技术</w:t>
      </w:r>
      <w:r>
        <w:rPr>
          <w:rFonts w:hint="eastAsia" w:ascii="宋体" w:hAnsi="宋体" w:eastAsia="宋体" w:cs="宋体"/>
          <w:color w:val="auto"/>
          <w:szCs w:val="40"/>
          <w:highlight w:val="none"/>
        </w:rPr>
        <w:t>文件</w:t>
      </w:r>
      <w:r>
        <w:rPr>
          <w:rFonts w:hint="eastAsia" w:ascii="宋体" w:hAnsi="宋体" w:eastAsia="宋体" w:cs="宋体"/>
          <w:color w:val="auto"/>
          <w:highlight w:val="none"/>
        </w:rPr>
        <w:t>封面</w:t>
      </w:r>
      <w:bookmarkEnd w:id="172"/>
      <w:bookmarkEnd w:id="173"/>
    </w:p>
    <w:p>
      <w:pPr>
        <w:spacing w:line="600" w:lineRule="auto"/>
        <w:ind w:firstLine="0" w:firstLineChars="0"/>
        <w:jc w:val="center"/>
        <w:rPr>
          <w:rFonts w:hint="eastAsia" w:ascii="宋体" w:hAnsi="宋体" w:eastAsia="宋体" w:cs="宋体"/>
          <w:b/>
          <w:bCs/>
          <w:color w:val="auto"/>
          <w:sz w:val="48"/>
          <w:szCs w:val="48"/>
          <w:highlight w:val="none"/>
        </w:rPr>
      </w:pPr>
    </w:p>
    <w:p>
      <w:pPr>
        <w:spacing w:line="600" w:lineRule="auto"/>
        <w:ind w:firstLine="0" w:firstLineChars="0"/>
        <w:jc w:val="center"/>
        <w:rPr>
          <w:rFonts w:hint="eastAsia" w:ascii="宋体" w:hAnsi="宋体" w:eastAsia="宋体" w:cs="宋体"/>
          <w:b/>
          <w:bCs/>
          <w:color w:val="auto"/>
          <w:sz w:val="48"/>
          <w:szCs w:val="48"/>
          <w:highlight w:val="none"/>
        </w:rPr>
      </w:pPr>
      <w:r>
        <w:rPr>
          <w:rFonts w:hint="eastAsia" w:cs="宋体"/>
          <w:b/>
          <w:bCs/>
          <w:color w:val="auto"/>
          <w:sz w:val="48"/>
          <w:szCs w:val="48"/>
          <w:highlight w:val="none"/>
          <w:lang w:eastAsia="zh-CN"/>
        </w:rPr>
        <w:t>浙江海洋大学</w:t>
      </w:r>
    </w:p>
    <w:p>
      <w:pPr>
        <w:spacing w:line="600" w:lineRule="auto"/>
        <w:ind w:firstLine="0" w:firstLineChars="0"/>
        <w:jc w:val="center"/>
        <w:rPr>
          <w:rFonts w:hint="eastAsia" w:ascii="宋体" w:hAnsi="宋体" w:eastAsia="宋体" w:cs="宋体"/>
          <w:b/>
          <w:bCs/>
          <w:color w:val="auto"/>
          <w:sz w:val="48"/>
          <w:szCs w:val="48"/>
          <w:highlight w:val="none"/>
          <w:lang w:eastAsia="zh-CN"/>
        </w:rPr>
      </w:pPr>
      <w:r>
        <w:rPr>
          <w:rFonts w:hint="eastAsia" w:cs="宋体"/>
          <w:b/>
          <w:bCs/>
          <w:color w:val="auto"/>
          <w:sz w:val="48"/>
          <w:szCs w:val="48"/>
          <w:highlight w:val="none"/>
          <w:lang w:eastAsia="zh-CN"/>
        </w:rPr>
        <w:t>海洋食品质量安全溯源与区块链技术科研平台设备采购项目</w:t>
      </w:r>
    </w:p>
    <w:p>
      <w:pPr>
        <w:ind w:firstLine="602"/>
        <w:jc w:val="center"/>
        <w:rPr>
          <w:rFonts w:hint="eastAsia" w:ascii="宋体" w:hAnsi="宋体" w:eastAsia="宋体" w:cs="宋体"/>
          <w:b/>
          <w:bCs/>
          <w:color w:val="auto"/>
          <w:sz w:val="30"/>
          <w:szCs w:val="30"/>
          <w:highlight w:val="none"/>
        </w:rPr>
      </w:pPr>
    </w:p>
    <w:p>
      <w:pPr>
        <w:ind w:firstLine="602"/>
        <w:jc w:val="center"/>
        <w:rPr>
          <w:rFonts w:hint="eastAsia" w:ascii="宋体" w:hAnsi="宋体" w:eastAsia="宋体" w:cs="宋体"/>
          <w:color w:val="auto"/>
          <w:sz w:val="30"/>
          <w:szCs w:val="30"/>
          <w:highlight w:val="none"/>
        </w:rPr>
      </w:pPr>
      <w:r>
        <w:rPr>
          <w:rFonts w:hint="eastAsia" w:cs="宋体"/>
          <w:b/>
          <w:bCs/>
          <w:color w:val="auto"/>
          <w:sz w:val="30"/>
          <w:szCs w:val="30"/>
          <w:highlight w:val="none"/>
          <w:lang w:eastAsia="zh-CN"/>
        </w:rPr>
        <w:t>商务技术</w:t>
      </w:r>
      <w:r>
        <w:rPr>
          <w:rFonts w:hint="eastAsia" w:ascii="宋体" w:hAnsi="宋体" w:eastAsia="宋体" w:cs="宋体"/>
          <w:b/>
          <w:bCs/>
          <w:color w:val="auto"/>
          <w:sz w:val="30"/>
          <w:szCs w:val="30"/>
          <w:highlight w:val="none"/>
        </w:rPr>
        <w:t>文件</w:t>
      </w:r>
    </w:p>
    <w:p>
      <w:pPr>
        <w:pStyle w:val="48"/>
        <w:rPr>
          <w:rFonts w:hint="eastAsia" w:ascii="宋体" w:hAnsi="宋体" w:eastAsia="宋体" w:cs="宋体"/>
          <w:color w:val="auto"/>
          <w:sz w:val="30"/>
          <w:szCs w:val="30"/>
          <w:highlight w:val="none"/>
        </w:rPr>
      </w:pPr>
    </w:p>
    <w:p>
      <w:pPr>
        <w:pStyle w:val="48"/>
        <w:rPr>
          <w:rFonts w:hint="eastAsia" w:ascii="宋体" w:hAnsi="宋体" w:eastAsia="宋体" w:cs="宋体"/>
          <w:color w:val="auto"/>
          <w:sz w:val="30"/>
          <w:szCs w:val="30"/>
          <w:highlight w:val="none"/>
        </w:rPr>
      </w:pPr>
    </w:p>
    <w:p>
      <w:pPr>
        <w:pStyle w:val="48"/>
        <w:rPr>
          <w:rFonts w:hint="eastAsia" w:ascii="宋体" w:hAnsi="宋体" w:eastAsia="宋体" w:cs="宋体"/>
          <w:color w:val="auto"/>
          <w:sz w:val="30"/>
          <w:szCs w:val="30"/>
          <w:highlight w:val="none"/>
        </w:rPr>
      </w:pP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 购 人：</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投标人名称（盖章）：</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投标人地址：</w:t>
      </w:r>
    </w:p>
    <w:p>
      <w:pPr>
        <w:ind w:firstLine="600"/>
        <w:rPr>
          <w:rFonts w:hint="eastAsia" w:ascii="宋体" w:hAnsi="宋体" w:eastAsia="宋体" w:cs="宋体"/>
          <w:color w:val="auto"/>
          <w:sz w:val="30"/>
          <w:szCs w:val="30"/>
          <w:highlight w:val="none"/>
        </w:rPr>
      </w:pPr>
    </w:p>
    <w:p>
      <w:pPr>
        <w:ind w:firstLine="600"/>
        <w:rPr>
          <w:rFonts w:hint="eastAsia" w:ascii="宋体" w:hAnsi="宋体" w:eastAsia="宋体" w:cs="宋体"/>
          <w:color w:val="auto"/>
          <w:sz w:val="30"/>
          <w:szCs w:val="30"/>
          <w:highlight w:val="none"/>
        </w:rPr>
      </w:pP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授权代表签字或盖章：</w:t>
      </w:r>
    </w:p>
    <w:p>
      <w:pPr>
        <w:ind w:firstLine="600"/>
        <w:rPr>
          <w:rFonts w:hint="eastAsia" w:ascii="宋体" w:hAnsi="宋体" w:eastAsia="宋体" w:cs="宋体"/>
          <w:color w:val="auto"/>
          <w:sz w:val="30"/>
          <w:szCs w:val="30"/>
          <w:highlight w:val="none"/>
        </w:rPr>
        <w:sectPr>
          <w:pgSz w:w="11907" w:h="16840"/>
          <w:pgMar w:top="1440" w:right="1080" w:bottom="1440" w:left="1080" w:header="850" w:footer="992" w:gutter="0"/>
          <w:pgBorders>
            <w:top w:val="none" w:color="auto" w:sz="0" w:space="0"/>
            <w:left w:val="none" w:color="auto" w:sz="0" w:space="0"/>
            <w:bottom w:val="none" w:color="auto" w:sz="0" w:space="0"/>
            <w:right w:val="none" w:color="auto" w:sz="0" w:space="0"/>
          </w:pgBorders>
          <w:cols w:space="720" w:num="1"/>
          <w:docGrid w:linePitch="286" w:charSpace="0"/>
        </w:sectPr>
      </w:pPr>
      <w:r>
        <w:rPr>
          <w:rFonts w:hint="eastAsia" w:ascii="宋体" w:hAnsi="宋体" w:eastAsia="宋体" w:cs="宋体"/>
          <w:color w:val="auto"/>
          <w:sz w:val="30"/>
          <w:szCs w:val="30"/>
          <w:highlight w:val="none"/>
        </w:rPr>
        <w:t>日期：    年  月  日</w:t>
      </w:r>
    </w:p>
    <w:p>
      <w:pPr>
        <w:pStyle w:val="5"/>
        <w:bidi w:val="0"/>
        <w:rPr>
          <w:rFonts w:hint="eastAsia" w:ascii="宋体" w:hAnsi="宋体" w:eastAsia="宋体" w:cs="宋体"/>
          <w:color w:val="auto"/>
          <w:highlight w:val="none"/>
        </w:rPr>
      </w:pPr>
      <w:bookmarkStart w:id="174" w:name="_Toc18939"/>
      <w:bookmarkStart w:id="175" w:name="_Toc520"/>
      <w:bookmarkStart w:id="176" w:name="_Toc7692"/>
      <w:r>
        <w:rPr>
          <w:rFonts w:hint="eastAsia" w:ascii="宋体" w:hAnsi="宋体" w:eastAsia="宋体" w:cs="宋体"/>
          <w:color w:val="auto"/>
          <w:highlight w:val="none"/>
        </w:rPr>
        <w:t>评分索引表（请放在目录前页）</w:t>
      </w:r>
      <w:bookmarkEnd w:id="174"/>
      <w:bookmarkEnd w:id="175"/>
    </w:p>
    <w:tbl>
      <w:tblPr>
        <w:tblStyle w:val="46"/>
        <w:tblW w:w="9389" w:type="dxa"/>
        <w:tblInd w:w="0" w:type="dxa"/>
        <w:tblLayout w:type="fixed"/>
        <w:tblCellMar>
          <w:top w:w="0" w:type="dxa"/>
          <w:left w:w="108" w:type="dxa"/>
          <w:bottom w:w="0" w:type="dxa"/>
          <w:right w:w="108" w:type="dxa"/>
        </w:tblCellMar>
      </w:tblPr>
      <w:tblGrid>
        <w:gridCol w:w="708"/>
        <w:gridCol w:w="851"/>
        <w:gridCol w:w="6175"/>
        <w:gridCol w:w="850"/>
        <w:gridCol w:w="805"/>
      </w:tblGrid>
      <w:tr>
        <w:tblPrEx>
          <w:tblLayout w:type="fixed"/>
          <w:tblCellMar>
            <w:top w:w="0" w:type="dxa"/>
            <w:left w:w="108" w:type="dxa"/>
            <w:bottom w:w="0" w:type="dxa"/>
            <w:right w:w="108" w:type="dxa"/>
          </w:tblCellMar>
        </w:tblPrEx>
        <w:trPr>
          <w:trHeight w:val="1084"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51" w:type="dxa"/>
            <w:tcBorders>
              <w:top w:val="single" w:color="auto" w:sz="8" w:space="0"/>
              <w:left w:val="nil"/>
              <w:bottom w:val="nil"/>
              <w:right w:val="single" w:color="auto" w:sz="8"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评分</w:t>
            </w:r>
          </w:p>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w:t>
            </w:r>
          </w:p>
        </w:tc>
        <w:tc>
          <w:tcPr>
            <w:tcW w:w="6175" w:type="dxa"/>
            <w:tcBorders>
              <w:top w:val="single" w:color="auto" w:sz="8" w:space="0"/>
              <w:left w:val="nil"/>
              <w:bottom w:val="nil"/>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投标文件页码</w:t>
            </w:r>
          </w:p>
        </w:tc>
      </w:tr>
      <w:tr>
        <w:tblPrEx>
          <w:tblLayout w:type="fixed"/>
          <w:tblCellMar>
            <w:top w:w="0" w:type="dxa"/>
            <w:left w:w="108" w:type="dxa"/>
            <w:bottom w:w="0" w:type="dxa"/>
            <w:right w:w="108" w:type="dxa"/>
          </w:tblCellMar>
        </w:tblPrEx>
        <w:trPr>
          <w:trHeight w:val="476"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hint="eastAsia" w:ascii="宋体" w:hAnsi="宋体" w:eastAsia="宋体"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hint="eastAsia" w:ascii="宋体" w:hAnsi="宋体" w:eastAsia="宋体"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51"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hint="eastAsia" w:ascii="宋体" w:hAnsi="宋体" w:eastAsia="宋体"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5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hint="eastAsia" w:ascii="宋体" w:hAnsi="宋体" w:eastAsia="宋体" w:cs="宋体"/>
                <w:color w:val="auto"/>
                <w:szCs w:val="32"/>
                <w:highlight w:val="none"/>
              </w:rPr>
            </w:pPr>
          </w:p>
        </w:tc>
        <w:tc>
          <w:tcPr>
            <w:tcW w:w="850" w:type="dxa"/>
            <w:vMerge w:val="restart"/>
            <w:tcBorders>
              <w:top w:val="single" w:color="auto" w:sz="4" w:space="0"/>
              <w:left w:val="single" w:color="auto" w:sz="4" w:space="0"/>
              <w:right w:val="single" w:color="auto" w:sz="4" w:space="0"/>
            </w:tcBorders>
            <w:shd w:val="clear" w:color="000000" w:fill="FFFFFF"/>
            <w:vAlign w:val="center"/>
          </w:tcPr>
          <w:p>
            <w:pPr>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s="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hint="eastAsia" w:ascii="宋体" w:hAnsi="宋体" w:eastAsia="宋体" w:cs="宋体"/>
                <w:color w:val="auto"/>
                <w:szCs w:val="32"/>
                <w:highlight w:val="none"/>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s="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hint="eastAsia" w:ascii="宋体" w:hAnsi="宋体" w:eastAsia="宋体" w:cs="宋体"/>
                <w:color w:val="auto"/>
                <w:highlight w:val="none"/>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s="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hint="eastAsia" w:ascii="宋体" w:hAnsi="宋体" w:eastAsia="宋体" w:cs="宋体"/>
                <w:color w:val="auto"/>
                <w:highlight w:val="none"/>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42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jc w:val="left"/>
              <w:rPr>
                <w:rFonts w:hint="eastAsia" w:ascii="宋体" w:hAnsi="宋体" w:eastAsia="宋体" w:cs="宋体"/>
                <w:color w:val="auto"/>
                <w:highlight w:val="none"/>
              </w:rPr>
            </w:pPr>
          </w:p>
        </w:tc>
        <w:tc>
          <w:tcPr>
            <w:tcW w:w="850"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Layout w:type="fixed"/>
          <w:tblCellMar>
            <w:top w:w="0" w:type="dxa"/>
            <w:left w:w="108" w:type="dxa"/>
            <w:bottom w:w="0" w:type="dxa"/>
            <w:right w:w="108" w:type="dxa"/>
          </w:tblCellMar>
        </w:tblPrEx>
        <w:trPr>
          <w:trHeight w:val="543"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400" w:lineRule="atLeast"/>
              <w:ind w:firstLine="0" w:firstLineChars="0"/>
              <w:rPr>
                <w:rFonts w:hint="eastAsia" w:ascii="宋体" w:hAnsi="宋体" w:eastAsia="宋体" w:cs="宋体"/>
                <w:color w:val="auto"/>
                <w:highlight w:val="none"/>
              </w:rPr>
            </w:pPr>
          </w:p>
        </w:tc>
        <w:tc>
          <w:tcPr>
            <w:tcW w:w="850"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bl>
    <w:p>
      <w:pPr>
        <w:ind w:firstLine="482"/>
        <w:rPr>
          <w:rFonts w:hint="eastAsia" w:ascii="宋体" w:hAnsi="宋体" w:eastAsia="宋体" w:cs="宋体"/>
          <w:b/>
          <w:color w:val="auto"/>
          <w:kern w:val="0"/>
          <w:szCs w:val="20"/>
          <w:highlight w:val="none"/>
        </w:rPr>
      </w:pPr>
    </w:p>
    <w:p>
      <w:pPr>
        <w:ind w:firstLine="482"/>
        <w:rPr>
          <w:rFonts w:hint="eastAsia" w:ascii="宋体" w:hAnsi="宋体" w:eastAsia="宋体" w:cs="宋体"/>
          <w:b/>
          <w:color w:val="auto"/>
          <w:kern w:val="0"/>
          <w:szCs w:val="20"/>
          <w:highlight w:val="none"/>
        </w:rPr>
      </w:pPr>
      <w:r>
        <w:rPr>
          <w:rFonts w:hint="eastAsia" w:ascii="宋体" w:hAnsi="宋体" w:eastAsia="宋体" w:cs="宋体"/>
          <w:b/>
          <w:color w:val="auto"/>
          <w:kern w:val="0"/>
          <w:szCs w:val="20"/>
          <w:highlight w:val="none"/>
        </w:rPr>
        <w:t>根据评分标准自行调整。</w:t>
      </w:r>
    </w:p>
    <w:bookmarkEnd w:id="176"/>
    <w:p>
      <w:pPr>
        <w:pStyle w:val="3"/>
        <w:jc w:val="center"/>
        <w:rPr>
          <w:rFonts w:hint="eastAsia" w:ascii="宋体" w:hAnsi="宋体" w:eastAsia="宋体" w:cs="宋体"/>
          <w:b/>
          <w:bCs/>
          <w:i w:val="0"/>
          <w:iCs w:val="0"/>
          <w:color w:val="auto"/>
          <w:sz w:val="36"/>
          <w:szCs w:val="24"/>
          <w:highlight w:val="none"/>
          <w:lang w:val="en-US" w:eastAsia="zh-CN"/>
        </w:rPr>
        <w:sectPr>
          <w:pgSz w:w="11907" w:h="16840"/>
          <w:pgMar w:top="1440" w:right="1080" w:bottom="1440" w:left="1080" w:header="850" w:footer="992" w:gutter="0"/>
          <w:pgBorders>
            <w:top w:val="none" w:color="auto" w:sz="0" w:space="0"/>
            <w:left w:val="none" w:color="auto" w:sz="0" w:space="0"/>
            <w:bottom w:val="none" w:color="auto" w:sz="0" w:space="0"/>
            <w:right w:val="none" w:color="auto" w:sz="0" w:space="0"/>
          </w:pgBorders>
          <w:cols w:space="720" w:num="1"/>
          <w:docGrid w:linePitch="286" w:charSpace="0"/>
        </w:sectPr>
      </w:pPr>
    </w:p>
    <w:p>
      <w:pPr>
        <w:pStyle w:val="5"/>
        <w:bidi w:val="0"/>
        <w:ind w:left="0" w:leftChars="0" w:right="0" w:rightChars="0" w:firstLine="0" w:firstLineChars="0"/>
        <w:jc w:val="center"/>
        <w:rPr>
          <w:rFonts w:hint="eastAsia" w:ascii="宋体" w:hAnsi="宋体" w:eastAsia="宋体" w:cs="宋体"/>
          <w:color w:val="auto"/>
          <w:highlight w:val="none"/>
          <w:lang w:val="en-US" w:eastAsia="zh-CN"/>
        </w:rPr>
      </w:pPr>
      <w:bookmarkStart w:id="177" w:name="_Toc25412"/>
      <w:r>
        <w:rPr>
          <w:rFonts w:hint="eastAsia" w:cs="宋体"/>
          <w:color w:val="auto"/>
          <w:highlight w:val="none"/>
          <w:lang w:val="en-US" w:eastAsia="zh-CN"/>
        </w:rPr>
        <w:t>商务技术</w:t>
      </w:r>
      <w:r>
        <w:rPr>
          <w:rFonts w:hint="eastAsia" w:ascii="宋体" w:hAnsi="宋体" w:eastAsia="宋体" w:cs="宋体"/>
          <w:color w:val="auto"/>
          <w:highlight w:val="none"/>
          <w:lang w:val="en-US" w:eastAsia="zh-CN"/>
        </w:rPr>
        <w:t>文件目录</w:t>
      </w:r>
      <w:bookmarkEnd w:id="177"/>
    </w:p>
    <w:p>
      <w:pPr>
        <w:rPr>
          <w:rFonts w:hint="eastAsia" w:ascii="宋体" w:hAnsi="宋体" w:eastAsia="宋体" w:cs="宋体"/>
          <w:color w:val="auto"/>
          <w:highlight w:val="none"/>
          <w:lang w:val="en-US" w:eastAsia="zh-CN"/>
        </w:rPr>
      </w:pPr>
    </w:p>
    <w:p>
      <w:pPr>
        <w:numPr>
          <w:ilvl w:val="0"/>
          <w:numId w:val="45"/>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投标声明书</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kern w:val="0"/>
          <w:highlight w:val="none"/>
        </w:rPr>
        <w:t>………………………………………………………………………（页码）</w:t>
      </w:r>
    </w:p>
    <w:p>
      <w:pPr>
        <w:numPr>
          <w:ilvl w:val="0"/>
          <w:numId w:val="45"/>
        </w:numPr>
        <w:ind w:left="0" w:leftChars="0" w:firstLine="480" w:firstLineChars="200"/>
        <w:rPr>
          <w:rFonts w:hint="eastAsia" w:ascii="宋体" w:hAnsi="宋体" w:eastAsia="宋体" w:cs="宋体"/>
          <w:color w:val="auto"/>
          <w:highlight w:val="none"/>
          <w:lang w:val="en-US" w:eastAsia="zh-CN"/>
        </w:rPr>
      </w:pPr>
      <w:r>
        <w:rPr>
          <w:rFonts w:hint="eastAsia" w:cs="宋体"/>
          <w:color w:val="auto"/>
          <w:highlight w:val="none"/>
          <w:lang w:val="en-US" w:eastAsia="zh-CN"/>
        </w:rPr>
        <w:t xml:space="preserve"> </w:t>
      </w:r>
      <w:r>
        <w:rPr>
          <w:rFonts w:hint="eastAsia" w:ascii="宋体" w:hAnsi="宋体" w:eastAsia="宋体" w:cs="宋体"/>
          <w:color w:val="auto"/>
          <w:highlight w:val="none"/>
          <w:lang w:val="en-US" w:eastAsia="zh-CN"/>
        </w:rPr>
        <w:t>法定代表人证明书，法定代表人授权书…………………………………………（页码）</w:t>
      </w:r>
    </w:p>
    <w:p>
      <w:pPr>
        <w:numPr>
          <w:ilvl w:val="0"/>
          <w:numId w:val="45"/>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廉政承诺书</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kern w:val="0"/>
          <w:highlight w:val="none"/>
        </w:rPr>
        <w:t>………………………………………………………………………（页码）</w:t>
      </w:r>
    </w:p>
    <w:p>
      <w:pPr>
        <w:numPr>
          <w:ilvl w:val="0"/>
          <w:numId w:val="45"/>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投标人情况表</w:t>
      </w:r>
      <w:r>
        <w:rPr>
          <w:rFonts w:hint="eastAsia" w:ascii="宋体" w:hAnsi="宋体" w:eastAsia="宋体" w:cs="宋体"/>
          <w:color w:val="auto"/>
          <w:highlight w:val="none"/>
          <w:lang w:eastAsia="zh-CN"/>
        </w:rPr>
        <w:t>（</w:t>
      </w:r>
      <w:r>
        <w:rPr>
          <w:rFonts w:hint="eastAsia" w:cs="宋体"/>
          <w:color w:val="auto"/>
          <w:highlight w:val="none"/>
          <w:lang w:eastAsia="zh-CN"/>
        </w:rPr>
        <w:t>认证</w:t>
      </w:r>
      <w:r>
        <w:rPr>
          <w:rFonts w:hint="eastAsia" w:ascii="宋体" w:hAnsi="宋体" w:eastAsia="宋体" w:cs="宋体"/>
          <w:color w:val="auto"/>
          <w:highlight w:val="none"/>
          <w:lang w:val="en-US" w:eastAsia="zh-CN"/>
        </w:rPr>
        <w:t>证书复印件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……………………………………………（页码）</w:t>
      </w:r>
    </w:p>
    <w:p>
      <w:pPr>
        <w:numPr>
          <w:ilvl w:val="0"/>
          <w:numId w:val="45"/>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同类项目实施情况一览表</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………………………………………………………（页码）</w:t>
      </w:r>
    </w:p>
    <w:p>
      <w:pPr>
        <w:numPr>
          <w:ilvl w:val="0"/>
          <w:numId w:val="45"/>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技术规范偏离表…………………………………………………………………（页码）</w:t>
      </w:r>
    </w:p>
    <w:p>
      <w:pPr>
        <w:numPr>
          <w:ilvl w:val="0"/>
          <w:numId w:val="45"/>
        </w:numPr>
        <w:ind w:left="0" w:leftChars="0" w:firstLine="480" w:firstLineChars="200"/>
        <w:rPr>
          <w:rFonts w:hint="eastAsia" w:ascii="宋体" w:hAnsi="宋体" w:eastAsia="宋体" w:cs="宋体"/>
          <w:color w:val="auto"/>
          <w:highlight w:val="none"/>
        </w:rPr>
      </w:pPr>
      <w:r>
        <w:rPr>
          <w:rFonts w:hint="eastAsia" w:ascii="宋体" w:hAnsi="宋体" w:cs="宋体"/>
          <w:b w:val="0"/>
          <w:bCs/>
          <w:spacing w:val="-6"/>
          <w:sz w:val="24"/>
        </w:rPr>
        <w:t>主要维修用零配件清单及价格</w:t>
      </w:r>
      <w:r>
        <w:rPr>
          <w:rFonts w:hint="eastAsia" w:ascii="宋体" w:hAnsi="宋体" w:eastAsia="宋体" w:cs="宋体"/>
          <w:color w:val="auto"/>
          <w:highlight w:val="none"/>
        </w:rPr>
        <w:t>……………………………………………………（页码）</w:t>
      </w:r>
    </w:p>
    <w:p>
      <w:pPr>
        <w:numPr>
          <w:ilvl w:val="0"/>
          <w:numId w:val="45"/>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产品总体性能及质量水平…………………………………………………………（页码）</w:t>
      </w:r>
    </w:p>
    <w:p>
      <w:pPr>
        <w:numPr>
          <w:ilvl w:val="0"/>
          <w:numId w:val="45"/>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产品配置的先进性、完整性和适用性……………………………………………（页码）</w:t>
      </w:r>
    </w:p>
    <w:p>
      <w:pPr>
        <w:numPr>
          <w:ilvl w:val="0"/>
          <w:numId w:val="45"/>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产品的稳定性、可操作性和可维护性……………………………………………（页码）</w:t>
      </w:r>
    </w:p>
    <w:p>
      <w:pPr>
        <w:numPr>
          <w:ilvl w:val="0"/>
          <w:numId w:val="45"/>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安装、调试、验收计划及人员安排情况………………………………………（页码）</w:t>
      </w:r>
    </w:p>
    <w:p>
      <w:pPr>
        <w:numPr>
          <w:ilvl w:val="0"/>
          <w:numId w:val="45"/>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售后服务…………………………………………………………………………（页码）</w:t>
      </w:r>
    </w:p>
    <w:p>
      <w:pPr>
        <w:numPr>
          <w:ilvl w:val="0"/>
          <w:numId w:val="45"/>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优惠条件…………………………………………………………………………（页码）</w:t>
      </w:r>
    </w:p>
    <w:p>
      <w:pPr>
        <w:numPr>
          <w:ilvl w:val="0"/>
          <w:numId w:val="45"/>
        </w:numPr>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政府采购政策分</w:t>
      </w:r>
      <w:r>
        <w:rPr>
          <w:rFonts w:hint="eastAsia" w:ascii="宋体" w:hAnsi="宋体" w:eastAsia="宋体" w:cs="宋体"/>
          <w:color w:val="auto"/>
          <w:kern w:val="0"/>
          <w:highlight w:val="none"/>
        </w:rPr>
        <w:t>…………………………………………………………………（页码）</w:t>
      </w:r>
    </w:p>
    <w:p>
      <w:pPr>
        <w:numPr>
          <w:ilvl w:val="0"/>
          <w:numId w:val="45"/>
        </w:numPr>
        <w:ind w:left="0" w:leftChars="0" w:firstLine="48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其他…………………………………………………………………………………（页码）</w:t>
      </w:r>
    </w:p>
    <w:p>
      <w:pPr>
        <w:pStyle w:val="48"/>
        <w:rPr>
          <w:rFonts w:hint="eastAsia" w:ascii="宋体" w:hAnsi="宋体" w:eastAsia="宋体" w:cs="宋体"/>
          <w:color w:val="auto"/>
          <w:highlight w:val="none"/>
        </w:rPr>
      </w:pPr>
      <w:r>
        <w:rPr>
          <w:rFonts w:hint="eastAsia" w:ascii="宋体" w:hAnsi="宋体" w:eastAsia="宋体" w:cs="宋体"/>
          <w:color w:val="auto"/>
          <w:highlight w:val="none"/>
        </w:rPr>
        <w:t>（根据评分标准及招标文件要求自行调整）</w:t>
      </w:r>
    </w:p>
    <w:p>
      <w:pPr>
        <w:pStyle w:val="49"/>
        <w:rPr>
          <w:rFonts w:hint="eastAsia" w:ascii="宋体" w:hAnsi="宋体" w:eastAsia="宋体" w:cs="宋体"/>
          <w:color w:val="auto"/>
          <w:highlight w:val="none"/>
        </w:rPr>
      </w:pPr>
    </w:p>
    <w:p>
      <w:pPr>
        <w:rPr>
          <w:rFonts w:hint="eastAsia" w:ascii="宋体" w:hAnsi="宋体" w:eastAsia="宋体" w:cs="宋体"/>
          <w:color w:val="auto"/>
          <w:highlight w:val="none"/>
        </w:rPr>
      </w:pPr>
    </w:p>
    <w:sdt>
      <w:sdtPr>
        <w:rPr>
          <w:rFonts w:hint="eastAsia" w:ascii="宋体" w:hAnsi="宋体" w:eastAsia="宋体" w:cs="宋体"/>
          <w:color w:val="auto"/>
          <w:kern w:val="2"/>
          <w:sz w:val="21"/>
          <w:szCs w:val="24"/>
          <w:highlight w:val="none"/>
          <w:lang w:val="en-US" w:eastAsia="zh-CN" w:bidi="ar-SA"/>
        </w:rPr>
        <w:id w:val="147477178"/>
        <w:showingPlcHdr/>
        <w15:color w:val="DBDBDB"/>
      </w:sdtPr>
      <w:sdtEndPr>
        <w:rPr>
          <w:rFonts w:hint="eastAsia" w:ascii="宋体" w:hAnsi="宋体" w:eastAsia="宋体" w:cs="宋体"/>
          <w:color w:val="auto"/>
          <w:kern w:val="2"/>
          <w:sz w:val="21"/>
          <w:szCs w:val="22"/>
          <w:highlight w:val="none"/>
          <w:lang w:val="en-US" w:eastAsia="zh-CN" w:bidi="ar-SA"/>
        </w:rPr>
      </w:sdtEndPr>
      <w:sdtContent>
        <w:p>
          <w:pPr>
            <w:pStyle w:val="3"/>
            <w:ind w:left="0" w:leftChars="0" w:firstLine="0" w:firstLineChars="0"/>
            <w:rPr>
              <w:rFonts w:hint="eastAsia" w:ascii="宋体" w:hAnsi="宋体" w:eastAsia="宋体" w:cs="宋体"/>
              <w:color w:val="auto"/>
              <w:highlight w:val="none"/>
            </w:rPr>
          </w:pPr>
        </w:p>
      </w:sdtContent>
    </w:sdt>
    <w:p>
      <w:pPr>
        <w:ind w:firstLine="480"/>
        <w:rPr>
          <w:rFonts w:hint="eastAsia" w:ascii="宋体" w:hAnsi="宋体" w:eastAsia="宋体" w:cs="宋体"/>
          <w:iCs/>
          <w:color w:val="auto"/>
          <w:highlight w:val="none"/>
        </w:rPr>
      </w:pPr>
      <w:r>
        <w:rPr>
          <w:rFonts w:hint="eastAsia" w:ascii="宋体" w:hAnsi="宋体" w:eastAsia="宋体" w:cs="宋体"/>
          <w:iCs/>
          <w:color w:val="auto"/>
          <w:highlight w:val="none"/>
        </w:rPr>
        <w:br w:type="page"/>
      </w:r>
    </w:p>
    <w:p>
      <w:pPr>
        <w:pStyle w:val="6"/>
        <w:numPr>
          <w:ilvl w:val="0"/>
          <w:numId w:val="46"/>
        </w:numPr>
        <w:bidi w:val="0"/>
        <w:ind w:left="0" w:leftChars="0" w:firstLine="482" w:firstLineChars="200"/>
        <w:rPr>
          <w:rFonts w:hint="eastAsia" w:ascii="宋体" w:hAnsi="宋体" w:eastAsia="宋体" w:cs="宋体"/>
          <w:color w:val="auto"/>
          <w:highlight w:val="none"/>
        </w:rPr>
      </w:pPr>
      <w:bookmarkStart w:id="178" w:name="_Toc23264"/>
      <w:r>
        <w:rPr>
          <w:rFonts w:hint="eastAsia" w:ascii="宋体" w:hAnsi="宋体" w:eastAsia="宋体" w:cs="宋体"/>
          <w:color w:val="auto"/>
          <w:highlight w:val="none"/>
        </w:rPr>
        <w:t>投标声明书</w:t>
      </w:r>
      <w:bookmarkEnd w:id="178"/>
    </w:p>
    <w:p>
      <w:pPr>
        <w:snapToGrid w:val="0"/>
        <w:ind w:left="0" w:leftChars="0" w:right="0" w:rightChars="0" w:firstLine="0" w:firstLineChars="0"/>
        <w:jc w:val="center"/>
        <w:rPr>
          <w:rFonts w:hint="eastAsia" w:ascii="宋体" w:hAnsi="宋体" w:eastAsia="宋体" w:cs="宋体"/>
          <w:b/>
          <w:color w:val="auto"/>
          <w:kern w:val="0"/>
          <w:sz w:val="32"/>
          <w:highlight w:val="none"/>
        </w:rPr>
      </w:pPr>
      <w:bookmarkStart w:id="179" w:name="_Toc29771"/>
      <w:r>
        <w:rPr>
          <w:rFonts w:hint="eastAsia" w:ascii="宋体" w:hAnsi="宋体" w:eastAsia="宋体" w:cs="宋体"/>
          <w:b/>
          <w:color w:val="auto"/>
          <w:kern w:val="0"/>
          <w:sz w:val="32"/>
          <w:highlight w:val="none"/>
        </w:rPr>
        <w:t>投标声明书</w:t>
      </w:r>
      <w:bookmarkEnd w:id="179"/>
    </w:p>
    <w:p>
      <w:pPr>
        <w:snapToGrid w:val="0"/>
        <w:ind w:firstLine="0" w:firstLineChars="0"/>
        <w:rPr>
          <w:rFonts w:hint="eastAsia" w:ascii="宋体" w:hAnsi="宋体" w:eastAsia="宋体" w:cs="宋体"/>
          <w:color w:val="auto"/>
          <w:highlight w:val="none"/>
        </w:rPr>
      </w:pPr>
    </w:p>
    <w:p>
      <w:pPr>
        <w:snapToGrid w:val="0"/>
        <w:ind w:firstLine="0" w:firstLineChars="0"/>
        <w:rPr>
          <w:rFonts w:hint="eastAsia" w:ascii="宋体" w:hAnsi="宋体" w:eastAsia="宋体" w:cs="宋体"/>
          <w:color w:val="auto"/>
          <w:highlight w:val="none"/>
        </w:rPr>
      </w:pPr>
      <w:r>
        <w:rPr>
          <w:rFonts w:hint="eastAsia" w:cs="宋体"/>
          <w:color w:val="auto"/>
          <w:highlight w:val="none"/>
          <w:lang w:eastAsia="zh-CN"/>
        </w:rPr>
        <w:t>浙江海洋大学</w:t>
      </w:r>
      <w:r>
        <w:rPr>
          <w:rFonts w:hint="eastAsia" w:ascii="宋体" w:hAnsi="宋体" w:eastAsia="宋体" w:cs="宋体"/>
          <w:color w:val="auto"/>
          <w:highlight w:val="none"/>
        </w:rPr>
        <w:t>、浙江五石工程咨询有限公司：</w:t>
      </w:r>
    </w:p>
    <w:p>
      <w:pPr>
        <w:ind w:firstLine="480"/>
        <w:rPr>
          <w:rFonts w:hint="eastAsia" w:ascii="宋体" w:hAnsi="宋体" w:eastAsia="宋体" w:cs="宋体"/>
          <w:color w:val="auto"/>
          <w:highlight w:val="none"/>
        </w:rPr>
      </w:pPr>
      <w:r>
        <w:rPr>
          <w:rFonts w:hint="eastAsia" w:ascii="宋体" w:hAnsi="宋体" w:eastAsia="宋体" w:cs="宋体"/>
          <w:color w:val="auto"/>
          <w:kern w:val="0"/>
          <w:highlight w:val="none"/>
          <w:lang w:val="zh-CN"/>
        </w:rPr>
        <w:t>我公司</w:t>
      </w:r>
      <w:r>
        <w:rPr>
          <w:rFonts w:hint="eastAsia" w:ascii="宋体" w:hAnsi="宋体" w:eastAsia="宋体" w:cs="宋体"/>
          <w:color w:val="auto"/>
          <w:highlight w:val="none"/>
        </w:rPr>
        <w:t>声明截止投标时间近三年以来，在</w:t>
      </w:r>
      <w:r>
        <w:rPr>
          <w:rFonts w:hint="eastAsia" w:ascii="宋体" w:hAnsi="宋体" w:eastAsia="宋体" w:cs="宋体"/>
          <w:color w:val="auto"/>
          <w:kern w:val="0"/>
          <w:highlight w:val="none"/>
        </w:rPr>
        <w:t>政府采购领域中</w:t>
      </w:r>
      <w:r>
        <w:rPr>
          <w:rFonts w:hint="eastAsia" w:ascii="宋体" w:hAnsi="宋体" w:eastAsia="宋体" w:cs="宋体"/>
          <w:color w:val="auto"/>
          <w:highlight w:val="none"/>
        </w:rPr>
        <w:t>，在项目招标、投标和合同履约期间无任何不良行为记录和违法、违规行为</w:t>
      </w:r>
      <w:r>
        <w:rPr>
          <w:rFonts w:hint="eastAsia" w:ascii="宋体" w:hAnsi="宋体" w:eastAsia="宋体" w:cs="宋体"/>
          <w:color w:val="auto"/>
          <w:kern w:val="0"/>
          <w:highlight w:val="none"/>
          <w:lang w:val="zh-CN"/>
        </w:rPr>
        <w:t>。</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我公司自愿参加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项目[招标编号：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]的投标，并保证投标文件中所列举的投标报价文件及相关资料和公司基本情况资料是真实的、合法的。</w:t>
      </w:r>
    </w:p>
    <w:p>
      <w:pPr>
        <w:ind w:firstLine="48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我公司已详细阅读全部“招标文件”，包括修改文件（如果有）以及全部招标资料和相关附件，并已了解我公司在招投标过程中的权利和义务。</w:t>
      </w:r>
    </w:p>
    <w:p>
      <w:pPr>
        <w:ind w:firstLine="480"/>
        <w:rPr>
          <w:rFonts w:hint="eastAsia" w:ascii="宋体" w:hAnsi="宋体" w:eastAsia="宋体" w:cs="宋体"/>
          <w:color w:val="auto"/>
          <w:highlight w:val="none"/>
        </w:rPr>
      </w:pPr>
      <w:r>
        <w:rPr>
          <w:rFonts w:hint="eastAsia" w:ascii="宋体" w:hAnsi="宋体" w:eastAsia="宋体" w:cs="宋体"/>
          <w:color w:val="auto"/>
          <w:kern w:val="0"/>
          <w:highlight w:val="none"/>
          <w:lang w:val="zh-CN"/>
        </w:rPr>
        <w:t>我公司理解并接受招标文件的各项规定和要求，同意此次招标文件中的各项内容，</w:t>
      </w:r>
      <w:r>
        <w:rPr>
          <w:rFonts w:hint="eastAsia" w:ascii="宋体" w:hAnsi="宋体" w:eastAsia="宋体" w:cs="宋体"/>
          <w:color w:val="auto"/>
          <w:kern w:val="0"/>
          <w:highlight w:val="none"/>
        </w:rPr>
        <w:t>并</w:t>
      </w:r>
      <w:r>
        <w:rPr>
          <w:rFonts w:hint="eastAsia" w:ascii="宋体" w:hAnsi="宋体" w:eastAsia="宋体" w:cs="宋体"/>
          <w:color w:val="auto"/>
          <w:kern w:val="0"/>
          <w:highlight w:val="none"/>
          <w:lang w:val="zh-CN"/>
        </w:rPr>
        <w:t>同意提供按照贵方可能要求的与投标有关的一切数据或资料等。</w:t>
      </w:r>
    </w:p>
    <w:p>
      <w:pPr>
        <w:ind w:firstLine="48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本公司如中标，保证按照投标文件的承诺与贵方签订合同，保证履行合同条款并缴纳履约保证金。</w:t>
      </w:r>
    </w:p>
    <w:p>
      <w:pPr>
        <w:pStyle w:val="48"/>
        <w:rPr>
          <w:rFonts w:hint="eastAsia" w:ascii="宋体" w:hAnsi="宋体" w:eastAsia="宋体" w:cs="宋体"/>
          <w:color w:val="auto"/>
          <w:highlight w:val="none"/>
          <w:lang w:val="zh-CN"/>
        </w:rPr>
      </w:pPr>
    </w:p>
    <w:p>
      <w:pPr>
        <w:pStyle w:val="48"/>
        <w:rPr>
          <w:rFonts w:hint="eastAsia" w:ascii="宋体" w:hAnsi="宋体" w:eastAsia="宋体" w:cs="宋体"/>
          <w:color w:val="auto"/>
          <w:highlight w:val="none"/>
          <w:lang w:val="zh-CN"/>
        </w:rPr>
      </w:pPr>
    </w:p>
    <w:p>
      <w:pPr>
        <w:pStyle w:val="48"/>
        <w:rPr>
          <w:rFonts w:hint="eastAsia" w:ascii="宋体" w:hAnsi="宋体" w:eastAsia="宋体" w:cs="宋体"/>
          <w:color w:val="auto"/>
          <w:highlight w:val="none"/>
          <w:lang w:val="zh-CN"/>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投标人名称（公章）：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6"/>
        <w:numPr>
          <w:ilvl w:val="0"/>
          <w:numId w:val="46"/>
        </w:numPr>
        <w:bidi w:val="0"/>
        <w:ind w:left="0" w:leftChars="0" w:firstLine="482" w:firstLineChars="200"/>
        <w:rPr>
          <w:rFonts w:hint="eastAsia" w:ascii="宋体" w:hAnsi="宋体" w:eastAsia="宋体" w:cs="宋体"/>
          <w:color w:val="auto"/>
          <w:highlight w:val="none"/>
        </w:rPr>
      </w:pPr>
      <w:r>
        <w:rPr>
          <w:rFonts w:hint="eastAsia" w:ascii="宋体" w:hAnsi="宋体" w:eastAsia="宋体" w:cs="宋体"/>
          <w:color w:val="auto"/>
          <w:highlight w:val="none"/>
        </w:rPr>
        <w:t>法定代表人证明书，法定代表人授权书</w:t>
      </w:r>
    </w:p>
    <w:p>
      <w:pPr>
        <w:snapToGrid w:val="0"/>
        <w:ind w:left="0" w:leftChars="0" w:right="0" w:rightChars="0" w:firstLine="0" w:firstLineChars="0"/>
        <w:jc w:val="center"/>
        <w:rPr>
          <w:rFonts w:hint="eastAsia" w:ascii="宋体" w:hAnsi="宋体" w:eastAsia="宋体" w:cs="宋体"/>
          <w:b/>
          <w:color w:val="auto"/>
          <w:kern w:val="0"/>
          <w:sz w:val="32"/>
          <w:highlight w:val="none"/>
        </w:rPr>
      </w:pPr>
      <w:r>
        <w:rPr>
          <w:rFonts w:hint="eastAsia" w:ascii="宋体" w:hAnsi="宋体" w:eastAsia="宋体" w:cs="宋体"/>
          <w:b/>
          <w:color w:val="auto"/>
          <w:kern w:val="0"/>
          <w:sz w:val="32"/>
          <w:highlight w:val="none"/>
        </w:rPr>
        <w:t>法定代表人资格证明书</w:t>
      </w:r>
    </w:p>
    <w:p>
      <w:pPr>
        <w:ind w:firstLine="456"/>
        <w:rPr>
          <w:rFonts w:hint="eastAsia" w:ascii="宋体" w:hAnsi="宋体" w:eastAsia="宋体" w:cs="宋体"/>
          <w:bCs/>
          <w:color w:val="auto"/>
          <w:spacing w:val="-6"/>
          <w:highlight w:val="none"/>
        </w:rPr>
      </w:pPr>
    </w:p>
    <w:p>
      <w:pPr>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致：</w:t>
      </w:r>
      <w:r>
        <w:rPr>
          <w:rFonts w:hint="eastAsia" w:cs="宋体"/>
          <w:color w:val="auto"/>
          <w:spacing w:val="-6"/>
          <w:highlight w:val="none"/>
          <w:u w:val="single"/>
          <w:lang w:eastAsia="zh-CN"/>
        </w:rPr>
        <w:t>浙江海洋大学</w:t>
      </w:r>
      <w:r>
        <w:rPr>
          <w:rFonts w:hint="eastAsia" w:ascii="宋体" w:hAnsi="宋体" w:eastAsia="宋体" w:cs="宋体"/>
          <w:color w:val="auto"/>
          <w:spacing w:val="-6"/>
          <w:highlight w:val="none"/>
          <w:u w:val="single"/>
        </w:rPr>
        <w:t>、浙江五石工程咨询有限公司</w:t>
      </w:r>
    </w:p>
    <w:p>
      <w:pPr>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我</w:t>
      </w:r>
      <w:r>
        <w:rPr>
          <w:rFonts w:hint="eastAsia" w:ascii="宋体" w:hAnsi="宋体" w:eastAsia="宋体" w:cs="宋体"/>
          <w:color w:val="auto"/>
          <w:spacing w:val="-6"/>
          <w:highlight w:val="none"/>
        </w:rPr>
        <w:t>________________</w:t>
      </w:r>
      <w:r>
        <w:rPr>
          <w:rFonts w:hint="eastAsia" w:ascii="宋体" w:hAnsi="宋体" w:eastAsia="宋体" w:cs="宋体"/>
          <w:bCs/>
          <w:color w:val="auto"/>
          <w:spacing w:val="-6"/>
          <w:highlight w:val="none"/>
        </w:rPr>
        <w:t>（姓名）系_________________________投标人名称）的法定代表人，身份证号码：_________________________________。</w:t>
      </w:r>
    </w:p>
    <w:p>
      <w:pPr>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特此证明。</w:t>
      </w:r>
    </w:p>
    <w:p>
      <w:pPr>
        <w:ind w:firstLine="456"/>
        <w:rPr>
          <w:rFonts w:hint="eastAsia" w:ascii="宋体" w:hAnsi="宋体" w:eastAsia="宋体" w:cs="宋体"/>
          <w:bCs/>
          <w:color w:val="auto"/>
          <w:spacing w:val="-6"/>
          <w:highlight w:val="none"/>
        </w:rPr>
      </w:pPr>
    </w:p>
    <w:tbl>
      <w:tblPr>
        <w:tblStyle w:val="46"/>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trPr>
        <w:tc>
          <w:tcPr>
            <w:tcW w:w="9498" w:type="dxa"/>
          </w:tcPr>
          <w:p>
            <w:pPr>
              <w:ind w:firstLine="480"/>
              <w:rPr>
                <w:rFonts w:hint="eastAsia" w:ascii="宋体" w:hAnsi="宋体" w:eastAsia="宋体" w:cs="宋体"/>
                <w:color w:val="auto"/>
                <w:highlight w:val="none"/>
              </w:rPr>
            </w:pPr>
            <w:r>
              <w:rPr>
                <w:rFonts w:hint="eastAsia" w:ascii="宋体" w:hAnsi="宋体" w:eastAsia="宋体" w:cs="宋体"/>
                <w:color w:val="auto"/>
                <w:highlight w:val="none"/>
              </w:rPr>
              <w:t>法定代表人身份证：</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复印件粘贴处</w:t>
            </w:r>
          </w:p>
          <w:p>
            <w:pPr>
              <w:ind w:firstLine="456"/>
              <w:rPr>
                <w:rFonts w:hint="eastAsia" w:ascii="宋体" w:hAnsi="宋体" w:eastAsia="宋体" w:cs="宋体"/>
                <w:bCs/>
                <w:color w:val="auto"/>
                <w:spacing w:val="-6"/>
                <w:highlight w:val="none"/>
              </w:rPr>
            </w:pPr>
          </w:p>
        </w:tc>
      </w:tr>
    </w:tbl>
    <w:p>
      <w:pPr>
        <w:ind w:firstLine="456"/>
        <w:rPr>
          <w:rFonts w:hint="eastAsia" w:ascii="宋体" w:hAnsi="宋体" w:eastAsia="宋体" w:cs="宋体"/>
          <w:bCs/>
          <w:color w:val="auto"/>
          <w:spacing w:val="-6"/>
          <w:highlight w:val="none"/>
        </w:rPr>
      </w:pPr>
    </w:p>
    <w:p>
      <w:pPr>
        <w:ind w:right="456" w:firstLine="458"/>
        <w:rPr>
          <w:rFonts w:hint="eastAsia" w:ascii="宋体" w:hAnsi="宋体" w:eastAsia="宋体" w:cs="宋体"/>
          <w:b/>
          <w:bCs/>
          <w:color w:val="auto"/>
          <w:spacing w:val="-6"/>
          <w:highlight w:val="none"/>
        </w:rPr>
      </w:pPr>
    </w:p>
    <w:p>
      <w:pPr>
        <w:ind w:right="456" w:firstLine="458"/>
        <w:rPr>
          <w:rFonts w:hint="eastAsia" w:ascii="宋体" w:hAnsi="宋体" w:eastAsia="宋体" w:cs="宋体"/>
          <w:b/>
          <w:bCs/>
          <w:color w:val="auto"/>
          <w:spacing w:val="-6"/>
          <w:highlight w:val="none"/>
        </w:rPr>
      </w:pPr>
    </w:p>
    <w:p>
      <w:pPr>
        <w:ind w:right="456" w:firstLine="458"/>
        <w:rPr>
          <w:rFonts w:hint="eastAsia" w:ascii="宋体" w:hAnsi="宋体" w:eastAsia="宋体" w:cs="宋体"/>
          <w:b/>
          <w:bCs/>
          <w:color w:val="auto"/>
          <w:spacing w:val="-6"/>
          <w:highlight w:val="none"/>
        </w:rPr>
      </w:pPr>
    </w:p>
    <w:p>
      <w:pPr>
        <w:ind w:right="456" w:firstLine="458"/>
        <w:rPr>
          <w:rFonts w:hint="eastAsia" w:ascii="宋体" w:hAnsi="宋体" w:eastAsia="宋体" w:cs="宋体"/>
          <w:b/>
          <w:bCs/>
          <w:color w:val="auto"/>
          <w:spacing w:val="-6"/>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投标人名称（公章）：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法定代表人（签字或盖章）：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ind w:right="456" w:firstLine="456"/>
        <w:rPr>
          <w:rFonts w:hint="eastAsia" w:ascii="宋体" w:hAnsi="宋体" w:eastAsia="宋体" w:cs="宋体"/>
          <w:bCs/>
          <w:color w:val="auto"/>
          <w:spacing w:val="-6"/>
          <w:highlight w:val="none"/>
        </w:rPr>
        <w:sectPr>
          <w:pgSz w:w="11907" w:h="16840"/>
          <w:pgMar w:top="1440" w:right="1080" w:bottom="1440" w:left="1080" w:header="850" w:footer="992" w:gutter="0"/>
          <w:pgBorders>
            <w:top w:val="none" w:color="auto" w:sz="0" w:space="0"/>
            <w:left w:val="none" w:color="auto" w:sz="0" w:space="0"/>
            <w:bottom w:val="none" w:color="auto" w:sz="0" w:space="0"/>
            <w:right w:val="none" w:color="auto" w:sz="0" w:space="0"/>
          </w:pgBorders>
          <w:cols w:space="720" w:num="1"/>
          <w:docGrid w:linePitch="286" w:charSpace="0"/>
        </w:sectPr>
      </w:pPr>
    </w:p>
    <w:p>
      <w:pPr>
        <w:snapToGrid w:val="0"/>
        <w:ind w:left="0" w:leftChars="0" w:right="0" w:rightChars="0" w:firstLine="0" w:firstLineChars="0"/>
        <w:jc w:val="center"/>
        <w:rPr>
          <w:rFonts w:hint="eastAsia" w:ascii="宋体" w:hAnsi="宋体" w:eastAsia="宋体" w:cs="宋体"/>
          <w:b/>
          <w:color w:val="auto"/>
          <w:kern w:val="0"/>
          <w:sz w:val="32"/>
          <w:highlight w:val="none"/>
        </w:rPr>
      </w:pPr>
      <w:r>
        <w:rPr>
          <w:rFonts w:hint="eastAsia" w:ascii="宋体" w:hAnsi="宋体" w:eastAsia="宋体" w:cs="宋体"/>
          <w:b/>
          <w:color w:val="auto"/>
          <w:kern w:val="0"/>
          <w:sz w:val="32"/>
          <w:highlight w:val="none"/>
        </w:rPr>
        <w:t>法定代表人授权书</w:t>
      </w:r>
    </w:p>
    <w:p>
      <w:pPr>
        <w:bidi w:val="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u w:val="single"/>
        </w:rPr>
      </w:pPr>
      <w:r>
        <w:rPr>
          <w:rFonts w:hint="eastAsia" w:ascii="宋体" w:hAnsi="宋体" w:eastAsia="宋体" w:cs="宋体"/>
          <w:color w:val="auto"/>
          <w:highlight w:val="none"/>
        </w:rPr>
        <w:t>致：</w:t>
      </w:r>
      <w:r>
        <w:rPr>
          <w:rFonts w:hint="eastAsia" w:cs="宋体"/>
          <w:color w:val="auto"/>
          <w:spacing w:val="-6"/>
          <w:highlight w:val="none"/>
          <w:u w:val="single"/>
          <w:lang w:eastAsia="zh-CN"/>
        </w:rPr>
        <w:t>浙江海洋大学</w:t>
      </w:r>
      <w:r>
        <w:rPr>
          <w:rFonts w:hint="eastAsia" w:ascii="宋体" w:hAnsi="宋体" w:eastAsia="宋体" w:cs="宋体"/>
          <w:color w:val="auto"/>
          <w:spacing w:val="-6"/>
          <w:highlight w:val="none"/>
          <w:u w:val="single"/>
        </w:rPr>
        <w:t>、浙江五石工程咨询有限公司</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（投标人全称）法定代表人</w:t>
      </w:r>
      <w:r>
        <w:rPr>
          <w:rFonts w:hint="eastAsia" w:ascii="宋体" w:hAnsi="宋体" w:eastAsia="宋体" w:cs="宋体"/>
          <w:color w:val="auto"/>
          <w:highlight w:val="none"/>
          <w:u w:val="single"/>
        </w:rPr>
        <w:t xml:space="preserve">                 </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授权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（全权代表姓名、职务）为全权代表，参加贵方组织的</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项目（招标编号）采购活动，全权处理采购活动中的一切事宜。</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本授权书于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日签署生效，特此声明。</w:t>
      </w:r>
    </w:p>
    <w:p>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b/>
          <w:bCs/>
          <w:color w:val="auto"/>
          <w:highlight w:val="none"/>
        </w:rPr>
        <w:t>附授权委托人身份证复印件正反面及社保证明。</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法定代表人（签字或签章）：</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投标人名称（公章）：</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日期：</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附：</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全权代表姓名（签字或盖章）：</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职        务：</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详细通讯地址：</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邮 政  编 码：</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传        真：</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移 动  电 话：</w:t>
      </w:r>
    </w:p>
    <w:p>
      <w:pPr>
        <w:ind w:firstLine="0" w:firstLineChars="0"/>
        <w:rPr>
          <w:rFonts w:hint="eastAsia" w:ascii="宋体" w:hAnsi="宋体" w:eastAsia="宋体" w:cs="宋体"/>
          <w:color w:val="auto"/>
          <w:spacing w:val="6"/>
          <w:highlight w:val="none"/>
        </w:rPr>
      </w:pPr>
    </w:p>
    <w:p>
      <w:pPr>
        <w:ind w:firstLine="0" w:firstLineChars="0"/>
        <w:rPr>
          <w:rFonts w:hint="eastAsia" w:ascii="宋体" w:hAnsi="宋体" w:eastAsia="宋体" w:cs="宋体"/>
          <w:b/>
          <w:color w:val="auto"/>
          <w:highlight w:val="none"/>
        </w:rPr>
      </w:pPr>
    </w:p>
    <w:p>
      <w:pPr>
        <w:ind w:left="525" w:firstLine="0" w:firstLineChars="0"/>
        <w:jc w:val="center"/>
        <w:rPr>
          <w:rFonts w:hint="eastAsia" w:ascii="宋体" w:hAnsi="宋体" w:eastAsia="宋体" w:cs="宋体"/>
          <w:b/>
          <w:color w:val="auto"/>
          <w:highlight w:val="none"/>
        </w:rPr>
      </w:pPr>
    </w:p>
    <w:p>
      <w:pPr>
        <w:pStyle w:val="22"/>
        <w:spacing w:before="120" w:after="120"/>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一、法定代表人参加投标的，须在投标文件中提供：法定代表人资格证明书；</w:t>
      </w:r>
    </w:p>
    <w:p>
      <w:pPr>
        <w:pStyle w:val="22"/>
        <w:spacing w:before="120" w:after="120"/>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二、</w:t>
      </w:r>
      <w:r>
        <w:rPr>
          <w:rFonts w:hint="eastAsia" w:ascii="宋体" w:hAnsi="宋体" w:eastAsia="宋体" w:cs="宋体"/>
          <w:color w:val="auto"/>
          <w:sz w:val="24"/>
          <w:szCs w:val="24"/>
          <w:highlight w:val="none"/>
        </w:rPr>
        <w:t>▲</w:t>
      </w:r>
      <w:r>
        <w:rPr>
          <w:rFonts w:hint="eastAsia" w:ascii="宋体" w:hAnsi="宋体" w:eastAsia="宋体" w:cs="宋体"/>
          <w:b/>
          <w:color w:val="auto"/>
          <w:spacing w:val="-6"/>
          <w:sz w:val="24"/>
          <w:szCs w:val="24"/>
          <w:highlight w:val="none"/>
        </w:rPr>
        <w:t>法定代表人委托授权代表参加投标，须在投标文件中提供：法定代表人资格证明书和法定代表人授权委托书及社保缴纳证明。</w:t>
      </w:r>
    </w:p>
    <w:p>
      <w:pPr>
        <w:snapToGrid w:val="0"/>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b/>
          <w:color w:val="auto"/>
          <w:spacing w:val="-6"/>
          <w:kern w:val="2"/>
          <w:highlight w:val="none"/>
        </w:rPr>
        <w:t>三、</w:t>
      </w:r>
      <w:r>
        <w:rPr>
          <w:rFonts w:hint="eastAsia" w:ascii="宋体" w:hAnsi="宋体" w:eastAsia="宋体" w:cs="宋体"/>
          <w:color w:val="auto"/>
          <w:highlight w:val="none"/>
        </w:rPr>
        <w:t>▲</w:t>
      </w:r>
      <w:r>
        <w:rPr>
          <w:rFonts w:hint="eastAsia" w:ascii="宋体" w:hAnsi="宋体" w:eastAsia="宋体" w:cs="宋体"/>
          <w:b/>
          <w:color w:val="auto"/>
          <w:spacing w:val="-6"/>
          <w:kern w:val="2"/>
          <w:highlight w:val="none"/>
        </w:rPr>
        <w:t>投标人授权代表必须为投标人本单位在职职工，并提供近一年任意一月社保缴纳证明。</w:t>
      </w:r>
    </w:p>
    <w:p>
      <w:pPr>
        <w:pStyle w:val="48"/>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48"/>
        <w:rPr>
          <w:rFonts w:hint="eastAsia" w:ascii="宋体" w:hAnsi="宋体" w:eastAsia="宋体" w:cs="宋体"/>
          <w:color w:val="auto"/>
          <w:highlight w:val="none"/>
        </w:rPr>
        <w:sectPr>
          <w:pgSz w:w="11907" w:h="16840"/>
          <w:pgMar w:top="1440" w:right="1080" w:bottom="1440" w:left="1080" w:header="850" w:footer="992" w:gutter="0"/>
          <w:pgBorders>
            <w:top w:val="none" w:color="auto" w:sz="0" w:space="0"/>
            <w:left w:val="none" w:color="auto" w:sz="0" w:space="0"/>
            <w:bottom w:val="none" w:color="auto" w:sz="0" w:space="0"/>
            <w:right w:val="none" w:color="auto" w:sz="0" w:space="0"/>
          </w:pgBorders>
          <w:cols w:space="720" w:num="1"/>
          <w:docGrid w:linePitch="286" w:charSpace="0"/>
        </w:sectPr>
      </w:pPr>
    </w:p>
    <w:p>
      <w:pPr>
        <w:pStyle w:val="6"/>
        <w:numPr>
          <w:ilvl w:val="0"/>
          <w:numId w:val="46"/>
        </w:numPr>
        <w:bidi w:val="0"/>
        <w:ind w:left="0" w:leftChars="0" w:firstLine="482" w:firstLineChars="200"/>
        <w:rPr>
          <w:rFonts w:hint="eastAsia" w:ascii="宋体" w:hAnsi="宋体" w:eastAsia="宋体" w:cs="宋体"/>
          <w:color w:val="auto"/>
          <w:highlight w:val="none"/>
        </w:rPr>
      </w:pPr>
      <w:bookmarkStart w:id="180" w:name="_Toc9927"/>
      <w:r>
        <w:rPr>
          <w:rFonts w:hint="eastAsia" w:ascii="宋体" w:hAnsi="宋体" w:eastAsia="宋体" w:cs="宋体"/>
          <w:color w:val="auto"/>
          <w:highlight w:val="none"/>
        </w:rPr>
        <w:t>廉政承诺书</w:t>
      </w:r>
      <w:bookmarkEnd w:id="180"/>
    </w:p>
    <w:p>
      <w:pPr>
        <w:snapToGrid w:val="0"/>
        <w:ind w:left="0" w:leftChars="0" w:right="0" w:rightChars="0" w:firstLine="0" w:firstLineChars="0"/>
        <w:jc w:val="center"/>
        <w:rPr>
          <w:rFonts w:hint="eastAsia" w:ascii="宋体" w:hAnsi="宋体" w:eastAsia="宋体" w:cs="宋体"/>
          <w:b/>
          <w:color w:val="auto"/>
          <w:kern w:val="0"/>
          <w:sz w:val="32"/>
          <w:highlight w:val="none"/>
        </w:rPr>
      </w:pPr>
      <w:r>
        <w:rPr>
          <w:rFonts w:hint="eastAsia" w:ascii="宋体" w:hAnsi="宋体" w:eastAsia="宋体" w:cs="宋体"/>
          <w:b/>
          <w:color w:val="auto"/>
          <w:kern w:val="0"/>
          <w:sz w:val="32"/>
          <w:highlight w:val="none"/>
        </w:rPr>
        <w:t>廉政承诺书</w:t>
      </w:r>
    </w:p>
    <w:p>
      <w:pPr>
        <w:bidi w:val="0"/>
        <w:rPr>
          <w:rFonts w:hint="eastAsia" w:ascii="宋体" w:hAnsi="宋体" w:eastAsia="宋体" w:cs="宋体"/>
          <w:color w:val="auto"/>
          <w:highlight w:val="none"/>
        </w:rPr>
      </w:pPr>
    </w:p>
    <w:p>
      <w:pPr>
        <w:bidi w:val="0"/>
        <w:ind w:left="0" w:leftChars="0" w:firstLine="0" w:firstLineChars="0"/>
        <w:rPr>
          <w:rFonts w:hint="eastAsia" w:ascii="宋体" w:hAnsi="宋体" w:eastAsia="宋体" w:cs="宋体"/>
          <w:color w:val="auto"/>
          <w:highlight w:val="none"/>
        </w:rPr>
      </w:pPr>
      <w:r>
        <w:rPr>
          <w:rFonts w:hint="eastAsia" w:cs="宋体"/>
          <w:color w:val="auto"/>
          <w:highlight w:val="none"/>
          <w:lang w:eastAsia="zh-CN"/>
        </w:rPr>
        <w:t>浙江海洋大学</w:t>
      </w:r>
      <w:r>
        <w:rPr>
          <w:rFonts w:hint="eastAsia" w:ascii="宋体" w:hAnsi="宋体" w:eastAsia="宋体" w:cs="宋体"/>
          <w:color w:val="auto"/>
          <w:highlight w:val="none"/>
        </w:rPr>
        <w:t>：</w:t>
      </w:r>
    </w:p>
    <w:p>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我单位响应你单位项目招标要求参加投标。在这次投标过程中和中标后，我们将严格遵守国家法律法规要求，并郑重承诺： </w:t>
      </w:r>
    </w:p>
    <w:p>
      <w:pPr>
        <w:bidi w:val="0"/>
        <w:rPr>
          <w:rFonts w:hint="eastAsia" w:ascii="宋体" w:hAnsi="宋体" w:eastAsia="宋体" w:cs="宋体"/>
          <w:color w:val="auto"/>
          <w:highlight w:val="none"/>
        </w:rPr>
      </w:pPr>
      <w:r>
        <w:rPr>
          <w:rFonts w:hint="eastAsia" w:ascii="宋体" w:hAnsi="宋体" w:eastAsia="宋体" w:cs="宋体"/>
          <w:color w:val="auto"/>
          <w:highlight w:val="none"/>
        </w:rPr>
        <w:t>一、不向项目有关人员及部门赠送礼金礼物、有价证券、回扣以及中介费、介绍费、咨询费等好处费；</w:t>
      </w:r>
    </w:p>
    <w:p>
      <w:pPr>
        <w:bidi w:val="0"/>
        <w:rPr>
          <w:rFonts w:hint="eastAsia" w:ascii="宋体" w:hAnsi="宋体" w:eastAsia="宋体" w:cs="宋体"/>
          <w:color w:val="auto"/>
          <w:highlight w:val="none"/>
        </w:rPr>
      </w:pPr>
      <w:r>
        <w:rPr>
          <w:rFonts w:hint="eastAsia" w:ascii="宋体" w:hAnsi="宋体" w:eastAsia="宋体" w:cs="宋体"/>
          <w:color w:val="auto"/>
          <w:highlight w:val="none"/>
        </w:rPr>
        <w:t>二、不为项目有关人员及部门报销应由你方单位或个人支付的费用；</w:t>
      </w:r>
    </w:p>
    <w:p>
      <w:pPr>
        <w:bidi w:val="0"/>
        <w:rPr>
          <w:rFonts w:hint="eastAsia" w:ascii="宋体" w:hAnsi="宋体" w:eastAsia="宋体" w:cs="宋体"/>
          <w:color w:val="auto"/>
          <w:highlight w:val="none"/>
        </w:rPr>
      </w:pPr>
      <w:r>
        <w:rPr>
          <w:rFonts w:hint="eastAsia" w:ascii="宋体" w:hAnsi="宋体" w:eastAsia="宋体" w:cs="宋体"/>
          <w:color w:val="auto"/>
          <w:highlight w:val="none"/>
        </w:rPr>
        <w:t>三、不向项目有关人员及部门提供有可能影响公正的宴请和健身娱乐等活动；</w:t>
      </w:r>
    </w:p>
    <w:p>
      <w:pPr>
        <w:bidi w:val="0"/>
        <w:rPr>
          <w:rFonts w:hint="eastAsia" w:ascii="宋体" w:hAnsi="宋体" w:eastAsia="宋体" w:cs="宋体"/>
          <w:color w:val="auto"/>
          <w:highlight w:val="none"/>
        </w:rPr>
      </w:pPr>
      <w:r>
        <w:rPr>
          <w:rFonts w:hint="eastAsia" w:ascii="宋体" w:hAnsi="宋体" w:eastAsia="宋体" w:cs="宋体"/>
          <w:color w:val="auto"/>
          <w:highlight w:val="none"/>
        </w:rPr>
        <w:t>四、不为项目有关人员及部门出国（境）、旅游等提供方便；</w:t>
      </w:r>
    </w:p>
    <w:p>
      <w:pPr>
        <w:bidi w:val="0"/>
        <w:rPr>
          <w:rFonts w:hint="eastAsia" w:ascii="宋体" w:hAnsi="宋体" w:eastAsia="宋体" w:cs="宋体"/>
          <w:color w:val="auto"/>
          <w:highlight w:val="none"/>
        </w:rPr>
      </w:pPr>
      <w:r>
        <w:rPr>
          <w:rFonts w:hint="eastAsia" w:ascii="宋体" w:hAnsi="宋体" w:eastAsia="宋体" w:cs="宋体"/>
          <w:color w:val="auto"/>
          <w:highlight w:val="none"/>
        </w:rPr>
        <w:t>五、不为项目有关人员个人装修住房、婚丧嫁娶、配偶子女工作安排等提供好处；</w:t>
      </w:r>
    </w:p>
    <w:p>
      <w:pPr>
        <w:bidi w:val="0"/>
        <w:rPr>
          <w:rFonts w:hint="eastAsia" w:ascii="宋体" w:hAnsi="宋体" w:eastAsia="宋体" w:cs="宋体"/>
          <w:color w:val="auto"/>
          <w:highlight w:val="none"/>
        </w:rPr>
      </w:pPr>
      <w:r>
        <w:rPr>
          <w:rFonts w:hint="eastAsia" w:ascii="宋体" w:hAnsi="宋体" w:eastAsia="宋体" w:cs="宋体"/>
          <w:color w:val="auto"/>
          <w:highlight w:val="none"/>
        </w:rPr>
        <w:t>六、严格遵守《政府采购法》、《招标投标法》、《中华人民共和国民法典》等法律，诚实守信，合法经营，坚决抵制各种违法违纪行为。</w:t>
      </w:r>
    </w:p>
    <w:p>
      <w:pPr>
        <w:bidi w:val="0"/>
        <w:rPr>
          <w:rFonts w:hint="eastAsia" w:ascii="宋体" w:hAnsi="宋体" w:eastAsia="宋体" w:cs="宋体"/>
          <w:color w:val="auto"/>
          <w:highlight w:val="none"/>
        </w:rPr>
      </w:pPr>
      <w:r>
        <w:rPr>
          <w:rFonts w:hint="eastAsia" w:ascii="宋体" w:hAnsi="宋体" w:eastAsia="宋体" w:cs="宋体"/>
          <w:color w:val="auto"/>
          <w:highlight w:val="none"/>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ind w:firstLine="48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p>
    <w:p>
      <w:pPr>
        <w:ind w:firstLine="0" w:firstLineChars="0"/>
        <w:jc w:val="left"/>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投标人名称（公章）：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ind w:firstLine="228" w:firstLineChars="95"/>
        <w:jc w:val="left"/>
        <w:rPr>
          <w:rFonts w:hint="eastAsia" w:ascii="宋体" w:hAnsi="宋体" w:eastAsia="宋体" w:cs="宋体"/>
          <w:color w:val="auto"/>
          <w:highlight w:val="none"/>
        </w:rPr>
        <w:sectPr>
          <w:pgSz w:w="11907" w:h="16840"/>
          <w:pgMar w:top="1440" w:right="1080" w:bottom="1440" w:left="1080" w:header="850" w:footer="992" w:gutter="0"/>
          <w:pgBorders>
            <w:top w:val="none" w:color="auto" w:sz="0" w:space="0"/>
            <w:left w:val="none" w:color="auto" w:sz="0" w:space="0"/>
            <w:bottom w:val="none" w:color="auto" w:sz="0" w:space="0"/>
            <w:right w:val="none" w:color="auto" w:sz="0" w:space="0"/>
          </w:pgBorders>
          <w:cols w:space="720" w:num="1"/>
          <w:docGrid w:linePitch="286" w:charSpace="0"/>
        </w:sectPr>
      </w:pPr>
    </w:p>
    <w:p>
      <w:pPr>
        <w:pStyle w:val="6"/>
        <w:numPr>
          <w:ilvl w:val="0"/>
          <w:numId w:val="46"/>
        </w:numPr>
        <w:bidi w:val="0"/>
        <w:ind w:left="0" w:leftChars="0" w:firstLine="482" w:firstLineChars="200"/>
        <w:rPr>
          <w:rFonts w:hint="eastAsia" w:ascii="宋体" w:hAnsi="宋体" w:eastAsia="宋体" w:cs="宋体"/>
          <w:color w:val="auto"/>
          <w:highlight w:val="none"/>
        </w:rPr>
      </w:pPr>
      <w:bookmarkStart w:id="181" w:name="_Toc12230"/>
      <w:r>
        <w:rPr>
          <w:rFonts w:hint="eastAsia" w:ascii="宋体" w:hAnsi="宋体" w:eastAsia="宋体" w:cs="宋体"/>
          <w:color w:val="auto"/>
          <w:highlight w:val="none"/>
        </w:rPr>
        <w:t>投标人情况表</w:t>
      </w:r>
      <w:bookmarkEnd w:id="181"/>
    </w:p>
    <w:p>
      <w:pPr>
        <w:spacing w:line="240" w:lineRule="auto"/>
        <w:ind w:left="0" w:leftChars="0" w:right="0" w:rightChars="0" w:firstLine="0" w:firstLineChars="0"/>
        <w:jc w:val="center"/>
        <w:rPr>
          <w:rFonts w:hint="eastAsia" w:ascii="宋体" w:hAnsi="宋体" w:eastAsia="宋体" w:cs="宋体"/>
          <w:color w:val="auto"/>
          <w:sz w:val="28"/>
          <w:highlight w:val="none"/>
          <w:lang w:eastAsia="zh-CN"/>
        </w:rPr>
      </w:pPr>
      <w:r>
        <w:rPr>
          <w:rFonts w:hint="eastAsia" w:ascii="宋体" w:hAnsi="宋体" w:eastAsia="宋体" w:cs="宋体"/>
          <w:b/>
          <w:color w:val="auto"/>
          <w:kern w:val="0"/>
          <w:sz w:val="32"/>
          <w:highlight w:val="none"/>
          <w:lang w:eastAsia="zh-CN"/>
        </w:rPr>
        <w:t>投标人情况表</w:t>
      </w:r>
    </w:p>
    <w:p>
      <w:pPr>
        <w:bidi w:val="0"/>
        <w:rPr>
          <w:rFonts w:hint="eastAsia" w:ascii="宋体" w:hAnsi="宋体" w:eastAsia="宋体" w:cs="宋体"/>
          <w:color w:val="auto"/>
          <w:highlight w:val="none"/>
        </w:rPr>
      </w:pPr>
    </w:p>
    <w:tbl>
      <w:tblPr>
        <w:tblStyle w:val="46"/>
        <w:tblW w:w="9603"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1</w:t>
            </w:r>
          </w:p>
        </w:tc>
        <w:tc>
          <w:tcPr>
            <w:tcW w:w="8868"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w:t>
            </w:r>
          </w:p>
        </w:tc>
        <w:tc>
          <w:tcPr>
            <w:tcW w:w="8868"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3</w:t>
            </w:r>
          </w:p>
        </w:tc>
        <w:tc>
          <w:tcPr>
            <w:tcW w:w="8868"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4</w:t>
            </w:r>
          </w:p>
        </w:tc>
        <w:tc>
          <w:tcPr>
            <w:tcW w:w="430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电话：</w:t>
            </w:r>
          </w:p>
        </w:tc>
        <w:tc>
          <w:tcPr>
            <w:tcW w:w="4563"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5</w:t>
            </w:r>
          </w:p>
        </w:tc>
        <w:tc>
          <w:tcPr>
            <w:tcW w:w="430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传真：</w:t>
            </w:r>
          </w:p>
        </w:tc>
        <w:tc>
          <w:tcPr>
            <w:tcW w:w="4563"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6</w:t>
            </w:r>
          </w:p>
        </w:tc>
        <w:tc>
          <w:tcPr>
            <w:tcW w:w="430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注册地：</w:t>
            </w:r>
          </w:p>
        </w:tc>
        <w:tc>
          <w:tcPr>
            <w:tcW w:w="4563"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7</w:t>
            </w:r>
          </w:p>
        </w:tc>
        <w:tc>
          <w:tcPr>
            <w:tcW w:w="8868"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8</w:t>
            </w:r>
          </w:p>
        </w:tc>
        <w:tc>
          <w:tcPr>
            <w:tcW w:w="8868"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9</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其他需要说明的情况</w:t>
            </w:r>
          </w:p>
        </w:tc>
        <w:tc>
          <w:tcPr>
            <w:tcW w:w="634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pacing w:val="-6"/>
                <w:highlight w:val="none"/>
              </w:rPr>
            </w:pPr>
          </w:p>
        </w:tc>
      </w:tr>
    </w:tbl>
    <w:p>
      <w:pPr>
        <w:spacing w:line="240" w:lineRule="auto"/>
        <w:ind w:firstLine="0" w:firstLineChars="0"/>
        <w:rPr>
          <w:rFonts w:hint="eastAsia" w:ascii="宋体" w:hAnsi="宋体" w:eastAsia="宋体" w:cs="宋体"/>
          <w:i/>
          <w:color w:val="auto"/>
          <w:sz w:val="22"/>
          <w:szCs w:val="22"/>
          <w:highlight w:val="none"/>
        </w:rPr>
      </w:pPr>
    </w:p>
    <w:p>
      <w:pPr>
        <w:spacing w:line="240" w:lineRule="auto"/>
        <w:ind w:firstLine="48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应附上加盖公章的营业执照副本、相关资质、各资信类证书、认证体系证书等的清晰复印件。</w:t>
      </w:r>
    </w:p>
    <w:p>
      <w:pPr>
        <w:pStyle w:val="3"/>
        <w:rPr>
          <w:rFonts w:hint="eastAsia" w:ascii="宋体" w:hAnsi="宋体" w:eastAsia="宋体" w:cs="宋体"/>
          <w:color w:val="auto"/>
          <w:highlight w:val="none"/>
        </w:rPr>
      </w:pPr>
    </w:p>
    <w:p>
      <w:pPr>
        <w:spacing w:line="240" w:lineRule="auto"/>
        <w:ind w:firstLine="480"/>
        <w:rPr>
          <w:rFonts w:hint="eastAsia" w:ascii="宋体" w:hAnsi="宋体" w:eastAsia="宋体" w:cs="宋体"/>
          <w:snapToGrid w:val="0"/>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投标人名称（公章）：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pStyle w:val="6"/>
        <w:rPr>
          <w:rFonts w:hint="eastAsia" w:ascii="宋体" w:hAnsi="宋体" w:eastAsia="宋体" w:cs="宋体"/>
          <w:color w:val="auto"/>
          <w:highlight w:val="none"/>
        </w:rPr>
        <w:sectPr>
          <w:pgSz w:w="11907" w:h="16840"/>
          <w:pgMar w:top="1440" w:right="1080" w:bottom="1440" w:left="1080" w:header="850" w:footer="992" w:gutter="0"/>
          <w:pgBorders>
            <w:top w:val="none" w:color="auto" w:sz="0" w:space="0"/>
            <w:left w:val="none" w:color="auto" w:sz="0" w:space="0"/>
            <w:bottom w:val="none" w:color="auto" w:sz="0" w:space="0"/>
            <w:right w:val="none" w:color="auto" w:sz="0" w:space="0"/>
          </w:pgBorders>
          <w:cols w:space="720" w:num="1"/>
          <w:docGrid w:linePitch="286" w:charSpace="0"/>
        </w:sectPr>
      </w:pPr>
      <w:bookmarkStart w:id="182" w:name="_Toc7524"/>
    </w:p>
    <w:p>
      <w:pPr>
        <w:pStyle w:val="6"/>
        <w:numPr>
          <w:ilvl w:val="0"/>
          <w:numId w:val="46"/>
        </w:numPr>
        <w:ind w:left="0" w:leftChars="0" w:firstLine="482" w:firstLineChars="200"/>
        <w:rPr>
          <w:rFonts w:hint="eastAsia" w:ascii="宋体" w:hAnsi="宋体" w:eastAsia="宋体" w:cs="宋体"/>
          <w:color w:val="auto"/>
          <w:highlight w:val="none"/>
        </w:rPr>
      </w:pPr>
      <w:r>
        <w:rPr>
          <w:rFonts w:hint="eastAsia" w:ascii="宋体" w:hAnsi="宋体" w:eastAsia="宋体" w:cs="宋体"/>
          <w:color w:val="auto"/>
          <w:highlight w:val="none"/>
        </w:rPr>
        <w:t>同类项目实施情况一览表</w:t>
      </w:r>
      <w:bookmarkEnd w:id="182"/>
    </w:p>
    <w:p>
      <w:pPr>
        <w:spacing w:line="240" w:lineRule="auto"/>
        <w:ind w:left="0" w:leftChars="0" w:right="0" w:rightChars="0" w:firstLine="0" w:firstLineChars="0"/>
        <w:jc w:val="center"/>
        <w:rPr>
          <w:rFonts w:hint="eastAsia" w:ascii="宋体" w:hAnsi="宋体" w:eastAsia="宋体" w:cs="宋体"/>
          <w:b/>
          <w:color w:val="auto"/>
          <w:kern w:val="0"/>
          <w:sz w:val="32"/>
          <w:highlight w:val="none"/>
          <w:lang w:eastAsia="zh-CN"/>
        </w:rPr>
      </w:pPr>
      <w:r>
        <w:rPr>
          <w:rFonts w:hint="eastAsia" w:ascii="宋体" w:hAnsi="宋体" w:eastAsia="宋体" w:cs="宋体"/>
          <w:b/>
          <w:color w:val="auto"/>
          <w:kern w:val="0"/>
          <w:sz w:val="32"/>
          <w:highlight w:val="none"/>
          <w:lang w:eastAsia="zh-CN"/>
        </w:rPr>
        <w:t>同类项目实施情况一览表</w:t>
      </w:r>
    </w:p>
    <w:p>
      <w:pPr>
        <w:bidi w:val="0"/>
        <w:rPr>
          <w:rFonts w:hint="eastAsia" w:ascii="宋体" w:hAnsi="宋体" w:eastAsia="宋体" w:cs="宋体"/>
          <w:color w:val="auto"/>
          <w:highlight w:val="none"/>
        </w:rPr>
      </w:pPr>
    </w:p>
    <w:p>
      <w:pPr>
        <w:ind w:firstLine="0" w:firstLineChars="0"/>
        <w:rPr>
          <w:rFonts w:hint="eastAsia" w:ascii="宋体" w:hAnsi="宋体" w:eastAsia="宋体" w:cs="宋体"/>
          <w:b/>
          <w:bCs/>
          <w:color w:val="auto"/>
          <w:highlight w:val="none"/>
          <w:lang w:val="zh-CN"/>
        </w:rPr>
      </w:pPr>
      <w:r>
        <w:rPr>
          <w:rFonts w:hint="eastAsia" w:ascii="宋体" w:hAnsi="宋体" w:eastAsia="宋体" w:cs="宋体"/>
          <w:color w:val="auto"/>
          <w:highlight w:val="none"/>
        </w:rPr>
        <w:t xml:space="preserve">项目名称：                   项目编号：              </w:t>
      </w:r>
    </w:p>
    <w:tbl>
      <w:tblPr>
        <w:tblStyle w:val="46"/>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项目时间</w:t>
            </w:r>
          </w:p>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bl>
    <w:p>
      <w:pPr>
        <w:bidi w:val="0"/>
        <w:rPr>
          <w:rFonts w:hint="eastAsia" w:ascii="宋体" w:hAnsi="宋体" w:eastAsia="宋体" w:cs="宋体"/>
          <w:b/>
          <w:bCs/>
          <w:color w:val="auto"/>
          <w:highlight w:val="none"/>
        </w:rPr>
      </w:pPr>
      <w:bookmarkStart w:id="183" w:name="_Toc15594"/>
      <w:r>
        <w:rPr>
          <w:rFonts w:hint="eastAsia" w:ascii="宋体" w:hAnsi="宋体" w:eastAsia="宋体" w:cs="宋体"/>
          <w:b/>
          <w:bCs/>
          <w:color w:val="auto"/>
          <w:highlight w:val="none"/>
        </w:rPr>
        <w:t>说明：</w:t>
      </w:r>
      <w:bookmarkEnd w:id="183"/>
    </w:p>
    <w:p>
      <w:pPr>
        <w:bidi w:val="0"/>
        <w:rPr>
          <w:rFonts w:hint="eastAsia" w:ascii="宋体" w:hAnsi="宋体" w:eastAsia="宋体" w:cs="宋体"/>
          <w:b/>
          <w:bCs/>
          <w:color w:val="auto"/>
          <w:highlight w:val="none"/>
        </w:rPr>
      </w:pPr>
      <w:r>
        <w:rPr>
          <w:rFonts w:hint="eastAsia" w:ascii="宋体" w:hAnsi="宋体" w:eastAsia="宋体" w:cs="宋体"/>
          <w:b/>
          <w:bCs/>
          <w:color w:val="auto"/>
          <w:highlight w:val="none"/>
        </w:rPr>
        <w:t>1、投标人须按照评分标准要求提交相应证明材料；</w:t>
      </w:r>
    </w:p>
    <w:p>
      <w:pPr>
        <w:bidi w:val="0"/>
        <w:rPr>
          <w:rFonts w:hint="eastAsia" w:ascii="宋体" w:hAnsi="宋体" w:eastAsia="宋体" w:cs="宋体"/>
          <w:b/>
          <w:bCs/>
          <w:color w:val="auto"/>
          <w:highlight w:val="none"/>
        </w:rPr>
      </w:pPr>
      <w:r>
        <w:rPr>
          <w:rFonts w:hint="eastAsia" w:ascii="宋体" w:hAnsi="宋体" w:eastAsia="宋体" w:cs="宋体"/>
          <w:b/>
          <w:bCs/>
          <w:color w:val="auto"/>
          <w:highlight w:val="none"/>
        </w:rPr>
        <w:t>2、所有证明材料复印件应清晰，应能体现签订时间、双方签字盖章等内容；</w:t>
      </w:r>
    </w:p>
    <w:p>
      <w:pPr>
        <w:bidi w:val="0"/>
        <w:rPr>
          <w:rFonts w:hint="eastAsia" w:ascii="宋体" w:hAnsi="宋体" w:eastAsia="宋体" w:cs="宋体"/>
          <w:b/>
          <w:bCs/>
          <w:color w:val="auto"/>
          <w:highlight w:val="none"/>
        </w:rPr>
      </w:pPr>
      <w:r>
        <w:rPr>
          <w:rFonts w:hint="eastAsia" w:ascii="宋体" w:hAnsi="宋体" w:eastAsia="宋体" w:cs="宋体"/>
          <w:b/>
          <w:bCs/>
          <w:color w:val="auto"/>
          <w:highlight w:val="none"/>
        </w:rPr>
        <w:t>3、投标人应在不涉及商业秘密的前提下尽可能提供详细的复印件内容。</w:t>
      </w:r>
    </w:p>
    <w:p>
      <w:pPr>
        <w:ind w:firstLine="0" w:firstLineChars="0"/>
        <w:rPr>
          <w:rFonts w:hint="eastAsia" w:ascii="宋体" w:hAnsi="宋体" w:eastAsia="宋体" w:cs="宋体"/>
          <w:color w:val="auto"/>
          <w:highlight w:val="none"/>
        </w:rPr>
      </w:pPr>
    </w:p>
    <w:p>
      <w:pPr>
        <w:ind w:left="-720" w:right="-960" w:firstLine="0" w:firstLineChars="0"/>
        <w:rPr>
          <w:rFonts w:hint="eastAsia" w:ascii="宋体" w:hAnsi="宋体" w:eastAsia="宋体" w:cs="宋体"/>
          <w:color w:val="auto"/>
          <w:spacing w:val="4"/>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投标人名称（公章）：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pStyle w:val="3"/>
        <w:rPr>
          <w:rFonts w:hint="eastAsia" w:ascii="宋体" w:hAnsi="宋体" w:eastAsia="宋体" w:cs="宋体"/>
          <w:color w:val="auto"/>
          <w:highlight w:val="none"/>
        </w:rPr>
      </w:pPr>
    </w:p>
    <w:p>
      <w:pPr>
        <w:rPr>
          <w:rFonts w:hint="eastAsia" w:ascii="宋体" w:hAnsi="宋体" w:eastAsia="宋体" w:cs="宋体"/>
          <w:color w:val="auto"/>
          <w:highlight w:val="none"/>
        </w:rPr>
        <w:sectPr>
          <w:pgSz w:w="11907" w:h="16840"/>
          <w:pgMar w:top="1440" w:right="1080" w:bottom="1440" w:left="1080" w:header="850" w:footer="992" w:gutter="0"/>
          <w:pgBorders>
            <w:top w:val="none" w:color="auto" w:sz="0" w:space="0"/>
            <w:left w:val="none" w:color="auto" w:sz="0" w:space="0"/>
            <w:bottom w:val="none" w:color="auto" w:sz="0" w:space="0"/>
            <w:right w:val="none" w:color="auto" w:sz="0" w:space="0"/>
          </w:pgBorders>
          <w:cols w:space="720" w:num="1"/>
          <w:docGrid w:linePitch="286" w:charSpace="0"/>
        </w:sectPr>
      </w:pPr>
    </w:p>
    <w:p>
      <w:pPr>
        <w:pStyle w:val="6"/>
        <w:numPr>
          <w:ilvl w:val="0"/>
          <w:numId w:val="46"/>
        </w:numPr>
        <w:bidi w:val="0"/>
        <w:ind w:left="0" w:leftChars="0" w:firstLine="482"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技术规范偏离表</w:t>
      </w:r>
    </w:p>
    <w:p>
      <w:pPr>
        <w:spacing w:line="400" w:lineRule="exact"/>
        <w:ind w:firstLine="480"/>
        <w:rPr>
          <w:rFonts w:hint="eastAsia" w:cs="宋体"/>
        </w:rPr>
      </w:pPr>
      <w:r>
        <w:rPr>
          <w:rFonts w:hint="eastAsia" w:cs="宋体"/>
        </w:rPr>
        <w:t xml:space="preserve">招标项目名称：                   招标编号：            </w:t>
      </w:r>
    </w:p>
    <w:tbl>
      <w:tblPr>
        <w:tblStyle w:val="46"/>
        <w:tblW w:w="85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36"/>
        <w:gridCol w:w="2100"/>
        <w:gridCol w:w="26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center"/>
          </w:tcPr>
          <w:p>
            <w:pPr>
              <w:spacing w:line="500" w:lineRule="exact"/>
              <w:ind w:firstLine="0" w:firstLineChars="0"/>
              <w:jc w:val="center"/>
              <w:rPr>
                <w:rFonts w:hint="eastAsia" w:cs="宋体"/>
              </w:rPr>
            </w:pPr>
            <w:r>
              <w:rPr>
                <w:rFonts w:hint="eastAsia" w:cs="宋体"/>
              </w:rPr>
              <w:t>序号</w:t>
            </w:r>
          </w:p>
        </w:tc>
        <w:tc>
          <w:tcPr>
            <w:tcW w:w="1236" w:type="dxa"/>
            <w:vAlign w:val="center"/>
          </w:tcPr>
          <w:p>
            <w:pPr>
              <w:spacing w:line="500" w:lineRule="exact"/>
              <w:ind w:firstLine="0" w:firstLineChars="0"/>
              <w:jc w:val="center"/>
              <w:rPr>
                <w:rFonts w:hint="eastAsia" w:cs="宋体"/>
              </w:rPr>
            </w:pPr>
            <w:r>
              <w:rPr>
                <w:rFonts w:hint="eastAsia" w:cs="宋体"/>
              </w:rPr>
              <w:t>产品名称</w:t>
            </w:r>
          </w:p>
        </w:tc>
        <w:tc>
          <w:tcPr>
            <w:tcW w:w="2100" w:type="dxa"/>
            <w:vAlign w:val="center"/>
          </w:tcPr>
          <w:p>
            <w:pPr>
              <w:spacing w:line="500" w:lineRule="exact"/>
              <w:ind w:firstLine="0" w:firstLineChars="0"/>
              <w:jc w:val="center"/>
              <w:rPr>
                <w:rFonts w:hint="eastAsia" w:cs="宋体"/>
              </w:rPr>
            </w:pPr>
            <w:r>
              <w:rPr>
                <w:rFonts w:hint="eastAsia" w:cs="宋体"/>
              </w:rPr>
              <w:t>招标要求</w:t>
            </w:r>
          </w:p>
        </w:tc>
        <w:tc>
          <w:tcPr>
            <w:tcW w:w="2625" w:type="dxa"/>
            <w:vAlign w:val="center"/>
          </w:tcPr>
          <w:p>
            <w:pPr>
              <w:spacing w:line="500" w:lineRule="exact"/>
              <w:ind w:firstLine="0" w:firstLineChars="0"/>
              <w:jc w:val="center"/>
              <w:rPr>
                <w:rFonts w:hint="eastAsia" w:cs="宋体"/>
              </w:rPr>
            </w:pPr>
            <w:r>
              <w:rPr>
                <w:rFonts w:hint="eastAsia" w:cs="宋体"/>
              </w:rPr>
              <w:t xml:space="preserve">  投标响应</w:t>
            </w:r>
          </w:p>
        </w:tc>
        <w:tc>
          <w:tcPr>
            <w:tcW w:w="1890" w:type="dxa"/>
            <w:vAlign w:val="center"/>
          </w:tcPr>
          <w:p>
            <w:pPr>
              <w:spacing w:line="500" w:lineRule="exact"/>
              <w:ind w:firstLine="0" w:firstLineChars="0"/>
              <w:jc w:val="center"/>
              <w:rPr>
                <w:rFonts w:hint="eastAsia" w:cs="宋体"/>
              </w:rPr>
            </w:pPr>
            <w:r>
              <w:rPr>
                <w:rFonts w:hint="eastAsia" w:cs="宋体"/>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top"/>
          </w:tcPr>
          <w:p>
            <w:pPr>
              <w:spacing w:line="500" w:lineRule="exact"/>
              <w:ind w:firstLine="480"/>
              <w:rPr>
                <w:rFonts w:hint="eastAsia" w:cs="宋体"/>
              </w:rPr>
            </w:pPr>
          </w:p>
        </w:tc>
        <w:tc>
          <w:tcPr>
            <w:tcW w:w="1236" w:type="dxa"/>
            <w:vAlign w:val="top"/>
          </w:tcPr>
          <w:p>
            <w:pPr>
              <w:spacing w:line="500" w:lineRule="exact"/>
              <w:ind w:firstLine="480"/>
              <w:rPr>
                <w:rFonts w:hint="eastAsia" w:cs="宋体"/>
              </w:rPr>
            </w:pPr>
          </w:p>
        </w:tc>
        <w:tc>
          <w:tcPr>
            <w:tcW w:w="2100" w:type="dxa"/>
            <w:vAlign w:val="top"/>
          </w:tcPr>
          <w:p>
            <w:pPr>
              <w:spacing w:line="500" w:lineRule="exact"/>
              <w:ind w:firstLine="480"/>
              <w:rPr>
                <w:rFonts w:hint="eastAsia" w:cs="宋体"/>
              </w:rPr>
            </w:pPr>
          </w:p>
        </w:tc>
        <w:tc>
          <w:tcPr>
            <w:tcW w:w="2625" w:type="dxa"/>
            <w:vAlign w:val="top"/>
          </w:tcPr>
          <w:p>
            <w:pPr>
              <w:spacing w:line="500" w:lineRule="exact"/>
              <w:ind w:firstLine="480"/>
              <w:rPr>
                <w:rFonts w:hint="eastAsia" w:cs="宋体"/>
              </w:rPr>
            </w:pPr>
          </w:p>
        </w:tc>
        <w:tc>
          <w:tcPr>
            <w:tcW w:w="1890" w:type="dxa"/>
            <w:vAlign w:val="top"/>
          </w:tcPr>
          <w:p>
            <w:pPr>
              <w:spacing w:line="500" w:lineRule="exact"/>
              <w:ind w:firstLine="480"/>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top"/>
          </w:tcPr>
          <w:p>
            <w:pPr>
              <w:spacing w:line="500" w:lineRule="exact"/>
              <w:ind w:firstLine="480"/>
              <w:rPr>
                <w:rFonts w:hint="eastAsia" w:cs="宋体"/>
              </w:rPr>
            </w:pPr>
          </w:p>
        </w:tc>
        <w:tc>
          <w:tcPr>
            <w:tcW w:w="1236" w:type="dxa"/>
            <w:vAlign w:val="top"/>
          </w:tcPr>
          <w:p>
            <w:pPr>
              <w:spacing w:line="500" w:lineRule="exact"/>
              <w:ind w:firstLine="480"/>
              <w:rPr>
                <w:rFonts w:hint="eastAsia" w:cs="宋体"/>
              </w:rPr>
            </w:pPr>
          </w:p>
        </w:tc>
        <w:tc>
          <w:tcPr>
            <w:tcW w:w="2100" w:type="dxa"/>
            <w:vAlign w:val="top"/>
          </w:tcPr>
          <w:p>
            <w:pPr>
              <w:spacing w:line="500" w:lineRule="exact"/>
              <w:ind w:firstLine="480"/>
              <w:rPr>
                <w:rFonts w:hint="eastAsia" w:cs="宋体"/>
              </w:rPr>
            </w:pPr>
          </w:p>
        </w:tc>
        <w:tc>
          <w:tcPr>
            <w:tcW w:w="2625" w:type="dxa"/>
            <w:vAlign w:val="top"/>
          </w:tcPr>
          <w:p>
            <w:pPr>
              <w:spacing w:line="500" w:lineRule="exact"/>
              <w:ind w:firstLine="480"/>
              <w:rPr>
                <w:rFonts w:hint="eastAsia" w:cs="宋体"/>
              </w:rPr>
            </w:pPr>
          </w:p>
        </w:tc>
        <w:tc>
          <w:tcPr>
            <w:tcW w:w="1890" w:type="dxa"/>
            <w:vAlign w:val="top"/>
          </w:tcPr>
          <w:p>
            <w:pPr>
              <w:spacing w:line="500" w:lineRule="exact"/>
              <w:ind w:firstLine="480"/>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top"/>
          </w:tcPr>
          <w:p>
            <w:pPr>
              <w:spacing w:line="500" w:lineRule="exact"/>
              <w:ind w:firstLine="480"/>
              <w:rPr>
                <w:rFonts w:hint="eastAsia" w:cs="宋体"/>
              </w:rPr>
            </w:pPr>
          </w:p>
        </w:tc>
        <w:tc>
          <w:tcPr>
            <w:tcW w:w="1236" w:type="dxa"/>
            <w:vAlign w:val="top"/>
          </w:tcPr>
          <w:p>
            <w:pPr>
              <w:spacing w:line="500" w:lineRule="exact"/>
              <w:ind w:firstLine="480"/>
              <w:rPr>
                <w:rFonts w:hint="eastAsia" w:cs="宋体"/>
              </w:rPr>
            </w:pPr>
          </w:p>
        </w:tc>
        <w:tc>
          <w:tcPr>
            <w:tcW w:w="2100" w:type="dxa"/>
            <w:vAlign w:val="top"/>
          </w:tcPr>
          <w:p>
            <w:pPr>
              <w:spacing w:line="500" w:lineRule="exact"/>
              <w:ind w:firstLine="480"/>
              <w:rPr>
                <w:rFonts w:hint="eastAsia" w:cs="宋体"/>
              </w:rPr>
            </w:pPr>
          </w:p>
        </w:tc>
        <w:tc>
          <w:tcPr>
            <w:tcW w:w="2625" w:type="dxa"/>
            <w:vAlign w:val="top"/>
          </w:tcPr>
          <w:p>
            <w:pPr>
              <w:spacing w:line="500" w:lineRule="exact"/>
              <w:ind w:firstLine="480"/>
              <w:rPr>
                <w:rFonts w:hint="eastAsia" w:cs="宋体"/>
              </w:rPr>
            </w:pPr>
          </w:p>
        </w:tc>
        <w:tc>
          <w:tcPr>
            <w:tcW w:w="1890" w:type="dxa"/>
            <w:vAlign w:val="top"/>
          </w:tcPr>
          <w:p>
            <w:pPr>
              <w:spacing w:line="500" w:lineRule="exact"/>
              <w:ind w:firstLine="480"/>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top"/>
          </w:tcPr>
          <w:p>
            <w:pPr>
              <w:spacing w:line="500" w:lineRule="exact"/>
              <w:ind w:firstLine="480"/>
              <w:rPr>
                <w:rFonts w:hint="eastAsia" w:cs="宋体"/>
              </w:rPr>
            </w:pPr>
          </w:p>
        </w:tc>
        <w:tc>
          <w:tcPr>
            <w:tcW w:w="1236" w:type="dxa"/>
            <w:vAlign w:val="top"/>
          </w:tcPr>
          <w:p>
            <w:pPr>
              <w:spacing w:line="500" w:lineRule="exact"/>
              <w:ind w:firstLine="480"/>
              <w:rPr>
                <w:rFonts w:hint="eastAsia" w:cs="宋体"/>
              </w:rPr>
            </w:pPr>
          </w:p>
        </w:tc>
        <w:tc>
          <w:tcPr>
            <w:tcW w:w="2100" w:type="dxa"/>
            <w:vAlign w:val="top"/>
          </w:tcPr>
          <w:p>
            <w:pPr>
              <w:spacing w:line="500" w:lineRule="exact"/>
              <w:ind w:firstLine="480"/>
              <w:rPr>
                <w:rFonts w:hint="eastAsia" w:cs="宋体"/>
              </w:rPr>
            </w:pPr>
          </w:p>
        </w:tc>
        <w:tc>
          <w:tcPr>
            <w:tcW w:w="2625" w:type="dxa"/>
            <w:vAlign w:val="top"/>
          </w:tcPr>
          <w:p>
            <w:pPr>
              <w:spacing w:line="500" w:lineRule="exact"/>
              <w:ind w:firstLine="480"/>
              <w:rPr>
                <w:rFonts w:hint="eastAsia" w:cs="宋体"/>
              </w:rPr>
            </w:pPr>
          </w:p>
        </w:tc>
        <w:tc>
          <w:tcPr>
            <w:tcW w:w="1890" w:type="dxa"/>
            <w:vAlign w:val="top"/>
          </w:tcPr>
          <w:p>
            <w:pPr>
              <w:spacing w:line="500" w:lineRule="exact"/>
              <w:ind w:firstLine="480"/>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top"/>
          </w:tcPr>
          <w:p>
            <w:pPr>
              <w:spacing w:line="500" w:lineRule="exact"/>
              <w:ind w:firstLine="480"/>
              <w:rPr>
                <w:rFonts w:hint="eastAsia" w:cs="宋体"/>
              </w:rPr>
            </w:pPr>
          </w:p>
        </w:tc>
        <w:tc>
          <w:tcPr>
            <w:tcW w:w="1236" w:type="dxa"/>
            <w:vAlign w:val="top"/>
          </w:tcPr>
          <w:p>
            <w:pPr>
              <w:spacing w:line="500" w:lineRule="exact"/>
              <w:ind w:firstLine="480"/>
              <w:rPr>
                <w:rFonts w:hint="eastAsia" w:cs="宋体"/>
              </w:rPr>
            </w:pPr>
          </w:p>
        </w:tc>
        <w:tc>
          <w:tcPr>
            <w:tcW w:w="2100" w:type="dxa"/>
            <w:vAlign w:val="top"/>
          </w:tcPr>
          <w:p>
            <w:pPr>
              <w:spacing w:line="500" w:lineRule="exact"/>
              <w:ind w:firstLine="480"/>
              <w:rPr>
                <w:rFonts w:hint="eastAsia" w:cs="宋体"/>
              </w:rPr>
            </w:pPr>
          </w:p>
        </w:tc>
        <w:tc>
          <w:tcPr>
            <w:tcW w:w="2625" w:type="dxa"/>
            <w:vAlign w:val="top"/>
          </w:tcPr>
          <w:p>
            <w:pPr>
              <w:spacing w:line="500" w:lineRule="exact"/>
              <w:ind w:firstLine="480"/>
              <w:rPr>
                <w:rFonts w:hint="eastAsia" w:cs="宋体"/>
              </w:rPr>
            </w:pPr>
          </w:p>
        </w:tc>
        <w:tc>
          <w:tcPr>
            <w:tcW w:w="1890" w:type="dxa"/>
            <w:vAlign w:val="top"/>
          </w:tcPr>
          <w:p>
            <w:pPr>
              <w:spacing w:line="500" w:lineRule="exact"/>
              <w:ind w:firstLine="480"/>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top"/>
          </w:tcPr>
          <w:p>
            <w:pPr>
              <w:spacing w:line="500" w:lineRule="exact"/>
              <w:ind w:firstLine="480"/>
              <w:rPr>
                <w:rFonts w:hint="eastAsia" w:cs="宋体"/>
              </w:rPr>
            </w:pPr>
          </w:p>
        </w:tc>
        <w:tc>
          <w:tcPr>
            <w:tcW w:w="1236" w:type="dxa"/>
            <w:vAlign w:val="top"/>
          </w:tcPr>
          <w:p>
            <w:pPr>
              <w:spacing w:line="500" w:lineRule="exact"/>
              <w:ind w:firstLine="480"/>
              <w:rPr>
                <w:rFonts w:hint="eastAsia" w:cs="宋体"/>
              </w:rPr>
            </w:pPr>
          </w:p>
        </w:tc>
        <w:tc>
          <w:tcPr>
            <w:tcW w:w="2100" w:type="dxa"/>
            <w:vAlign w:val="top"/>
          </w:tcPr>
          <w:p>
            <w:pPr>
              <w:spacing w:line="500" w:lineRule="exact"/>
              <w:ind w:firstLine="480"/>
              <w:rPr>
                <w:rFonts w:hint="eastAsia" w:cs="宋体"/>
              </w:rPr>
            </w:pPr>
          </w:p>
        </w:tc>
        <w:tc>
          <w:tcPr>
            <w:tcW w:w="2625" w:type="dxa"/>
            <w:vAlign w:val="top"/>
          </w:tcPr>
          <w:p>
            <w:pPr>
              <w:spacing w:line="500" w:lineRule="exact"/>
              <w:ind w:firstLine="480"/>
              <w:rPr>
                <w:rFonts w:hint="eastAsia" w:cs="宋体"/>
              </w:rPr>
            </w:pPr>
          </w:p>
        </w:tc>
        <w:tc>
          <w:tcPr>
            <w:tcW w:w="1890" w:type="dxa"/>
            <w:vAlign w:val="top"/>
          </w:tcPr>
          <w:p>
            <w:pPr>
              <w:spacing w:line="500" w:lineRule="exact"/>
              <w:ind w:firstLine="480"/>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top"/>
          </w:tcPr>
          <w:p>
            <w:pPr>
              <w:spacing w:line="500" w:lineRule="exact"/>
              <w:ind w:firstLine="480"/>
              <w:rPr>
                <w:rFonts w:hint="eastAsia" w:cs="宋体"/>
              </w:rPr>
            </w:pPr>
          </w:p>
        </w:tc>
        <w:tc>
          <w:tcPr>
            <w:tcW w:w="1236" w:type="dxa"/>
            <w:vAlign w:val="top"/>
          </w:tcPr>
          <w:p>
            <w:pPr>
              <w:spacing w:line="500" w:lineRule="exact"/>
              <w:ind w:firstLine="480"/>
              <w:rPr>
                <w:rFonts w:hint="eastAsia" w:cs="宋体"/>
              </w:rPr>
            </w:pPr>
          </w:p>
        </w:tc>
        <w:tc>
          <w:tcPr>
            <w:tcW w:w="2100" w:type="dxa"/>
            <w:vAlign w:val="top"/>
          </w:tcPr>
          <w:p>
            <w:pPr>
              <w:spacing w:line="500" w:lineRule="exact"/>
              <w:ind w:firstLine="480"/>
              <w:rPr>
                <w:rFonts w:hint="eastAsia" w:cs="宋体"/>
              </w:rPr>
            </w:pPr>
          </w:p>
        </w:tc>
        <w:tc>
          <w:tcPr>
            <w:tcW w:w="2625" w:type="dxa"/>
            <w:vAlign w:val="top"/>
          </w:tcPr>
          <w:p>
            <w:pPr>
              <w:spacing w:line="500" w:lineRule="exact"/>
              <w:ind w:firstLine="480"/>
              <w:rPr>
                <w:rFonts w:hint="eastAsia" w:cs="宋体"/>
              </w:rPr>
            </w:pPr>
          </w:p>
        </w:tc>
        <w:tc>
          <w:tcPr>
            <w:tcW w:w="1890" w:type="dxa"/>
            <w:vAlign w:val="top"/>
          </w:tcPr>
          <w:p>
            <w:pPr>
              <w:spacing w:line="500" w:lineRule="exact"/>
              <w:ind w:firstLine="480"/>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top"/>
          </w:tcPr>
          <w:p>
            <w:pPr>
              <w:spacing w:line="500" w:lineRule="exact"/>
              <w:ind w:firstLine="480"/>
              <w:rPr>
                <w:rFonts w:hint="eastAsia" w:cs="宋体"/>
              </w:rPr>
            </w:pPr>
          </w:p>
        </w:tc>
        <w:tc>
          <w:tcPr>
            <w:tcW w:w="1236" w:type="dxa"/>
            <w:vAlign w:val="top"/>
          </w:tcPr>
          <w:p>
            <w:pPr>
              <w:spacing w:line="500" w:lineRule="exact"/>
              <w:ind w:firstLine="480"/>
              <w:rPr>
                <w:rFonts w:hint="eastAsia" w:cs="宋体"/>
              </w:rPr>
            </w:pPr>
          </w:p>
        </w:tc>
        <w:tc>
          <w:tcPr>
            <w:tcW w:w="2100" w:type="dxa"/>
            <w:vAlign w:val="top"/>
          </w:tcPr>
          <w:p>
            <w:pPr>
              <w:spacing w:line="500" w:lineRule="exact"/>
              <w:ind w:firstLine="480"/>
              <w:rPr>
                <w:rFonts w:hint="eastAsia" w:cs="宋体"/>
              </w:rPr>
            </w:pPr>
          </w:p>
        </w:tc>
        <w:tc>
          <w:tcPr>
            <w:tcW w:w="2625" w:type="dxa"/>
            <w:vAlign w:val="top"/>
          </w:tcPr>
          <w:p>
            <w:pPr>
              <w:spacing w:line="500" w:lineRule="exact"/>
              <w:ind w:firstLine="480"/>
              <w:rPr>
                <w:rFonts w:hint="eastAsia" w:cs="宋体"/>
              </w:rPr>
            </w:pPr>
          </w:p>
        </w:tc>
        <w:tc>
          <w:tcPr>
            <w:tcW w:w="1890" w:type="dxa"/>
            <w:vAlign w:val="top"/>
          </w:tcPr>
          <w:p>
            <w:pPr>
              <w:spacing w:line="500" w:lineRule="exact"/>
              <w:ind w:firstLine="480"/>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top"/>
          </w:tcPr>
          <w:p>
            <w:pPr>
              <w:spacing w:line="500" w:lineRule="exact"/>
              <w:ind w:firstLine="480"/>
              <w:rPr>
                <w:rFonts w:hint="eastAsia" w:cs="宋体"/>
              </w:rPr>
            </w:pPr>
          </w:p>
        </w:tc>
        <w:tc>
          <w:tcPr>
            <w:tcW w:w="1236" w:type="dxa"/>
            <w:vAlign w:val="top"/>
          </w:tcPr>
          <w:p>
            <w:pPr>
              <w:spacing w:line="500" w:lineRule="exact"/>
              <w:ind w:firstLine="480"/>
              <w:rPr>
                <w:rFonts w:hint="eastAsia" w:cs="宋体"/>
              </w:rPr>
            </w:pPr>
          </w:p>
        </w:tc>
        <w:tc>
          <w:tcPr>
            <w:tcW w:w="2100" w:type="dxa"/>
            <w:vAlign w:val="top"/>
          </w:tcPr>
          <w:p>
            <w:pPr>
              <w:spacing w:line="500" w:lineRule="exact"/>
              <w:ind w:firstLine="480"/>
              <w:rPr>
                <w:rFonts w:hint="eastAsia" w:cs="宋体"/>
              </w:rPr>
            </w:pPr>
          </w:p>
        </w:tc>
        <w:tc>
          <w:tcPr>
            <w:tcW w:w="2625" w:type="dxa"/>
            <w:vAlign w:val="top"/>
          </w:tcPr>
          <w:p>
            <w:pPr>
              <w:spacing w:line="500" w:lineRule="exact"/>
              <w:ind w:firstLine="480"/>
              <w:rPr>
                <w:rFonts w:hint="eastAsia" w:cs="宋体"/>
              </w:rPr>
            </w:pPr>
          </w:p>
        </w:tc>
        <w:tc>
          <w:tcPr>
            <w:tcW w:w="1890" w:type="dxa"/>
            <w:vAlign w:val="top"/>
          </w:tcPr>
          <w:p>
            <w:pPr>
              <w:spacing w:line="500" w:lineRule="exact"/>
              <w:ind w:firstLine="480"/>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top"/>
          </w:tcPr>
          <w:p>
            <w:pPr>
              <w:spacing w:line="500" w:lineRule="exact"/>
              <w:ind w:firstLine="480"/>
              <w:rPr>
                <w:rFonts w:hint="eastAsia" w:cs="宋体"/>
              </w:rPr>
            </w:pPr>
          </w:p>
        </w:tc>
        <w:tc>
          <w:tcPr>
            <w:tcW w:w="1236" w:type="dxa"/>
            <w:vAlign w:val="top"/>
          </w:tcPr>
          <w:p>
            <w:pPr>
              <w:spacing w:line="500" w:lineRule="exact"/>
              <w:ind w:firstLine="480"/>
              <w:rPr>
                <w:rFonts w:hint="eastAsia" w:cs="宋体"/>
              </w:rPr>
            </w:pPr>
          </w:p>
        </w:tc>
        <w:tc>
          <w:tcPr>
            <w:tcW w:w="2100" w:type="dxa"/>
            <w:vAlign w:val="top"/>
          </w:tcPr>
          <w:p>
            <w:pPr>
              <w:spacing w:line="500" w:lineRule="exact"/>
              <w:ind w:firstLine="480"/>
              <w:rPr>
                <w:rFonts w:hint="eastAsia" w:cs="宋体"/>
              </w:rPr>
            </w:pPr>
          </w:p>
        </w:tc>
        <w:tc>
          <w:tcPr>
            <w:tcW w:w="2625" w:type="dxa"/>
            <w:vAlign w:val="top"/>
          </w:tcPr>
          <w:p>
            <w:pPr>
              <w:spacing w:line="500" w:lineRule="exact"/>
              <w:ind w:firstLine="480"/>
              <w:rPr>
                <w:rFonts w:hint="eastAsia" w:cs="宋体"/>
              </w:rPr>
            </w:pPr>
          </w:p>
        </w:tc>
        <w:tc>
          <w:tcPr>
            <w:tcW w:w="1890" w:type="dxa"/>
            <w:vAlign w:val="top"/>
          </w:tcPr>
          <w:p>
            <w:pPr>
              <w:spacing w:line="500" w:lineRule="exact"/>
              <w:ind w:firstLine="480"/>
              <w:rPr>
                <w:rFonts w:hint="eastAsia" w:cs="宋体"/>
              </w:rPr>
            </w:pPr>
          </w:p>
        </w:tc>
      </w:tr>
    </w:tbl>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投标人名称（公章）：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2"/>
        <w:rPr>
          <w:rFonts w:hint="eastAsia"/>
        </w:rPr>
      </w:pPr>
    </w:p>
    <w:p>
      <w:pPr>
        <w:pStyle w:val="6"/>
        <w:numPr>
          <w:ilvl w:val="0"/>
          <w:numId w:val="46"/>
        </w:numPr>
        <w:bidi w:val="0"/>
        <w:ind w:left="0" w:leftChars="0" w:firstLine="482"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主要维修用零配件清单及价格</w:t>
      </w:r>
    </w:p>
    <w:p>
      <w:pPr>
        <w:spacing w:line="400" w:lineRule="exact"/>
        <w:ind w:firstLine="480"/>
        <w:rPr>
          <w:rFonts w:hint="eastAsia" w:cs="宋体"/>
        </w:rPr>
      </w:pPr>
      <w:r>
        <w:rPr>
          <w:rFonts w:hint="eastAsia" w:cs="宋体"/>
        </w:rPr>
        <w:t xml:space="preserve">招标项目名称：                   招标编号：            </w:t>
      </w:r>
    </w:p>
    <w:tbl>
      <w:tblPr>
        <w:tblStyle w:val="46"/>
        <w:tblW w:w="7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3878"/>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6" w:type="dxa"/>
            <w:vAlign w:val="center"/>
          </w:tcPr>
          <w:p>
            <w:pPr>
              <w:spacing w:line="500" w:lineRule="exact"/>
              <w:ind w:firstLine="0" w:firstLineChars="0"/>
              <w:jc w:val="center"/>
              <w:rPr>
                <w:rFonts w:hint="eastAsia" w:cs="宋体"/>
              </w:rPr>
            </w:pPr>
            <w:r>
              <w:rPr>
                <w:rFonts w:hint="eastAsia" w:cs="宋体"/>
              </w:rPr>
              <w:t>序号</w:t>
            </w:r>
          </w:p>
        </w:tc>
        <w:tc>
          <w:tcPr>
            <w:tcW w:w="3878" w:type="dxa"/>
            <w:vAlign w:val="center"/>
          </w:tcPr>
          <w:p>
            <w:pPr>
              <w:spacing w:line="500" w:lineRule="exact"/>
              <w:ind w:firstLine="0" w:firstLineChars="0"/>
              <w:jc w:val="center"/>
              <w:rPr>
                <w:rFonts w:hint="eastAsia" w:cs="宋体"/>
              </w:rPr>
            </w:pPr>
            <w:r>
              <w:rPr>
                <w:rFonts w:hint="eastAsia" w:ascii="宋体" w:hAnsi="宋体" w:eastAsia="宋体" w:cs="宋体"/>
                <w:color w:val="auto"/>
                <w:highlight w:val="none"/>
                <w:lang w:val="en-US" w:eastAsia="zh-CN"/>
              </w:rPr>
              <w:t>零配件</w:t>
            </w:r>
            <w:r>
              <w:rPr>
                <w:rFonts w:hint="eastAsia" w:cs="宋体"/>
              </w:rPr>
              <w:t>名称</w:t>
            </w:r>
          </w:p>
        </w:tc>
        <w:tc>
          <w:tcPr>
            <w:tcW w:w="1890" w:type="dxa"/>
            <w:vAlign w:val="center"/>
          </w:tcPr>
          <w:p>
            <w:pPr>
              <w:spacing w:line="500" w:lineRule="exact"/>
              <w:ind w:firstLine="0" w:firstLineChars="0"/>
              <w:jc w:val="center"/>
              <w:rPr>
                <w:rFonts w:hint="eastAsia" w:eastAsia="宋体" w:cs="宋体"/>
                <w:lang w:eastAsia="zh-CN"/>
              </w:rPr>
            </w:pPr>
            <w:r>
              <w:rPr>
                <w:rFonts w:hint="eastAsia" w:cs="宋体"/>
                <w:lang w:eastAsia="zh-CN"/>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6" w:type="dxa"/>
            <w:vAlign w:val="top"/>
          </w:tcPr>
          <w:p>
            <w:pPr>
              <w:spacing w:line="500" w:lineRule="exact"/>
              <w:ind w:firstLine="480"/>
              <w:rPr>
                <w:rFonts w:hint="eastAsia" w:cs="宋体"/>
              </w:rPr>
            </w:pPr>
          </w:p>
        </w:tc>
        <w:tc>
          <w:tcPr>
            <w:tcW w:w="3878" w:type="dxa"/>
            <w:vAlign w:val="top"/>
          </w:tcPr>
          <w:p>
            <w:pPr>
              <w:spacing w:line="500" w:lineRule="exact"/>
              <w:ind w:firstLine="480"/>
              <w:rPr>
                <w:rFonts w:hint="eastAsia" w:cs="宋体"/>
              </w:rPr>
            </w:pPr>
          </w:p>
        </w:tc>
        <w:tc>
          <w:tcPr>
            <w:tcW w:w="1890" w:type="dxa"/>
            <w:vAlign w:val="top"/>
          </w:tcPr>
          <w:p>
            <w:pPr>
              <w:spacing w:line="500" w:lineRule="exact"/>
              <w:ind w:firstLine="480"/>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6" w:type="dxa"/>
            <w:vAlign w:val="top"/>
          </w:tcPr>
          <w:p>
            <w:pPr>
              <w:spacing w:line="500" w:lineRule="exact"/>
              <w:ind w:firstLine="480"/>
              <w:rPr>
                <w:rFonts w:hint="eastAsia" w:cs="宋体"/>
              </w:rPr>
            </w:pPr>
          </w:p>
        </w:tc>
        <w:tc>
          <w:tcPr>
            <w:tcW w:w="3878" w:type="dxa"/>
            <w:vAlign w:val="top"/>
          </w:tcPr>
          <w:p>
            <w:pPr>
              <w:spacing w:line="500" w:lineRule="exact"/>
              <w:ind w:firstLine="480"/>
              <w:rPr>
                <w:rFonts w:hint="eastAsia" w:cs="宋体"/>
              </w:rPr>
            </w:pPr>
          </w:p>
        </w:tc>
        <w:tc>
          <w:tcPr>
            <w:tcW w:w="1890" w:type="dxa"/>
            <w:vAlign w:val="top"/>
          </w:tcPr>
          <w:p>
            <w:pPr>
              <w:spacing w:line="500" w:lineRule="exact"/>
              <w:ind w:firstLine="480"/>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6" w:type="dxa"/>
            <w:vAlign w:val="top"/>
          </w:tcPr>
          <w:p>
            <w:pPr>
              <w:spacing w:line="500" w:lineRule="exact"/>
              <w:ind w:firstLine="480"/>
              <w:rPr>
                <w:rFonts w:hint="eastAsia" w:cs="宋体"/>
              </w:rPr>
            </w:pPr>
          </w:p>
        </w:tc>
        <w:tc>
          <w:tcPr>
            <w:tcW w:w="3878" w:type="dxa"/>
            <w:vAlign w:val="top"/>
          </w:tcPr>
          <w:p>
            <w:pPr>
              <w:spacing w:line="500" w:lineRule="exact"/>
              <w:ind w:firstLine="480"/>
              <w:rPr>
                <w:rFonts w:hint="eastAsia" w:cs="宋体"/>
              </w:rPr>
            </w:pPr>
          </w:p>
        </w:tc>
        <w:tc>
          <w:tcPr>
            <w:tcW w:w="1890" w:type="dxa"/>
            <w:vAlign w:val="top"/>
          </w:tcPr>
          <w:p>
            <w:pPr>
              <w:spacing w:line="500" w:lineRule="exact"/>
              <w:ind w:firstLine="480"/>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6" w:type="dxa"/>
            <w:vAlign w:val="top"/>
          </w:tcPr>
          <w:p>
            <w:pPr>
              <w:spacing w:line="500" w:lineRule="exact"/>
              <w:ind w:firstLine="480"/>
              <w:rPr>
                <w:rFonts w:hint="eastAsia" w:cs="宋体"/>
              </w:rPr>
            </w:pPr>
          </w:p>
        </w:tc>
        <w:tc>
          <w:tcPr>
            <w:tcW w:w="3878" w:type="dxa"/>
            <w:vAlign w:val="top"/>
          </w:tcPr>
          <w:p>
            <w:pPr>
              <w:spacing w:line="500" w:lineRule="exact"/>
              <w:ind w:firstLine="480"/>
              <w:rPr>
                <w:rFonts w:hint="eastAsia" w:cs="宋体"/>
              </w:rPr>
            </w:pPr>
          </w:p>
        </w:tc>
        <w:tc>
          <w:tcPr>
            <w:tcW w:w="1890" w:type="dxa"/>
            <w:vAlign w:val="top"/>
          </w:tcPr>
          <w:p>
            <w:pPr>
              <w:spacing w:line="500" w:lineRule="exact"/>
              <w:ind w:firstLine="480"/>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6" w:type="dxa"/>
            <w:vAlign w:val="top"/>
          </w:tcPr>
          <w:p>
            <w:pPr>
              <w:spacing w:line="500" w:lineRule="exact"/>
              <w:ind w:firstLine="480"/>
              <w:rPr>
                <w:rFonts w:hint="eastAsia" w:cs="宋体"/>
              </w:rPr>
            </w:pPr>
          </w:p>
        </w:tc>
        <w:tc>
          <w:tcPr>
            <w:tcW w:w="3878" w:type="dxa"/>
            <w:vAlign w:val="top"/>
          </w:tcPr>
          <w:p>
            <w:pPr>
              <w:spacing w:line="500" w:lineRule="exact"/>
              <w:ind w:firstLine="480"/>
              <w:rPr>
                <w:rFonts w:hint="eastAsia" w:cs="宋体"/>
              </w:rPr>
            </w:pPr>
          </w:p>
        </w:tc>
        <w:tc>
          <w:tcPr>
            <w:tcW w:w="1890" w:type="dxa"/>
            <w:vAlign w:val="top"/>
          </w:tcPr>
          <w:p>
            <w:pPr>
              <w:spacing w:line="500" w:lineRule="exact"/>
              <w:ind w:firstLine="480"/>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6" w:type="dxa"/>
            <w:vAlign w:val="top"/>
          </w:tcPr>
          <w:p>
            <w:pPr>
              <w:spacing w:line="500" w:lineRule="exact"/>
              <w:ind w:firstLine="480"/>
              <w:rPr>
                <w:rFonts w:hint="eastAsia" w:cs="宋体"/>
              </w:rPr>
            </w:pPr>
          </w:p>
        </w:tc>
        <w:tc>
          <w:tcPr>
            <w:tcW w:w="3878" w:type="dxa"/>
            <w:vAlign w:val="top"/>
          </w:tcPr>
          <w:p>
            <w:pPr>
              <w:spacing w:line="500" w:lineRule="exact"/>
              <w:ind w:firstLine="480"/>
              <w:rPr>
                <w:rFonts w:hint="eastAsia" w:cs="宋体"/>
              </w:rPr>
            </w:pPr>
          </w:p>
        </w:tc>
        <w:tc>
          <w:tcPr>
            <w:tcW w:w="1890" w:type="dxa"/>
            <w:vAlign w:val="top"/>
          </w:tcPr>
          <w:p>
            <w:pPr>
              <w:spacing w:line="500" w:lineRule="exact"/>
              <w:ind w:firstLine="480"/>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6" w:type="dxa"/>
            <w:vAlign w:val="top"/>
          </w:tcPr>
          <w:p>
            <w:pPr>
              <w:spacing w:line="500" w:lineRule="exact"/>
              <w:ind w:firstLine="480"/>
              <w:rPr>
                <w:rFonts w:hint="eastAsia" w:cs="宋体"/>
              </w:rPr>
            </w:pPr>
          </w:p>
        </w:tc>
        <w:tc>
          <w:tcPr>
            <w:tcW w:w="3878" w:type="dxa"/>
            <w:vAlign w:val="top"/>
          </w:tcPr>
          <w:p>
            <w:pPr>
              <w:spacing w:line="500" w:lineRule="exact"/>
              <w:ind w:firstLine="480"/>
              <w:rPr>
                <w:rFonts w:hint="eastAsia" w:cs="宋体"/>
              </w:rPr>
            </w:pPr>
          </w:p>
        </w:tc>
        <w:tc>
          <w:tcPr>
            <w:tcW w:w="1890" w:type="dxa"/>
            <w:vAlign w:val="top"/>
          </w:tcPr>
          <w:p>
            <w:pPr>
              <w:spacing w:line="500" w:lineRule="exact"/>
              <w:ind w:firstLine="480"/>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6" w:type="dxa"/>
            <w:vAlign w:val="top"/>
          </w:tcPr>
          <w:p>
            <w:pPr>
              <w:spacing w:line="500" w:lineRule="exact"/>
              <w:ind w:firstLine="480"/>
              <w:rPr>
                <w:rFonts w:hint="eastAsia" w:cs="宋体"/>
              </w:rPr>
            </w:pPr>
          </w:p>
        </w:tc>
        <w:tc>
          <w:tcPr>
            <w:tcW w:w="3878" w:type="dxa"/>
            <w:vAlign w:val="top"/>
          </w:tcPr>
          <w:p>
            <w:pPr>
              <w:spacing w:line="500" w:lineRule="exact"/>
              <w:ind w:firstLine="480"/>
              <w:rPr>
                <w:rFonts w:hint="eastAsia" w:cs="宋体"/>
              </w:rPr>
            </w:pPr>
          </w:p>
        </w:tc>
        <w:tc>
          <w:tcPr>
            <w:tcW w:w="1890" w:type="dxa"/>
            <w:vAlign w:val="top"/>
          </w:tcPr>
          <w:p>
            <w:pPr>
              <w:spacing w:line="500" w:lineRule="exact"/>
              <w:ind w:firstLine="480"/>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6" w:type="dxa"/>
            <w:vAlign w:val="top"/>
          </w:tcPr>
          <w:p>
            <w:pPr>
              <w:spacing w:line="500" w:lineRule="exact"/>
              <w:ind w:firstLine="480"/>
              <w:rPr>
                <w:rFonts w:hint="eastAsia" w:cs="宋体"/>
              </w:rPr>
            </w:pPr>
          </w:p>
        </w:tc>
        <w:tc>
          <w:tcPr>
            <w:tcW w:w="3878" w:type="dxa"/>
            <w:vAlign w:val="top"/>
          </w:tcPr>
          <w:p>
            <w:pPr>
              <w:spacing w:line="500" w:lineRule="exact"/>
              <w:ind w:firstLine="480"/>
              <w:rPr>
                <w:rFonts w:hint="eastAsia" w:cs="宋体"/>
              </w:rPr>
            </w:pPr>
          </w:p>
        </w:tc>
        <w:tc>
          <w:tcPr>
            <w:tcW w:w="1890" w:type="dxa"/>
            <w:vAlign w:val="top"/>
          </w:tcPr>
          <w:p>
            <w:pPr>
              <w:spacing w:line="500" w:lineRule="exact"/>
              <w:ind w:firstLine="480"/>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6" w:type="dxa"/>
            <w:vAlign w:val="top"/>
          </w:tcPr>
          <w:p>
            <w:pPr>
              <w:spacing w:line="500" w:lineRule="exact"/>
              <w:ind w:firstLine="480"/>
              <w:rPr>
                <w:rFonts w:hint="eastAsia" w:cs="宋体"/>
              </w:rPr>
            </w:pPr>
          </w:p>
        </w:tc>
        <w:tc>
          <w:tcPr>
            <w:tcW w:w="3878" w:type="dxa"/>
            <w:vAlign w:val="top"/>
          </w:tcPr>
          <w:p>
            <w:pPr>
              <w:spacing w:line="500" w:lineRule="exact"/>
              <w:ind w:firstLine="480"/>
              <w:rPr>
                <w:rFonts w:hint="eastAsia" w:cs="宋体"/>
              </w:rPr>
            </w:pPr>
          </w:p>
        </w:tc>
        <w:tc>
          <w:tcPr>
            <w:tcW w:w="1890" w:type="dxa"/>
            <w:vAlign w:val="top"/>
          </w:tcPr>
          <w:p>
            <w:pPr>
              <w:spacing w:line="500" w:lineRule="exact"/>
              <w:ind w:firstLine="480"/>
              <w:rPr>
                <w:rFonts w:hint="eastAsia" w:cs="宋体"/>
              </w:rPr>
            </w:pPr>
          </w:p>
        </w:tc>
      </w:tr>
    </w:tbl>
    <w:p>
      <w:pPr>
        <w:ind w:firstLine="480"/>
        <w:rPr>
          <w:rFonts w:hint="eastAsia" w:ascii="宋体" w:hAnsi="宋体" w:eastAsia="宋体" w:cs="宋体"/>
          <w:color w:val="auto"/>
          <w:highlight w:val="none"/>
        </w:rPr>
      </w:pPr>
      <w:r>
        <w:rPr>
          <w:rFonts w:hint="eastAsia" w:ascii="宋体" w:hAnsi="宋体" w:cs="宋体"/>
          <w:b/>
          <w:bCs/>
          <w:lang w:eastAsia="zh-CN"/>
        </w:rPr>
        <w:t>注：</w:t>
      </w:r>
      <w:r>
        <w:rPr>
          <w:rFonts w:hint="eastAsia" w:ascii="宋体" w:hAnsi="宋体" w:cs="宋体"/>
        </w:rPr>
        <w:t>投标人投标时必须根据所投标的，列出设备（进口设备及国产单价大于</w:t>
      </w:r>
      <w:r>
        <w:rPr>
          <w:rFonts w:hint="eastAsia"/>
        </w:rPr>
        <w:t>5</w:t>
      </w:r>
      <w:r>
        <w:rPr>
          <w:rFonts w:hint="eastAsia" w:ascii="宋体" w:hAnsi="宋体" w:cs="宋体"/>
        </w:rPr>
        <w:t>万元的）主要维修用零配件清单及价格，此价格作为乙方质保期后维修更换零配件收费的依据；如遇后期市场价格变动，则按变动后的价格由甲乙双方提供价格变动证明后协商执行。</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投标人名称（公章）：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ind w:left="0" w:leftChars="0" w:firstLine="0" w:firstLineChars="0"/>
        <w:rPr>
          <w:rFonts w:hint="eastAsia"/>
          <w:lang w:val="en-US" w:eastAsia="zh-CN"/>
        </w:rPr>
        <w:sectPr>
          <w:pgSz w:w="11907" w:h="16840"/>
          <w:pgMar w:top="1440" w:right="1080" w:bottom="1440" w:left="1080" w:header="850" w:footer="992" w:gutter="0"/>
          <w:pgBorders>
            <w:top w:val="none" w:color="auto" w:sz="0" w:space="0"/>
            <w:left w:val="none" w:color="auto" w:sz="0" w:space="0"/>
            <w:bottom w:val="none" w:color="auto" w:sz="0" w:space="0"/>
            <w:right w:val="none" w:color="auto" w:sz="0" w:space="0"/>
          </w:pgBorders>
          <w:cols w:space="720" w:num="1"/>
          <w:docGrid w:linePitch="286" w:charSpace="0"/>
        </w:sectPr>
      </w:pPr>
    </w:p>
    <w:p>
      <w:pPr>
        <w:pStyle w:val="6"/>
        <w:numPr>
          <w:ilvl w:val="0"/>
          <w:numId w:val="46"/>
        </w:numPr>
        <w:bidi w:val="0"/>
        <w:ind w:left="0" w:leftChars="0" w:firstLine="482"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产品总体性能及质量水平</w:t>
      </w:r>
    </w:p>
    <w:p>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说明：投标人须按照评分标准要求编写并提交相应证明材料</w:t>
      </w:r>
    </w:p>
    <w:p>
      <w:pPr>
        <w:pStyle w:val="12"/>
        <w:rPr>
          <w:rFonts w:hint="eastAsia" w:ascii="宋体" w:hAnsi="宋体" w:eastAsia="宋体" w:cs="宋体"/>
          <w:color w:val="auto"/>
          <w:highlight w:val="none"/>
        </w:rPr>
      </w:pPr>
    </w:p>
    <w:p>
      <w:pPr>
        <w:pStyle w:val="6"/>
        <w:numPr>
          <w:ilvl w:val="0"/>
          <w:numId w:val="46"/>
        </w:numPr>
        <w:bidi w:val="0"/>
        <w:ind w:left="0" w:leftChars="0" w:firstLine="482"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产品配置的先进性、完整性和适用性</w:t>
      </w:r>
    </w:p>
    <w:p>
      <w:pPr>
        <w:numPr>
          <w:ilvl w:val="0"/>
          <w:numId w:val="0"/>
        </w:numPr>
        <w:tabs>
          <w:tab w:val="clear" w:pos="360"/>
          <w:tab w:val="clear" w:pos="420"/>
          <w:tab w:val="clear" w:pos="1620"/>
        </w:tabs>
        <w:bidi w:val="0"/>
        <w:ind w:left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说明：投标人须按照评分标准要求编写并提交相应证明材料</w:t>
      </w:r>
    </w:p>
    <w:p>
      <w:pPr>
        <w:rPr>
          <w:rFonts w:hint="eastAsia" w:ascii="宋体" w:hAnsi="宋体" w:eastAsia="宋体" w:cs="宋体"/>
          <w:color w:val="auto"/>
          <w:highlight w:val="none"/>
          <w:lang w:val="en-US" w:eastAsia="zh-CN"/>
        </w:rPr>
      </w:pPr>
    </w:p>
    <w:p>
      <w:pPr>
        <w:pStyle w:val="6"/>
        <w:numPr>
          <w:ilvl w:val="0"/>
          <w:numId w:val="46"/>
        </w:numPr>
        <w:bidi w:val="0"/>
        <w:ind w:left="0" w:leftChars="0" w:firstLine="482"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产品的稳定性、可操作性和可维护性</w:t>
      </w:r>
    </w:p>
    <w:p>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说明：投标人须按照评分标准要求编写并提交相应证明材料</w:t>
      </w:r>
    </w:p>
    <w:p>
      <w:pPr>
        <w:rPr>
          <w:rFonts w:hint="eastAsia" w:ascii="宋体" w:hAnsi="宋体" w:eastAsia="宋体" w:cs="宋体"/>
          <w:color w:val="auto"/>
          <w:highlight w:val="none"/>
          <w:lang w:val="en-US" w:eastAsia="zh-CN"/>
        </w:rPr>
      </w:pPr>
    </w:p>
    <w:p>
      <w:pPr>
        <w:pStyle w:val="6"/>
        <w:numPr>
          <w:ilvl w:val="0"/>
          <w:numId w:val="46"/>
        </w:numPr>
        <w:bidi w:val="0"/>
        <w:ind w:left="0" w:leftChars="0" w:firstLine="482"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安装、调试、验收计划及人员安排情况</w:t>
      </w:r>
    </w:p>
    <w:p>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说明：投标人须按照评分标准要求编写并提交相应证明材料</w:t>
      </w:r>
    </w:p>
    <w:p>
      <w:pPr>
        <w:pStyle w:val="48"/>
        <w:rPr>
          <w:rFonts w:hint="eastAsia" w:ascii="宋体" w:hAnsi="宋体" w:eastAsia="宋体" w:cs="宋体"/>
          <w:color w:val="auto"/>
          <w:highlight w:val="none"/>
          <w:lang w:val="en-US" w:eastAsia="zh-CN"/>
        </w:rPr>
      </w:pPr>
    </w:p>
    <w:p>
      <w:pPr>
        <w:pStyle w:val="6"/>
        <w:numPr>
          <w:ilvl w:val="0"/>
          <w:numId w:val="46"/>
        </w:numPr>
        <w:bidi w:val="0"/>
        <w:ind w:left="0" w:leftChars="0" w:firstLine="482"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售后服务</w:t>
      </w:r>
    </w:p>
    <w:p>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说明：投标人须按照评分标准要求编写并提交相应证明材料</w:t>
      </w:r>
    </w:p>
    <w:p>
      <w:pPr>
        <w:ind w:left="0" w:leftChars="0" w:firstLine="0" w:firstLineChars="0"/>
        <w:rPr>
          <w:rFonts w:hint="eastAsia" w:ascii="宋体" w:hAnsi="宋体" w:eastAsia="宋体" w:cs="宋体"/>
          <w:color w:val="auto"/>
          <w:highlight w:val="none"/>
          <w:lang w:val="en-US" w:eastAsia="zh-CN"/>
        </w:rPr>
      </w:pPr>
    </w:p>
    <w:p>
      <w:pPr>
        <w:pStyle w:val="6"/>
        <w:numPr>
          <w:ilvl w:val="0"/>
          <w:numId w:val="46"/>
        </w:numPr>
        <w:bidi w:val="0"/>
        <w:ind w:left="0" w:leftChars="0" w:firstLine="482"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优惠条件</w:t>
      </w:r>
    </w:p>
    <w:p>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说明：投标人须按照评分标准要求编写并提交相应证明材料</w:t>
      </w:r>
    </w:p>
    <w:p>
      <w:pPr>
        <w:rPr>
          <w:rFonts w:hint="eastAsia" w:ascii="宋体" w:hAnsi="宋体" w:eastAsia="宋体" w:cs="宋体"/>
          <w:color w:val="auto"/>
          <w:highlight w:val="none"/>
          <w:lang w:val="en-US" w:eastAsia="zh-CN"/>
        </w:rPr>
      </w:pPr>
    </w:p>
    <w:p>
      <w:pPr>
        <w:pStyle w:val="6"/>
        <w:numPr>
          <w:ilvl w:val="0"/>
          <w:numId w:val="46"/>
        </w:numPr>
        <w:bidi w:val="0"/>
        <w:ind w:left="0" w:leftChars="0" w:firstLine="482"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政府采购政策分</w:t>
      </w:r>
    </w:p>
    <w:p>
      <w:pPr>
        <w:bidi w:val="0"/>
        <w:rPr>
          <w:rFonts w:hint="eastAsia" w:ascii="宋体" w:hAnsi="宋体" w:eastAsia="宋体" w:cs="宋体"/>
          <w:color w:val="auto"/>
          <w:highlight w:val="none"/>
          <w:lang w:val="en-US" w:eastAsia="zh-CN"/>
        </w:rPr>
      </w:pPr>
    </w:p>
    <w:p>
      <w:pPr>
        <w:pStyle w:val="6"/>
        <w:numPr>
          <w:ilvl w:val="0"/>
          <w:numId w:val="46"/>
        </w:numPr>
        <w:bidi w:val="0"/>
        <w:ind w:left="0" w:leftChars="0" w:firstLine="482" w:firstLineChars="200"/>
        <w:rPr>
          <w:rFonts w:hint="eastAsia" w:ascii="宋体" w:hAnsi="宋体" w:eastAsia="宋体" w:cs="宋体"/>
          <w:color w:val="auto"/>
          <w:highlight w:val="none"/>
          <w:lang w:val="en-US" w:eastAsia="zh-CN"/>
        </w:rPr>
      </w:pPr>
      <w:bookmarkStart w:id="184" w:name="_Toc25327"/>
      <w:r>
        <w:rPr>
          <w:rFonts w:hint="eastAsia" w:ascii="宋体" w:hAnsi="宋体" w:eastAsia="宋体" w:cs="宋体"/>
          <w:color w:val="auto"/>
          <w:highlight w:val="none"/>
          <w:lang w:val="en-US" w:eastAsia="zh-CN"/>
        </w:rPr>
        <w:t>其他</w:t>
      </w:r>
      <w:bookmarkEnd w:id="184"/>
    </w:p>
    <w:p>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说明：其它本招标文件评分表要求提供的材料或投标人认为需要的其他技术文件资料或说明</w:t>
      </w:r>
    </w:p>
    <w:p>
      <w:pPr>
        <w:ind w:left="-720" w:right="-958" w:firstLine="0" w:firstLineChars="0"/>
        <w:rPr>
          <w:rFonts w:hint="eastAsia" w:ascii="宋体" w:hAnsi="宋体" w:eastAsia="宋体" w:cs="宋体"/>
          <w:color w:val="auto"/>
          <w:szCs w:val="32"/>
          <w:highlight w:val="none"/>
        </w:rPr>
      </w:pPr>
      <w:r>
        <w:rPr>
          <w:rFonts w:hint="eastAsia" w:ascii="宋体" w:hAnsi="宋体" w:eastAsia="宋体" w:cs="宋体"/>
          <w:color w:val="auto"/>
          <w:szCs w:val="32"/>
          <w:highlight w:val="none"/>
        </w:rPr>
        <w:t xml:space="preserve"> </w:t>
      </w:r>
    </w:p>
    <w:p>
      <w:pPr>
        <w:pStyle w:val="6"/>
        <w:outlineLvl w:val="9"/>
        <w:rPr>
          <w:rFonts w:hint="eastAsia" w:ascii="宋体" w:hAnsi="宋体" w:eastAsia="宋体" w:cs="宋体"/>
          <w:color w:val="auto"/>
          <w:highlight w:val="none"/>
        </w:rPr>
        <w:sectPr>
          <w:pgSz w:w="11907" w:h="16840"/>
          <w:pgMar w:top="1440" w:right="1080" w:bottom="1440" w:left="1080" w:header="850" w:footer="992" w:gutter="0"/>
          <w:pgBorders>
            <w:top w:val="none" w:color="auto" w:sz="0" w:space="0"/>
            <w:left w:val="none" w:color="auto" w:sz="0" w:space="0"/>
            <w:bottom w:val="none" w:color="auto" w:sz="0" w:space="0"/>
            <w:right w:val="none" w:color="auto" w:sz="0" w:space="0"/>
          </w:pgBorders>
          <w:cols w:space="720" w:num="1"/>
          <w:docGrid w:linePitch="286" w:charSpace="0"/>
        </w:sectPr>
      </w:pPr>
    </w:p>
    <w:bookmarkEnd w:id="50"/>
    <w:bookmarkEnd w:id="51"/>
    <w:bookmarkEnd w:id="52"/>
    <w:bookmarkEnd w:id="53"/>
    <w:bookmarkEnd w:id="54"/>
    <w:bookmarkEnd w:id="55"/>
    <w:bookmarkEnd w:id="56"/>
    <w:bookmarkEnd w:id="57"/>
    <w:p>
      <w:pPr>
        <w:pStyle w:val="6"/>
        <w:numPr>
          <w:ilvl w:val="0"/>
          <w:numId w:val="46"/>
        </w:numPr>
        <w:bidi w:val="0"/>
        <w:ind w:left="0" w:leftChars="0" w:firstLine="482" w:firstLineChars="200"/>
        <w:rPr>
          <w:rFonts w:hint="eastAsia" w:ascii="宋体" w:hAnsi="宋体" w:eastAsia="宋体" w:cs="宋体"/>
          <w:color w:val="auto"/>
          <w:highlight w:val="none"/>
        </w:rPr>
      </w:pPr>
      <w:bookmarkStart w:id="185" w:name="_Toc8358"/>
      <w:r>
        <w:rPr>
          <w:rFonts w:hint="eastAsia" w:ascii="宋体" w:hAnsi="宋体" w:eastAsia="宋体" w:cs="宋体"/>
          <w:color w:val="auto"/>
          <w:highlight w:val="none"/>
        </w:rPr>
        <w:t>质疑函</w:t>
      </w:r>
      <w:bookmarkEnd w:id="185"/>
    </w:p>
    <w:p>
      <w:pPr>
        <w:spacing w:line="240" w:lineRule="auto"/>
        <w:ind w:left="0" w:leftChars="0" w:right="0" w:rightChars="0" w:firstLine="0" w:firstLineChars="0"/>
        <w:jc w:val="center"/>
        <w:rPr>
          <w:rFonts w:hint="eastAsia" w:ascii="宋体" w:hAnsi="宋体" w:eastAsia="宋体" w:cs="宋体"/>
          <w:b/>
          <w:color w:val="auto"/>
          <w:kern w:val="0"/>
          <w:sz w:val="32"/>
          <w:highlight w:val="none"/>
          <w:lang w:eastAsia="zh-CN"/>
        </w:rPr>
      </w:pPr>
      <w:bookmarkStart w:id="186" w:name="_Toc4682"/>
      <w:r>
        <w:rPr>
          <w:rFonts w:hint="eastAsia" w:ascii="宋体" w:hAnsi="宋体" w:eastAsia="宋体" w:cs="宋体"/>
          <w:b/>
          <w:color w:val="auto"/>
          <w:kern w:val="0"/>
          <w:sz w:val="32"/>
          <w:highlight w:val="none"/>
          <w:lang w:eastAsia="zh-CN"/>
        </w:rPr>
        <w:t>质疑函</w:t>
      </w:r>
      <w:bookmarkEnd w:id="186"/>
    </w:p>
    <w:p>
      <w:pPr>
        <w:keepNext w:val="0"/>
        <w:keepLines w:val="0"/>
        <w:pageBreakBefore w:val="0"/>
        <w:widowControl w:val="0"/>
        <w:kinsoku/>
        <w:wordWrap/>
        <w:overflowPunct/>
        <w:topLinePunct w:val="0"/>
        <w:autoSpaceDE/>
        <w:autoSpaceDN/>
        <w:bidi w:val="0"/>
        <w:textAlignment w:val="auto"/>
        <w:rPr>
          <w:rFonts w:hint="eastAsia" w:ascii="宋体" w:hAnsi="宋体" w:eastAsia="宋体" w:cs="宋体"/>
          <w:color w:val="auto"/>
          <w:highlight w:val="none"/>
          <w:lang w:eastAsia="zh-CN"/>
        </w:rPr>
      </w:pPr>
    </w:p>
    <w:p>
      <w:pPr>
        <w:bidi w:val="0"/>
        <w:rPr>
          <w:rFonts w:hint="eastAsia" w:ascii="宋体" w:hAnsi="宋体" w:eastAsia="宋体" w:cs="宋体"/>
          <w:b/>
          <w:bCs/>
          <w:color w:val="auto"/>
          <w:highlight w:val="none"/>
        </w:rPr>
      </w:pPr>
      <w:bookmarkStart w:id="187" w:name="_Toc11431"/>
      <w:r>
        <w:rPr>
          <w:rFonts w:hint="eastAsia" w:ascii="宋体" w:hAnsi="宋体" w:eastAsia="宋体" w:cs="宋体"/>
          <w:b/>
          <w:bCs/>
          <w:color w:val="auto"/>
          <w:highlight w:val="none"/>
        </w:rPr>
        <w:t>一、质疑供应商基本信息</w:t>
      </w:r>
      <w:bookmarkEnd w:id="187"/>
    </w:p>
    <w:p>
      <w:pPr>
        <w:bidi w:val="0"/>
        <w:rPr>
          <w:rFonts w:hint="eastAsia" w:ascii="宋体" w:hAnsi="宋体" w:eastAsia="宋体" w:cs="宋体"/>
          <w:color w:val="auto"/>
          <w:highlight w:val="none"/>
          <w:u w:val="dotted"/>
        </w:rPr>
      </w:pPr>
      <w:r>
        <w:rPr>
          <w:rFonts w:hint="eastAsia" w:ascii="宋体" w:hAnsi="宋体" w:eastAsia="宋体" w:cs="宋体"/>
          <w:color w:val="auto"/>
          <w:highlight w:val="none"/>
        </w:rPr>
        <w:t>质疑供应商：</w:t>
      </w:r>
      <w:r>
        <w:rPr>
          <w:rFonts w:hint="eastAsia" w:ascii="宋体" w:hAnsi="宋体" w:eastAsia="宋体" w:cs="宋体"/>
          <w:color w:val="auto"/>
          <w:highlight w:val="none"/>
          <w:u w:val="dotted"/>
        </w:rPr>
        <w:t xml:space="preserve">                                        </w:t>
      </w:r>
    </w:p>
    <w:p>
      <w:pPr>
        <w:bidi w:val="0"/>
        <w:rPr>
          <w:rFonts w:hint="eastAsia" w:ascii="宋体" w:hAnsi="宋体" w:eastAsia="宋体" w:cs="宋体"/>
          <w:color w:val="auto"/>
          <w:highlight w:val="none"/>
        </w:rPr>
      </w:pPr>
      <w:r>
        <w:rPr>
          <w:rFonts w:hint="eastAsia" w:ascii="宋体" w:hAnsi="宋体" w:eastAsia="宋体" w:cs="宋体"/>
          <w:color w:val="auto"/>
          <w:highlight w:val="none"/>
        </w:rPr>
        <w:t>地址：                          邮编：</w:t>
      </w:r>
      <w:r>
        <w:rPr>
          <w:rFonts w:hint="eastAsia" w:ascii="宋体" w:hAnsi="宋体" w:eastAsia="宋体" w:cs="宋体"/>
          <w:color w:val="auto"/>
          <w:highlight w:val="none"/>
          <w:u w:val="dotted"/>
        </w:rPr>
        <w:t xml:space="preserve">                                                   </w:t>
      </w:r>
    </w:p>
    <w:p>
      <w:pPr>
        <w:bidi w:val="0"/>
        <w:rPr>
          <w:rFonts w:hint="eastAsia" w:ascii="宋体" w:hAnsi="宋体" w:eastAsia="宋体" w:cs="宋体"/>
          <w:color w:val="auto"/>
          <w:highlight w:val="none"/>
        </w:rPr>
      </w:pPr>
      <w:r>
        <w:rPr>
          <w:rFonts w:hint="eastAsia" w:ascii="宋体" w:hAnsi="宋体" w:eastAsia="宋体" w:cs="宋体"/>
          <w:color w:val="auto"/>
          <w:highlight w:val="none"/>
        </w:rPr>
        <w:t>联系人：                        联系电话：</w:t>
      </w:r>
      <w:r>
        <w:rPr>
          <w:rFonts w:hint="eastAsia" w:ascii="宋体" w:hAnsi="宋体" w:eastAsia="宋体" w:cs="宋体"/>
          <w:color w:val="auto"/>
          <w:highlight w:val="none"/>
          <w:u w:val="dotted"/>
        </w:rPr>
        <w:t xml:space="preserve">                              </w:t>
      </w:r>
    </w:p>
    <w:p>
      <w:pPr>
        <w:bidi w:val="0"/>
        <w:rPr>
          <w:rFonts w:hint="eastAsia" w:ascii="宋体" w:hAnsi="宋体" w:eastAsia="宋体" w:cs="宋体"/>
          <w:color w:val="auto"/>
          <w:highlight w:val="none"/>
          <w:u w:val="dotted"/>
        </w:rPr>
      </w:pPr>
      <w:r>
        <w:rPr>
          <w:rFonts w:hint="eastAsia" w:ascii="宋体" w:hAnsi="宋体" w:eastAsia="宋体" w:cs="宋体"/>
          <w:color w:val="auto"/>
          <w:highlight w:val="none"/>
        </w:rPr>
        <w:t>授权代表：</w:t>
      </w:r>
      <w:r>
        <w:rPr>
          <w:rFonts w:hint="eastAsia" w:ascii="宋体" w:hAnsi="宋体" w:eastAsia="宋体" w:cs="宋体"/>
          <w:color w:val="auto"/>
          <w:highlight w:val="none"/>
          <w:u w:val="dotted"/>
        </w:rPr>
        <w:t xml:space="preserve">                                          </w:t>
      </w:r>
    </w:p>
    <w:p>
      <w:pPr>
        <w:bidi w:val="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 xml:space="preserve"> </w:t>
      </w:r>
    </w:p>
    <w:p>
      <w:pPr>
        <w:bidi w:val="0"/>
        <w:rPr>
          <w:rFonts w:hint="eastAsia" w:ascii="宋体" w:hAnsi="宋体" w:eastAsia="宋体" w:cs="宋体"/>
          <w:color w:val="auto"/>
          <w:highlight w:val="none"/>
        </w:rPr>
      </w:pPr>
      <w:r>
        <w:rPr>
          <w:rFonts w:hint="eastAsia" w:ascii="宋体" w:hAnsi="宋体" w:eastAsia="宋体" w:cs="宋体"/>
          <w:color w:val="auto"/>
          <w:highlight w:val="none"/>
        </w:rPr>
        <w:t>地址：                          邮编：</w:t>
      </w:r>
      <w:r>
        <w:rPr>
          <w:rFonts w:hint="eastAsia" w:ascii="宋体" w:hAnsi="宋体" w:eastAsia="宋体" w:cs="宋体"/>
          <w:color w:val="auto"/>
          <w:highlight w:val="none"/>
          <w:u w:val="dotted"/>
        </w:rPr>
        <w:t xml:space="preserve">                                                </w:t>
      </w:r>
    </w:p>
    <w:p>
      <w:pPr>
        <w:bidi w:val="0"/>
        <w:rPr>
          <w:rFonts w:hint="eastAsia" w:ascii="宋体" w:hAnsi="宋体" w:eastAsia="宋体" w:cs="宋体"/>
          <w:b/>
          <w:bCs/>
          <w:color w:val="auto"/>
          <w:highlight w:val="none"/>
        </w:rPr>
      </w:pPr>
      <w:bookmarkStart w:id="188" w:name="_Toc13602"/>
      <w:r>
        <w:rPr>
          <w:rFonts w:hint="eastAsia" w:ascii="宋体" w:hAnsi="宋体" w:eastAsia="宋体" w:cs="宋体"/>
          <w:b/>
          <w:bCs/>
          <w:color w:val="auto"/>
          <w:highlight w:val="none"/>
        </w:rPr>
        <w:t>二、质疑项目基本情况</w:t>
      </w:r>
      <w:bookmarkEnd w:id="188"/>
    </w:p>
    <w:p>
      <w:pPr>
        <w:bidi w:val="0"/>
        <w:rPr>
          <w:rFonts w:hint="eastAsia" w:ascii="宋体" w:hAnsi="宋体" w:eastAsia="宋体" w:cs="宋体"/>
          <w:color w:val="auto"/>
          <w:highlight w:val="none"/>
        </w:rPr>
      </w:pPr>
      <w:r>
        <w:rPr>
          <w:rFonts w:hint="eastAsia" w:ascii="宋体" w:hAnsi="宋体" w:eastAsia="宋体" w:cs="宋体"/>
          <w:color w:val="auto"/>
          <w:highlight w:val="none"/>
        </w:rPr>
        <w:t>质疑项目的名称：</w:t>
      </w:r>
      <w:r>
        <w:rPr>
          <w:rFonts w:hint="eastAsia" w:ascii="宋体" w:hAnsi="宋体" w:eastAsia="宋体" w:cs="宋体"/>
          <w:color w:val="auto"/>
          <w:highlight w:val="none"/>
          <w:u w:val="dotted"/>
        </w:rPr>
        <w:t xml:space="preserve">                                      </w:t>
      </w:r>
    </w:p>
    <w:p>
      <w:pPr>
        <w:bidi w:val="0"/>
        <w:rPr>
          <w:rFonts w:hint="eastAsia" w:ascii="宋体" w:hAnsi="宋体" w:eastAsia="宋体" w:cs="宋体"/>
          <w:color w:val="auto"/>
          <w:highlight w:val="none"/>
        </w:rPr>
      </w:pPr>
      <w:r>
        <w:rPr>
          <w:rFonts w:hint="eastAsia" w:ascii="宋体" w:hAnsi="宋体" w:eastAsia="宋体" w:cs="宋体"/>
          <w:color w:val="auto"/>
          <w:highlight w:val="none"/>
        </w:rPr>
        <w:t>质疑项目的编号：                包号：</w:t>
      </w:r>
      <w:r>
        <w:rPr>
          <w:rFonts w:hint="eastAsia" w:ascii="宋体" w:hAnsi="宋体" w:eastAsia="宋体" w:cs="宋体"/>
          <w:color w:val="auto"/>
          <w:highlight w:val="none"/>
          <w:u w:val="dotted"/>
        </w:rPr>
        <w:t xml:space="preserve">                 </w:t>
      </w:r>
    </w:p>
    <w:p>
      <w:pPr>
        <w:bidi w:val="0"/>
        <w:rPr>
          <w:rFonts w:hint="eastAsia" w:ascii="宋体" w:hAnsi="宋体" w:eastAsia="宋体" w:cs="宋体"/>
          <w:color w:val="auto"/>
          <w:highlight w:val="none"/>
          <w:u w:val="dotted"/>
        </w:rPr>
      </w:pPr>
      <w:r>
        <w:rPr>
          <w:rFonts w:hint="eastAsia" w:ascii="宋体" w:hAnsi="宋体" w:eastAsia="宋体" w:cs="宋体"/>
          <w:color w:val="auto"/>
          <w:highlight w:val="none"/>
        </w:rPr>
        <w:t>采购人名称：</w:t>
      </w:r>
      <w:r>
        <w:rPr>
          <w:rFonts w:hint="eastAsia" w:ascii="宋体" w:hAnsi="宋体" w:eastAsia="宋体" w:cs="宋体"/>
          <w:color w:val="auto"/>
          <w:highlight w:val="none"/>
          <w:u w:val="dotted"/>
        </w:rPr>
        <w:t xml:space="preserve">                                         </w:t>
      </w:r>
    </w:p>
    <w:p>
      <w:pPr>
        <w:bidi w:val="0"/>
        <w:rPr>
          <w:rFonts w:hint="eastAsia" w:ascii="宋体" w:hAnsi="宋体" w:eastAsia="宋体" w:cs="宋体"/>
          <w:color w:val="auto"/>
          <w:highlight w:val="none"/>
        </w:rPr>
      </w:pPr>
      <w:r>
        <w:rPr>
          <w:rFonts w:hint="eastAsia" w:ascii="宋体" w:hAnsi="宋体" w:eastAsia="宋体" w:cs="宋体"/>
          <w:color w:val="auto"/>
          <w:highlight w:val="none"/>
        </w:rPr>
        <w:t>采购文件获取日期：</w:t>
      </w:r>
      <w:r>
        <w:rPr>
          <w:rFonts w:hint="eastAsia" w:ascii="宋体" w:hAnsi="宋体" w:eastAsia="宋体" w:cs="宋体"/>
          <w:color w:val="auto"/>
          <w:highlight w:val="none"/>
          <w:u w:val="dotted"/>
        </w:rPr>
        <w:t xml:space="preserve">                                           </w:t>
      </w:r>
    </w:p>
    <w:p>
      <w:pPr>
        <w:bidi w:val="0"/>
        <w:rPr>
          <w:rFonts w:hint="eastAsia" w:ascii="宋体" w:hAnsi="宋体" w:eastAsia="宋体" w:cs="宋体"/>
          <w:b/>
          <w:bCs/>
          <w:color w:val="auto"/>
          <w:highlight w:val="none"/>
        </w:rPr>
      </w:pPr>
      <w:bookmarkStart w:id="189" w:name="_Toc25776"/>
      <w:r>
        <w:rPr>
          <w:rFonts w:hint="eastAsia" w:ascii="宋体" w:hAnsi="宋体" w:eastAsia="宋体" w:cs="宋体"/>
          <w:b/>
          <w:bCs/>
          <w:color w:val="auto"/>
          <w:highlight w:val="none"/>
        </w:rPr>
        <w:t>三、质疑事项具体内容</w:t>
      </w:r>
      <w:bookmarkEnd w:id="189"/>
    </w:p>
    <w:p>
      <w:pPr>
        <w:bidi w:val="0"/>
        <w:rPr>
          <w:rFonts w:hint="eastAsia" w:ascii="宋体" w:hAnsi="宋体" w:eastAsia="宋体" w:cs="宋体"/>
          <w:color w:val="auto"/>
          <w:highlight w:val="none"/>
          <w:u w:val="single"/>
        </w:rPr>
      </w:pPr>
      <w:r>
        <w:rPr>
          <w:rFonts w:hint="eastAsia" w:ascii="宋体" w:hAnsi="宋体" w:eastAsia="宋体" w:cs="宋体"/>
          <w:color w:val="auto"/>
          <w:highlight w:val="none"/>
        </w:rPr>
        <w:t>质疑事项1：</w:t>
      </w:r>
      <w:r>
        <w:rPr>
          <w:rFonts w:hint="eastAsia" w:ascii="宋体" w:hAnsi="宋体" w:eastAsia="宋体" w:cs="宋体"/>
          <w:color w:val="auto"/>
          <w:highlight w:val="none"/>
          <w:u w:val="single"/>
        </w:rPr>
        <w:t xml:space="preserve">                     </w:t>
      </w:r>
    </w:p>
    <w:p>
      <w:pPr>
        <w:bidi w:val="0"/>
        <w:rPr>
          <w:rFonts w:hint="eastAsia" w:ascii="宋体" w:hAnsi="宋体" w:eastAsia="宋体" w:cs="宋体"/>
          <w:color w:val="auto"/>
          <w:highlight w:val="none"/>
          <w:u w:val="dotted"/>
        </w:rPr>
      </w:pPr>
      <w:r>
        <w:rPr>
          <w:rFonts w:hint="eastAsia" w:ascii="宋体" w:hAnsi="宋体" w:eastAsia="宋体" w:cs="宋体"/>
          <w:color w:val="auto"/>
          <w:highlight w:val="none"/>
        </w:rPr>
        <w:t>事实依据：</w:t>
      </w:r>
      <w:r>
        <w:rPr>
          <w:rFonts w:hint="eastAsia" w:ascii="宋体" w:hAnsi="宋体" w:eastAsia="宋体" w:cs="宋体"/>
          <w:color w:val="auto"/>
          <w:highlight w:val="none"/>
          <w:u w:val="dotted"/>
        </w:rPr>
        <w:t xml:space="preserve">                                          </w:t>
      </w:r>
    </w:p>
    <w:p>
      <w:pPr>
        <w:bidi w:val="0"/>
        <w:rPr>
          <w:rFonts w:hint="eastAsia" w:ascii="宋体" w:hAnsi="宋体" w:eastAsia="宋体" w:cs="宋体"/>
          <w:color w:val="auto"/>
          <w:highlight w:val="none"/>
          <w:u w:val="dotted"/>
        </w:rPr>
      </w:pPr>
      <w:r>
        <w:rPr>
          <w:rFonts w:hint="eastAsia" w:ascii="宋体" w:hAnsi="宋体" w:eastAsia="宋体" w:cs="宋体"/>
          <w:color w:val="auto"/>
          <w:highlight w:val="none"/>
        </w:rPr>
        <w:t>法律依据：</w:t>
      </w:r>
      <w:r>
        <w:rPr>
          <w:rFonts w:hint="eastAsia" w:ascii="宋体" w:hAnsi="宋体" w:eastAsia="宋体" w:cs="宋体"/>
          <w:color w:val="auto"/>
          <w:highlight w:val="none"/>
          <w:u w:val="dotted"/>
        </w:rPr>
        <w:t xml:space="preserve">                                                                                               </w:t>
      </w:r>
    </w:p>
    <w:p>
      <w:pPr>
        <w:bidi w:val="0"/>
        <w:rPr>
          <w:rFonts w:hint="eastAsia" w:ascii="宋体" w:hAnsi="宋体" w:eastAsia="宋体" w:cs="宋体"/>
          <w:color w:val="auto"/>
          <w:highlight w:val="none"/>
        </w:rPr>
      </w:pPr>
      <w:r>
        <w:rPr>
          <w:rFonts w:hint="eastAsia" w:ascii="宋体" w:hAnsi="宋体" w:eastAsia="宋体" w:cs="宋体"/>
          <w:color w:val="auto"/>
          <w:highlight w:val="none"/>
        </w:rPr>
        <w:t>质疑事项2</w:t>
      </w:r>
    </w:p>
    <w:p>
      <w:pPr>
        <w:bidi w:val="0"/>
        <w:rPr>
          <w:rFonts w:hint="eastAsia" w:ascii="宋体" w:hAnsi="宋体" w:eastAsia="宋体" w:cs="宋体"/>
          <w:color w:val="auto"/>
          <w:highlight w:val="none"/>
        </w:rPr>
      </w:pPr>
      <w:r>
        <w:rPr>
          <w:rFonts w:hint="eastAsia" w:ascii="宋体" w:hAnsi="宋体" w:eastAsia="宋体" w:cs="宋体"/>
          <w:color w:val="auto"/>
          <w:highlight w:val="none"/>
        </w:rPr>
        <w:t>……</w:t>
      </w:r>
    </w:p>
    <w:p>
      <w:pPr>
        <w:bidi w:val="0"/>
        <w:rPr>
          <w:rFonts w:hint="eastAsia" w:ascii="宋体" w:hAnsi="宋体" w:eastAsia="宋体" w:cs="宋体"/>
          <w:b/>
          <w:bCs/>
          <w:color w:val="auto"/>
          <w:highlight w:val="none"/>
        </w:rPr>
      </w:pPr>
      <w:bookmarkStart w:id="190" w:name="_Toc19446"/>
      <w:r>
        <w:rPr>
          <w:rFonts w:hint="eastAsia" w:ascii="宋体" w:hAnsi="宋体" w:eastAsia="宋体" w:cs="宋体"/>
          <w:b/>
          <w:bCs/>
          <w:color w:val="auto"/>
          <w:highlight w:val="none"/>
        </w:rPr>
        <w:t>四、与质疑事项相关的质疑请求</w:t>
      </w:r>
      <w:bookmarkEnd w:id="190"/>
    </w:p>
    <w:p>
      <w:pPr>
        <w:bidi w:val="0"/>
        <w:rPr>
          <w:rFonts w:hint="eastAsia" w:ascii="宋体" w:hAnsi="宋体" w:eastAsia="宋体" w:cs="宋体"/>
          <w:color w:val="auto"/>
          <w:highlight w:val="none"/>
          <w:u w:val="dotted"/>
        </w:rPr>
      </w:pPr>
      <w:r>
        <w:rPr>
          <w:rFonts w:hint="eastAsia" w:ascii="宋体" w:hAnsi="宋体" w:eastAsia="宋体" w:cs="宋体"/>
          <w:color w:val="auto"/>
          <w:highlight w:val="none"/>
        </w:rPr>
        <w:t>请求：</w:t>
      </w:r>
      <w:r>
        <w:rPr>
          <w:rFonts w:hint="eastAsia" w:ascii="宋体" w:hAnsi="宋体" w:eastAsia="宋体" w:cs="宋体"/>
          <w:color w:val="auto"/>
          <w:highlight w:val="none"/>
          <w:u w:val="dotted"/>
        </w:rPr>
        <w:t xml:space="preserve">                                               </w:t>
      </w:r>
    </w:p>
    <w:p>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签字(签章)：                    公章：                      </w:t>
      </w:r>
    </w:p>
    <w:p>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日期：     </w:t>
      </w:r>
    </w:p>
    <w:p>
      <w:pPr>
        <w:ind w:firstLine="643"/>
        <w:jc w:val="left"/>
        <w:rPr>
          <w:rFonts w:hint="eastAsia" w:ascii="宋体" w:hAnsi="宋体" w:eastAsia="宋体" w:cs="宋体"/>
          <w:b/>
          <w:color w:val="auto"/>
          <w:sz w:val="32"/>
          <w:highlight w:val="none"/>
        </w:rPr>
      </w:pPr>
    </w:p>
    <w:p>
      <w:pPr>
        <w:bidi w:val="0"/>
        <w:rPr>
          <w:rFonts w:hint="eastAsia" w:ascii="宋体" w:hAnsi="宋体" w:eastAsia="宋体" w:cs="宋体"/>
          <w:i/>
          <w:iCs/>
          <w:color w:val="auto"/>
          <w:sz w:val="22"/>
          <w:szCs w:val="22"/>
          <w:highlight w:val="none"/>
        </w:rPr>
      </w:pPr>
      <w:bookmarkStart w:id="191" w:name="_Toc386"/>
      <w:r>
        <w:rPr>
          <w:rFonts w:hint="eastAsia" w:ascii="宋体" w:hAnsi="宋体" w:eastAsia="宋体" w:cs="宋体"/>
          <w:i/>
          <w:iCs/>
          <w:color w:val="auto"/>
          <w:sz w:val="22"/>
          <w:szCs w:val="22"/>
          <w:highlight w:val="none"/>
        </w:rPr>
        <w:t>质疑函制作说明：</w:t>
      </w:r>
      <w:bookmarkEnd w:id="191"/>
    </w:p>
    <w:p>
      <w:pPr>
        <w:bidi w:val="0"/>
        <w:rPr>
          <w:rFonts w:hint="eastAsia" w:ascii="宋体" w:hAnsi="宋体" w:eastAsia="宋体" w:cs="宋体"/>
          <w:i/>
          <w:iCs/>
          <w:color w:val="auto"/>
          <w:sz w:val="22"/>
          <w:szCs w:val="22"/>
          <w:highlight w:val="none"/>
        </w:rPr>
      </w:pPr>
      <w:r>
        <w:rPr>
          <w:rFonts w:hint="eastAsia" w:ascii="宋体" w:hAnsi="宋体" w:eastAsia="宋体" w:cs="宋体"/>
          <w:i/>
          <w:iCs/>
          <w:color w:val="auto"/>
          <w:sz w:val="22"/>
          <w:szCs w:val="22"/>
          <w:highlight w:val="none"/>
        </w:rPr>
        <w:t>1.供应商提出质疑时，应提交质疑函和必要的证明材料。</w:t>
      </w:r>
    </w:p>
    <w:p>
      <w:pPr>
        <w:bidi w:val="0"/>
        <w:rPr>
          <w:rFonts w:hint="eastAsia" w:ascii="宋体" w:hAnsi="宋体" w:eastAsia="宋体" w:cs="宋体"/>
          <w:i/>
          <w:iCs/>
          <w:color w:val="auto"/>
          <w:sz w:val="22"/>
          <w:szCs w:val="22"/>
          <w:highlight w:val="none"/>
        </w:rPr>
      </w:pPr>
      <w:r>
        <w:rPr>
          <w:rFonts w:hint="eastAsia" w:ascii="宋体" w:hAnsi="宋体" w:eastAsia="宋体" w:cs="宋体"/>
          <w:i/>
          <w:iCs/>
          <w:color w:val="auto"/>
          <w:sz w:val="22"/>
          <w:szCs w:val="2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bidi w:val="0"/>
        <w:rPr>
          <w:rFonts w:hint="eastAsia" w:ascii="宋体" w:hAnsi="宋体" w:eastAsia="宋体" w:cs="宋体"/>
          <w:i/>
          <w:iCs/>
          <w:color w:val="auto"/>
          <w:sz w:val="22"/>
          <w:szCs w:val="22"/>
          <w:highlight w:val="none"/>
        </w:rPr>
      </w:pPr>
      <w:r>
        <w:rPr>
          <w:rFonts w:hint="eastAsia" w:ascii="宋体" w:hAnsi="宋体" w:eastAsia="宋体" w:cs="宋体"/>
          <w:i/>
          <w:iCs/>
          <w:color w:val="auto"/>
          <w:sz w:val="22"/>
          <w:szCs w:val="22"/>
          <w:highlight w:val="none"/>
        </w:rPr>
        <w:t>3.质疑供应商若对项目的某一分包进行质疑，质疑函中应列明具体分包号。</w:t>
      </w:r>
    </w:p>
    <w:p>
      <w:pPr>
        <w:bidi w:val="0"/>
        <w:rPr>
          <w:rFonts w:hint="eastAsia" w:ascii="宋体" w:hAnsi="宋体" w:eastAsia="宋体" w:cs="宋体"/>
          <w:i/>
          <w:iCs/>
          <w:color w:val="auto"/>
          <w:sz w:val="22"/>
          <w:szCs w:val="22"/>
          <w:highlight w:val="none"/>
        </w:rPr>
      </w:pPr>
      <w:r>
        <w:rPr>
          <w:rFonts w:hint="eastAsia" w:ascii="宋体" w:hAnsi="宋体" w:eastAsia="宋体" w:cs="宋体"/>
          <w:i/>
          <w:iCs/>
          <w:color w:val="auto"/>
          <w:sz w:val="22"/>
          <w:szCs w:val="22"/>
          <w:highlight w:val="none"/>
        </w:rPr>
        <w:t>4.质疑函的质疑事项应具体、明确，并有必要的事实依据和法律依据。</w:t>
      </w:r>
    </w:p>
    <w:p>
      <w:pPr>
        <w:bidi w:val="0"/>
        <w:rPr>
          <w:rFonts w:hint="eastAsia" w:ascii="宋体" w:hAnsi="宋体" w:eastAsia="宋体" w:cs="宋体"/>
          <w:i/>
          <w:iCs/>
          <w:color w:val="auto"/>
          <w:sz w:val="22"/>
          <w:szCs w:val="22"/>
          <w:highlight w:val="none"/>
        </w:rPr>
      </w:pPr>
      <w:r>
        <w:rPr>
          <w:rFonts w:hint="eastAsia" w:ascii="宋体" w:hAnsi="宋体" w:eastAsia="宋体" w:cs="宋体"/>
          <w:i/>
          <w:iCs/>
          <w:color w:val="auto"/>
          <w:sz w:val="22"/>
          <w:szCs w:val="22"/>
          <w:highlight w:val="none"/>
        </w:rPr>
        <w:t>5.质疑函的质疑请求应与质疑事项相关。</w:t>
      </w:r>
    </w:p>
    <w:p>
      <w:pPr>
        <w:bidi w:val="0"/>
        <w:rPr>
          <w:rFonts w:hint="eastAsia" w:ascii="宋体" w:hAnsi="宋体" w:eastAsia="宋体" w:cs="宋体"/>
          <w:i/>
          <w:iCs/>
          <w:color w:val="auto"/>
          <w:sz w:val="22"/>
          <w:szCs w:val="22"/>
          <w:highlight w:val="none"/>
        </w:rPr>
      </w:pPr>
      <w:r>
        <w:rPr>
          <w:rFonts w:hint="eastAsia" w:ascii="宋体" w:hAnsi="宋体" w:eastAsia="宋体" w:cs="宋体"/>
          <w:i/>
          <w:iCs/>
          <w:color w:val="auto"/>
          <w:sz w:val="22"/>
          <w:szCs w:val="22"/>
          <w:highlight w:val="none"/>
        </w:rPr>
        <w:t>6.质疑供应商为自然人的，质疑函应由本人签字；质疑供应商为法人或者其他组织的，质疑函应由法定代表人、主要负责人，或者其授权代表签字或者盖章，并加盖公章。</w:t>
      </w:r>
    </w:p>
    <w:p>
      <w:pPr>
        <w:rPr>
          <w:rFonts w:hint="eastAsia" w:ascii="宋体" w:hAnsi="宋体" w:eastAsia="宋体" w:cs="宋体"/>
          <w:color w:val="auto"/>
          <w:highlight w:val="none"/>
        </w:rPr>
      </w:pPr>
    </w:p>
    <w:sectPr>
      <w:footerReference r:id="rId19" w:type="default"/>
      <w:pgSz w:w="11906" w:h="16838"/>
      <w:pgMar w:top="1440" w:right="1080" w:bottom="1440" w:left="1080" w:header="851" w:footer="992" w:gutter="0"/>
      <w:pgBorders>
        <w:top w:val="none" w:color="auto" w:sz="0" w:space="0"/>
        <w:left w:val="none" w:color="auto" w:sz="0" w:space="0"/>
        <w:bottom w:val="none" w:color="auto" w:sz="0" w:space="0"/>
        <w:right w:val="none" w:color="auto"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MT Extra">
    <w:altName w:val="Symbol"/>
    <w:panose1 w:val="05050102010205020202"/>
    <w:charset w:val="02"/>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calaSansLF-Regular">
    <w:altName w:val="Trebuchet MS"/>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2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font-weight : 400">
    <w:altName w:val="Segoe Print"/>
    <w:panose1 w:val="00000000000000000000"/>
    <w:charset w:val="00"/>
    <w:family w:val="auto"/>
    <w:pitch w:val="default"/>
    <w:sig w:usb0="00000000" w:usb1="00000000" w:usb2="00000000" w:usb3="00000000" w:csb0="00040001" w:csb1="00000000"/>
  </w:font>
  <w:font w:name="等线">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003F01FF" w:csb1="00000000"/>
  </w:font>
  <w:font w:name="黑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iragino Sans GB">
    <w:altName w:val="Segoe Print"/>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Script MT Bold">
    <w:altName w:val="微软雅黑"/>
    <w:panose1 w:val="00000000000000000000"/>
    <w:charset w:val="00"/>
    <w:family w:val="script"/>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Agilent TT Cond">
    <w:altName w:val="Segoe Print"/>
    <w:panose1 w:val="00000000000000000000"/>
    <w:charset w:val="00"/>
    <w:family w:val="swiss"/>
    <w:pitch w:val="default"/>
    <w:sig w:usb0="00000000" w:usb1="00000000" w:usb2="00000000" w:usb3="00000000" w:csb0="0000009F" w:csb1="00000000"/>
  </w:font>
  <w:font w:name="BatangChe">
    <w:panose1 w:val="02030609000101010101"/>
    <w:charset w:val="81"/>
    <w:family w:val="modern"/>
    <w:pitch w:val="default"/>
    <w:sig w:usb0="B00002AF" w:usb1="69D77CFB" w:usb2="00000030" w:usb3="00000000" w:csb0="4008009F" w:csb1="DFD70000"/>
  </w:font>
  <w:font w:name="MS Gothic">
    <w:panose1 w:val="020B0609070205080204"/>
    <w:charset w:val="80"/>
    <w:family w:val="modern"/>
    <w:pitch w:val="default"/>
    <w:sig w:usb0="E00002FF" w:usb1="6AC7FDFB" w:usb2="00000012" w:usb3="00000000" w:csb0="4002009F" w:csb1="DFD70000"/>
  </w:font>
  <w:font w:name="Agilent TT Cond">
    <w:altName w:val="Segoe Print"/>
    <w:panose1 w:val="020B0606020002020203"/>
    <w:charset w:val="00"/>
    <w:family w:val="swiss"/>
    <w:pitch w:val="default"/>
    <w:sig w:usb0="00000000" w:usb1="00000000" w:usb2="00000000" w:usb3="00000000" w:csb0="0000009F" w:csb1="00000000"/>
  </w:font>
  <w:font w:name="MS Mincho">
    <w:panose1 w:val="02020609040205080304"/>
    <w:charset w:val="80"/>
    <w:family w:val="modern"/>
    <w:pitch w:val="default"/>
    <w:sig w:usb0="E00002FF" w:usb1="6AC7FDFB" w:usb2="00000012" w:usb3="00000000" w:csb0="4002009F" w:csb1="DFD70000"/>
  </w:font>
  <w:font w:name="楷体_GB2312">
    <w:altName w:val="楷体"/>
    <w:panose1 w:val="02010609030001010101"/>
    <w:charset w:val="86"/>
    <w:family w:val="modern"/>
    <w:pitch w:val="default"/>
    <w:sig w:usb0="00000000" w:usb1="00000000" w:usb2="00000010" w:usb3="00000000" w:csb0="00040000" w:csb1="00000000"/>
  </w:font>
  <w:font w:name="仿宋_GB2312">
    <w:altName w:val="仿宋"/>
    <w:panose1 w:val="02010609030001010101"/>
    <w:charset w:val="86"/>
    <w:family w:val="modern"/>
    <w:pitch w:val="default"/>
    <w:sig w:usb0="00000000" w:usb1="00000000" w:usb2="00000010" w:usb3="00000000" w:csb0="00040000" w:csb1="00000000"/>
  </w:font>
  <w:font w:name="ˎ̥">
    <w:altName w:val="Times New Roman"/>
    <w:panose1 w:val="00000000000000000000"/>
    <w:charset w:val="00"/>
    <w:family w:val="decorative"/>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7"/>
                            <w:ind w:firstLine="360"/>
                          </w:pPr>
                          <w:r>
                            <w:rPr>
                              <w:rFonts w:hint="eastAsia"/>
                            </w:rPr>
                            <w:t xml:space="preserve">第 </w:t>
                          </w:r>
                          <w:r>
                            <w:fldChar w:fldCharType="begin"/>
                          </w:r>
                          <w:r>
                            <w:instrText xml:space="preserve"> PAGE  \* MERGEFORMAT </w:instrText>
                          </w:r>
                          <w:r>
                            <w:fldChar w:fldCharType="separate"/>
                          </w:r>
                          <w:r>
                            <w:t>43</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0lY&#10;7tAAAAAFAQAADwAAAAAAAAABACAAAAAiAAAAZHJzL2Rvd25yZXYueG1sUEsBAhQAFAAAAAgAh07i&#10;QP7+USG4AQAAVgMAAA4AAAAAAAAAAQAgAAAAHwEAAGRycy9lMm9Eb2MueG1sUEsFBgAAAAAGAAYA&#10;WQEAAEkFAAAAAA==&#10;">
              <v:fill on="f" focussize="0,0"/>
              <v:stroke on="f" weight="0.5pt"/>
              <v:imagedata o:title=""/>
              <o:lock v:ext="edit" aspectratio="f"/>
              <v:textbox inset="0mm,0mm,0mm,0mm" style="mso-fit-shape-to-text:t;">
                <w:txbxContent>
                  <w:p>
                    <w:pPr>
                      <w:pStyle w:val="27"/>
                      <w:ind w:firstLine="360"/>
                    </w:pPr>
                    <w:r>
                      <w:rPr>
                        <w:rFonts w:hint="eastAsia"/>
                      </w:rPr>
                      <w:t xml:space="preserve">第 </w:t>
                    </w:r>
                    <w:r>
                      <w:fldChar w:fldCharType="begin"/>
                    </w:r>
                    <w:r>
                      <w:instrText xml:space="preserve"> PAGE  \* MERGEFORMAT </w:instrText>
                    </w:r>
                    <w:r>
                      <w:fldChar w:fldCharType="separate"/>
                    </w:r>
                    <w:r>
                      <w:t>43</w:t>
                    </w:r>
                    <w:r>
                      <w:fldChar w:fldCharType="end"/>
                    </w:r>
                    <w:r>
                      <w:rPr>
                        <w:rFonts w:hint="eastAsia"/>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7"/>
                            <w:ind w:firstLine="360"/>
                          </w:pPr>
                          <w:r>
                            <w:rPr>
                              <w:rFonts w:hint="eastAsia"/>
                            </w:rPr>
                            <w:t xml:space="preserve">第 </w:t>
                          </w:r>
                          <w:r>
                            <w:fldChar w:fldCharType="begin"/>
                          </w:r>
                          <w:r>
                            <w:instrText xml:space="preserve"> PAGE  \* MERGEFORMAT </w:instrText>
                          </w:r>
                          <w:r>
                            <w:fldChar w:fldCharType="separate"/>
                          </w:r>
                          <w:r>
                            <w:t>46</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0lY&#10;7tAAAAAFAQAADwAAAAAAAAABACAAAAAiAAAAZHJzL2Rvd25yZXYueG1sUEsBAhQAFAAAAAgAh07i&#10;QApoRZm4AQAAVgMAAA4AAAAAAAAAAQAgAAAAHwEAAGRycy9lMm9Eb2MueG1sUEsFBgAAAAAGAAYA&#10;WQEAAEkFAAAAAA==&#10;">
              <v:fill on="f" focussize="0,0"/>
              <v:stroke on="f" weight="0.5pt"/>
              <v:imagedata o:title=""/>
              <o:lock v:ext="edit" aspectratio="f"/>
              <v:textbox inset="0mm,0mm,0mm,0mm" style="mso-fit-shape-to-text:t;">
                <w:txbxContent>
                  <w:p>
                    <w:pPr>
                      <w:pStyle w:val="27"/>
                      <w:ind w:firstLine="360"/>
                    </w:pPr>
                    <w:r>
                      <w:rPr>
                        <w:rFonts w:hint="eastAsia"/>
                      </w:rPr>
                      <w:t xml:space="preserve">第 </w:t>
                    </w:r>
                    <w:r>
                      <w:fldChar w:fldCharType="begin"/>
                    </w:r>
                    <w:r>
                      <w:instrText xml:space="preserve"> PAGE  \* MERGEFORMAT </w:instrText>
                    </w:r>
                    <w:r>
                      <w:fldChar w:fldCharType="separate"/>
                    </w:r>
                    <w:r>
                      <w:t>46</w:t>
                    </w:r>
                    <w:r>
                      <w:fldChar w:fldCharType="end"/>
                    </w:r>
                    <w:r>
                      <w:rPr>
                        <w:rFonts w:hint="eastAsia"/>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7"/>
                            <w:ind w:firstLine="360"/>
                          </w:pPr>
                          <w:r>
                            <w:rPr>
                              <w:rFonts w:hint="eastAsia"/>
                            </w:rPr>
                            <w:t xml:space="preserve">第 </w:t>
                          </w:r>
                          <w:r>
                            <w:fldChar w:fldCharType="begin"/>
                          </w:r>
                          <w:r>
                            <w:instrText xml:space="preserve"> PAGE  \* MERGEFORMAT </w:instrText>
                          </w:r>
                          <w:r>
                            <w:fldChar w:fldCharType="separate"/>
                          </w:r>
                          <w:r>
                            <w:t>65</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AJAa37cBAABWAwAADgAAAAAAAAABACAAAAAfAQAAZHJzL2Uyb0RvYy54bWxQSwUGAAAAAAYABgBZ&#10;AQAASAUAAAAA&#10;">
              <v:fill on="f" focussize="0,0"/>
              <v:stroke on="f" weight="0.5pt"/>
              <v:imagedata o:title=""/>
              <o:lock v:ext="edit" aspectratio="f"/>
              <v:textbox inset="0mm,0mm,0mm,0mm" style="mso-fit-shape-to-text:t;">
                <w:txbxContent>
                  <w:p>
                    <w:pPr>
                      <w:pStyle w:val="27"/>
                      <w:ind w:firstLine="360"/>
                    </w:pPr>
                    <w:r>
                      <w:rPr>
                        <w:rFonts w:hint="eastAsia"/>
                      </w:rPr>
                      <w:t xml:space="preserve">第 </w:t>
                    </w:r>
                    <w:r>
                      <w:fldChar w:fldCharType="begin"/>
                    </w:r>
                    <w:r>
                      <w:instrText xml:space="preserve"> PAGE  \* MERGEFORMAT </w:instrText>
                    </w:r>
                    <w:r>
                      <w:fldChar w:fldCharType="separate"/>
                    </w:r>
                    <w:r>
                      <w:t>65</w:t>
                    </w:r>
                    <w:r>
                      <w:fldChar w:fldCharType="end"/>
                    </w:r>
                    <w:r>
                      <w:rPr>
                        <w:rFonts w:hint="eastAsia"/>
                      </w:rP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jc w:val="center"/>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ind w:firstLine="360"/>
                          </w:pPr>
                          <w:r>
                            <w:rPr>
                              <w:rFonts w:hint="eastAsia"/>
                            </w:rPr>
                            <w:t xml:space="preserve">第 </w:t>
                          </w:r>
                          <w:r>
                            <w:fldChar w:fldCharType="begin"/>
                          </w:r>
                          <w:r>
                            <w:instrText xml:space="preserve"> PAGE  \* MERGEFORMAT </w:instrText>
                          </w:r>
                          <w:r>
                            <w:fldChar w:fldCharType="separate"/>
                          </w:r>
                          <w:r>
                            <w:t>69</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Qrbgya8BAABM&#10;AwAADgAAAAAAAAABACAAAAAeAQAAZHJzL2Uyb0RvYy54bWxQSwUGAAAAAAYABgBZAQAAPwUAAAAA&#10;">
              <v:fill on="f" focussize="0,0"/>
              <v:stroke on="f"/>
              <v:imagedata o:title=""/>
              <o:lock v:ext="edit" aspectratio="f"/>
              <v:textbox inset="0mm,0mm,0mm,0mm" style="mso-fit-shape-to-text:t;">
                <w:txbxContent>
                  <w:p>
                    <w:pPr>
                      <w:pStyle w:val="27"/>
                      <w:ind w:firstLine="360"/>
                    </w:pPr>
                    <w:r>
                      <w:rPr>
                        <w:rFonts w:hint="eastAsia"/>
                      </w:rPr>
                      <w:t xml:space="preserve">第 </w:t>
                    </w:r>
                    <w:r>
                      <w:fldChar w:fldCharType="begin"/>
                    </w:r>
                    <w:r>
                      <w:instrText xml:space="preserve"> PAGE  \* MERGEFORMAT </w:instrText>
                    </w:r>
                    <w:r>
                      <w:fldChar w:fldCharType="separate"/>
                    </w:r>
                    <w:r>
                      <w:t>69</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-20734020</wp:posOffset>
              </wp:positionV>
              <wp:extent cx="1828800" cy="1828800"/>
              <wp:effectExtent l="0" t="0" r="0" b="0"/>
              <wp:wrapNone/>
              <wp:docPr id="4"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ind w:firstLine="360"/>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2" o:spid="_x0000_s1026" o:spt="202" type="#_x0000_t202" style="position:absolute;left:0pt;margin-top:-1632.6pt;height:144pt;width:144pt;mso-position-horizontal:outside;mso-position-horizontal-relative:margin;mso-wrap-style:none;z-index:251659264;mso-width-relative:page;mso-height-relative:page;" filled="f" stroked="f" coordsize="21600,21600" o:gfxdata="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TbS&#10;7dgAAAAMAQAADwAAAAAAAAABACAAAAAiAAAAZHJzL2Rvd25yZXYueG1sUEsBAhQAFAAAAAgAh07i&#10;QMKmbkuwAQAATAMAAA4AAAAAAAAAAQAgAAAAJwEAAGRycy9lMm9Eb2MueG1sUEsFBgAAAAAGAAYA&#10;WQEAAEkFAAAAAA==&#10;">
              <v:fill on="f" focussize="0,0"/>
              <v:stroke on="f"/>
              <v:imagedata o:title=""/>
              <o:lock v:ext="edit" aspectratio="f"/>
              <v:textbox inset="0mm,0mm,0mm,0mm" style="mso-fit-shape-to-text:t;">
                <w:txbxContent>
                  <w:p>
                    <w:pPr>
                      <w:pStyle w:val="27"/>
                      <w:ind w:firstLine="360"/>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w:fldChar w:fldCharType="begin"/>
    </w:r>
    <w:r>
      <w:instrText xml:space="preserve"> PAGE   \* MERGEFORMAT </w:instrText>
    </w:r>
    <w:r>
      <w:fldChar w:fldCharType="separate"/>
    </w:r>
    <w:r>
      <w:rPr>
        <w:lang w:val="zh-CN"/>
      </w:rPr>
      <w:t>10</w:t>
    </w:r>
    <w:r>
      <w:rPr>
        <w:lang w:val="zh-CN"/>
      </w:rPr>
      <w:fldChar w:fldCharType="end"/>
    </w:r>
    <w:r>
      <w:tab/>
    </w:r>
    <w:r>
      <w:t xml:space="preserve">                   </w:t>
    </w:r>
    <w:r>
      <w:rPr>
        <w:rFonts w:hint="eastAsia"/>
        <w:i/>
        <w:color w:val="0000FF"/>
        <w:sz w:val="28"/>
      </w:rPr>
      <w:t>精细 专业 高效</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ind w:firstLine="360"/>
                          </w:pPr>
                          <w:r>
                            <w:rPr>
                              <w:rFonts w:hint="eastAsia"/>
                            </w:rPr>
                            <w:t xml:space="preserve">第 </w:t>
                          </w:r>
                          <w:r>
                            <w:fldChar w:fldCharType="begin"/>
                          </w:r>
                          <w:r>
                            <w:instrText xml:space="preserve"> PAGE  \* MERGEFORMAT </w:instrText>
                          </w:r>
                          <w:r>
                            <w:fldChar w:fldCharType="separate"/>
                          </w:r>
                          <w:r>
                            <w:t>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Bn/ZFiwAQAA&#10;TAMAAA4AAAAAAAAAAQAgAAAAHgEAAGRycy9lMm9Eb2MueG1sUEsFBgAAAAAGAAYAWQEAAEAFAAAA&#10;AA==&#10;">
              <v:fill on="f" focussize="0,0"/>
              <v:stroke on="f"/>
              <v:imagedata o:title=""/>
              <o:lock v:ext="edit" aspectratio="f"/>
              <v:textbox inset="0mm,0mm,0mm,0mm" style="mso-fit-shape-to-text:t;">
                <w:txbxContent>
                  <w:p>
                    <w:pPr>
                      <w:pStyle w:val="27"/>
                      <w:ind w:firstLine="360"/>
                    </w:pPr>
                    <w:r>
                      <w:rPr>
                        <w:rFonts w:hint="eastAsia"/>
                      </w:rPr>
                      <w:t xml:space="preserve">第 </w:t>
                    </w:r>
                    <w:r>
                      <w:fldChar w:fldCharType="begin"/>
                    </w:r>
                    <w:r>
                      <w:instrText xml:space="preserve"> PAGE  \* MERGEFORMAT </w:instrText>
                    </w:r>
                    <w:r>
                      <w:fldChar w:fldCharType="separate"/>
                    </w:r>
                    <w:r>
                      <w:t>4</w:t>
                    </w:r>
                    <w: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lear" w:pos="4153"/>
      </w:tabs>
      <w:ind w:right="360" w:firstLine="0" w:firstLineChars="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ind w:firstLine="360"/>
                          </w:pPr>
                          <w:r>
                            <w:rPr>
                              <w:rFonts w:hint="eastAsia"/>
                            </w:rPr>
                            <w:t xml:space="preserve">第 </w:t>
                          </w:r>
                          <w:r>
                            <w:fldChar w:fldCharType="begin"/>
                          </w:r>
                          <w:r>
                            <w:instrText xml:space="preserve"> PAGE  \* MERGEFORMAT </w:instrText>
                          </w:r>
                          <w:r>
                            <w:fldChar w:fldCharType="separate"/>
                          </w:r>
                          <w:r>
                            <w:t>11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KEYCeqwAQAA&#10;TAMAAA4AAAAAAAAAAQAgAAAAHgEAAGRycy9lMm9Eb2MueG1sUEsFBgAAAAAGAAYAWQEAAEAFAAAA&#10;AA==&#10;">
              <v:fill on="f" focussize="0,0"/>
              <v:stroke on="f"/>
              <v:imagedata o:title=""/>
              <o:lock v:ext="edit" aspectratio="f"/>
              <v:textbox inset="0mm,0mm,0mm,0mm" style="mso-fit-shape-to-text:t;">
                <w:txbxContent>
                  <w:p>
                    <w:pPr>
                      <w:pStyle w:val="27"/>
                      <w:ind w:firstLine="360"/>
                    </w:pPr>
                    <w:r>
                      <w:rPr>
                        <w:rFonts w:hint="eastAsia"/>
                      </w:rPr>
                      <w:t xml:space="preserve">第 </w:t>
                    </w:r>
                    <w:r>
                      <w:fldChar w:fldCharType="begin"/>
                    </w:r>
                    <w:r>
                      <w:instrText xml:space="preserve"> PAGE  \* MERGEFORMAT </w:instrText>
                    </w:r>
                    <w:r>
                      <w:fldChar w:fldCharType="separate"/>
                    </w:r>
                    <w:r>
                      <w:t>11</w:t>
                    </w:r>
                    <w: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ind w:firstLine="360"/>
                          </w:pPr>
                          <w:r>
                            <w:rPr>
                              <w:rFonts w:hint="eastAsia"/>
                            </w:rPr>
                            <w:t xml:space="preserve">第 </w:t>
                          </w:r>
                          <w:r>
                            <w:fldChar w:fldCharType="begin"/>
                          </w:r>
                          <w:r>
                            <w:instrText xml:space="preserve"> PAGE  \* MERGEFORMAT </w:instrText>
                          </w:r>
                          <w:r>
                            <w:fldChar w:fldCharType="separate"/>
                          </w:r>
                          <w:r>
                            <w:t>42</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B829uq8BAABM&#10;AwAADgAAAAAAAAABACAAAAAeAQAAZHJzL2Uyb0RvYy54bWxQSwUGAAAAAAYABgBZAQAAPwUAAAAA&#10;">
              <v:fill on="f" focussize="0,0"/>
              <v:stroke on="f"/>
              <v:imagedata o:title=""/>
              <o:lock v:ext="edit" aspectratio="f"/>
              <v:textbox inset="0mm,0mm,0mm,0mm" style="mso-fit-shape-to-text:t;">
                <w:txbxContent>
                  <w:p>
                    <w:pPr>
                      <w:pStyle w:val="27"/>
                      <w:ind w:firstLine="360"/>
                    </w:pPr>
                    <w:r>
                      <w:rPr>
                        <w:rFonts w:hint="eastAsia"/>
                      </w:rPr>
                      <w:t xml:space="preserve">第 </w:t>
                    </w:r>
                    <w:r>
                      <w:fldChar w:fldCharType="begin"/>
                    </w:r>
                    <w:r>
                      <w:instrText xml:space="preserve"> PAGE  \* MERGEFORMAT </w:instrText>
                    </w:r>
                    <w:r>
                      <w:fldChar w:fldCharType="separate"/>
                    </w:r>
                    <w:r>
                      <w:t>42</w:t>
                    </w:r>
                    <w:r>
                      <w:fldChar w:fldCharType="end"/>
                    </w:r>
                    <w:r>
                      <w:rPr>
                        <w:rFonts w:hint="eastAsia"/>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lear" w:pos="4153"/>
      </w:tabs>
      <w:ind w:right="360" w:firstLine="0" w:firstLineChars="0"/>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ind w:firstLine="360"/>
                          </w:pPr>
                          <w:r>
                            <w:rPr>
                              <w:rFonts w:hint="eastAsia"/>
                            </w:rPr>
                            <w:t xml:space="preserve">第 </w:t>
                          </w:r>
                          <w:r>
                            <w:fldChar w:fldCharType="begin"/>
                          </w:r>
                          <w:r>
                            <w:instrText xml:space="preserve"> PAGE  \* MERGEFORMAT </w:instrText>
                          </w:r>
                          <w:r>
                            <w:fldChar w:fldCharType="separate"/>
                          </w:r>
                          <w:r>
                            <w:t>11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FEY3kWwAQAA&#10;TQMAAA4AAAAAAAAAAQAgAAAAHgEAAGRycy9lMm9Eb2MueG1sUEsFBgAAAAAGAAYAWQEAAEAFAAAA&#10;AA==&#10;">
              <v:fill on="f" focussize="0,0"/>
              <v:stroke on="f"/>
              <v:imagedata o:title=""/>
              <o:lock v:ext="edit" aspectratio="f"/>
              <v:textbox inset="0mm,0mm,0mm,0mm" style="mso-fit-shape-to-text:t;">
                <w:txbxContent>
                  <w:p>
                    <w:pPr>
                      <w:pStyle w:val="27"/>
                      <w:ind w:firstLine="360"/>
                    </w:pPr>
                    <w:r>
                      <w:rPr>
                        <w:rFonts w:hint="eastAsia"/>
                      </w:rPr>
                      <w:t xml:space="preserve">第 </w:t>
                    </w:r>
                    <w:r>
                      <w:fldChar w:fldCharType="begin"/>
                    </w:r>
                    <w:r>
                      <w:instrText xml:space="preserve"> PAGE  \* MERGEFORMAT </w:instrText>
                    </w:r>
                    <w:r>
                      <w:fldChar w:fldCharType="separate"/>
                    </w:r>
                    <w:r>
                      <w:t>11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0" w:firstLineChars="0"/>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0" w:firstLineChars="0"/>
      <w:jc w:val="both"/>
    </w:pPr>
    <w:r>
      <w:rPr>
        <w:rFonts w:hint="eastAsia"/>
        <w:lang w:eastAsia="zh-CN"/>
      </w:rPr>
      <w:t>浙江海洋大学</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0" w:firstLineChars="0"/>
      <w:jc w:val="right"/>
    </w:pPr>
    <w:r>
      <w:rPr>
        <w:rFonts w:hint="eastAsia"/>
      </w:rPr>
      <w:t>浙江五石工程咨询有限公司招标文件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59072428">
    <w:nsid w:val="392A48AC"/>
    <w:multiLevelType w:val="singleLevel"/>
    <w:tmpl w:val="392A48AC"/>
    <w:lvl w:ilvl="0" w:tentative="1">
      <w:start w:val="1"/>
      <w:numFmt w:val="decimal"/>
      <w:suff w:val="nothing"/>
      <w:lvlText w:val="%1．"/>
      <w:lvlJc w:val="left"/>
      <w:pPr>
        <w:ind w:left="0" w:firstLine="400"/>
      </w:pPr>
      <w:rPr>
        <w:rFonts w:hint="default"/>
      </w:rPr>
    </w:lvl>
  </w:abstractNum>
  <w:abstractNum w:abstractNumId="2117388409">
    <w:nsid w:val="7E34C879"/>
    <w:multiLevelType w:val="singleLevel"/>
    <w:tmpl w:val="7E34C879"/>
    <w:lvl w:ilvl="0" w:tentative="1">
      <w:start w:val="1"/>
      <w:numFmt w:val="decimal"/>
      <w:lvlText w:val="(%1)"/>
      <w:lvlJc w:val="left"/>
      <w:pPr>
        <w:tabs>
          <w:tab w:val="left" w:pos="420"/>
        </w:tabs>
        <w:ind w:left="845" w:hanging="425"/>
      </w:pPr>
      <w:rPr>
        <w:rFonts w:hint="default"/>
      </w:rPr>
    </w:lvl>
  </w:abstractNum>
  <w:abstractNum w:abstractNumId="1618995049">
    <w:nsid w:val="607FE769"/>
    <w:multiLevelType w:val="singleLevel"/>
    <w:tmpl w:val="607FE769"/>
    <w:lvl w:ilvl="0" w:tentative="1">
      <w:start w:val="2"/>
      <w:numFmt w:val="chineseCounting"/>
      <w:suff w:val="space"/>
      <w:lvlText w:val="第%1章"/>
      <w:lvlJc w:val="left"/>
    </w:lvl>
  </w:abstractNum>
  <w:abstractNum w:abstractNumId="723137771">
    <w:nsid w:val="2B1A34EB"/>
    <w:multiLevelType w:val="multilevel"/>
    <w:tmpl w:val="2B1A34EB"/>
    <w:lvl w:ilvl="0" w:tentative="1">
      <w:start w:val="1"/>
      <w:numFmt w:val="decimal"/>
      <w:lvlText w:val="%1."/>
      <w:lvlJc w:val="left"/>
      <w:pPr>
        <w:ind w:left="420" w:hanging="420"/>
      </w:pPr>
    </w:lvl>
    <w:lvl w:ilvl="1" w:tentative="1">
      <w:start w:val="1"/>
      <w:numFmt w:val="lowerLetter"/>
      <w:pStyle w:val="170"/>
      <w:lvlText w:val="%2)"/>
      <w:lvlJc w:val="left"/>
      <w:pPr>
        <w:ind w:left="840" w:hanging="420"/>
      </w:pPr>
    </w:lvl>
    <w:lvl w:ilvl="2" w:tentative="1">
      <w:start w:val="1"/>
      <w:numFmt w:val="lowerRoman"/>
      <w:pStyle w:val="172"/>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79238143">
    <w:nsid w:val="641723FF"/>
    <w:multiLevelType w:val="multilevel"/>
    <w:tmpl w:val="641723FF"/>
    <w:lvl w:ilvl="0" w:tentative="1">
      <w:start w:val="1"/>
      <w:numFmt w:val="decimal"/>
      <w:pStyle w:val="17"/>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843468400">
    <w:nsid w:val="6DE11870"/>
    <w:multiLevelType w:val="multilevel"/>
    <w:tmpl w:val="6DE11870"/>
    <w:lvl w:ilvl="0" w:tentative="1">
      <w:start w:val="1"/>
      <w:numFmt w:val="decimal"/>
      <w:pStyle w:val="19"/>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390112629">
    <w:nsid w:val="52DB6F75"/>
    <w:multiLevelType w:val="singleLevel"/>
    <w:tmpl w:val="52DB6F75"/>
    <w:lvl w:ilvl="0" w:tentative="1">
      <w:start w:val="1"/>
      <w:numFmt w:val="decimal"/>
      <w:suff w:val="nothing"/>
      <w:lvlText w:val="%1．"/>
      <w:lvlJc w:val="left"/>
      <w:pPr>
        <w:ind w:left="0" w:firstLine="400"/>
      </w:pPr>
      <w:rPr>
        <w:rFonts w:hint="default"/>
      </w:rPr>
    </w:lvl>
  </w:abstractNum>
  <w:abstractNum w:abstractNumId="2134979599">
    <w:nsid w:val="7F41340F"/>
    <w:multiLevelType w:val="singleLevel"/>
    <w:tmpl w:val="7F41340F"/>
    <w:lvl w:ilvl="0" w:tentative="1">
      <w:start w:val="2"/>
      <w:numFmt w:val="decimal"/>
      <w:lvlText w:val="%1、"/>
      <w:lvlJc w:val="left"/>
      <w:pPr>
        <w:tabs>
          <w:tab w:val="left" w:pos="1620"/>
        </w:tabs>
        <w:ind w:left="1620" w:hanging="720"/>
      </w:pPr>
      <w:rPr>
        <w:rFonts w:hint="eastAsia"/>
      </w:rPr>
    </w:lvl>
  </w:abstractNum>
  <w:abstractNum w:abstractNumId="1610007584">
    <w:nsid w:val="5FF6C420"/>
    <w:multiLevelType w:val="singleLevel"/>
    <w:tmpl w:val="5FF6C420"/>
    <w:lvl w:ilvl="0" w:tentative="1">
      <w:start w:val="1"/>
      <w:numFmt w:val="decimal"/>
      <w:suff w:val="space"/>
      <w:lvlText w:val="%1."/>
      <w:lvlJc w:val="left"/>
    </w:lvl>
  </w:abstractNum>
  <w:abstractNum w:abstractNumId="1504493287">
    <w:nsid w:val="59ACBEE7"/>
    <w:multiLevelType w:val="singleLevel"/>
    <w:tmpl w:val="59ACBEE7"/>
    <w:lvl w:ilvl="0" w:tentative="1">
      <w:start w:val="1"/>
      <w:numFmt w:val="decimal"/>
      <w:suff w:val="nothing"/>
      <w:lvlText w:val="%1、"/>
      <w:lvlJc w:val="left"/>
      <w:rPr>
        <w:rFonts w:cs="Times New Roman"/>
      </w:rPr>
    </w:lvl>
  </w:abstractNum>
  <w:abstractNum w:abstractNumId="1531814332">
    <w:nsid w:val="5B4DA1BC"/>
    <w:multiLevelType w:val="singleLevel"/>
    <w:tmpl w:val="5B4DA1BC"/>
    <w:lvl w:ilvl="0" w:tentative="1">
      <w:start w:val="2"/>
      <w:numFmt w:val="decimal"/>
      <w:suff w:val="nothing"/>
      <w:lvlText w:val="%1、"/>
      <w:lvlJc w:val="left"/>
    </w:lvl>
  </w:abstractNum>
  <w:abstractNum w:abstractNumId="43821387">
    <w:nsid w:val="029CA94B"/>
    <w:multiLevelType w:val="singleLevel"/>
    <w:tmpl w:val="029CA94B"/>
    <w:lvl w:ilvl="0" w:tentative="1">
      <w:start w:val="1"/>
      <w:numFmt w:val="decimal"/>
      <w:suff w:val="nothing"/>
      <w:lvlText w:val="%1．"/>
      <w:lvlJc w:val="left"/>
      <w:pPr>
        <w:ind w:left="0" w:firstLine="400"/>
      </w:pPr>
      <w:rPr>
        <w:rFonts w:hint="default"/>
      </w:rPr>
    </w:lvl>
  </w:abstractNum>
  <w:abstractNum w:abstractNumId="700876340">
    <w:nsid w:val="29C68634"/>
    <w:multiLevelType w:val="singleLevel"/>
    <w:tmpl w:val="29C68634"/>
    <w:lvl w:ilvl="0" w:tentative="1">
      <w:start w:val="1"/>
      <w:numFmt w:val="decimal"/>
      <w:suff w:val="nothing"/>
      <w:lvlText w:val="%1．"/>
      <w:lvlJc w:val="left"/>
      <w:pPr>
        <w:ind w:left="0" w:firstLine="400"/>
      </w:pPr>
      <w:rPr>
        <w:rFonts w:hint="default"/>
      </w:rPr>
    </w:lvl>
  </w:abstractNum>
  <w:abstractNum w:abstractNumId="3441117480">
    <w:nsid w:val="CD1B4928"/>
    <w:multiLevelType w:val="singleLevel"/>
    <w:tmpl w:val="CD1B4928"/>
    <w:lvl w:ilvl="0" w:tentative="1">
      <w:start w:val="1"/>
      <w:numFmt w:val="decimal"/>
      <w:suff w:val="nothing"/>
      <w:lvlText w:val="%1．"/>
      <w:lvlJc w:val="left"/>
      <w:pPr>
        <w:ind w:left="0" w:firstLine="400"/>
      </w:pPr>
      <w:rPr>
        <w:rFonts w:hint="default"/>
      </w:rPr>
    </w:lvl>
  </w:abstractNum>
  <w:abstractNum w:abstractNumId="1124848378">
    <w:nsid w:val="430BD2FA"/>
    <w:multiLevelType w:val="singleLevel"/>
    <w:tmpl w:val="430BD2FA"/>
    <w:lvl w:ilvl="0" w:tentative="1">
      <w:start w:val="1"/>
      <w:numFmt w:val="decimal"/>
      <w:suff w:val="nothing"/>
      <w:lvlText w:val="%1．"/>
      <w:lvlJc w:val="left"/>
      <w:pPr>
        <w:ind w:left="0" w:firstLine="400"/>
      </w:pPr>
      <w:rPr>
        <w:rFonts w:hint="default"/>
      </w:rPr>
    </w:lvl>
  </w:abstractNum>
  <w:abstractNum w:abstractNumId="2553498010">
    <w:nsid w:val="9833499A"/>
    <w:multiLevelType w:val="singleLevel"/>
    <w:tmpl w:val="9833499A"/>
    <w:lvl w:ilvl="0" w:tentative="1">
      <w:start w:val="1"/>
      <w:numFmt w:val="decimal"/>
      <w:suff w:val="nothing"/>
      <w:lvlText w:val="%1．"/>
      <w:lvlJc w:val="left"/>
      <w:pPr>
        <w:ind w:left="0" w:firstLine="400"/>
      </w:pPr>
      <w:rPr>
        <w:rFonts w:hint="default"/>
      </w:rPr>
    </w:lvl>
  </w:abstractNum>
  <w:abstractNum w:abstractNumId="267081633">
    <w:nsid w:val="0FEB57A1"/>
    <w:multiLevelType w:val="singleLevel"/>
    <w:tmpl w:val="0FEB57A1"/>
    <w:lvl w:ilvl="0" w:tentative="1">
      <w:start w:val="1"/>
      <w:numFmt w:val="decimal"/>
      <w:suff w:val="nothing"/>
      <w:lvlText w:val="%1．"/>
      <w:lvlJc w:val="left"/>
      <w:pPr>
        <w:ind w:left="0" w:firstLine="400"/>
      </w:pPr>
      <w:rPr>
        <w:rFonts w:hint="default"/>
      </w:rPr>
    </w:lvl>
  </w:abstractNum>
  <w:abstractNum w:abstractNumId="71061562">
    <w:nsid w:val="043C503A"/>
    <w:multiLevelType w:val="singleLevel"/>
    <w:tmpl w:val="043C503A"/>
    <w:lvl w:ilvl="0" w:tentative="1">
      <w:start w:val="1"/>
      <w:numFmt w:val="decimal"/>
      <w:suff w:val="nothing"/>
      <w:lvlText w:val="%1．"/>
      <w:lvlJc w:val="left"/>
      <w:pPr>
        <w:ind w:left="0" w:firstLine="400"/>
      </w:pPr>
      <w:rPr>
        <w:rFonts w:hint="default"/>
      </w:rPr>
    </w:lvl>
  </w:abstractNum>
  <w:abstractNum w:abstractNumId="507476516">
    <w:nsid w:val="1E3F7A24"/>
    <w:multiLevelType w:val="singleLevel"/>
    <w:tmpl w:val="1E3F7A24"/>
    <w:lvl w:ilvl="0" w:tentative="1">
      <w:start w:val="1"/>
      <w:numFmt w:val="decimal"/>
      <w:suff w:val="nothing"/>
      <w:lvlText w:val="%1．"/>
      <w:lvlJc w:val="left"/>
      <w:pPr>
        <w:ind w:left="0" w:firstLine="400"/>
      </w:pPr>
      <w:rPr>
        <w:rFonts w:hint="default"/>
      </w:rPr>
    </w:lvl>
  </w:abstractNum>
  <w:abstractNum w:abstractNumId="381169946">
    <w:nsid w:val="16B8311A"/>
    <w:multiLevelType w:val="singleLevel"/>
    <w:tmpl w:val="16B8311A"/>
    <w:lvl w:ilvl="0" w:tentative="1">
      <w:start w:val="1"/>
      <w:numFmt w:val="decimal"/>
      <w:suff w:val="nothing"/>
      <w:lvlText w:val="%1．"/>
      <w:lvlJc w:val="left"/>
      <w:pPr>
        <w:ind w:left="0" w:firstLine="400"/>
      </w:pPr>
      <w:rPr>
        <w:rFonts w:hint="default"/>
      </w:rPr>
    </w:lvl>
  </w:abstractNum>
  <w:abstractNum w:abstractNumId="1873189603">
    <w:nsid w:val="6FA69AE3"/>
    <w:multiLevelType w:val="singleLevel"/>
    <w:tmpl w:val="6FA69AE3"/>
    <w:lvl w:ilvl="0" w:tentative="1">
      <w:start w:val="1"/>
      <w:numFmt w:val="decimal"/>
      <w:suff w:val="nothing"/>
      <w:lvlText w:val="%1．"/>
      <w:lvlJc w:val="left"/>
      <w:pPr>
        <w:ind w:left="0" w:firstLine="400"/>
      </w:pPr>
      <w:rPr>
        <w:rFonts w:hint="default"/>
      </w:rPr>
    </w:lvl>
  </w:abstractNum>
  <w:abstractNum w:abstractNumId="1595849027">
    <w:nsid w:val="5F1EB943"/>
    <w:multiLevelType w:val="singleLevel"/>
    <w:tmpl w:val="5F1EB943"/>
    <w:lvl w:ilvl="0" w:tentative="1">
      <w:start w:val="1"/>
      <w:numFmt w:val="decimal"/>
      <w:suff w:val="nothing"/>
      <w:lvlText w:val="%1．"/>
      <w:lvlJc w:val="left"/>
      <w:pPr>
        <w:ind w:left="0" w:firstLine="400"/>
      </w:pPr>
      <w:rPr>
        <w:rFonts w:hint="default"/>
      </w:rPr>
    </w:lvl>
  </w:abstractNum>
  <w:abstractNum w:abstractNumId="3919687920">
    <w:nsid w:val="E9A1B0F0"/>
    <w:multiLevelType w:val="singleLevel"/>
    <w:tmpl w:val="E9A1B0F0"/>
    <w:lvl w:ilvl="0" w:tentative="1">
      <w:start w:val="1"/>
      <w:numFmt w:val="decimal"/>
      <w:suff w:val="nothing"/>
      <w:lvlText w:val="%1．"/>
      <w:lvlJc w:val="left"/>
      <w:pPr>
        <w:ind w:left="0" w:firstLine="400"/>
      </w:pPr>
      <w:rPr>
        <w:rFonts w:hint="default"/>
      </w:rPr>
    </w:lvl>
  </w:abstractNum>
  <w:abstractNum w:abstractNumId="2555468025">
    <w:nsid w:val="985158F9"/>
    <w:multiLevelType w:val="singleLevel"/>
    <w:tmpl w:val="985158F9"/>
    <w:lvl w:ilvl="0" w:tentative="1">
      <w:start w:val="1"/>
      <w:numFmt w:val="decimal"/>
      <w:suff w:val="nothing"/>
      <w:lvlText w:val="%1．"/>
      <w:lvlJc w:val="left"/>
      <w:pPr>
        <w:ind w:left="0" w:firstLine="400"/>
      </w:pPr>
      <w:rPr>
        <w:rFonts w:hint="default"/>
      </w:rPr>
    </w:lvl>
  </w:abstractNum>
  <w:abstractNum w:abstractNumId="156379079">
    <w:nsid w:val="095227C7"/>
    <w:multiLevelType w:val="singleLevel"/>
    <w:tmpl w:val="095227C7"/>
    <w:lvl w:ilvl="0" w:tentative="1">
      <w:start w:val="1"/>
      <w:numFmt w:val="decimal"/>
      <w:suff w:val="nothing"/>
      <w:lvlText w:val="%1．"/>
      <w:lvlJc w:val="left"/>
      <w:pPr>
        <w:ind w:left="0" w:firstLine="400"/>
      </w:pPr>
      <w:rPr>
        <w:rFonts w:hint="default"/>
      </w:rPr>
    </w:lvl>
  </w:abstractNum>
  <w:abstractNum w:abstractNumId="3962930202">
    <w:nsid w:val="EC35841A"/>
    <w:multiLevelType w:val="singleLevel"/>
    <w:tmpl w:val="EC35841A"/>
    <w:lvl w:ilvl="0" w:tentative="1">
      <w:start w:val="1"/>
      <w:numFmt w:val="decimal"/>
      <w:suff w:val="nothing"/>
      <w:lvlText w:val="%1．"/>
      <w:lvlJc w:val="left"/>
      <w:pPr>
        <w:ind w:left="0" w:firstLine="400"/>
      </w:pPr>
      <w:rPr>
        <w:rFonts w:hint="default"/>
      </w:rPr>
    </w:lvl>
  </w:abstractNum>
  <w:abstractNum w:abstractNumId="2738153486">
    <w:nsid w:val="A334E80E"/>
    <w:multiLevelType w:val="singleLevel"/>
    <w:tmpl w:val="A334E80E"/>
    <w:lvl w:ilvl="0" w:tentative="1">
      <w:start w:val="1"/>
      <w:numFmt w:val="decimal"/>
      <w:suff w:val="nothing"/>
      <w:lvlText w:val="%1．"/>
      <w:lvlJc w:val="left"/>
      <w:pPr>
        <w:ind w:left="0" w:firstLine="400"/>
      </w:pPr>
      <w:rPr>
        <w:rFonts w:hint="default"/>
      </w:rPr>
    </w:lvl>
  </w:abstractNum>
  <w:abstractNum w:abstractNumId="321314494">
    <w:nsid w:val="1326DEBE"/>
    <w:multiLevelType w:val="singleLevel"/>
    <w:tmpl w:val="1326DEBE"/>
    <w:lvl w:ilvl="0" w:tentative="1">
      <w:start w:val="3"/>
      <w:numFmt w:val="chineseCounting"/>
      <w:suff w:val="nothing"/>
      <w:lvlText w:val="（%1）"/>
      <w:lvlJc w:val="left"/>
      <w:rPr>
        <w:rFonts w:hint="eastAsia"/>
      </w:rPr>
    </w:lvl>
  </w:abstractNum>
  <w:abstractNum w:abstractNumId="2788297528">
    <w:nsid w:val="A6320B38"/>
    <w:multiLevelType w:val="singleLevel"/>
    <w:tmpl w:val="A6320B38"/>
    <w:lvl w:ilvl="0" w:tentative="1">
      <w:start w:val="1"/>
      <w:numFmt w:val="decimal"/>
      <w:suff w:val="nothing"/>
      <w:lvlText w:val="%1．"/>
      <w:lvlJc w:val="left"/>
      <w:pPr>
        <w:ind w:left="0" w:firstLine="403"/>
      </w:pPr>
      <w:rPr>
        <w:rFonts w:hint="default"/>
      </w:rPr>
    </w:lvl>
  </w:abstractNum>
  <w:abstractNum w:abstractNumId="2397907278">
    <w:nsid w:val="8EED294E"/>
    <w:multiLevelType w:val="singleLevel"/>
    <w:tmpl w:val="8EED294E"/>
    <w:lvl w:ilvl="0" w:tentative="1">
      <w:start w:val="1"/>
      <w:numFmt w:val="decimal"/>
      <w:suff w:val="nothing"/>
      <w:lvlText w:val="%1．"/>
      <w:lvlJc w:val="left"/>
      <w:pPr>
        <w:ind w:left="0" w:firstLine="400"/>
      </w:pPr>
      <w:rPr>
        <w:rFonts w:hint="default"/>
      </w:rPr>
    </w:lvl>
  </w:abstractNum>
  <w:abstractNum w:abstractNumId="272160722">
    <w:nsid w:val="1038D7D2"/>
    <w:multiLevelType w:val="singleLevel"/>
    <w:tmpl w:val="1038D7D2"/>
    <w:lvl w:ilvl="0" w:tentative="1">
      <w:start w:val="1"/>
      <w:numFmt w:val="decimal"/>
      <w:suff w:val="nothing"/>
      <w:lvlText w:val="%1．"/>
      <w:lvlJc w:val="left"/>
      <w:pPr>
        <w:ind w:left="0" w:firstLine="400"/>
      </w:pPr>
      <w:rPr>
        <w:rFonts w:hint="default"/>
      </w:rPr>
    </w:lvl>
  </w:abstractNum>
  <w:abstractNum w:abstractNumId="1100508966">
    <w:nsid w:val="41986F26"/>
    <w:multiLevelType w:val="singleLevel"/>
    <w:tmpl w:val="41986F26"/>
    <w:lvl w:ilvl="0" w:tentative="1">
      <w:start w:val="1"/>
      <w:numFmt w:val="decimal"/>
      <w:suff w:val="nothing"/>
      <w:lvlText w:val="%1．"/>
      <w:lvlJc w:val="left"/>
      <w:pPr>
        <w:ind w:left="0" w:firstLine="400"/>
      </w:pPr>
      <w:rPr>
        <w:rFonts w:hint="default"/>
      </w:rPr>
    </w:lvl>
  </w:abstractNum>
  <w:abstractNum w:abstractNumId="2070534495">
    <w:nsid w:val="7B69D95F"/>
    <w:multiLevelType w:val="singleLevel"/>
    <w:tmpl w:val="7B69D95F"/>
    <w:lvl w:ilvl="0" w:tentative="1">
      <w:start w:val="1"/>
      <w:numFmt w:val="bullet"/>
      <w:lvlText w:val=""/>
      <w:lvlJc w:val="left"/>
      <w:pPr>
        <w:ind w:left="420" w:hanging="420"/>
      </w:pPr>
      <w:rPr>
        <w:rFonts w:hint="default" w:ascii="Wingdings" w:hAnsi="Wingdings"/>
      </w:rPr>
    </w:lvl>
  </w:abstractNum>
  <w:abstractNum w:abstractNumId="2716868673">
    <w:nsid w:val="A1F02041"/>
    <w:multiLevelType w:val="singleLevel"/>
    <w:tmpl w:val="A1F02041"/>
    <w:lvl w:ilvl="0" w:tentative="1">
      <w:start w:val="1"/>
      <w:numFmt w:val="decimal"/>
      <w:suff w:val="nothing"/>
      <w:lvlText w:val="%1．"/>
      <w:lvlJc w:val="left"/>
      <w:pPr>
        <w:ind w:left="0" w:firstLine="400"/>
      </w:pPr>
      <w:rPr>
        <w:rFonts w:hint="default"/>
      </w:rPr>
    </w:lvl>
  </w:abstractNum>
  <w:abstractNum w:abstractNumId="1837293531">
    <w:nsid w:val="6D82DFDB"/>
    <w:multiLevelType w:val="singleLevel"/>
    <w:tmpl w:val="6D82DFDB"/>
    <w:lvl w:ilvl="0" w:tentative="1">
      <w:start w:val="1"/>
      <w:numFmt w:val="decimal"/>
      <w:suff w:val="nothing"/>
      <w:lvlText w:val="%1．"/>
      <w:lvlJc w:val="left"/>
      <w:pPr>
        <w:ind w:left="0" w:firstLine="400"/>
      </w:pPr>
      <w:rPr>
        <w:rFonts w:hint="default"/>
      </w:rPr>
    </w:lvl>
  </w:abstractNum>
  <w:abstractNum w:abstractNumId="3547686211">
    <w:nsid w:val="D3756543"/>
    <w:multiLevelType w:val="singleLevel"/>
    <w:tmpl w:val="D3756543"/>
    <w:lvl w:ilvl="0" w:tentative="1">
      <w:start w:val="1"/>
      <w:numFmt w:val="decimal"/>
      <w:suff w:val="nothing"/>
      <w:lvlText w:val="%1．"/>
      <w:lvlJc w:val="left"/>
      <w:pPr>
        <w:ind w:left="0" w:firstLine="400"/>
      </w:pPr>
      <w:rPr>
        <w:rFonts w:hint="default"/>
      </w:rPr>
    </w:lvl>
  </w:abstractNum>
  <w:abstractNum w:abstractNumId="1709165102">
    <w:nsid w:val="65DFCA2E"/>
    <w:multiLevelType w:val="singleLevel"/>
    <w:tmpl w:val="65DFCA2E"/>
    <w:lvl w:ilvl="0" w:tentative="1">
      <w:start w:val="1"/>
      <w:numFmt w:val="decimal"/>
      <w:suff w:val="nothing"/>
      <w:lvlText w:val="%1．"/>
      <w:lvlJc w:val="left"/>
      <w:pPr>
        <w:ind w:left="0" w:firstLine="400"/>
      </w:pPr>
      <w:rPr>
        <w:rFonts w:hint="default"/>
      </w:rPr>
    </w:lvl>
  </w:abstractNum>
  <w:abstractNum w:abstractNumId="206314393">
    <w:nsid w:val="0C4C1B99"/>
    <w:multiLevelType w:val="singleLevel"/>
    <w:tmpl w:val="0C4C1B99"/>
    <w:lvl w:ilvl="0" w:tentative="1">
      <w:start w:val="1"/>
      <w:numFmt w:val="decimal"/>
      <w:suff w:val="nothing"/>
      <w:lvlText w:val="%1．"/>
      <w:lvlJc w:val="left"/>
      <w:pPr>
        <w:ind w:left="0" w:firstLine="400"/>
      </w:pPr>
      <w:rPr>
        <w:rFonts w:hint="default"/>
      </w:rPr>
    </w:lvl>
  </w:abstractNum>
  <w:abstractNum w:abstractNumId="1086925691">
    <w:nsid w:val="40C92B7B"/>
    <w:multiLevelType w:val="singleLevel"/>
    <w:tmpl w:val="40C92B7B"/>
    <w:lvl w:ilvl="0" w:tentative="1">
      <w:start w:val="1"/>
      <w:numFmt w:val="decimal"/>
      <w:suff w:val="nothing"/>
      <w:lvlText w:val="%1．"/>
      <w:lvlJc w:val="left"/>
      <w:pPr>
        <w:ind w:left="0" w:firstLine="400"/>
      </w:pPr>
      <w:rPr>
        <w:rFonts w:hint="default"/>
      </w:rPr>
    </w:lvl>
  </w:abstractNum>
  <w:abstractNum w:abstractNumId="3748131752">
    <w:nsid w:val="DF67F3A8"/>
    <w:multiLevelType w:val="singleLevel"/>
    <w:tmpl w:val="DF67F3A8"/>
    <w:lvl w:ilvl="0" w:tentative="1">
      <w:start w:val="1"/>
      <w:numFmt w:val="decimal"/>
      <w:suff w:val="nothing"/>
      <w:lvlText w:val="%1．"/>
      <w:lvlJc w:val="left"/>
      <w:pPr>
        <w:ind w:left="0" w:firstLine="400"/>
      </w:pPr>
      <w:rPr>
        <w:rFonts w:hint="default"/>
      </w:rPr>
    </w:lvl>
  </w:abstractNum>
  <w:abstractNum w:abstractNumId="3057674480">
    <w:nsid w:val="B64068F0"/>
    <w:multiLevelType w:val="singleLevel"/>
    <w:tmpl w:val="B64068F0"/>
    <w:lvl w:ilvl="0" w:tentative="1">
      <w:start w:val="1"/>
      <w:numFmt w:val="decimal"/>
      <w:suff w:val="nothing"/>
      <w:lvlText w:val="%1．"/>
      <w:lvlJc w:val="left"/>
      <w:pPr>
        <w:ind w:left="0" w:firstLine="400"/>
      </w:pPr>
      <w:rPr>
        <w:rFonts w:hint="default"/>
      </w:rPr>
    </w:lvl>
  </w:abstractNum>
  <w:abstractNum w:abstractNumId="1245741555">
    <w:nsid w:val="4A4081F3"/>
    <w:multiLevelType w:val="singleLevel"/>
    <w:tmpl w:val="4A4081F3"/>
    <w:lvl w:ilvl="0" w:tentative="1">
      <w:start w:val="1"/>
      <w:numFmt w:val="decimal"/>
      <w:suff w:val="nothing"/>
      <w:lvlText w:val="%1．"/>
      <w:lvlJc w:val="left"/>
      <w:pPr>
        <w:ind w:left="0" w:firstLine="400"/>
      </w:pPr>
      <w:rPr>
        <w:rFonts w:hint="default"/>
      </w:rPr>
    </w:lvl>
  </w:abstractNum>
  <w:abstractNum w:abstractNumId="3476090950">
    <w:nsid w:val="CF30F046"/>
    <w:multiLevelType w:val="singleLevel"/>
    <w:tmpl w:val="CF30F046"/>
    <w:lvl w:ilvl="0" w:tentative="1">
      <w:start w:val="1"/>
      <w:numFmt w:val="decimal"/>
      <w:suff w:val="nothing"/>
      <w:lvlText w:val="%1．"/>
      <w:lvlJc w:val="left"/>
      <w:pPr>
        <w:ind w:left="0" w:firstLine="400"/>
      </w:pPr>
      <w:rPr>
        <w:rFonts w:hint="default"/>
      </w:rPr>
    </w:lvl>
  </w:abstractNum>
  <w:abstractNum w:abstractNumId="3063048962">
    <w:nsid w:val="B6926B02"/>
    <w:multiLevelType w:val="singleLevel"/>
    <w:tmpl w:val="B6926B02"/>
    <w:lvl w:ilvl="0" w:tentative="1">
      <w:start w:val="1"/>
      <w:numFmt w:val="decimal"/>
      <w:suff w:val="nothing"/>
      <w:lvlText w:val="%1．"/>
      <w:lvlJc w:val="left"/>
      <w:pPr>
        <w:ind w:left="0" w:firstLine="400"/>
      </w:pPr>
      <w:rPr>
        <w:rFonts w:hint="default"/>
      </w:rPr>
    </w:lvl>
  </w:abstractNum>
  <w:abstractNum w:abstractNumId="1017928684">
    <w:nsid w:val="3CAC5BEC"/>
    <w:multiLevelType w:val="singleLevel"/>
    <w:tmpl w:val="3CAC5BEC"/>
    <w:lvl w:ilvl="0" w:tentative="1">
      <w:start w:val="1"/>
      <w:numFmt w:val="decimal"/>
      <w:suff w:val="nothing"/>
      <w:lvlText w:val="%1．"/>
      <w:lvlJc w:val="left"/>
      <w:pPr>
        <w:ind w:left="0" w:firstLine="400"/>
      </w:pPr>
      <w:rPr>
        <w:rFonts w:hint="default"/>
      </w:rPr>
    </w:lvl>
  </w:abstractNum>
  <w:abstractNum w:abstractNumId="2990805140">
    <w:nsid w:val="B2441094"/>
    <w:multiLevelType w:val="singleLevel"/>
    <w:tmpl w:val="B2441094"/>
    <w:lvl w:ilvl="0" w:tentative="1">
      <w:start w:val="1"/>
      <w:numFmt w:val="decimal"/>
      <w:suff w:val="nothing"/>
      <w:lvlText w:val="%1．"/>
      <w:lvlJc w:val="left"/>
      <w:pPr>
        <w:ind w:left="0" w:firstLine="400"/>
      </w:pPr>
      <w:rPr>
        <w:rFonts w:hint="default"/>
      </w:rPr>
    </w:lvl>
  </w:abstractNum>
  <w:num w:numId="1">
    <w:abstractNumId w:val="1679238143"/>
  </w:num>
  <w:num w:numId="2">
    <w:abstractNumId w:val="1843468400"/>
  </w:num>
  <w:num w:numId="3">
    <w:abstractNumId w:val="723137771"/>
  </w:num>
  <w:num w:numId="4">
    <w:abstractNumId w:val="1618995049"/>
  </w:num>
  <w:num w:numId="5">
    <w:abstractNumId w:val="156379079"/>
  </w:num>
  <w:num w:numId="6">
    <w:abstractNumId w:val="2738153486"/>
  </w:num>
  <w:num w:numId="7">
    <w:abstractNumId w:val="3962930202"/>
  </w:num>
  <w:num w:numId="8">
    <w:abstractNumId w:val="321314494"/>
  </w:num>
  <w:num w:numId="9">
    <w:abstractNumId w:val="2788297528"/>
  </w:num>
  <w:num w:numId="10">
    <w:abstractNumId w:val="959072428"/>
  </w:num>
  <w:num w:numId="11">
    <w:abstractNumId w:val="2117388409"/>
  </w:num>
  <w:num w:numId="12">
    <w:abstractNumId w:val="2397907278"/>
  </w:num>
  <w:num w:numId="13">
    <w:abstractNumId w:val="272160722"/>
  </w:num>
  <w:num w:numId="14">
    <w:abstractNumId w:val="1100508966"/>
  </w:num>
  <w:num w:numId="15">
    <w:abstractNumId w:val="2070534495"/>
  </w:num>
  <w:num w:numId="16">
    <w:abstractNumId w:val="2716868673"/>
  </w:num>
  <w:num w:numId="17">
    <w:abstractNumId w:val="1837293531"/>
  </w:num>
  <w:num w:numId="18">
    <w:abstractNumId w:val="3547686211"/>
  </w:num>
  <w:num w:numId="19">
    <w:abstractNumId w:val="1709165102"/>
  </w:num>
  <w:num w:numId="20">
    <w:abstractNumId w:val="206314393"/>
  </w:num>
  <w:num w:numId="21">
    <w:abstractNumId w:val="1086925691"/>
  </w:num>
  <w:num w:numId="22">
    <w:abstractNumId w:val="3748131752"/>
  </w:num>
  <w:num w:numId="23">
    <w:abstractNumId w:val="3057674480"/>
  </w:num>
  <w:num w:numId="24">
    <w:abstractNumId w:val="1245741555"/>
  </w:num>
  <w:num w:numId="25">
    <w:abstractNumId w:val="3476090950"/>
  </w:num>
  <w:num w:numId="26">
    <w:abstractNumId w:val="3063048962"/>
  </w:num>
  <w:num w:numId="27">
    <w:abstractNumId w:val="1017928684"/>
  </w:num>
  <w:num w:numId="28">
    <w:abstractNumId w:val="43821387"/>
  </w:num>
  <w:num w:numId="29">
    <w:abstractNumId w:val="700876340"/>
  </w:num>
  <w:num w:numId="30">
    <w:abstractNumId w:val="3441117480"/>
  </w:num>
  <w:num w:numId="31">
    <w:abstractNumId w:val="1124848378"/>
  </w:num>
  <w:num w:numId="32">
    <w:abstractNumId w:val="2553498010"/>
  </w:num>
  <w:num w:numId="33">
    <w:abstractNumId w:val="267081633"/>
  </w:num>
  <w:num w:numId="34">
    <w:abstractNumId w:val="71061562"/>
  </w:num>
  <w:num w:numId="35">
    <w:abstractNumId w:val="507476516"/>
  </w:num>
  <w:num w:numId="36">
    <w:abstractNumId w:val="381169946"/>
  </w:num>
  <w:num w:numId="37">
    <w:abstractNumId w:val="1390112629"/>
  </w:num>
  <w:num w:numId="38">
    <w:abstractNumId w:val="1873189603"/>
  </w:num>
  <w:num w:numId="39">
    <w:abstractNumId w:val="1595849027"/>
  </w:num>
  <w:num w:numId="40">
    <w:abstractNumId w:val="3919687920"/>
  </w:num>
  <w:num w:numId="41">
    <w:abstractNumId w:val="2134979599"/>
  </w:num>
  <w:num w:numId="42">
    <w:abstractNumId w:val="1610007584"/>
  </w:num>
  <w:num w:numId="43">
    <w:abstractNumId w:val="1504493287"/>
  </w:num>
  <w:num w:numId="44">
    <w:abstractNumId w:val="1531814332"/>
  </w:num>
  <w:num w:numId="45">
    <w:abstractNumId w:val="2555468025"/>
  </w:num>
  <w:num w:numId="46">
    <w:abstractNumId w:val="29908051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FBE"/>
    <w:rsid w:val="0000025A"/>
    <w:rsid w:val="00001CC1"/>
    <w:rsid w:val="000035F4"/>
    <w:rsid w:val="000037F0"/>
    <w:rsid w:val="00011721"/>
    <w:rsid w:val="000138E8"/>
    <w:rsid w:val="00015136"/>
    <w:rsid w:val="0001591E"/>
    <w:rsid w:val="00015D46"/>
    <w:rsid w:val="00017060"/>
    <w:rsid w:val="000202BD"/>
    <w:rsid w:val="00025F4A"/>
    <w:rsid w:val="00026A02"/>
    <w:rsid w:val="00030E74"/>
    <w:rsid w:val="00031467"/>
    <w:rsid w:val="0003254D"/>
    <w:rsid w:val="00032E39"/>
    <w:rsid w:val="00034AF2"/>
    <w:rsid w:val="00036D69"/>
    <w:rsid w:val="000404A4"/>
    <w:rsid w:val="00041C10"/>
    <w:rsid w:val="00042B4E"/>
    <w:rsid w:val="00042EB3"/>
    <w:rsid w:val="00045487"/>
    <w:rsid w:val="0004607A"/>
    <w:rsid w:val="000501FA"/>
    <w:rsid w:val="00050C78"/>
    <w:rsid w:val="000522E6"/>
    <w:rsid w:val="0005297E"/>
    <w:rsid w:val="000559D6"/>
    <w:rsid w:val="00055E6D"/>
    <w:rsid w:val="00056173"/>
    <w:rsid w:val="0005637F"/>
    <w:rsid w:val="00057D5B"/>
    <w:rsid w:val="000604C8"/>
    <w:rsid w:val="00060F38"/>
    <w:rsid w:val="000613C9"/>
    <w:rsid w:val="00061709"/>
    <w:rsid w:val="00061751"/>
    <w:rsid w:val="0006421C"/>
    <w:rsid w:val="00064331"/>
    <w:rsid w:val="0006488C"/>
    <w:rsid w:val="00066FF5"/>
    <w:rsid w:val="00071D0C"/>
    <w:rsid w:val="00073925"/>
    <w:rsid w:val="000745F6"/>
    <w:rsid w:val="0007498A"/>
    <w:rsid w:val="00080A0E"/>
    <w:rsid w:val="000839F9"/>
    <w:rsid w:val="00084E75"/>
    <w:rsid w:val="00085C83"/>
    <w:rsid w:val="00087CAA"/>
    <w:rsid w:val="00090D1F"/>
    <w:rsid w:val="00090FF6"/>
    <w:rsid w:val="0009249B"/>
    <w:rsid w:val="00092B40"/>
    <w:rsid w:val="00093E97"/>
    <w:rsid w:val="000943A3"/>
    <w:rsid w:val="00094405"/>
    <w:rsid w:val="00094BA4"/>
    <w:rsid w:val="00097898"/>
    <w:rsid w:val="000979EB"/>
    <w:rsid w:val="000A06EB"/>
    <w:rsid w:val="000A1C87"/>
    <w:rsid w:val="000A1CDE"/>
    <w:rsid w:val="000A1D3B"/>
    <w:rsid w:val="000A2B27"/>
    <w:rsid w:val="000A5003"/>
    <w:rsid w:val="000A587C"/>
    <w:rsid w:val="000A7A8F"/>
    <w:rsid w:val="000B1739"/>
    <w:rsid w:val="000B18F5"/>
    <w:rsid w:val="000B46DF"/>
    <w:rsid w:val="000B58E3"/>
    <w:rsid w:val="000C250F"/>
    <w:rsid w:val="000C2DAF"/>
    <w:rsid w:val="000C30E1"/>
    <w:rsid w:val="000C37C9"/>
    <w:rsid w:val="000C5DBD"/>
    <w:rsid w:val="000D2071"/>
    <w:rsid w:val="000D331A"/>
    <w:rsid w:val="000D4D96"/>
    <w:rsid w:val="000D57D1"/>
    <w:rsid w:val="000D788C"/>
    <w:rsid w:val="000D7C23"/>
    <w:rsid w:val="000D7FEC"/>
    <w:rsid w:val="000E1852"/>
    <w:rsid w:val="000E1EAA"/>
    <w:rsid w:val="000E1EEA"/>
    <w:rsid w:val="000E3154"/>
    <w:rsid w:val="000E77D9"/>
    <w:rsid w:val="000F12CA"/>
    <w:rsid w:val="000F3297"/>
    <w:rsid w:val="000F444F"/>
    <w:rsid w:val="000F4473"/>
    <w:rsid w:val="000F58E0"/>
    <w:rsid w:val="000F6102"/>
    <w:rsid w:val="000F64D5"/>
    <w:rsid w:val="0010080A"/>
    <w:rsid w:val="0010157A"/>
    <w:rsid w:val="0011181B"/>
    <w:rsid w:val="0011211A"/>
    <w:rsid w:val="00112B47"/>
    <w:rsid w:val="001148C6"/>
    <w:rsid w:val="00115094"/>
    <w:rsid w:val="001200F0"/>
    <w:rsid w:val="0012516A"/>
    <w:rsid w:val="001266F7"/>
    <w:rsid w:val="00127E3B"/>
    <w:rsid w:val="0013455A"/>
    <w:rsid w:val="00134E45"/>
    <w:rsid w:val="0013792B"/>
    <w:rsid w:val="00140519"/>
    <w:rsid w:val="00144132"/>
    <w:rsid w:val="001443A3"/>
    <w:rsid w:val="0014477F"/>
    <w:rsid w:val="00144E22"/>
    <w:rsid w:val="00145FC1"/>
    <w:rsid w:val="00153938"/>
    <w:rsid w:val="00154FA3"/>
    <w:rsid w:val="001568D6"/>
    <w:rsid w:val="001603BB"/>
    <w:rsid w:val="00160F1A"/>
    <w:rsid w:val="001613F6"/>
    <w:rsid w:val="00161742"/>
    <w:rsid w:val="00162AC7"/>
    <w:rsid w:val="00163C6B"/>
    <w:rsid w:val="00163CF5"/>
    <w:rsid w:val="00163D3F"/>
    <w:rsid w:val="00164038"/>
    <w:rsid w:val="0016454E"/>
    <w:rsid w:val="00164B17"/>
    <w:rsid w:val="00166F73"/>
    <w:rsid w:val="0017056C"/>
    <w:rsid w:val="001719C5"/>
    <w:rsid w:val="0017260C"/>
    <w:rsid w:val="0017509E"/>
    <w:rsid w:val="00176C19"/>
    <w:rsid w:val="00181D19"/>
    <w:rsid w:val="00182B31"/>
    <w:rsid w:val="0018410D"/>
    <w:rsid w:val="001843C6"/>
    <w:rsid w:val="00184735"/>
    <w:rsid w:val="00184FB7"/>
    <w:rsid w:val="001858A6"/>
    <w:rsid w:val="00186FFB"/>
    <w:rsid w:val="00187352"/>
    <w:rsid w:val="00187590"/>
    <w:rsid w:val="00187674"/>
    <w:rsid w:val="00190477"/>
    <w:rsid w:val="00194B73"/>
    <w:rsid w:val="00195532"/>
    <w:rsid w:val="00195F5B"/>
    <w:rsid w:val="001967ED"/>
    <w:rsid w:val="001A0A45"/>
    <w:rsid w:val="001A1F36"/>
    <w:rsid w:val="001A24A9"/>
    <w:rsid w:val="001A5AD8"/>
    <w:rsid w:val="001A6304"/>
    <w:rsid w:val="001B0AEC"/>
    <w:rsid w:val="001B4607"/>
    <w:rsid w:val="001B51FE"/>
    <w:rsid w:val="001B6084"/>
    <w:rsid w:val="001B68D8"/>
    <w:rsid w:val="001C031F"/>
    <w:rsid w:val="001C09CF"/>
    <w:rsid w:val="001C42CD"/>
    <w:rsid w:val="001C441C"/>
    <w:rsid w:val="001C4DD1"/>
    <w:rsid w:val="001C4DE4"/>
    <w:rsid w:val="001C6E99"/>
    <w:rsid w:val="001C78A7"/>
    <w:rsid w:val="001D25B6"/>
    <w:rsid w:val="001D2793"/>
    <w:rsid w:val="001D6435"/>
    <w:rsid w:val="001D67D5"/>
    <w:rsid w:val="001E4700"/>
    <w:rsid w:val="001E6BA1"/>
    <w:rsid w:val="001F1D58"/>
    <w:rsid w:val="001F2B86"/>
    <w:rsid w:val="001F4CF7"/>
    <w:rsid w:val="001F6B29"/>
    <w:rsid w:val="001F72A2"/>
    <w:rsid w:val="001F7AB6"/>
    <w:rsid w:val="001F7C4A"/>
    <w:rsid w:val="00200224"/>
    <w:rsid w:val="00201004"/>
    <w:rsid w:val="00202DB8"/>
    <w:rsid w:val="00204B71"/>
    <w:rsid w:val="00207178"/>
    <w:rsid w:val="002122DB"/>
    <w:rsid w:val="00213994"/>
    <w:rsid w:val="00213B07"/>
    <w:rsid w:val="002152F0"/>
    <w:rsid w:val="00216EB4"/>
    <w:rsid w:val="00221913"/>
    <w:rsid w:val="00221953"/>
    <w:rsid w:val="00226E86"/>
    <w:rsid w:val="00226F50"/>
    <w:rsid w:val="00230A4E"/>
    <w:rsid w:val="00232602"/>
    <w:rsid w:val="00232F13"/>
    <w:rsid w:val="00233085"/>
    <w:rsid w:val="0023344E"/>
    <w:rsid w:val="00234F46"/>
    <w:rsid w:val="00237051"/>
    <w:rsid w:val="002372E3"/>
    <w:rsid w:val="002408C8"/>
    <w:rsid w:val="0024232D"/>
    <w:rsid w:val="00242A24"/>
    <w:rsid w:val="002434B6"/>
    <w:rsid w:val="002447B7"/>
    <w:rsid w:val="002452ED"/>
    <w:rsid w:val="002510A9"/>
    <w:rsid w:val="0025343D"/>
    <w:rsid w:val="002539A2"/>
    <w:rsid w:val="00254E25"/>
    <w:rsid w:val="0026022B"/>
    <w:rsid w:val="002662A3"/>
    <w:rsid w:val="0026685D"/>
    <w:rsid w:val="0026688A"/>
    <w:rsid w:val="00266937"/>
    <w:rsid w:val="00267608"/>
    <w:rsid w:val="00267CCE"/>
    <w:rsid w:val="00270528"/>
    <w:rsid w:val="0027327B"/>
    <w:rsid w:val="00277B3D"/>
    <w:rsid w:val="00281B19"/>
    <w:rsid w:val="00282430"/>
    <w:rsid w:val="00283762"/>
    <w:rsid w:val="00283A95"/>
    <w:rsid w:val="00283DBA"/>
    <w:rsid w:val="00287043"/>
    <w:rsid w:val="002A0D60"/>
    <w:rsid w:val="002A1458"/>
    <w:rsid w:val="002A2966"/>
    <w:rsid w:val="002A2D74"/>
    <w:rsid w:val="002A350A"/>
    <w:rsid w:val="002A5605"/>
    <w:rsid w:val="002A75FF"/>
    <w:rsid w:val="002B0321"/>
    <w:rsid w:val="002B1E3C"/>
    <w:rsid w:val="002B4EEF"/>
    <w:rsid w:val="002B510A"/>
    <w:rsid w:val="002B5196"/>
    <w:rsid w:val="002B5982"/>
    <w:rsid w:val="002B6139"/>
    <w:rsid w:val="002C1486"/>
    <w:rsid w:val="002C549E"/>
    <w:rsid w:val="002C55D2"/>
    <w:rsid w:val="002D39A3"/>
    <w:rsid w:val="002D3BB1"/>
    <w:rsid w:val="002D4566"/>
    <w:rsid w:val="002D4C27"/>
    <w:rsid w:val="002D4D08"/>
    <w:rsid w:val="002D6292"/>
    <w:rsid w:val="002D6B47"/>
    <w:rsid w:val="002D73CD"/>
    <w:rsid w:val="002E272E"/>
    <w:rsid w:val="002E2BEE"/>
    <w:rsid w:val="002E3121"/>
    <w:rsid w:val="002E3D90"/>
    <w:rsid w:val="002E41DB"/>
    <w:rsid w:val="002E5D7F"/>
    <w:rsid w:val="002F3D28"/>
    <w:rsid w:val="002F603A"/>
    <w:rsid w:val="003032C9"/>
    <w:rsid w:val="003034D2"/>
    <w:rsid w:val="00305221"/>
    <w:rsid w:val="00306305"/>
    <w:rsid w:val="0030784B"/>
    <w:rsid w:val="00311320"/>
    <w:rsid w:val="00312109"/>
    <w:rsid w:val="00313655"/>
    <w:rsid w:val="00313C6B"/>
    <w:rsid w:val="00314DA9"/>
    <w:rsid w:val="00317FBE"/>
    <w:rsid w:val="0032495C"/>
    <w:rsid w:val="00325B6A"/>
    <w:rsid w:val="0032613D"/>
    <w:rsid w:val="00327F94"/>
    <w:rsid w:val="00330393"/>
    <w:rsid w:val="0033149C"/>
    <w:rsid w:val="00335987"/>
    <w:rsid w:val="003451D5"/>
    <w:rsid w:val="00345C73"/>
    <w:rsid w:val="00345F39"/>
    <w:rsid w:val="0034601A"/>
    <w:rsid w:val="00347C07"/>
    <w:rsid w:val="00350C68"/>
    <w:rsid w:val="00353396"/>
    <w:rsid w:val="00354041"/>
    <w:rsid w:val="00356AA8"/>
    <w:rsid w:val="003618CD"/>
    <w:rsid w:val="003630D0"/>
    <w:rsid w:val="00366D40"/>
    <w:rsid w:val="00367C72"/>
    <w:rsid w:val="00367ED7"/>
    <w:rsid w:val="003751EF"/>
    <w:rsid w:val="00375E93"/>
    <w:rsid w:val="003977AF"/>
    <w:rsid w:val="00397FCB"/>
    <w:rsid w:val="003A118C"/>
    <w:rsid w:val="003A17D7"/>
    <w:rsid w:val="003A21C4"/>
    <w:rsid w:val="003A3CE9"/>
    <w:rsid w:val="003A52B2"/>
    <w:rsid w:val="003B0382"/>
    <w:rsid w:val="003C0650"/>
    <w:rsid w:val="003C0693"/>
    <w:rsid w:val="003C430F"/>
    <w:rsid w:val="003C6FB6"/>
    <w:rsid w:val="003C70A4"/>
    <w:rsid w:val="003D111D"/>
    <w:rsid w:val="003D1A1D"/>
    <w:rsid w:val="003D441F"/>
    <w:rsid w:val="003D655A"/>
    <w:rsid w:val="003D71E5"/>
    <w:rsid w:val="003D79E7"/>
    <w:rsid w:val="003E284D"/>
    <w:rsid w:val="003E2AB8"/>
    <w:rsid w:val="003E5143"/>
    <w:rsid w:val="003E69EF"/>
    <w:rsid w:val="003E7AC3"/>
    <w:rsid w:val="003F281F"/>
    <w:rsid w:val="003F310F"/>
    <w:rsid w:val="003F34D7"/>
    <w:rsid w:val="003F440F"/>
    <w:rsid w:val="003F491A"/>
    <w:rsid w:val="003F6B3A"/>
    <w:rsid w:val="003F7C56"/>
    <w:rsid w:val="00403094"/>
    <w:rsid w:val="00405EBF"/>
    <w:rsid w:val="004076A6"/>
    <w:rsid w:val="00407BB7"/>
    <w:rsid w:val="004105ED"/>
    <w:rsid w:val="004120D4"/>
    <w:rsid w:val="00412FF5"/>
    <w:rsid w:val="004137FE"/>
    <w:rsid w:val="0041720E"/>
    <w:rsid w:val="00417342"/>
    <w:rsid w:val="0043001F"/>
    <w:rsid w:val="004307A3"/>
    <w:rsid w:val="004341AA"/>
    <w:rsid w:val="00434685"/>
    <w:rsid w:val="00434C28"/>
    <w:rsid w:val="0043524F"/>
    <w:rsid w:val="00437350"/>
    <w:rsid w:val="0043763D"/>
    <w:rsid w:val="00440896"/>
    <w:rsid w:val="00445CFD"/>
    <w:rsid w:val="004468DE"/>
    <w:rsid w:val="00447A63"/>
    <w:rsid w:val="0045047B"/>
    <w:rsid w:val="004537CA"/>
    <w:rsid w:val="0045693A"/>
    <w:rsid w:val="004574CF"/>
    <w:rsid w:val="00460B52"/>
    <w:rsid w:val="0046116C"/>
    <w:rsid w:val="00461887"/>
    <w:rsid w:val="0046220A"/>
    <w:rsid w:val="00462D41"/>
    <w:rsid w:val="00462EDE"/>
    <w:rsid w:val="00464FB5"/>
    <w:rsid w:val="00465A03"/>
    <w:rsid w:val="00465C7B"/>
    <w:rsid w:val="004673A3"/>
    <w:rsid w:val="004700E2"/>
    <w:rsid w:val="00470586"/>
    <w:rsid w:val="00470BCA"/>
    <w:rsid w:val="00471405"/>
    <w:rsid w:val="004725F2"/>
    <w:rsid w:val="00475E8A"/>
    <w:rsid w:val="00477053"/>
    <w:rsid w:val="00477109"/>
    <w:rsid w:val="0048641F"/>
    <w:rsid w:val="00486775"/>
    <w:rsid w:val="0049040C"/>
    <w:rsid w:val="00492413"/>
    <w:rsid w:val="00492B7F"/>
    <w:rsid w:val="00492C6B"/>
    <w:rsid w:val="00492E09"/>
    <w:rsid w:val="00493CA6"/>
    <w:rsid w:val="004943E8"/>
    <w:rsid w:val="00495E2B"/>
    <w:rsid w:val="00495E3C"/>
    <w:rsid w:val="004A020F"/>
    <w:rsid w:val="004A2044"/>
    <w:rsid w:val="004B067B"/>
    <w:rsid w:val="004B2E62"/>
    <w:rsid w:val="004B5EC6"/>
    <w:rsid w:val="004B6762"/>
    <w:rsid w:val="004B6CFF"/>
    <w:rsid w:val="004B7F6E"/>
    <w:rsid w:val="004C16D5"/>
    <w:rsid w:val="004C1B9D"/>
    <w:rsid w:val="004C216A"/>
    <w:rsid w:val="004C32D6"/>
    <w:rsid w:val="004C3684"/>
    <w:rsid w:val="004C60E9"/>
    <w:rsid w:val="004D0206"/>
    <w:rsid w:val="004D048E"/>
    <w:rsid w:val="004D0C51"/>
    <w:rsid w:val="004D0DD6"/>
    <w:rsid w:val="004D13B1"/>
    <w:rsid w:val="004D150A"/>
    <w:rsid w:val="004D29FF"/>
    <w:rsid w:val="004D626B"/>
    <w:rsid w:val="004D6905"/>
    <w:rsid w:val="004D6F27"/>
    <w:rsid w:val="004D7553"/>
    <w:rsid w:val="004D7C4C"/>
    <w:rsid w:val="004E0302"/>
    <w:rsid w:val="004E0F9A"/>
    <w:rsid w:val="004E21F5"/>
    <w:rsid w:val="004E4CB6"/>
    <w:rsid w:val="004E6BA4"/>
    <w:rsid w:val="004E7787"/>
    <w:rsid w:val="004F0B26"/>
    <w:rsid w:val="004F0FCE"/>
    <w:rsid w:val="004F1662"/>
    <w:rsid w:val="004F202B"/>
    <w:rsid w:val="004F3507"/>
    <w:rsid w:val="004F3EE4"/>
    <w:rsid w:val="004F42C4"/>
    <w:rsid w:val="004F5477"/>
    <w:rsid w:val="004F7E99"/>
    <w:rsid w:val="004F7FE8"/>
    <w:rsid w:val="0050000D"/>
    <w:rsid w:val="00500645"/>
    <w:rsid w:val="005019B3"/>
    <w:rsid w:val="00503042"/>
    <w:rsid w:val="00503AA5"/>
    <w:rsid w:val="00504E09"/>
    <w:rsid w:val="00516B63"/>
    <w:rsid w:val="005206C3"/>
    <w:rsid w:val="00521C7F"/>
    <w:rsid w:val="00522CAF"/>
    <w:rsid w:val="00526755"/>
    <w:rsid w:val="00526C59"/>
    <w:rsid w:val="00530109"/>
    <w:rsid w:val="00530BB1"/>
    <w:rsid w:val="0053248E"/>
    <w:rsid w:val="00532B43"/>
    <w:rsid w:val="00533248"/>
    <w:rsid w:val="005345B3"/>
    <w:rsid w:val="00537959"/>
    <w:rsid w:val="00537FA7"/>
    <w:rsid w:val="00541249"/>
    <w:rsid w:val="00541A28"/>
    <w:rsid w:val="00543072"/>
    <w:rsid w:val="005507B7"/>
    <w:rsid w:val="0055158F"/>
    <w:rsid w:val="005527B8"/>
    <w:rsid w:val="00557FFD"/>
    <w:rsid w:val="005618A8"/>
    <w:rsid w:val="00561DC5"/>
    <w:rsid w:val="005630BA"/>
    <w:rsid w:val="00565484"/>
    <w:rsid w:val="005661C0"/>
    <w:rsid w:val="00566AE5"/>
    <w:rsid w:val="00566D88"/>
    <w:rsid w:val="005701DE"/>
    <w:rsid w:val="0057111D"/>
    <w:rsid w:val="00574EF9"/>
    <w:rsid w:val="00576E2C"/>
    <w:rsid w:val="005770DF"/>
    <w:rsid w:val="00577127"/>
    <w:rsid w:val="00580F00"/>
    <w:rsid w:val="005827EF"/>
    <w:rsid w:val="00583761"/>
    <w:rsid w:val="0058503E"/>
    <w:rsid w:val="0058622B"/>
    <w:rsid w:val="00587A9A"/>
    <w:rsid w:val="005964EA"/>
    <w:rsid w:val="005A002A"/>
    <w:rsid w:val="005A010C"/>
    <w:rsid w:val="005A130D"/>
    <w:rsid w:val="005A1ACF"/>
    <w:rsid w:val="005A1B31"/>
    <w:rsid w:val="005A7C49"/>
    <w:rsid w:val="005B06FB"/>
    <w:rsid w:val="005B350D"/>
    <w:rsid w:val="005B6142"/>
    <w:rsid w:val="005B681E"/>
    <w:rsid w:val="005C0C63"/>
    <w:rsid w:val="005C0E04"/>
    <w:rsid w:val="005C19C0"/>
    <w:rsid w:val="005C6B3F"/>
    <w:rsid w:val="005D46CD"/>
    <w:rsid w:val="005D4A96"/>
    <w:rsid w:val="005D5E1B"/>
    <w:rsid w:val="005D7FC7"/>
    <w:rsid w:val="005E654C"/>
    <w:rsid w:val="005E7132"/>
    <w:rsid w:val="005F26B4"/>
    <w:rsid w:val="005F2D62"/>
    <w:rsid w:val="005F2D88"/>
    <w:rsid w:val="005F4D1B"/>
    <w:rsid w:val="005F4FB8"/>
    <w:rsid w:val="005F6C39"/>
    <w:rsid w:val="005F79FD"/>
    <w:rsid w:val="00600060"/>
    <w:rsid w:val="00600341"/>
    <w:rsid w:val="00602E21"/>
    <w:rsid w:val="00603612"/>
    <w:rsid w:val="0060380C"/>
    <w:rsid w:val="00603FC0"/>
    <w:rsid w:val="0060545C"/>
    <w:rsid w:val="00605AF4"/>
    <w:rsid w:val="00606E06"/>
    <w:rsid w:val="00607AAE"/>
    <w:rsid w:val="00613372"/>
    <w:rsid w:val="0062425C"/>
    <w:rsid w:val="00624392"/>
    <w:rsid w:val="006262D0"/>
    <w:rsid w:val="00626C87"/>
    <w:rsid w:val="006270E1"/>
    <w:rsid w:val="00633F76"/>
    <w:rsid w:val="00635A21"/>
    <w:rsid w:val="006371A6"/>
    <w:rsid w:val="00640C70"/>
    <w:rsid w:val="006411C0"/>
    <w:rsid w:val="006444C5"/>
    <w:rsid w:val="00644AED"/>
    <w:rsid w:val="006457E3"/>
    <w:rsid w:val="00646067"/>
    <w:rsid w:val="00647592"/>
    <w:rsid w:val="0065067F"/>
    <w:rsid w:val="006506AA"/>
    <w:rsid w:val="00652FD2"/>
    <w:rsid w:val="006531B2"/>
    <w:rsid w:val="006542CD"/>
    <w:rsid w:val="006544E3"/>
    <w:rsid w:val="00654780"/>
    <w:rsid w:val="00655B0E"/>
    <w:rsid w:val="006566B1"/>
    <w:rsid w:val="0065776D"/>
    <w:rsid w:val="0066048B"/>
    <w:rsid w:val="006607A7"/>
    <w:rsid w:val="00664BDC"/>
    <w:rsid w:val="00665DFD"/>
    <w:rsid w:val="00682742"/>
    <w:rsid w:val="0068504F"/>
    <w:rsid w:val="00690CFF"/>
    <w:rsid w:val="00690F83"/>
    <w:rsid w:val="0069131A"/>
    <w:rsid w:val="006923E4"/>
    <w:rsid w:val="00693444"/>
    <w:rsid w:val="006938F3"/>
    <w:rsid w:val="006A06BA"/>
    <w:rsid w:val="006A31FD"/>
    <w:rsid w:val="006A482E"/>
    <w:rsid w:val="006A68D0"/>
    <w:rsid w:val="006A7262"/>
    <w:rsid w:val="006A778E"/>
    <w:rsid w:val="006B1CA2"/>
    <w:rsid w:val="006B5B1F"/>
    <w:rsid w:val="006B608F"/>
    <w:rsid w:val="006B6A8F"/>
    <w:rsid w:val="006C059F"/>
    <w:rsid w:val="006C0C12"/>
    <w:rsid w:val="006C3BD9"/>
    <w:rsid w:val="006C5238"/>
    <w:rsid w:val="006C641F"/>
    <w:rsid w:val="006D0972"/>
    <w:rsid w:val="006D09C6"/>
    <w:rsid w:val="006D3640"/>
    <w:rsid w:val="006D64A1"/>
    <w:rsid w:val="006D65A8"/>
    <w:rsid w:val="006D73CA"/>
    <w:rsid w:val="006E086A"/>
    <w:rsid w:val="006E2A3C"/>
    <w:rsid w:val="006E4E59"/>
    <w:rsid w:val="006E5367"/>
    <w:rsid w:val="006E67C2"/>
    <w:rsid w:val="006F033A"/>
    <w:rsid w:val="006F4513"/>
    <w:rsid w:val="006F5547"/>
    <w:rsid w:val="00701BD2"/>
    <w:rsid w:val="00703DFE"/>
    <w:rsid w:val="0070413B"/>
    <w:rsid w:val="007066D4"/>
    <w:rsid w:val="00706F94"/>
    <w:rsid w:val="00711281"/>
    <w:rsid w:val="0071168F"/>
    <w:rsid w:val="007133A7"/>
    <w:rsid w:val="00714D40"/>
    <w:rsid w:val="0071607F"/>
    <w:rsid w:val="00716992"/>
    <w:rsid w:val="00717FBE"/>
    <w:rsid w:val="00720A4F"/>
    <w:rsid w:val="00721700"/>
    <w:rsid w:val="00722CCB"/>
    <w:rsid w:val="007238B9"/>
    <w:rsid w:val="00723E53"/>
    <w:rsid w:val="007256CA"/>
    <w:rsid w:val="00731786"/>
    <w:rsid w:val="00740830"/>
    <w:rsid w:val="00741369"/>
    <w:rsid w:val="007420A7"/>
    <w:rsid w:val="00742819"/>
    <w:rsid w:val="00742F45"/>
    <w:rsid w:val="007454AA"/>
    <w:rsid w:val="00746398"/>
    <w:rsid w:val="00746A57"/>
    <w:rsid w:val="00747674"/>
    <w:rsid w:val="00747F36"/>
    <w:rsid w:val="00751D07"/>
    <w:rsid w:val="00751D77"/>
    <w:rsid w:val="00754AB3"/>
    <w:rsid w:val="00756186"/>
    <w:rsid w:val="007647EC"/>
    <w:rsid w:val="00765AAB"/>
    <w:rsid w:val="00770034"/>
    <w:rsid w:val="00771DDD"/>
    <w:rsid w:val="0077232D"/>
    <w:rsid w:val="00772782"/>
    <w:rsid w:val="00772943"/>
    <w:rsid w:val="00772DBD"/>
    <w:rsid w:val="0077469F"/>
    <w:rsid w:val="00774992"/>
    <w:rsid w:val="007805C7"/>
    <w:rsid w:val="00781678"/>
    <w:rsid w:val="0078362A"/>
    <w:rsid w:val="00790F04"/>
    <w:rsid w:val="0079359D"/>
    <w:rsid w:val="007941ED"/>
    <w:rsid w:val="00794800"/>
    <w:rsid w:val="007949C9"/>
    <w:rsid w:val="007A02ED"/>
    <w:rsid w:val="007A0B2E"/>
    <w:rsid w:val="007A117E"/>
    <w:rsid w:val="007A1406"/>
    <w:rsid w:val="007A17EB"/>
    <w:rsid w:val="007A1D06"/>
    <w:rsid w:val="007A1E93"/>
    <w:rsid w:val="007A2211"/>
    <w:rsid w:val="007A3CB2"/>
    <w:rsid w:val="007A4BE9"/>
    <w:rsid w:val="007A4DCD"/>
    <w:rsid w:val="007A4FBC"/>
    <w:rsid w:val="007A5E90"/>
    <w:rsid w:val="007A7FF2"/>
    <w:rsid w:val="007B0B00"/>
    <w:rsid w:val="007C15BB"/>
    <w:rsid w:val="007C2C88"/>
    <w:rsid w:val="007C39DB"/>
    <w:rsid w:val="007C3B8F"/>
    <w:rsid w:val="007C4D0F"/>
    <w:rsid w:val="007C505D"/>
    <w:rsid w:val="007C5D39"/>
    <w:rsid w:val="007C6A54"/>
    <w:rsid w:val="007C6DEE"/>
    <w:rsid w:val="007C797E"/>
    <w:rsid w:val="007D0365"/>
    <w:rsid w:val="007D3F32"/>
    <w:rsid w:val="007D40E3"/>
    <w:rsid w:val="007D6B9C"/>
    <w:rsid w:val="007E0CC3"/>
    <w:rsid w:val="007E1506"/>
    <w:rsid w:val="007E1B9A"/>
    <w:rsid w:val="007E410D"/>
    <w:rsid w:val="007E59B5"/>
    <w:rsid w:val="007E6600"/>
    <w:rsid w:val="007E752E"/>
    <w:rsid w:val="007F215E"/>
    <w:rsid w:val="007F622F"/>
    <w:rsid w:val="007F7FBD"/>
    <w:rsid w:val="00800DE7"/>
    <w:rsid w:val="0080561C"/>
    <w:rsid w:val="00806B0F"/>
    <w:rsid w:val="00812188"/>
    <w:rsid w:val="00813D5B"/>
    <w:rsid w:val="008143A5"/>
    <w:rsid w:val="008153C6"/>
    <w:rsid w:val="00816D37"/>
    <w:rsid w:val="00817EFC"/>
    <w:rsid w:val="00820225"/>
    <w:rsid w:val="00824D2A"/>
    <w:rsid w:val="00825638"/>
    <w:rsid w:val="00831D3E"/>
    <w:rsid w:val="00834967"/>
    <w:rsid w:val="00834AB9"/>
    <w:rsid w:val="00835A5B"/>
    <w:rsid w:val="00836D1E"/>
    <w:rsid w:val="00837C31"/>
    <w:rsid w:val="0084192B"/>
    <w:rsid w:val="00841B4E"/>
    <w:rsid w:val="00841F1F"/>
    <w:rsid w:val="008447E2"/>
    <w:rsid w:val="00845A18"/>
    <w:rsid w:val="0084601B"/>
    <w:rsid w:val="00850352"/>
    <w:rsid w:val="00850D6C"/>
    <w:rsid w:val="00852693"/>
    <w:rsid w:val="008527E2"/>
    <w:rsid w:val="00852A18"/>
    <w:rsid w:val="00853B02"/>
    <w:rsid w:val="008540D8"/>
    <w:rsid w:val="00854DBF"/>
    <w:rsid w:val="00854F0A"/>
    <w:rsid w:val="00856D3F"/>
    <w:rsid w:val="008571D4"/>
    <w:rsid w:val="00860099"/>
    <w:rsid w:val="00860F92"/>
    <w:rsid w:val="00862E74"/>
    <w:rsid w:val="008630CF"/>
    <w:rsid w:val="00863205"/>
    <w:rsid w:val="00863AA6"/>
    <w:rsid w:val="0086405A"/>
    <w:rsid w:val="00865708"/>
    <w:rsid w:val="00866030"/>
    <w:rsid w:val="0086685B"/>
    <w:rsid w:val="00873F7F"/>
    <w:rsid w:val="00875802"/>
    <w:rsid w:val="008767C2"/>
    <w:rsid w:val="00876FE0"/>
    <w:rsid w:val="00881677"/>
    <w:rsid w:val="00881B22"/>
    <w:rsid w:val="00883AF0"/>
    <w:rsid w:val="00884CE1"/>
    <w:rsid w:val="00885632"/>
    <w:rsid w:val="008863D7"/>
    <w:rsid w:val="0088691B"/>
    <w:rsid w:val="008879E8"/>
    <w:rsid w:val="00887D37"/>
    <w:rsid w:val="00892D18"/>
    <w:rsid w:val="00895CE2"/>
    <w:rsid w:val="008A35CC"/>
    <w:rsid w:val="008A389F"/>
    <w:rsid w:val="008A52F9"/>
    <w:rsid w:val="008B0EAE"/>
    <w:rsid w:val="008B14D4"/>
    <w:rsid w:val="008B1740"/>
    <w:rsid w:val="008B36B7"/>
    <w:rsid w:val="008B3A60"/>
    <w:rsid w:val="008B3DCC"/>
    <w:rsid w:val="008B3EE4"/>
    <w:rsid w:val="008B4E9D"/>
    <w:rsid w:val="008B5CE5"/>
    <w:rsid w:val="008B5DE4"/>
    <w:rsid w:val="008B63ED"/>
    <w:rsid w:val="008B72F5"/>
    <w:rsid w:val="008B7CD5"/>
    <w:rsid w:val="008B7DC8"/>
    <w:rsid w:val="008C3CCF"/>
    <w:rsid w:val="008C63E2"/>
    <w:rsid w:val="008D0DFF"/>
    <w:rsid w:val="008D11C5"/>
    <w:rsid w:val="008D1CA5"/>
    <w:rsid w:val="008D2B04"/>
    <w:rsid w:val="008D3DC8"/>
    <w:rsid w:val="008D4A85"/>
    <w:rsid w:val="008D761B"/>
    <w:rsid w:val="008D7DB6"/>
    <w:rsid w:val="008E071B"/>
    <w:rsid w:val="008E0F66"/>
    <w:rsid w:val="008E1797"/>
    <w:rsid w:val="008E62C8"/>
    <w:rsid w:val="008F0A38"/>
    <w:rsid w:val="008F2CC1"/>
    <w:rsid w:val="008F488E"/>
    <w:rsid w:val="008F5610"/>
    <w:rsid w:val="008F7594"/>
    <w:rsid w:val="0090119A"/>
    <w:rsid w:val="00901E6E"/>
    <w:rsid w:val="0090228C"/>
    <w:rsid w:val="00902733"/>
    <w:rsid w:val="00903B2E"/>
    <w:rsid w:val="0090571D"/>
    <w:rsid w:val="00906DFB"/>
    <w:rsid w:val="009073FB"/>
    <w:rsid w:val="009145A2"/>
    <w:rsid w:val="009153BC"/>
    <w:rsid w:val="00915E4E"/>
    <w:rsid w:val="00916BB0"/>
    <w:rsid w:val="0091775E"/>
    <w:rsid w:val="009178D0"/>
    <w:rsid w:val="00917E73"/>
    <w:rsid w:val="00917EF0"/>
    <w:rsid w:val="00921EB3"/>
    <w:rsid w:val="0092282C"/>
    <w:rsid w:val="00923A58"/>
    <w:rsid w:val="009249F8"/>
    <w:rsid w:val="00930BA8"/>
    <w:rsid w:val="0093281F"/>
    <w:rsid w:val="0093785D"/>
    <w:rsid w:val="00940BBF"/>
    <w:rsid w:val="00943BC8"/>
    <w:rsid w:val="00944741"/>
    <w:rsid w:val="00946A18"/>
    <w:rsid w:val="00950FF3"/>
    <w:rsid w:val="00951580"/>
    <w:rsid w:val="009539A2"/>
    <w:rsid w:val="009539F3"/>
    <w:rsid w:val="009550F2"/>
    <w:rsid w:val="0095737E"/>
    <w:rsid w:val="00957BA4"/>
    <w:rsid w:val="00957F04"/>
    <w:rsid w:val="00960D9D"/>
    <w:rsid w:val="00962F90"/>
    <w:rsid w:val="00965393"/>
    <w:rsid w:val="00965885"/>
    <w:rsid w:val="00965F40"/>
    <w:rsid w:val="00966CEF"/>
    <w:rsid w:val="00971572"/>
    <w:rsid w:val="00973266"/>
    <w:rsid w:val="009743FD"/>
    <w:rsid w:val="00974FBE"/>
    <w:rsid w:val="00975A8E"/>
    <w:rsid w:val="0097668C"/>
    <w:rsid w:val="009766A1"/>
    <w:rsid w:val="00976A77"/>
    <w:rsid w:val="0097746C"/>
    <w:rsid w:val="00977776"/>
    <w:rsid w:val="00980747"/>
    <w:rsid w:val="00980C44"/>
    <w:rsid w:val="00983278"/>
    <w:rsid w:val="0098366F"/>
    <w:rsid w:val="00984782"/>
    <w:rsid w:val="00984E74"/>
    <w:rsid w:val="00986CB3"/>
    <w:rsid w:val="0099174A"/>
    <w:rsid w:val="009946C9"/>
    <w:rsid w:val="00994B9D"/>
    <w:rsid w:val="00995EBC"/>
    <w:rsid w:val="00997A29"/>
    <w:rsid w:val="009A0068"/>
    <w:rsid w:val="009A1381"/>
    <w:rsid w:val="009A22B8"/>
    <w:rsid w:val="009A3005"/>
    <w:rsid w:val="009A5355"/>
    <w:rsid w:val="009A627B"/>
    <w:rsid w:val="009A6797"/>
    <w:rsid w:val="009A6D84"/>
    <w:rsid w:val="009A7882"/>
    <w:rsid w:val="009B22B7"/>
    <w:rsid w:val="009B3A51"/>
    <w:rsid w:val="009B7465"/>
    <w:rsid w:val="009C6164"/>
    <w:rsid w:val="009C6AB8"/>
    <w:rsid w:val="009C761C"/>
    <w:rsid w:val="009D0232"/>
    <w:rsid w:val="009D0EC8"/>
    <w:rsid w:val="009D34ED"/>
    <w:rsid w:val="009D436A"/>
    <w:rsid w:val="009D7FCF"/>
    <w:rsid w:val="009E09CB"/>
    <w:rsid w:val="009E22E7"/>
    <w:rsid w:val="009E25ED"/>
    <w:rsid w:val="009E3BB3"/>
    <w:rsid w:val="009E4587"/>
    <w:rsid w:val="009E5E84"/>
    <w:rsid w:val="009E6073"/>
    <w:rsid w:val="009F1945"/>
    <w:rsid w:val="009F1FBA"/>
    <w:rsid w:val="009F2A5C"/>
    <w:rsid w:val="009F4B23"/>
    <w:rsid w:val="009F4DCC"/>
    <w:rsid w:val="009F51EC"/>
    <w:rsid w:val="009F5A70"/>
    <w:rsid w:val="009F636D"/>
    <w:rsid w:val="00A02599"/>
    <w:rsid w:val="00A0280C"/>
    <w:rsid w:val="00A03400"/>
    <w:rsid w:val="00A06D5A"/>
    <w:rsid w:val="00A07964"/>
    <w:rsid w:val="00A1043F"/>
    <w:rsid w:val="00A12827"/>
    <w:rsid w:val="00A15FDB"/>
    <w:rsid w:val="00A208F6"/>
    <w:rsid w:val="00A220E2"/>
    <w:rsid w:val="00A26FA5"/>
    <w:rsid w:val="00A27D3E"/>
    <w:rsid w:val="00A27F2E"/>
    <w:rsid w:val="00A31392"/>
    <w:rsid w:val="00A35E28"/>
    <w:rsid w:val="00A416A5"/>
    <w:rsid w:val="00A41CDC"/>
    <w:rsid w:val="00A44F9F"/>
    <w:rsid w:val="00A4648E"/>
    <w:rsid w:val="00A4744B"/>
    <w:rsid w:val="00A47B0E"/>
    <w:rsid w:val="00A52FA5"/>
    <w:rsid w:val="00A558DC"/>
    <w:rsid w:val="00A6086B"/>
    <w:rsid w:val="00A60970"/>
    <w:rsid w:val="00A61171"/>
    <w:rsid w:val="00A6337F"/>
    <w:rsid w:val="00A64FF4"/>
    <w:rsid w:val="00A71092"/>
    <w:rsid w:val="00A72D91"/>
    <w:rsid w:val="00A767E4"/>
    <w:rsid w:val="00A775F2"/>
    <w:rsid w:val="00A7767F"/>
    <w:rsid w:val="00A825C8"/>
    <w:rsid w:val="00A82E91"/>
    <w:rsid w:val="00A82F39"/>
    <w:rsid w:val="00A83F86"/>
    <w:rsid w:val="00A851FF"/>
    <w:rsid w:val="00A852A7"/>
    <w:rsid w:val="00A869A9"/>
    <w:rsid w:val="00A90B85"/>
    <w:rsid w:val="00A92DEE"/>
    <w:rsid w:val="00A93771"/>
    <w:rsid w:val="00A941EE"/>
    <w:rsid w:val="00A97026"/>
    <w:rsid w:val="00AA0F8D"/>
    <w:rsid w:val="00AA36B8"/>
    <w:rsid w:val="00AA587A"/>
    <w:rsid w:val="00AB202E"/>
    <w:rsid w:val="00AB20E9"/>
    <w:rsid w:val="00AB590A"/>
    <w:rsid w:val="00AB6F47"/>
    <w:rsid w:val="00AC0B0F"/>
    <w:rsid w:val="00AC194F"/>
    <w:rsid w:val="00AC2070"/>
    <w:rsid w:val="00AC44A1"/>
    <w:rsid w:val="00AC44F6"/>
    <w:rsid w:val="00AC4A05"/>
    <w:rsid w:val="00AC5F87"/>
    <w:rsid w:val="00AC6830"/>
    <w:rsid w:val="00AC7DFE"/>
    <w:rsid w:val="00AD14B2"/>
    <w:rsid w:val="00AD1EAD"/>
    <w:rsid w:val="00AD2938"/>
    <w:rsid w:val="00AD5ADE"/>
    <w:rsid w:val="00AD6AD1"/>
    <w:rsid w:val="00AD71F6"/>
    <w:rsid w:val="00AE169A"/>
    <w:rsid w:val="00AE4371"/>
    <w:rsid w:val="00AE44AF"/>
    <w:rsid w:val="00AE45F5"/>
    <w:rsid w:val="00AE5BFD"/>
    <w:rsid w:val="00AE6075"/>
    <w:rsid w:val="00AE6F8F"/>
    <w:rsid w:val="00AE73AD"/>
    <w:rsid w:val="00AE755A"/>
    <w:rsid w:val="00AF2013"/>
    <w:rsid w:val="00AF3DB1"/>
    <w:rsid w:val="00AF3E73"/>
    <w:rsid w:val="00AF4BAE"/>
    <w:rsid w:val="00AF6D01"/>
    <w:rsid w:val="00AF70AD"/>
    <w:rsid w:val="00B00312"/>
    <w:rsid w:val="00B01703"/>
    <w:rsid w:val="00B04D98"/>
    <w:rsid w:val="00B05578"/>
    <w:rsid w:val="00B06906"/>
    <w:rsid w:val="00B06B5E"/>
    <w:rsid w:val="00B06F67"/>
    <w:rsid w:val="00B07230"/>
    <w:rsid w:val="00B076F8"/>
    <w:rsid w:val="00B10FCB"/>
    <w:rsid w:val="00B11F97"/>
    <w:rsid w:val="00B16BAF"/>
    <w:rsid w:val="00B21805"/>
    <w:rsid w:val="00B234F6"/>
    <w:rsid w:val="00B24D66"/>
    <w:rsid w:val="00B25010"/>
    <w:rsid w:val="00B25637"/>
    <w:rsid w:val="00B26DF0"/>
    <w:rsid w:val="00B273CA"/>
    <w:rsid w:val="00B27E1C"/>
    <w:rsid w:val="00B27E49"/>
    <w:rsid w:val="00B303E7"/>
    <w:rsid w:val="00B333BE"/>
    <w:rsid w:val="00B3632A"/>
    <w:rsid w:val="00B4367A"/>
    <w:rsid w:val="00B440A3"/>
    <w:rsid w:val="00B45C49"/>
    <w:rsid w:val="00B46ACC"/>
    <w:rsid w:val="00B47A71"/>
    <w:rsid w:val="00B504FD"/>
    <w:rsid w:val="00B51B99"/>
    <w:rsid w:val="00B53BCC"/>
    <w:rsid w:val="00B56F8E"/>
    <w:rsid w:val="00B57506"/>
    <w:rsid w:val="00B613C7"/>
    <w:rsid w:val="00B627FD"/>
    <w:rsid w:val="00B72636"/>
    <w:rsid w:val="00B72B6B"/>
    <w:rsid w:val="00B734A3"/>
    <w:rsid w:val="00B74E07"/>
    <w:rsid w:val="00B757B0"/>
    <w:rsid w:val="00B774DD"/>
    <w:rsid w:val="00B7754F"/>
    <w:rsid w:val="00B81E5E"/>
    <w:rsid w:val="00B8205F"/>
    <w:rsid w:val="00B83A8F"/>
    <w:rsid w:val="00B84D2E"/>
    <w:rsid w:val="00B87A61"/>
    <w:rsid w:val="00B939AC"/>
    <w:rsid w:val="00B948A0"/>
    <w:rsid w:val="00B954D6"/>
    <w:rsid w:val="00B972D7"/>
    <w:rsid w:val="00B97E4A"/>
    <w:rsid w:val="00BA1774"/>
    <w:rsid w:val="00BA31C9"/>
    <w:rsid w:val="00BA5BA6"/>
    <w:rsid w:val="00BB033B"/>
    <w:rsid w:val="00BB2CD1"/>
    <w:rsid w:val="00BB3FF1"/>
    <w:rsid w:val="00BB4E29"/>
    <w:rsid w:val="00BB534A"/>
    <w:rsid w:val="00BB6D81"/>
    <w:rsid w:val="00BC0B4A"/>
    <w:rsid w:val="00BC3172"/>
    <w:rsid w:val="00BC588C"/>
    <w:rsid w:val="00BC710C"/>
    <w:rsid w:val="00BD054F"/>
    <w:rsid w:val="00BD224C"/>
    <w:rsid w:val="00BD23F2"/>
    <w:rsid w:val="00BD4341"/>
    <w:rsid w:val="00BD6EF0"/>
    <w:rsid w:val="00BE073B"/>
    <w:rsid w:val="00BE1E83"/>
    <w:rsid w:val="00BE2CD7"/>
    <w:rsid w:val="00BE30C3"/>
    <w:rsid w:val="00BE3E96"/>
    <w:rsid w:val="00BE4293"/>
    <w:rsid w:val="00BF3167"/>
    <w:rsid w:val="00BF4E44"/>
    <w:rsid w:val="00BF5EF7"/>
    <w:rsid w:val="00C028CC"/>
    <w:rsid w:val="00C02E8B"/>
    <w:rsid w:val="00C12049"/>
    <w:rsid w:val="00C1235B"/>
    <w:rsid w:val="00C13BEA"/>
    <w:rsid w:val="00C1406E"/>
    <w:rsid w:val="00C1483A"/>
    <w:rsid w:val="00C14A02"/>
    <w:rsid w:val="00C15DA0"/>
    <w:rsid w:val="00C16FE9"/>
    <w:rsid w:val="00C178DB"/>
    <w:rsid w:val="00C201E6"/>
    <w:rsid w:val="00C22097"/>
    <w:rsid w:val="00C228FA"/>
    <w:rsid w:val="00C25B05"/>
    <w:rsid w:val="00C26519"/>
    <w:rsid w:val="00C26FC4"/>
    <w:rsid w:val="00C2766D"/>
    <w:rsid w:val="00C27CFE"/>
    <w:rsid w:val="00C30EEC"/>
    <w:rsid w:val="00C3196C"/>
    <w:rsid w:val="00C34B63"/>
    <w:rsid w:val="00C369E9"/>
    <w:rsid w:val="00C376AD"/>
    <w:rsid w:val="00C37E7D"/>
    <w:rsid w:val="00C416C2"/>
    <w:rsid w:val="00C423A8"/>
    <w:rsid w:val="00C426AE"/>
    <w:rsid w:val="00C43374"/>
    <w:rsid w:val="00C433DB"/>
    <w:rsid w:val="00C438F0"/>
    <w:rsid w:val="00C44887"/>
    <w:rsid w:val="00C45722"/>
    <w:rsid w:val="00C47B02"/>
    <w:rsid w:val="00C5040F"/>
    <w:rsid w:val="00C53349"/>
    <w:rsid w:val="00C54AAD"/>
    <w:rsid w:val="00C564FA"/>
    <w:rsid w:val="00C5747E"/>
    <w:rsid w:val="00C57981"/>
    <w:rsid w:val="00C62C73"/>
    <w:rsid w:val="00C6573F"/>
    <w:rsid w:val="00C6688C"/>
    <w:rsid w:val="00C66F21"/>
    <w:rsid w:val="00C713DA"/>
    <w:rsid w:val="00C72AF5"/>
    <w:rsid w:val="00C75619"/>
    <w:rsid w:val="00C75EF1"/>
    <w:rsid w:val="00C7782D"/>
    <w:rsid w:val="00C82B0E"/>
    <w:rsid w:val="00C82F96"/>
    <w:rsid w:val="00C8440C"/>
    <w:rsid w:val="00C8580C"/>
    <w:rsid w:val="00C860FF"/>
    <w:rsid w:val="00C90A69"/>
    <w:rsid w:val="00C91706"/>
    <w:rsid w:val="00C92EBB"/>
    <w:rsid w:val="00C94CCC"/>
    <w:rsid w:val="00C951F9"/>
    <w:rsid w:val="00C96BA0"/>
    <w:rsid w:val="00C96C28"/>
    <w:rsid w:val="00C97DD4"/>
    <w:rsid w:val="00C97FDC"/>
    <w:rsid w:val="00CA15E8"/>
    <w:rsid w:val="00CA2440"/>
    <w:rsid w:val="00CA3316"/>
    <w:rsid w:val="00CA621E"/>
    <w:rsid w:val="00CA6E64"/>
    <w:rsid w:val="00CA7433"/>
    <w:rsid w:val="00CB0E34"/>
    <w:rsid w:val="00CB15A0"/>
    <w:rsid w:val="00CB1F87"/>
    <w:rsid w:val="00CB3300"/>
    <w:rsid w:val="00CB6D94"/>
    <w:rsid w:val="00CB6F74"/>
    <w:rsid w:val="00CB716F"/>
    <w:rsid w:val="00CC1016"/>
    <w:rsid w:val="00CC1641"/>
    <w:rsid w:val="00CC1A04"/>
    <w:rsid w:val="00CC1B34"/>
    <w:rsid w:val="00CC1B6E"/>
    <w:rsid w:val="00CC38DF"/>
    <w:rsid w:val="00CC3E73"/>
    <w:rsid w:val="00CC4133"/>
    <w:rsid w:val="00CC5980"/>
    <w:rsid w:val="00CC5CB8"/>
    <w:rsid w:val="00CC6722"/>
    <w:rsid w:val="00CC6FE4"/>
    <w:rsid w:val="00CC70BF"/>
    <w:rsid w:val="00CD134A"/>
    <w:rsid w:val="00CD1628"/>
    <w:rsid w:val="00CD2193"/>
    <w:rsid w:val="00CD269D"/>
    <w:rsid w:val="00CE068C"/>
    <w:rsid w:val="00CE144F"/>
    <w:rsid w:val="00CE2597"/>
    <w:rsid w:val="00CE2A93"/>
    <w:rsid w:val="00CE359D"/>
    <w:rsid w:val="00CE3795"/>
    <w:rsid w:val="00CE4D92"/>
    <w:rsid w:val="00CE61FB"/>
    <w:rsid w:val="00CF1033"/>
    <w:rsid w:val="00CF1865"/>
    <w:rsid w:val="00CF393D"/>
    <w:rsid w:val="00CF393E"/>
    <w:rsid w:val="00CF4448"/>
    <w:rsid w:val="00CF4526"/>
    <w:rsid w:val="00CF5760"/>
    <w:rsid w:val="00CF7C79"/>
    <w:rsid w:val="00D00BCA"/>
    <w:rsid w:val="00D00FE8"/>
    <w:rsid w:val="00D026AE"/>
    <w:rsid w:val="00D0412A"/>
    <w:rsid w:val="00D044BD"/>
    <w:rsid w:val="00D05127"/>
    <w:rsid w:val="00D0616B"/>
    <w:rsid w:val="00D10DE4"/>
    <w:rsid w:val="00D115A1"/>
    <w:rsid w:val="00D116A9"/>
    <w:rsid w:val="00D1591F"/>
    <w:rsid w:val="00D16044"/>
    <w:rsid w:val="00D1689A"/>
    <w:rsid w:val="00D2256C"/>
    <w:rsid w:val="00D259BA"/>
    <w:rsid w:val="00D25AC3"/>
    <w:rsid w:val="00D27E7B"/>
    <w:rsid w:val="00D3031A"/>
    <w:rsid w:val="00D32582"/>
    <w:rsid w:val="00D32FF1"/>
    <w:rsid w:val="00D33AEF"/>
    <w:rsid w:val="00D374F5"/>
    <w:rsid w:val="00D37542"/>
    <w:rsid w:val="00D37D1D"/>
    <w:rsid w:val="00D405B7"/>
    <w:rsid w:val="00D40CB0"/>
    <w:rsid w:val="00D42FF4"/>
    <w:rsid w:val="00D438DD"/>
    <w:rsid w:val="00D45B1C"/>
    <w:rsid w:val="00D45F49"/>
    <w:rsid w:val="00D46B36"/>
    <w:rsid w:val="00D477C1"/>
    <w:rsid w:val="00D47DE8"/>
    <w:rsid w:val="00D50258"/>
    <w:rsid w:val="00D51912"/>
    <w:rsid w:val="00D51D81"/>
    <w:rsid w:val="00D5294D"/>
    <w:rsid w:val="00D551C7"/>
    <w:rsid w:val="00D56D8B"/>
    <w:rsid w:val="00D57109"/>
    <w:rsid w:val="00D57421"/>
    <w:rsid w:val="00D575E6"/>
    <w:rsid w:val="00D61D10"/>
    <w:rsid w:val="00D62454"/>
    <w:rsid w:val="00D70AC4"/>
    <w:rsid w:val="00D74CF3"/>
    <w:rsid w:val="00D75DB5"/>
    <w:rsid w:val="00D77E6B"/>
    <w:rsid w:val="00D818E5"/>
    <w:rsid w:val="00D822A3"/>
    <w:rsid w:val="00D8342B"/>
    <w:rsid w:val="00D83B39"/>
    <w:rsid w:val="00D84923"/>
    <w:rsid w:val="00D865C6"/>
    <w:rsid w:val="00D870D4"/>
    <w:rsid w:val="00D9046D"/>
    <w:rsid w:val="00D93B3F"/>
    <w:rsid w:val="00D9574A"/>
    <w:rsid w:val="00D979A1"/>
    <w:rsid w:val="00DA2CF3"/>
    <w:rsid w:val="00DA5D97"/>
    <w:rsid w:val="00DB082A"/>
    <w:rsid w:val="00DB28BD"/>
    <w:rsid w:val="00DB3344"/>
    <w:rsid w:val="00DB34B5"/>
    <w:rsid w:val="00DB45A5"/>
    <w:rsid w:val="00DB4CA6"/>
    <w:rsid w:val="00DB5C8D"/>
    <w:rsid w:val="00DB65A0"/>
    <w:rsid w:val="00DC1397"/>
    <w:rsid w:val="00DC3403"/>
    <w:rsid w:val="00DC4019"/>
    <w:rsid w:val="00DC78F1"/>
    <w:rsid w:val="00DD0004"/>
    <w:rsid w:val="00DD07CE"/>
    <w:rsid w:val="00DD53ED"/>
    <w:rsid w:val="00DD5C78"/>
    <w:rsid w:val="00DD6A80"/>
    <w:rsid w:val="00DD7428"/>
    <w:rsid w:val="00DE0130"/>
    <w:rsid w:val="00DE0DB4"/>
    <w:rsid w:val="00DE2D30"/>
    <w:rsid w:val="00DE3012"/>
    <w:rsid w:val="00DE338A"/>
    <w:rsid w:val="00DE3636"/>
    <w:rsid w:val="00DE49AD"/>
    <w:rsid w:val="00DE4CFC"/>
    <w:rsid w:val="00DE5E1C"/>
    <w:rsid w:val="00DE6680"/>
    <w:rsid w:val="00DE7EBE"/>
    <w:rsid w:val="00DF2D86"/>
    <w:rsid w:val="00DF4044"/>
    <w:rsid w:val="00DF48EE"/>
    <w:rsid w:val="00DF6A10"/>
    <w:rsid w:val="00E00EA5"/>
    <w:rsid w:val="00E0462E"/>
    <w:rsid w:val="00E059D1"/>
    <w:rsid w:val="00E061C1"/>
    <w:rsid w:val="00E06CCA"/>
    <w:rsid w:val="00E116B6"/>
    <w:rsid w:val="00E127AF"/>
    <w:rsid w:val="00E1516B"/>
    <w:rsid w:val="00E16DE7"/>
    <w:rsid w:val="00E16F67"/>
    <w:rsid w:val="00E20612"/>
    <w:rsid w:val="00E221EF"/>
    <w:rsid w:val="00E27ED1"/>
    <w:rsid w:val="00E30ACB"/>
    <w:rsid w:val="00E32B9F"/>
    <w:rsid w:val="00E33708"/>
    <w:rsid w:val="00E33F4B"/>
    <w:rsid w:val="00E35027"/>
    <w:rsid w:val="00E36879"/>
    <w:rsid w:val="00E36B29"/>
    <w:rsid w:val="00E37772"/>
    <w:rsid w:val="00E37FA9"/>
    <w:rsid w:val="00E40758"/>
    <w:rsid w:val="00E40F88"/>
    <w:rsid w:val="00E45E27"/>
    <w:rsid w:val="00E46FF9"/>
    <w:rsid w:val="00E479F6"/>
    <w:rsid w:val="00E50C26"/>
    <w:rsid w:val="00E51177"/>
    <w:rsid w:val="00E521C8"/>
    <w:rsid w:val="00E544B2"/>
    <w:rsid w:val="00E57012"/>
    <w:rsid w:val="00E666C3"/>
    <w:rsid w:val="00E66AD8"/>
    <w:rsid w:val="00E67979"/>
    <w:rsid w:val="00E714B1"/>
    <w:rsid w:val="00E721E4"/>
    <w:rsid w:val="00E74F68"/>
    <w:rsid w:val="00E755D8"/>
    <w:rsid w:val="00E75727"/>
    <w:rsid w:val="00E80206"/>
    <w:rsid w:val="00E8068A"/>
    <w:rsid w:val="00E8172F"/>
    <w:rsid w:val="00E830B3"/>
    <w:rsid w:val="00E84C31"/>
    <w:rsid w:val="00E8502D"/>
    <w:rsid w:val="00E8545D"/>
    <w:rsid w:val="00E864DD"/>
    <w:rsid w:val="00E86E4B"/>
    <w:rsid w:val="00E873D5"/>
    <w:rsid w:val="00E90B0A"/>
    <w:rsid w:val="00E926BB"/>
    <w:rsid w:val="00E93C39"/>
    <w:rsid w:val="00E945CE"/>
    <w:rsid w:val="00E946AD"/>
    <w:rsid w:val="00E9697F"/>
    <w:rsid w:val="00E96E50"/>
    <w:rsid w:val="00E97BB5"/>
    <w:rsid w:val="00EA3335"/>
    <w:rsid w:val="00EA33AB"/>
    <w:rsid w:val="00EA3A6C"/>
    <w:rsid w:val="00EA773C"/>
    <w:rsid w:val="00EA78B6"/>
    <w:rsid w:val="00EA7950"/>
    <w:rsid w:val="00EA79AF"/>
    <w:rsid w:val="00EA7F50"/>
    <w:rsid w:val="00EB16A5"/>
    <w:rsid w:val="00EB20B1"/>
    <w:rsid w:val="00EB713F"/>
    <w:rsid w:val="00EC00ED"/>
    <w:rsid w:val="00EC1034"/>
    <w:rsid w:val="00EC1F1A"/>
    <w:rsid w:val="00EC5011"/>
    <w:rsid w:val="00EC5F12"/>
    <w:rsid w:val="00ED25DF"/>
    <w:rsid w:val="00ED315D"/>
    <w:rsid w:val="00EE08B0"/>
    <w:rsid w:val="00EE265E"/>
    <w:rsid w:val="00EE4578"/>
    <w:rsid w:val="00EE47DC"/>
    <w:rsid w:val="00EF0786"/>
    <w:rsid w:val="00EF0B21"/>
    <w:rsid w:val="00EF2236"/>
    <w:rsid w:val="00EF34D3"/>
    <w:rsid w:val="00EF3E8B"/>
    <w:rsid w:val="00EF4F5D"/>
    <w:rsid w:val="00EF7453"/>
    <w:rsid w:val="00EF78A8"/>
    <w:rsid w:val="00F000C6"/>
    <w:rsid w:val="00F006BD"/>
    <w:rsid w:val="00F013B5"/>
    <w:rsid w:val="00F01936"/>
    <w:rsid w:val="00F05EC5"/>
    <w:rsid w:val="00F10401"/>
    <w:rsid w:val="00F15BDE"/>
    <w:rsid w:val="00F16CB9"/>
    <w:rsid w:val="00F17DAE"/>
    <w:rsid w:val="00F20EFD"/>
    <w:rsid w:val="00F25157"/>
    <w:rsid w:val="00F266D4"/>
    <w:rsid w:val="00F31F60"/>
    <w:rsid w:val="00F33890"/>
    <w:rsid w:val="00F33B48"/>
    <w:rsid w:val="00F34962"/>
    <w:rsid w:val="00F40F18"/>
    <w:rsid w:val="00F4120E"/>
    <w:rsid w:val="00F41536"/>
    <w:rsid w:val="00F418DF"/>
    <w:rsid w:val="00F44001"/>
    <w:rsid w:val="00F46C8C"/>
    <w:rsid w:val="00F46F3A"/>
    <w:rsid w:val="00F47E49"/>
    <w:rsid w:val="00F51A4B"/>
    <w:rsid w:val="00F524F2"/>
    <w:rsid w:val="00F5419A"/>
    <w:rsid w:val="00F5451B"/>
    <w:rsid w:val="00F54B05"/>
    <w:rsid w:val="00F54B6A"/>
    <w:rsid w:val="00F555FF"/>
    <w:rsid w:val="00F57BC7"/>
    <w:rsid w:val="00F57ED1"/>
    <w:rsid w:val="00F609CD"/>
    <w:rsid w:val="00F61148"/>
    <w:rsid w:val="00F61C38"/>
    <w:rsid w:val="00F627DC"/>
    <w:rsid w:val="00F629C7"/>
    <w:rsid w:val="00F63C23"/>
    <w:rsid w:val="00F655E3"/>
    <w:rsid w:val="00F715F2"/>
    <w:rsid w:val="00F721E7"/>
    <w:rsid w:val="00F73D12"/>
    <w:rsid w:val="00F756C6"/>
    <w:rsid w:val="00F77980"/>
    <w:rsid w:val="00F779AA"/>
    <w:rsid w:val="00F82AF1"/>
    <w:rsid w:val="00F83187"/>
    <w:rsid w:val="00F84082"/>
    <w:rsid w:val="00F86BA5"/>
    <w:rsid w:val="00F87C39"/>
    <w:rsid w:val="00F902D3"/>
    <w:rsid w:val="00F905B6"/>
    <w:rsid w:val="00F92AF7"/>
    <w:rsid w:val="00F93D63"/>
    <w:rsid w:val="00F93DBA"/>
    <w:rsid w:val="00F954E4"/>
    <w:rsid w:val="00F95872"/>
    <w:rsid w:val="00F95F2A"/>
    <w:rsid w:val="00F96C4E"/>
    <w:rsid w:val="00F97D52"/>
    <w:rsid w:val="00FA0F8B"/>
    <w:rsid w:val="00FA262F"/>
    <w:rsid w:val="00FA3492"/>
    <w:rsid w:val="00FA3AE1"/>
    <w:rsid w:val="00FA49C0"/>
    <w:rsid w:val="00FA5B10"/>
    <w:rsid w:val="00FA5CD7"/>
    <w:rsid w:val="00FA688C"/>
    <w:rsid w:val="00FB08B6"/>
    <w:rsid w:val="00FB1CC5"/>
    <w:rsid w:val="00FB43F1"/>
    <w:rsid w:val="00FB5216"/>
    <w:rsid w:val="00FB76D3"/>
    <w:rsid w:val="00FC0FE8"/>
    <w:rsid w:val="00FC2217"/>
    <w:rsid w:val="00FC25B9"/>
    <w:rsid w:val="00FC2CE1"/>
    <w:rsid w:val="00FC3A91"/>
    <w:rsid w:val="00FC3F8F"/>
    <w:rsid w:val="00FC7C01"/>
    <w:rsid w:val="00FD0855"/>
    <w:rsid w:val="00FD0ED0"/>
    <w:rsid w:val="00FD1990"/>
    <w:rsid w:val="00FD1EC4"/>
    <w:rsid w:val="00FD5B33"/>
    <w:rsid w:val="00FD76AE"/>
    <w:rsid w:val="00FE166B"/>
    <w:rsid w:val="00FE1A60"/>
    <w:rsid w:val="00FE34AF"/>
    <w:rsid w:val="00FE6CE4"/>
    <w:rsid w:val="00FF1927"/>
    <w:rsid w:val="00FF1B75"/>
    <w:rsid w:val="00FF2A23"/>
    <w:rsid w:val="00FF2EAE"/>
    <w:rsid w:val="00FF3154"/>
    <w:rsid w:val="00FF5002"/>
    <w:rsid w:val="00FF60BC"/>
    <w:rsid w:val="00FF6519"/>
    <w:rsid w:val="010B6B80"/>
    <w:rsid w:val="01604E80"/>
    <w:rsid w:val="016D3985"/>
    <w:rsid w:val="0175612D"/>
    <w:rsid w:val="01A01AFA"/>
    <w:rsid w:val="01A9153E"/>
    <w:rsid w:val="01C06A4B"/>
    <w:rsid w:val="01C64642"/>
    <w:rsid w:val="01CB5453"/>
    <w:rsid w:val="01E27923"/>
    <w:rsid w:val="02062B58"/>
    <w:rsid w:val="02132159"/>
    <w:rsid w:val="02531163"/>
    <w:rsid w:val="02546A97"/>
    <w:rsid w:val="025F5776"/>
    <w:rsid w:val="02644C33"/>
    <w:rsid w:val="0269067C"/>
    <w:rsid w:val="02751313"/>
    <w:rsid w:val="02857F1F"/>
    <w:rsid w:val="02B779DA"/>
    <w:rsid w:val="02C741EC"/>
    <w:rsid w:val="02CB255D"/>
    <w:rsid w:val="02D70676"/>
    <w:rsid w:val="02F01C71"/>
    <w:rsid w:val="02F04BCE"/>
    <w:rsid w:val="02F95629"/>
    <w:rsid w:val="03137D7E"/>
    <w:rsid w:val="03210061"/>
    <w:rsid w:val="034657EF"/>
    <w:rsid w:val="034F488B"/>
    <w:rsid w:val="03A92A2C"/>
    <w:rsid w:val="03BD6858"/>
    <w:rsid w:val="03C26658"/>
    <w:rsid w:val="03D21196"/>
    <w:rsid w:val="03D52124"/>
    <w:rsid w:val="043B11C4"/>
    <w:rsid w:val="04415EE3"/>
    <w:rsid w:val="044D726A"/>
    <w:rsid w:val="046B6B89"/>
    <w:rsid w:val="04707F81"/>
    <w:rsid w:val="0476275B"/>
    <w:rsid w:val="047775AF"/>
    <w:rsid w:val="04805806"/>
    <w:rsid w:val="0492451B"/>
    <w:rsid w:val="04960FA1"/>
    <w:rsid w:val="04CE27B5"/>
    <w:rsid w:val="04D12AAC"/>
    <w:rsid w:val="04DB3BDB"/>
    <w:rsid w:val="04DD2267"/>
    <w:rsid w:val="04F02C74"/>
    <w:rsid w:val="050A4816"/>
    <w:rsid w:val="05242276"/>
    <w:rsid w:val="05273450"/>
    <w:rsid w:val="053C4BD7"/>
    <w:rsid w:val="053E5083"/>
    <w:rsid w:val="05407F0F"/>
    <w:rsid w:val="054B15E0"/>
    <w:rsid w:val="0566775D"/>
    <w:rsid w:val="056F500B"/>
    <w:rsid w:val="05AC2718"/>
    <w:rsid w:val="05B01605"/>
    <w:rsid w:val="06362A67"/>
    <w:rsid w:val="066A7233"/>
    <w:rsid w:val="067C248B"/>
    <w:rsid w:val="067F331E"/>
    <w:rsid w:val="06872211"/>
    <w:rsid w:val="0690677F"/>
    <w:rsid w:val="069912C7"/>
    <w:rsid w:val="06AF039D"/>
    <w:rsid w:val="06C705E9"/>
    <w:rsid w:val="06CB2A63"/>
    <w:rsid w:val="06CC3B1B"/>
    <w:rsid w:val="06D909EF"/>
    <w:rsid w:val="06E6032A"/>
    <w:rsid w:val="06F32C4C"/>
    <w:rsid w:val="07221759"/>
    <w:rsid w:val="072C1DB9"/>
    <w:rsid w:val="072E5B90"/>
    <w:rsid w:val="0755005F"/>
    <w:rsid w:val="07845EBA"/>
    <w:rsid w:val="078B11F7"/>
    <w:rsid w:val="078E7909"/>
    <w:rsid w:val="07996EB4"/>
    <w:rsid w:val="079E733B"/>
    <w:rsid w:val="07A36F1B"/>
    <w:rsid w:val="07A94598"/>
    <w:rsid w:val="07CC0035"/>
    <w:rsid w:val="07D945DC"/>
    <w:rsid w:val="07DB537C"/>
    <w:rsid w:val="08107785"/>
    <w:rsid w:val="082825E5"/>
    <w:rsid w:val="082D669C"/>
    <w:rsid w:val="088912F7"/>
    <w:rsid w:val="08902B73"/>
    <w:rsid w:val="08B057F3"/>
    <w:rsid w:val="08BA6E3E"/>
    <w:rsid w:val="08D35F71"/>
    <w:rsid w:val="08FD503D"/>
    <w:rsid w:val="09293151"/>
    <w:rsid w:val="092D4ADB"/>
    <w:rsid w:val="093247D0"/>
    <w:rsid w:val="094B0040"/>
    <w:rsid w:val="095546E9"/>
    <w:rsid w:val="096B7ED1"/>
    <w:rsid w:val="096D0679"/>
    <w:rsid w:val="09874ADA"/>
    <w:rsid w:val="099E3911"/>
    <w:rsid w:val="09A13A7B"/>
    <w:rsid w:val="09BB15AB"/>
    <w:rsid w:val="09C02513"/>
    <w:rsid w:val="09C943AD"/>
    <w:rsid w:val="09D51869"/>
    <w:rsid w:val="09E06DF4"/>
    <w:rsid w:val="09F129F2"/>
    <w:rsid w:val="0A1B07A8"/>
    <w:rsid w:val="0A453641"/>
    <w:rsid w:val="0A5A0A93"/>
    <w:rsid w:val="0A676977"/>
    <w:rsid w:val="0A6952B7"/>
    <w:rsid w:val="0A7E19BC"/>
    <w:rsid w:val="0A801E5D"/>
    <w:rsid w:val="0A9500F7"/>
    <w:rsid w:val="0AA07475"/>
    <w:rsid w:val="0ACF7D96"/>
    <w:rsid w:val="0ADB794D"/>
    <w:rsid w:val="0ADF300F"/>
    <w:rsid w:val="0AE36BBE"/>
    <w:rsid w:val="0AEB2A60"/>
    <w:rsid w:val="0AF461CA"/>
    <w:rsid w:val="0AFE662A"/>
    <w:rsid w:val="0B2769D5"/>
    <w:rsid w:val="0B3A136F"/>
    <w:rsid w:val="0B504A69"/>
    <w:rsid w:val="0B5673B8"/>
    <w:rsid w:val="0B656F36"/>
    <w:rsid w:val="0B6C28C5"/>
    <w:rsid w:val="0B955563"/>
    <w:rsid w:val="0B9C4FEC"/>
    <w:rsid w:val="0BA33880"/>
    <w:rsid w:val="0BA81580"/>
    <w:rsid w:val="0BEA1AC9"/>
    <w:rsid w:val="0BF243BC"/>
    <w:rsid w:val="0C175E9D"/>
    <w:rsid w:val="0C317937"/>
    <w:rsid w:val="0C3B2575"/>
    <w:rsid w:val="0C5F1564"/>
    <w:rsid w:val="0C68672E"/>
    <w:rsid w:val="0C6C2EEC"/>
    <w:rsid w:val="0C7737E5"/>
    <w:rsid w:val="0C7C407F"/>
    <w:rsid w:val="0C890F4D"/>
    <w:rsid w:val="0C94198B"/>
    <w:rsid w:val="0C974616"/>
    <w:rsid w:val="0C986D75"/>
    <w:rsid w:val="0CA8083B"/>
    <w:rsid w:val="0CA83953"/>
    <w:rsid w:val="0CD26A47"/>
    <w:rsid w:val="0CE64047"/>
    <w:rsid w:val="0D0431A0"/>
    <w:rsid w:val="0D105CC0"/>
    <w:rsid w:val="0D236955"/>
    <w:rsid w:val="0D387753"/>
    <w:rsid w:val="0D684C0C"/>
    <w:rsid w:val="0D7366E4"/>
    <w:rsid w:val="0D7B4EC7"/>
    <w:rsid w:val="0D8D0D41"/>
    <w:rsid w:val="0DA11273"/>
    <w:rsid w:val="0DA30FAE"/>
    <w:rsid w:val="0DA424D8"/>
    <w:rsid w:val="0DDE177A"/>
    <w:rsid w:val="0DDE6170"/>
    <w:rsid w:val="0E1359FA"/>
    <w:rsid w:val="0E1B53A5"/>
    <w:rsid w:val="0E274777"/>
    <w:rsid w:val="0E305776"/>
    <w:rsid w:val="0E3777BE"/>
    <w:rsid w:val="0E3B795C"/>
    <w:rsid w:val="0E6827C3"/>
    <w:rsid w:val="0E6E1C90"/>
    <w:rsid w:val="0E8A4737"/>
    <w:rsid w:val="0E933D26"/>
    <w:rsid w:val="0E971D46"/>
    <w:rsid w:val="0EB05D52"/>
    <w:rsid w:val="0ECB3208"/>
    <w:rsid w:val="0EE43718"/>
    <w:rsid w:val="0EE90B68"/>
    <w:rsid w:val="0EEC50BC"/>
    <w:rsid w:val="0F081F0E"/>
    <w:rsid w:val="0F223A71"/>
    <w:rsid w:val="0F333C8A"/>
    <w:rsid w:val="0F441053"/>
    <w:rsid w:val="0F6415F3"/>
    <w:rsid w:val="0F6D01FB"/>
    <w:rsid w:val="0F80584B"/>
    <w:rsid w:val="0F9124E8"/>
    <w:rsid w:val="0FBC0D1A"/>
    <w:rsid w:val="0FDF298A"/>
    <w:rsid w:val="102927A5"/>
    <w:rsid w:val="102942B6"/>
    <w:rsid w:val="10377139"/>
    <w:rsid w:val="10432E57"/>
    <w:rsid w:val="10475F34"/>
    <w:rsid w:val="104C58A2"/>
    <w:rsid w:val="10620D5D"/>
    <w:rsid w:val="10671982"/>
    <w:rsid w:val="108D7D74"/>
    <w:rsid w:val="10910D2D"/>
    <w:rsid w:val="10AF3D07"/>
    <w:rsid w:val="10B95459"/>
    <w:rsid w:val="10C770AD"/>
    <w:rsid w:val="10CB2801"/>
    <w:rsid w:val="10D23EDD"/>
    <w:rsid w:val="11331221"/>
    <w:rsid w:val="114138F4"/>
    <w:rsid w:val="117F1B35"/>
    <w:rsid w:val="118544BA"/>
    <w:rsid w:val="11957DC7"/>
    <w:rsid w:val="11970C71"/>
    <w:rsid w:val="11A842FF"/>
    <w:rsid w:val="11A84BDA"/>
    <w:rsid w:val="11BA4DA3"/>
    <w:rsid w:val="11C03118"/>
    <w:rsid w:val="11E5015A"/>
    <w:rsid w:val="11E72657"/>
    <w:rsid w:val="120B1F32"/>
    <w:rsid w:val="120E0E48"/>
    <w:rsid w:val="12265805"/>
    <w:rsid w:val="122C3515"/>
    <w:rsid w:val="123F4C14"/>
    <w:rsid w:val="124B51C6"/>
    <w:rsid w:val="12567E7B"/>
    <w:rsid w:val="126A132E"/>
    <w:rsid w:val="1276067B"/>
    <w:rsid w:val="12B1627A"/>
    <w:rsid w:val="12C36FD4"/>
    <w:rsid w:val="12CB1F54"/>
    <w:rsid w:val="12CB665D"/>
    <w:rsid w:val="12F12AA5"/>
    <w:rsid w:val="13094C4A"/>
    <w:rsid w:val="132450B4"/>
    <w:rsid w:val="13416B2E"/>
    <w:rsid w:val="136254A2"/>
    <w:rsid w:val="136F32AE"/>
    <w:rsid w:val="13816691"/>
    <w:rsid w:val="13893CE1"/>
    <w:rsid w:val="13934DF1"/>
    <w:rsid w:val="13953125"/>
    <w:rsid w:val="13B8461E"/>
    <w:rsid w:val="13F61959"/>
    <w:rsid w:val="1402655C"/>
    <w:rsid w:val="140734F7"/>
    <w:rsid w:val="141A42B8"/>
    <w:rsid w:val="14211693"/>
    <w:rsid w:val="14376E43"/>
    <w:rsid w:val="14525069"/>
    <w:rsid w:val="14541696"/>
    <w:rsid w:val="145D6A8B"/>
    <w:rsid w:val="145F7E28"/>
    <w:rsid w:val="14780D27"/>
    <w:rsid w:val="147A2410"/>
    <w:rsid w:val="14852C6F"/>
    <w:rsid w:val="1488358C"/>
    <w:rsid w:val="148F2F85"/>
    <w:rsid w:val="14982EB8"/>
    <w:rsid w:val="14A502EF"/>
    <w:rsid w:val="14AF54DA"/>
    <w:rsid w:val="14C64C59"/>
    <w:rsid w:val="14D20FC7"/>
    <w:rsid w:val="14F740A3"/>
    <w:rsid w:val="150724B3"/>
    <w:rsid w:val="15074434"/>
    <w:rsid w:val="15227A32"/>
    <w:rsid w:val="152B4D84"/>
    <w:rsid w:val="153049D7"/>
    <w:rsid w:val="153769F7"/>
    <w:rsid w:val="155301FE"/>
    <w:rsid w:val="15871E93"/>
    <w:rsid w:val="15930009"/>
    <w:rsid w:val="159E521A"/>
    <w:rsid w:val="15C91F5E"/>
    <w:rsid w:val="15D315F3"/>
    <w:rsid w:val="15DF3010"/>
    <w:rsid w:val="15F003C1"/>
    <w:rsid w:val="15F61009"/>
    <w:rsid w:val="15FC3115"/>
    <w:rsid w:val="164A49E5"/>
    <w:rsid w:val="16883A58"/>
    <w:rsid w:val="168A004B"/>
    <w:rsid w:val="168C48D6"/>
    <w:rsid w:val="16A27000"/>
    <w:rsid w:val="16A705A2"/>
    <w:rsid w:val="16B20B12"/>
    <w:rsid w:val="16BE1FF6"/>
    <w:rsid w:val="16C83D17"/>
    <w:rsid w:val="16E311A5"/>
    <w:rsid w:val="16E3518A"/>
    <w:rsid w:val="16E952DD"/>
    <w:rsid w:val="17252E73"/>
    <w:rsid w:val="172E63EE"/>
    <w:rsid w:val="173D752B"/>
    <w:rsid w:val="173E3BF5"/>
    <w:rsid w:val="173F377F"/>
    <w:rsid w:val="17435E46"/>
    <w:rsid w:val="17441767"/>
    <w:rsid w:val="17445402"/>
    <w:rsid w:val="17721C8E"/>
    <w:rsid w:val="178E71CD"/>
    <w:rsid w:val="17912574"/>
    <w:rsid w:val="179A05A8"/>
    <w:rsid w:val="179D7FD7"/>
    <w:rsid w:val="179E173F"/>
    <w:rsid w:val="17A650FC"/>
    <w:rsid w:val="17AB40AE"/>
    <w:rsid w:val="17BA677B"/>
    <w:rsid w:val="17CA2B8F"/>
    <w:rsid w:val="17D82FD7"/>
    <w:rsid w:val="17E65EE9"/>
    <w:rsid w:val="17F405EB"/>
    <w:rsid w:val="180339A2"/>
    <w:rsid w:val="18040F10"/>
    <w:rsid w:val="18264A50"/>
    <w:rsid w:val="183E076F"/>
    <w:rsid w:val="18644505"/>
    <w:rsid w:val="18761DAB"/>
    <w:rsid w:val="18967A84"/>
    <w:rsid w:val="189E3D12"/>
    <w:rsid w:val="18B00122"/>
    <w:rsid w:val="18B20BDD"/>
    <w:rsid w:val="18B951B3"/>
    <w:rsid w:val="18C35170"/>
    <w:rsid w:val="18D21A5A"/>
    <w:rsid w:val="18D61B96"/>
    <w:rsid w:val="18E00489"/>
    <w:rsid w:val="18E7252F"/>
    <w:rsid w:val="18FB5A21"/>
    <w:rsid w:val="19282791"/>
    <w:rsid w:val="192939F8"/>
    <w:rsid w:val="192C2D7A"/>
    <w:rsid w:val="19353DEC"/>
    <w:rsid w:val="19677AF7"/>
    <w:rsid w:val="19810432"/>
    <w:rsid w:val="19BA2109"/>
    <w:rsid w:val="19BE3086"/>
    <w:rsid w:val="19C3541C"/>
    <w:rsid w:val="19E21D1C"/>
    <w:rsid w:val="19E92539"/>
    <w:rsid w:val="19EB3CD8"/>
    <w:rsid w:val="19F45009"/>
    <w:rsid w:val="1A093B60"/>
    <w:rsid w:val="1A135EB3"/>
    <w:rsid w:val="1A190153"/>
    <w:rsid w:val="1A216042"/>
    <w:rsid w:val="1A26575C"/>
    <w:rsid w:val="1A4C0E92"/>
    <w:rsid w:val="1A5E1863"/>
    <w:rsid w:val="1A7F3A58"/>
    <w:rsid w:val="1A84474A"/>
    <w:rsid w:val="1A8532C9"/>
    <w:rsid w:val="1A8B60FB"/>
    <w:rsid w:val="1A9B3C6B"/>
    <w:rsid w:val="1AB83062"/>
    <w:rsid w:val="1AC502CF"/>
    <w:rsid w:val="1AD05C11"/>
    <w:rsid w:val="1B05587E"/>
    <w:rsid w:val="1B187A1B"/>
    <w:rsid w:val="1B200375"/>
    <w:rsid w:val="1B2F2124"/>
    <w:rsid w:val="1B3419FD"/>
    <w:rsid w:val="1B51069C"/>
    <w:rsid w:val="1B52032C"/>
    <w:rsid w:val="1B87118E"/>
    <w:rsid w:val="1B8F29D9"/>
    <w:rsid w:val="1BA47383"/>
    <w:rsid w:val="1BD20383"/>
    <w:rsid w:val="1BE06630"/>
    <w:rsid w:val="1BF90E89"/>
    <w:rsid w:val="1BFF3FFC"/>
    <w:rsid w:val="1C6A6D50"/>
    <w:rsid w:val="1C7C1550"/>
    <w:rsid w:val="1C7F50C5"/>
    <w:rsid w:val="1C9A6C63"/>
    <w:rsid w:val="1CBF63C3"/>
    <w:rsid w:val="1CC13EB1"/>
    <w:rsid w:val="1D2C4F1B"/>
    <w:rsid w:val="1D47273F"/>
    <w:rsid w:val="1D492F27"/>
    <w:rsid w:val="1D643026"/>
    <w:rsid w:val="1D6541DB"/>
    <w:rsid w:val="1D7C153E"/>
    <w:rsid w:val="1D7C22EC"/>
    <w:rsid w:val="1D7F48E1"/>
    <w:rsid w:val="1D866B79"/>
    <w:rsid w:val="1D99014B"/>
    <w:rsid w:val="1DA65B4D"/>
    <w:rsid w:val="1DE35CF5"/>
    <w:rsid w:val="1DE42E39"/>
    <w:rsid w:val="1E055C9E"/>
    <w:rsid w:val="1E3646C2"/>
    <w:rsid w:val="1E3C0371"/>
    <w:rsid w:val="1E404244"/>
    <w:rsid w:val="1E646060"/>
    <w:rsid w:val="1E6E033F"/>
    <w:rsid w:val="1E796F89"/>
    <w:rsid w:val="1E895CEE"/>
    <w:rsid w:val="1E8D072E"/>
    <w:rsid w:val="1EAD7476"/>
    <w:rsid w:val="1EB76F1A"/>
    <w:rsid w:val="1EDF3101"/>
    <w:rsid w:val="1EE47B86"/>
    <w:rsid w:val="1F0136F8"/>
    <w:rsid w:val="1F0565C7"/>
    <w:rsid w:val="1F136BA5"/>
    <w:rsid w:val="1F1C1A13"/>
    <w:rsid w:val="1F1F54B2"/>
    <w:rsid w:val="1F1F564E"/>
    <w:rsid w:val="1F4A727D"/>
    <w:rsid w:val="1F51638C"/>
    <w:rsid w:val="1F6971DE"/>
    <w:rsid w:val="1F890B51"/>
    <w:rsid w:val="1F8A0112"/>
    <w:rsid w:val="1FE63033"/>
    <w:rsid w:val="1FF35231"/>
    <w:rsid w:val="20015A6D"/>
    <w:rsid w:val="200C1A5C"/>
    <w:rsid w:val="200C3AA1"/>
    <w:rsid w:val="20211C45"/>
    <w:rsid w:val="202911D7"/>
    <w:rsid w:val="20654C19"/>
    <w:rsid w:val="206B546A"/>
    <w:rsid w:val="206C2DEB"/>
    <w:rsid w:val="20847C38"/>
    <w:rsid w:val="20974516"/>
    <w:rsid w:val="20AE211E"/>
    <w:rsid w:val="20B34AC6"/>
    <w:rsid w:val="20CB3924"/>
    <w:rsid w:val="20CD5726"/>
    <w:rsid w:val="20ED63C9"/>
    <w:rsid w:val="20F12941"/>
    <w:rsid w:val="21220D3E"/>
    <w:rsid w:val="21292388"/>
    <w:rsid w:val="213C1A3B"/>
    <w:rsid w:val="214A3DCF"/>
    <w:rsid w:val="215E76DF"/>
    <w:rsid w:val="216D7B97"/>
    <w:rsid w:val="217C182D"/>
    <w:rsid w:val="2189394D"/>
    <w:rsid w:val="218E7B2E"/>
    <w:rsid w:val="21944711"/>
    <w:rsid w:val="21B53A1F"/>
    <w:rsid w:val="21BF72A1"/>
    <w:rsid w:val="21C3592D"/>
    <w:rsid w:val="21C55F53"/>
    <w:rsid w:val="21C60013"/>
    <w:rsid w:val="21C76285"/>
    <w:rsid w:val="21DA6FA1"/>
    <w:rsid w:val="21E166C7"/>
    <w:rsid w:val="21FB6F9B"/>
    <w:rsid w:val="21FC530F"/>
    <w:rsid w:val="22080498"/>
    <w:rsid w:val="22430EB2"/>
    <w:rsid w:val="224F077B"/>
    <w:rsid w:val="225A2932"/>
    <w:rsid w:val="225B318C"/>
    <w:rsid w:val="226A25E4"/>
    <w:rsid w:val="22740558"/>
    <w:rsid w:val="228A54AE"/>
    <w:rsid w:val="22955C48"/>
    <w:rsid w:val="22A84E37"/>
    <w:rsid w:val="22AC4EAC"/>
    <w:rsid w:val="22B4304D"/>
    <w:rsid w:val="22BC6A0C"/>
    <w:rsid w:val="230437EA"/>
    <w:rsid w:val="232E4270"/>
    <w:rsid w:val="23356F82"/>
    <w:rsid w:val="233A2E59"/>
    <w:rsid w:val="23420192"/>
    <w:rsid w:val="23594B35"/>
    <w:rsid w:val="23655DFC"/>
    <w:rsid w:val="2379757D"/>
    <w:rsid w:val="23815AAD"/>
    <w:rsid w:val="23B534DB"/>
    <w:rsid w:val="23C27A95"/>
    <w:rsid w:val="23C515B0"/>
    <w:rsid w:val="23CC45FC"/>
    <w:rsid w:val="23EA5690"/>
    <w:rsid w:val="23F933BF"/>
    <w:rsid w:val="23FB5BA9"/>
    <w:rsid w:val="23FC0AA0"/>
    <w:rsid w:val="240F127A"/>
    <w:rsid w:val="24222A24"/>
    <w:rsid w:val="244157BB"/>
    <w:rsid w:val="247240E4"/>
    <w:rsid w:val="247B62DB"/>
    <w:rsid w:val="249027F9"/>
    <w:rsid w:val="24BC0B8C"/>
    <w:rsid w:val="24D54DB0"/>
    <w:rsid w:val="24DD44A9"/>
    <w:rsid w:val="24E625D6"/>
    <w:rsid w:val="24F82B87"/>
    <w:rsid w:val="24FA3F62"/>
    <w:rsid w:val="251E6CB6"/>
    <w:rsid w:val="2530104D"/>
    <w:rsid w:val="25471A46"/>
    <w:rsid w:val="25834A03"/>
    <w:rsid w:val="259879AE"/>
    <w:rsid w:val="25A328BE"/>
    <w:rsid w:val="25A34005"/>
    <w:rsid w:val="25A66195"/>
    <w:rsid w:val="25D27E7B"/>
    <w:rsid w:val="25E20F3C"/>
    <w:rsid w:val="25E777B3"/>
    <w:rsid w:val="25F7768D"/>
    <w:rsid w:val="25FE59B1"/>
    <w:rsid w:val="26061971"/>
    <w:rsid w:val="26111D68"/>
    <w:rsid w:val="26307E6E"/>
    <w:rsid w:val="264008E8"/>
    <w:rsid w:val="26433F7F"/>
    <w:rsid w:val="264721D8"/>
    <w:rsid w:val="2666771E"/>
    <w:rsid w:val="26700C16"/>
    <w:rsid w:val="267A2D17"/>
    <w:rsid w:val="267F4830"/>
    <w:rsid w:val="26BD493E"/>
    <w:rsid w:val="26EE45DB"/>
    <w:rsid w:val="26F37DB0"/>
    <w:rsid w:val="26F541F1"/>
    <w:rsid w:val="270F5095"/>
    <w:rsid w:val="27144105"/>
    <w:rsid w:val="271C5FC6"/>
    <w:rsid w:val="27484D00"/>
    <w:rsid w:val="274F2171"/>
    <w:rsid w:val="275D6367"/>
    <w:rsid w:val="275E0F3C"/>
    <w:rsid w:val="2760568F"/>
    <w:rsid w:val="27610A07"/>
    <w:rsid w:val="27797DE0"/>
    <w:rsid w:val="27965B8B"/>
    <w:rsid w:val="27992D09"/>
    <w:rsid w:val="27D00352"/>
    <w:rsid w:val="27FD025A"/>
    <w:rsid w:val="282657F7"/>
    <w:rsid w:val="2856652E"/>
    <w:rsid w:val="2867494D"/>
    <w:rsid w:val="287E2C12"/>
    <w:rsid w:val="287F59EE"/>
    <w:rsid w:val="2884100B"/>
    <w:rsid w:val="28874CE8"/>
    <w:rsid w:val="28A8001C"/>
    <w:rsid w:val="28FC2B68"/>
    <w:rsid w:val="29147CD7"/>
    <w:rsid w:val="29172B11"/>
    <w:rsid w:val="291B7E44"/>
    <w:rsid w:val="29223179"/>
    <w:rsid w:val="292863C0"/>
    <w:rsid w:val="294A4308"/>
    <w:rsid w:val="29523F82"/>
    <w:rsid w:val="297728FC"/>
    <w:rsid w:val="297F63E2"/>
    <w:rsid w:val="298D40D9"/>
    <w:rsid w:val="29AA4023"/>
    <w:rsid w:val="29D506B9"/>
    <w:rsid w:val="29D815F7"/>
    <w:rsid w:val="29FF498C"/>
    <w:rsid w:val="2A155A4E"/>
    <w:rsid w:val="2A307C1D"/>
    <w:rsid w:val="2A37666B"/>
    <w:rsid w:val="2A3B1864"/>
    <w:rsid w:val="2A456589"/>
    <w:rsid w:val="2A475E62"/>
    <w:rsid w:val="2A4B2DEC"/>
    <w:rsid w:val="2A5B4807"/>
    <w:rsid w:val="2A837B23"/>
    <w:rsid w:val="2A8B619D"/>
    <w:rsid w:val="2A981F0C"/>
    <w:rsid w:val="2AC46B39"/>
    <w:rsid w:val="2AD311B2"/>
    <w:rsid w:val="2ADE0C2E"/>
    <w:rsid w:val="2B0717DF"/>
    <w:rsid w:val="2B16314B"/>
    <w:rsid w:val="2B1745E1"/>
    <w:rsid w:val="2B314EE4"/>
    <w:rsid w:val="2B53670E"/>
    <w:rsid w:val="2B7B1662"/>
    <w:rsid w:val="2B8C17C6"/>
    <w:rsid w:val="2B8E3C1B"/>
    <w:rsid w:val="2B8E7455"/>
    <w:rsid w:val="2BFF3A07"/>
    <w:rsid w:val="2C010002"/>
    <w:rsid w:val="2C0E274C"/>
    <w:rsid w:val="2C1864B9"/>
    <w:rsid w:val="2C2104A7"/>
    <w:rsid w:val="2C3042EA"/>
    <w:rsid w:val="2C53238E"/>
    <w:rsid w:val="2C5466FC"/>
    <w:rsid w:val="2C65290D"/>
    <w:rsid w:val="2C913ADA"/>
    <w:rsid w:val="2C99767D"/>
    <w:rsid w:val="2C9F349F"/>
    <w:rsid w:val="2CAC0753"/>
    <w:rsid w:val="2CD441D3"/>
    <w:rsid w:val="2CDA7A1A"/>
    <w:rsid w:val="2D0779A7"/>
    <w:rsid w:val="2D2F5557"/>
    <w:rsid w:val="2D401642"/>
    <w:rsid w:val="2D4477EE"/>
    <w:rsid w:val="2D513389"/>
    <w:rsid w:val="2D7E2FF7"/>
    <w:rsid w:val="2D7E7EA2"/>
    <w:rsid w:val="2D8A7EEE"/>
    <w:rsid w:val="2DAC120D"/>
    <w:rsid w:val="2DAE6D54"/>
    <w:rsid w:val="2DB51D8C"/>
    <w:rsid w:val="2DBE157E"/>
    <w:rsid w:val="2DC41DAC"/>
    <w:rsid w:val="2DD2364E"/>
    <w:rsid w:val="2DD4300E"/>
    <w:rsid w:val="2DDB036C"/>
    <w:rsid w:val="2DE31F3E"/>
    <w:rsid w:val="2DF815C0"/>
    <w:rsid w:val="2DFF5078"/>
    <w:rsid w:val="2E175D83"/>
    <w:rsid w:val="2E413F38"/>
    <w:rsid w:val="2E5E191E"/>
    <w:rsid w:val="2E6E0A25"/>
    <w:rsid w:val="2E720553"/>
    <w:rsid w:val="2E966933"/>
    <w:rsid w:val="2EC14611"/>
    <w:rsid w:val="2ED26A84"/>
    <w:rsid w:val="2EF6340A"/>
    <w:rsid w:val="2F1F63D3"/>
    <w:rsid w:val="2F507973"/>
    <w:rsid w:val="2F782D47"/>
    <w:rsid w:val="2F883C62"/>
    <w:rsid w:val="2FA13846"/>
    <w:rsid w:val="2FA662AC"/>
    <w:rsid w:val="2FC16D53"/>
    <w:rsid w:val="2FD44650"/>
    <w:rsid w:val="2FDE3293"/>
    <w:rsid w:val="2FDF5C9D"/>
    <w:rsid w:val="3009331C"/>
    <w:rsid w:val="301D5C97"/>
    <w:rsid w:val="30277C8E"/>
    <w:rsid w:val="30300320"/>
    <w:rsid w:val="30364EE2"/>
    <w:rsid w:val="30381F9E"/>
    <w:rsid w:val="30402949"/>
    <w:rsid w:val="304A74D6"/>
    <w:rsid w:val="30532E5A"/>
    <w:rsid w:val="305E4CC4"/>
    <w:rsid w:val="308640EB"/>
    <w:rsid w:val="30921EDF"/>
    <w:rsid w:val="309F49B3"/>
    <w:rsid w:val="30D61929"/>
    <w:rsid w:val="30D77E04"/>
    <w:rsid w:val="30E36619"/>
    <w:rsid w:val="30E44E75"/>
    <w:rsid w:val="30F77156"/>
    <w:rsid w:val="31070840"/>
    <w:rsid w:val="311753BD"/>
    <w:rsid w:val="311A734D"/>
    <w:rsid w:val="312B7B5C"/>
    <w:rsid w:val="31394AA3"/>
    <w:rsid w:val="31421613"/>
    <w:rsid w:val="314B5255"/>
    <w:rsid w:val="3157644A"/>
    <w:rsid w:val="315B6D60"/>
    <w:rsid w:val="3174505E"/>
    <w:rsid w:val="318A347D"/>
    <w:rsid w:val="318C4F08"/>
    <w:rsid w:val="31914894"/>
    <w:rsid w:val="31956A66"/>
    <w:rsid w:val="31C072B8"/>
    <w:rsid w:val="31DA45C8"/>
    <w:rsid w:val="31E4797E"/>
    <w:rsid w:val="31EE4BAA"/>
    <w:rsid w:val="31F521F6"/>
    <w:rsid w:val="31F5436E"/>
    <w:rsid w:val="31F857BF"/>
    <w:rsid w:val="320107D3"/>
    <w:rsid w:val="32243194"/>
    <w:rsid w:val="3224417B"/>
    <w:rsid w:val="32330ED1"/>
    <w:rsid w:val="324662CB"/>
    <w:rsid w:val="324C3A59"/>
    <w:rsid w:val="3263631F"/>
    <w:rsid w:val="32687D16"/>
    <w:rsid w:val="327331BC"/>
    <w:rsid w:val="32864611"/>
    <w:rsid w:val="32877675"/>
    <w:rsid w:val="329A5FA7"/>
    <w:rsid w:val="32A355BC"/>
    <w:rsid w:val="32C00D78"/>
    <w:rsid w:val="32DA49E4"/>
    <w:rsid w:val="32F653B6"/>
    <w:rsid w:val="33033068"/>
    <w:rsid w:val="331550E0"/>
    <w:rsid w:val="33222A9A"/>
    <w:rsid w:val="33273336"/>
    <w:rsid w:val="332D1CBE"/>
    <w:rsid w:val="33385D65"/>
    <w:rsid w:val="33480719"/>
    <w:rsid w:val="335F1874"/>
    <w:rsid w:val="336D05B7"/>
    <w:rsid w:val="3370375F"/>
    <w:rsid w:val="337D3E97"/>
    <w:rsid w:val="33805A44"/>
    <w:rsid w:val="338D6656"/>
    <w:rsid w:val="339D5261"/>
    <w:rsid w:val="339F59B9"/>
    <w:rsid w:val="33E6096F"/>
    <w:rsid w:val="33FD75CB"/>
    <w:rsid w:val="341374B8"/>
    <w:rsid w:val="3474243E"/>
    <w:rsid w:val="34802C16"/>
    <w:rsid w:val="34955EDA"/>
    <w:rsid w:val="349A334C"/>
    <w:rsid w:val="34C21BC2"/>
    <w:rsid w:val="34CA78C0"/>
    <w:rsid w:val="34E7352B"/>
    <w:rsid w:val="34E94C24"/>
    <w:rsid w:val="34FC01FE"/>
    <w:rsid w:val="35491DE7"/>
    <w:rsid w:val="354D799B"/>
    <w:rsid w:val="35586223"/>
    <w:rsid w:val="35A418C4"/>
    <w:rsid w:val="35C43DE3"/>
    <w:rsid w:val="35D55562"/>
    <w:rsid w:val="35E55B5D"/>
    <w:rsid w:val="35EF33C5"/>
    <w:rsid w:val="36127C2E"/>
    <w:rsid w:val="36130454"/>
    <w:rsid w:val="361325D6"/>
    <w:rsid w:val="361C7D06"/>
    <w:rsid w:val="36253B84"/>
    <w:rsid w:val="36401A4A"/>
    <w:rsid w:val="368920CF"/>
    <w:rsid w:val="36F0354C"/>
    <w:rsid w:val="36FE5573"/>
    <w:rsid w:val="37071254"/>
    <w:rsid w:val="3707184A"/>
    <w:rsid w:val="37412D5B"/>
    <w:rsid w:val="37424084"/>
    <w:rsid w:val="37524F3E"/>
    <w:rsid w:val="376533BD"/>
    <w:rsid w:val="37741B80"/>
    <w:rsid w:val="37795A76"/>
    <w:rsid w:val="378B2E6F"/>
    <w:rsid w:val="379B0D76"/>
    <w:rsid w:val="37C26EEE"/>
    <w:rsid w:val="37D078F7"/>
    <w:rsid w:val="37EB0089"/>
    <w:rsid w:val="37F76452"/>
    <w:rsid w:val="37FB7082"/>
    <w:rsid w:val="380E52E1"/>
    <w:rsid w:val="38423923"/>
    <w:rsid w:val="384F744A"/>
    <w:rsid w:val="38735C94"/>
    <w:rsid w:val="38A87CD8"/>
    <w:rsid w:val="38AB7652"/>
    <w:rsid w:val="38C0661D"/>
    <w:rsid w:val="38CE707C"/>
    <w:rsid w:val="38DD2EEF"/>
    <w:rsid w:val="38E93272"/>
    <w:rsid w:val="38FB4AF5"/>
    <w:rsid w:val="3902717F"/>
    <w:rsid w:val="39104B12"/>
    <w:rsid w:val="39150974"/>
    <w:rsid w:val="39253DBF"/>
    <w:rsid w:val="398F11DA"/>
    <w:rsid w:val="39985420"/>
    <w:rsid w:val="39A33546"/>
    <w:rsid w:val="39C01D61"/>
    <w:rsid w:val="39C16CB7"/>
    <w:rsid w:val="39E502D1"/>
    <w:rsid w:val="3A1B1AFA"/>
    <w:rsid w:val="3A1B760C"/>
    <w:rsid w:val="3A34051D"/>
    <w:rsid w:val="3A3B1E69"/>
    <w:rsid w:val="3A541B4B"/>
    <w:rsid w:val="3A60333A"/>
    <w:rsid w:val="3A6359E6"/>
    <w:rsid w:val="3A7D171B"/>
    <w:rsid w:val="3A7E7A19"/>
    <w:rsid w:val="3A920D31"/>
    <w:rsid w:val="3A9B60C5"/>
    <w:rsid w:val="3ACD10F0"/>
    <w:rsid w:val="3AF0613B"/>
    <w:rsid w:val="3B03762C"/>
    <w:rsid w:val="3B216441"/>
    <w:rsid w:val="3B2C0F24"/>
    <w:rsid w:val="3B334458"/>
    <w:rsid w:val="3B35199F"/>
    <w:rsid w:val="3B48554F"/>
    <w:rsid w:val="3B4E7C42"/>
    <w:rsid w:val="3B594BC0"/>
    <w:rsid w:val="3B644769"/>
    <w:rsid w:val="3B663E14"/>
    <w:rsid w:val="3B866206"/>
    <w:rsid w:val="3B8845D7"/>
    <w:rsid w:val="3B8B6665"/>
    <w:rsid w:val="3B917707"/>
    <w:rsid w:val="3B9C2E5C"/>
    <w:rsid w:val="3BA15D36"/>
    <w:rsid w:val="3BAD6AD3"/>
    <w:rsid w:val="3BC15D5C"/>
    <w:rsid w:val="3BDF17BD"/>
    <w:rsid w:val="3BE060F4"/>
    <w:rsid w:val="3BFB42C7"/>
    <w:rsid w:val="3C005EAA"/>
    <w:rsid w:val="3C0C25C4"/>
    <w:rsid w:val="3C21682D"/>
    <w:rsid w:val="3C277DFD"/>
    <w:rsid w:val="3C2D6E50"/>
    <w:rsid w:val="3C3079FF"/>
    <w:rsid w:val="3C513234"/>
    <w:rsid w:val="3C7556F3"/>
    <w:rsid w:val="3CAA46F7"/>
    <w:rsid w:val="3CC223A3"/>
    <w:rsid w:val="3CC96375"/>
    <w:rsid w:val="3CCB77E5"/>
    <w:rsid w:val="3CD25CFD"/>
    <w:rsid w:val="3CE57D2D"/>
    <w:rsid w:val="3CE77BA9"/>
    <w:rsid w:val="3CF4275A"/>
    <w:rsid w:val="3D024C8D"/>
    <w:rsid w:val="3D07311F"/>
    <w:rsid w:val="3D0B19D3"/>
    <w:rsid w:val="3D1E133E"/>
    <w:rsid w:val="3D5170E9"/>
    <w:rsid w:val="3D8E3347"/>
    <w:rsid w:val="3DA64913"/>
    <w:rsid w:val="3DAB6021"/>
    <w:rsid w:val="3DBB5ECC"/>
    <w:rsid w:val="3DFE1A79"/>
    <w:rsid w:val="3E091CA6"/>
    <w:rsid w:val="3E1D71D8"/>
    <w:rsid w:val="3E217459"/>
    <w:rsid w:val="3E2230B8"/>
    <w:rsid w:val="3E263650"/>
    <w:rsid w:val="3E2805F5"/>
    <w:rsid w:val="3E2A4E15"/>
    <w:rsid w:val="3E3B4014"/>
    <w:rsid w:val="3EA24223"/>
    <w:rsid w:val="3EB1354E"/>
    <w:rsid w:val="3EED7585"/>
    <w:rsid w:val="3F055097"/>
    <w:rsid w:val="3F161199"/>
    <w:rsid w:val="3F255D56"/>
    <w:rsid w:val="3F416A26"/>
    <w:rsid w:val="3F4A3E88"/>
    <w:rsid w:val="3F761504"/>
    <w:rsid w:val="3F892D8A"/>
    <w:rsid w:val="3FA54CBA"/>
    <w:rsid w:val="3FB26EF8"/>
    <w:rsid w:val="3FD0776A"/>
    <w:rsid w:val="3FFC0DC4"/>
    <w:rsid w:val="3FFF7676"/>
    <w:rsid w:val="400B0253"/>
    <w:rsid w:val="401E7C74"/>
    <w:rsid w:val="40223FBC"/>
    <w:rsid w:val="404F40EA"/>
    <w:rsid w:val="40775629"/>
    <w:rsid w:val="4082593F"/>
    <w:rsid w:val="40843549"/>
    <w:rsid w:val="40A72F7F"/>
    <w:rsid w:val="41474308"/>
    <w:rsid w:val="41681941"/>
    <w:rsid w:val="416E4242"/>
    <w:rsid w:val="417C534F"/>
    <w:rsid w:val="41815287"/>
    <w:rsid w:val="418F3223"/>
    <w:rsid w:val="41A46743"/>
    <w:rsid w:val="41BA6E38"/>
    <w:rsid w:val="41CF22D5"/>
    <w:rsid w:val="41E06904"/>
    <w:rsid w:val="41E47D60"/>
    <w:rsid w:val="41FB3940"/>
    <w:rsid w:val="41FE4EBD"/>
    <w:rsid w:val="421B0517"/>
    <w:rsid w:val="421C002D"/>
    <w:rsid w:val="421E7906"/>
    <w:rsid w:val="422024E8"/>
    <w:rsid w:val="422E6A18"/>
    <w:rsid w:val="42313AD0"/>
    <w:rsid w:val="423D6569"/>
    <w:rsid w:val="42762B0E"/>
    <w:rsid w:val="42796D6D"/>
    <w:rsid w:val="42965151"/>
    <w:rsid w:val="42B8066C"/>
    <w:rsid w:val="42D50F2A"/>
    <w:rsid w:val="431F44D2"/>
    <w:rsid w:val="43410AEC"/>
    <w:rsid w:val="43440507"/>
    <w:rsid w:val="43486F47"/>
    <w:rsid w:val="43606A91"/>
    <w:rsid w:val="437468EC"/>
    <w:rsid w:val="437635E3"/>
    <w:rsid w:val="437B3C36"/>
    <w:rsid w:val="437D2796"/>
    <w:rsid w:val="43A56EBD"/>
    <w:rsid w:val="43A6733A"/>
    <w:rsid w:val="43C85A23"/>
    <w:rsid w:val="43DB21A0"/>
    <w:rsid w:val="43F6552A"/>
    <w:rsid w:val="44191691"/>
    <w:rsid w:val="444C4862"/>
    <w:rsid w:val="44560F40"/>
    <w:rsid w:val="44565344"/>
    <w:rsid w:val="446B1522"/>
    <w:rsid w:val="44720E16"/>
    <w:rsid w:val="44B24538"/>
    <w:rsid w:val="44B40707"/>
    <w:rsid w:val="44BF37DC"/>
    <w:rsid w:val="44C41913"/>
    <w:rsid w:val="44CE1408"/>
    <w:rsid w:val="44D619FA"/>
    <w:rsid w:val="44F4553C"/>
    <w:rsid w:val="450874FC"/>
    <w:rsid w:val="450A7A4F"/>
    <w:rsid w:val="453A6E98"/>
    <w:rsid w:val="45476EA5"/>
    <w:rsid w:val="455D71A8"/>
    <w:rsid w:val="456553DD"/>
    <w:rsid w:val="459F2609"/>
    <w:rsid w:val="45BC0D69"/>
    <w:rsid w:val="45C33C42"/>
    <w:rsid w:val="45CC2621"/>
    <w:rsid w:val="45D10164"/>
    <w:rsid w:val="45E54860"/>
    <w:rsid w:val="460878E8"/>
    <w:rsid w:val="461203B6"/>
    <w:rsid w:val="46205844"/>
    <w:rsid w:val="4627075D"/>
    <w:rsid w:val="466C6EAA"/>
    <w:rsid w:val="469D0412"/>
    <w:rsid w:val="469D53BB"/>
    <w:rsid w:val="469F108B"/>
    <w:rsid w:val="46B249C0"/>
    <w:rsid w:val="46CF5EFF"/>
    <w:rsid w:val="46EF1849"/>
    <w:rsid w:val="46F7673A"/>
    <w:rsid w:val="46FB2F42"/>
    <w:rsid w:val="46FB4409"/>
    <w:rsid w:val="471C603E"/>
    <w:rsid w:val="47237C1D"/>
    <w:rsid w:val="47345EF6"/>
    <w:rsid w:val="473D6B0A"/>
    <w:rsid w:val="475C4FE1"/>
    <w:rsid w:val="476E4CA0"/>
    <w:rsid w:val="478148E6"/>
    <w:rsid w:val="47821C82"/>
    <w:rsid w:val="4784369C"/>
    <w:rsid w:val="47AD7740"/>
    <w:rsid w:val="47D951E8"/>
    <w:rsid w:val="47F47478"/>
    <w:rsid w:val="480D10C9"/>
    <w:rsid w:val="481F428B"/>
    <w:rsid w:val="48216BFC"/>
    <w:rsid w:val="482B2304"/>
    <w:rsid w:val="4853715D"/>
    <w:rsid w:val="485C724A"/>
    <w:rsid w:val="485F31E9"/>
    <w:rsid w:val="48857FBF"/>
    <w:rsid w:val="48981C64"/>
    <w:rsid w:val="489E3D1D"/>
    <w:rsid w:val="48AB513B"/>
    <w:rsid w:val="48B828AA"/>
    <w:rsid w:val="48BE652C"/>
    <w:rsid w:val="48C21E3A"/>
    <w:rsid w:val="48CC0ED2"/>
    <w:rsid w:val="48DE11B8"/>
    <w:rsid w:val="48F112AB"/>
    <w:rsid w:val="48F36F3B"/>
    <w:rsid w:val="48F91BE2"/>
    <w:rsid w:val="490D4FEC"/>
    <w:rsid w:val="49186926"/>
    <w:rsid w:val="491A3B93"/>
    <w:rsid w:val="49205619"/>
    <w:rsid w:val="4922547B"/>
    <w:rsid w:val="4923483E"/>
    <w:rsid w:val="49280E7A"/>
    <w:rsid w:val="49336412"/>
    <w:rsid w:val="493F0195"/>
    <w:rsid w:val="495113FA"/>
    <w:rsid w:val="4969085B"/>
    <w:rsid w:val="4969756D"/>
    <w:rsid w:val="49777618"/>
    <w:rsid w:val="497A1477"/>
    <w:rsid w:val="49862A25"/>
    <w:rsid w:val="49893CAB"/>
    <w:rsid w:val="49A24B16"/>
    <w:rsid w:val="49AE4A8C"/>
    <w:rsid w:val="49D54F3C"/>
    <w:rsid w:val="4A1F67CA"/>
    <w:rsid w:val="4A3100F0"/>
    <w:rsid w:val="4A503ED1"/>
    <w:rsid w:val="4A5E0E3F"/>
    <w:rsid w:val="4A620A37"/>
    <w:rsid w:val="4A7B772D"/>
    <w:rsid w:val="4A852A32"/>
    <w:rsid w:val="4A8D5A66"/>
    <w:rsid w:val="4AAE265D"/>
    <w:rsid w:val="4AB7573A"/>
    <w:rsid w:val="4AC63524"/>
    <w:rsid w:val="4AC97099"/>
    <w:rsid w:val="4ACC0576"/>
    <w:rsid w:val="4AE3407E"/>
    <w:rsid w:val="4AE81506"/>
    <w:rsid w:val="4AEA4ED1"/>
    <w:rsid w:val="4AF02574"/>
    <w:rsid w:val="4B1E70A8"/>
    <w:rsid w:val="4B2A2B69"/>
    <w:rsid w:val="4B3512FE"/>
    <w:rsid w:val="4B373D3C"/>
    <w:rsid w:val="4B3E7C24"/>
    <w:rsid w:val="4B4B0FFC"/>
    <w:rsid w:val="4B505EFA"/>
    <w:rsid w:val="4B74669C"/>
    <w:rsid w:val="4B7859E7"/>
    <w:rsid w:val="4B7F3A41"/>
    <w:rsid w:val="4B860513"/>
    <w:rsid w:val="4B8A72CF"/>
    <w:rsid w:val="4B972445"/>
    <w:rsid w:val="4BB70AA8"/>
    <w:rsid w:val="4BCF396B"/>
    <w:rsid w:val="4BED66CC"/>
    <w:rsid w:val="4C1065B5"/>
    <w:rsid w:val="4C217E66"/>
    <w:rsid w:val="4C3A49DA"/>
    <w:rsid w:val="4C6C4B2C"/>
    <w:rsid w:val="4C6D3334"/>
    <w:rsid w:val="4C70027F"/>
    <w:rsid w:val="4C723944"/>
    <w:rsid w:val="4C8937D3"/>
    <w:rsid w:val="4C92636C"/>
    <w:rsid w:val="4C987B90"/>
    <w:rsid w:val="4CAE2139"/>
    <w:rsid w:val="4CB3686B"/>
    <w:rsid w:val="4CC05C71"/>
    <w:rsid w:val="4CC51258"/>
    <w:rsid w:val="4CD9331E"/>
    <w:rsid w:val="4CDD791C"/>
    <w:rsid w:val="4CE92D4E"/>
    <w:rsid w:val="4D094E39"/>
    <w:rsid w:val="4D0E5386"/>
    <w:rsid w:val="4D1E6158"/>
    <w:rsid w:val="4D527A3F"/>
    <w:rsid w:val="4D6D5854"/>
    <w:rsid w:val="4D7D3ADC"/>
    <w:rsid w:val="4D834573"/>
    <w:rsid w:val="4D943011"/>
    <w:rsid w:val="4DA33AAF"/>
    <w:rsid w:val="4DB4337B"/>
    <w:rsid w:val="4DCB3EE4"/>
    <w:rsid w:val="4DDF3F73"/>
    <w:rsid w:val="4DE01E40"/>
    <w:rsid w:val="4E043932"/>
    <w:rsid w:val="4E1C1B71"/>
    <w:rsid w:val="4E361A67"/>
    <w:rsid w:val="4E680901"/>
    <w:rsid w:val="4EAC0101"/>
    <w:rsid w:val="4EB0535F"/>
    <w:rsid w:val="4EC44FA2"/>
    <w:rsid w:val="4EDC13F9"/>
    <w:rsid w:val="4F2D03BA"/>
    <w:rsid w:val="4F3E4EE5"/>
    <w:rsid w:val="4F522D7B"/>
    <w:rsid w:val="4F8046F1"/>
    <w:rsid w:val="4F8119B1"/>
    <w:rsid w:val="4F92238A"/>
    <w:rsid w:val="4FB93F22"/>
    <w:rsid w:val="4FC7629C"/>
    <w:rsid w:val="4FD42702"/>
    <w:rsid w:val="4FE062A3"/>
    <w:rsid w:val="4FFD0A59"/>
    <w:rsid w:val="4FFF755C"/>
    <w:rsid w:val="50223E9C"/>
    <w:rsid w:val="502D6DB0"/>
    <w:rsid w:val="5043798C"/>
    <w:rsid w:val="506F22A9"/>
    <w:rsid w:val="50731BAF"/>
    <w:rsid w:val="50892AE1"/>
    <w:rsid w:val="508A28EA"/>
    <w:rsid w:val="50A05FBD"/>
    <w:rsid w:val="50A56264"/>
    <w:rsid w:val="50D310E7"/>
    <w:rsid w:val="50FE681F"/>
    <w:rsid w:val="51074EDB"/>
    <w:rsid w:val="510E0E2A"/>
    <w:rsid w:val="510E6480"/>
    <w:rsid w:val="51197F18"/>
    <w:rsid w:val="51547ADE"/>
    <w:rsid w:val="51570B9A"/>
    <w:rsid w:val="515B5BAE"/>
    <w:rsid w:val="516F68B9"/>
    <w:rsid w:val="517A494B"/>
    <w:rsid w:val="518A04D2"/>
    <w:rsid w:val="51B8400A"/>
    <w:rsid w:val="51C25525"/>
    <w:rsid w:val="51F5627A"/>
    <w:rsid w:val="52107F84"/>
    <w:rsid w:val="52264C68"/>
    <w:rsid w:val="522C4211"/>
    <w:rsid w:val="52586942"/>
    <w:rsid w:val="527511EB"/>
    <w:rsid w:val="5298489A"/>
    <w:rsid w:val="52BF7035"/>
    <w:rsid w:val="52C34F5E"/>
    <w:rsid w:val="52CD2457"/>
    <w:rsid w:val="52E223AA"/>
    <w:rsid w:val="5305770A"/>
    <w:rsid w:val="537C1E5C"/>
    <w:rsid w:val="53834532"/>
    <w:rsid w:val="53B25B95"/>
    <w:rsid w:val="53BC65C2"/>
    <w:rsid w:val="53C24FBF"/>
    <w:rsid w:val="53C3751C"/>
    <w:rsid w:val="53E91DA0"/>
    <w:rsid w:val="53FD089E"/>
    <w:rsid w:val="540508D6"/>
    <w:rsid w:val="54321EEE"/>
    <w:rsid w:val="54453B17"/>
    <w:rsid w:val="544A03D8"/>
    <w:rsid w:val="54707003"/>
    <w:rsid w:val="54765614"/>
    <w:rsid w:val="548536F4"/>
    <w:rsid w:val="54934A30"/>
    <w:rsid w:val="54963849"/>
    <w:rsid w:val="54B2488E"/>
    <w:rsid w:val="54BA7426"/>
    <w:rsid w:val="54DD61CF"/>
    <w:rsid w:val="54DF2E0B"/>
    <w:rsid w:val="54E76C3E"/>
    <w:rsid w:val="54EF4663"/>
    <w:rsid w:val="550F5286"/>
    <w:rsid w:val="5518177A"/>
    <w:rsid w:val="55323649"/>
    <w:rsid w:val="556A2FD5"/>
    <w:rsid w:val="557668CE"/>
    <w:rsid w:val="5593631B"/>
    <w:rsid w:val="55946AD4"/>
    <w:rsid w:val="55CA3EEC"/>
    <w:rsid w:val="55D634ED"/>
    <w:rsid w:val="55E62651"/>
    <w:rsid w:val="560C1958"/>
    <w:rsid w:val="564C06F4"/>
    <w:rsid w:val="567910F3"/>
    <w:rsid w:val="568E7A95"/>
    <w:rsid w:val="56986CF3"/>
    <w:rsid w:val="569A13D1"/>
    <w:rsid w:val="56A05000"/>
    <w:rsid w:val="56A331CD"/>
    <w:rsid w:val="56B13420"/>
    <w:rsid w:val="56B332E9"/>
    <w:rsid w:val="56CA16A1"/>
    <w:rsid w:val="56EA6035"/>
    <w:rsid w:val="56F0146F"/>
    <w:rsid w:val="56F25C5D"/>
    <w:rsid w:val="571826D1"/>
    <w:rsid w:val="572610A1"/>
    <w:rsid w:val="57436AF9"/>
    <w:rsid w:val="577517E8"/>
    <w:rsid w:val="577F25EF"/>
    <w:rsid w:val="578204BE"/>
    <w:rsid w:val="5785395A"/>
    <w:rsid w:val="57902474"/>
    <w:rsid w:val="57A1541B"/>
    <w:rsid w:val="57C20060"/>
    <w:rsid w:val="57C62622"/>
    <w:rsid w:val="57DA3EA0"/>
    <w:rsid w:val="57E435FE"/>
    <w:rsid w:val="57FF1EAD"/>
    <w:rsid w:val="58046270"/>
    <w:rsid w:val="580D088A"/>
    <w:rsid w:val="5829224E"/>
    <w:rsid w:val="5834256D"/>
    <w:rsid w:val="583643B6"/>
    <w:rsid w:val="585C04F2"/>
    <w:rsid w:val="585D5FB5"/>
    <w:rsid w:val="58733088"/>
    <w:rsid w:val="58790B40"/>
    <w:rsid w:val="58805921"/>
    <w:rsid w:val="58B15802"/>
    <w:rsid w:val="58D74C96"/>
    <w:rsid w:val="58D76CBA"/>
    <w:rsid w:val="58E12CBB"/>
    <w:rsid w:val="58FA6822"/>
    <w:rsid w:val="58FC2C37"/>
    <w:rsid w:val="592734D1"/>
    <w:rsid w:val="59383ADA"/>
    <w:rsid w:val="593B0594"/>
    <w:rsid w:val="594B38A6"/>
    <w:rsid w:val="5953365B"/>
    <w:rsid w:val="5961766F"/>
    <w:rsid w:val="597074BB"/>
    <w:rsid w:val="59781953"/>
    <w:rsid w:val="599020E6"/>
    <w:rsid w:val="59950669"/>
    <w:rsid w:val="59AD3357"/>
    <w:rsid w:val="59BF3C49"/>
    <w:rsid w:val="59C373D1"/>
    <w:rsid w:val="59E15D3D"/>
    <w:rsid w:val="59F51CED"/>
    <w:rsid w:val="5A0A5ECA"/>
    <w:rsid w:val="5A1222DD"/>
    <w:rsid w:val="5A1F08E3"/>
    <w:rsid w:val="5A284D2A"/>
    <w:rsid w:val="5A3A0457"/>
    <w:rsid w:val="5A437242"/>
    <w:rsid w:val="5A7C1A33"/>
    <w:rsid w:val="5A7D7AFF"/>
    <w:rsid w:val="5A911489"/>
    <w:rsid w:val="5AD311F6"/>
    <w:rsid w:val="5AF968C7"/>
    <w:rsid w:val="5B0C31E8"/>
    <w:rsid w:val="5B252510"/>
    <w:rsid w:val="5B291FCE"/>
    <w:rsid w:val="5BC14505"/>
    <w:rsid w:val="5BC270D8"/>
    <w:rsid w:val="5BD72738"/>
    <w:rsid w:val="5BD76AB6"/>
    <w:rsid w:val="5BD87A5F"/>
    <w:rsid w:val="5BE24E20"/>
    <w:rsid w:val="5BFF7AE6"/>
    <w:rsid w:val="5C0B789C"/>
    <w:rsid w:val="5C372F37"/>
    <w:rsid w:val="5C3A48B6"/>
    <w:rsid w:val="5C410A77"/>
    <w:rsid w:val="5CA95EEB"/>
    <w:rsid w:val="5CAB0CD0"/>
    <w:rsid w:val="5CAB7727"/>
    <w:rsid w:val="5CAC66E1"/>
    <w:rsid w:val="5CBE6758"/>
    <w:rsid w:val="5CC441E1"/>
    <w:rsid w:val="5CE760ED"/>
    <w:rsid w:val="5D2113E8"/>
    <w:rsid w:val="5D673A5A"/>
    <w:rsid w:val="5D6B1009"/>
    <w:rsid w:val="5D836428"/>
    <w:rsid w:val="5D8D5661"/>
    <w:rsid w:val="5DAA473B"/>
    <w:rsid w:val="5DBD32BE"/>
    <w:rsid w:val="5DBF5D4F"/>
    <w:rsid w:val="5DC55B3F"/>
    <w:rsid w:val="5DCB4D6D"/>
    <w:rsid w:val="5DD97AD5"/>
    <w:rsid w:val="5E2524A8"/>
    <w:rsid w:val="5E2A7441"/>
    <w:rsid w:val="5E2E2912"/>
    <w:rsid w:val="5E567403"/>
    <w:rsid w:val="5E813DB6"/>
    <w:rsid w:val="5E851E72"/>
    <w:rsid w:val="5E8972BA"/>
    <w:rsid w:val="5EA62EF7"/>
    <w:rsid w:val="5EB441A9"/>
    <w:rsid w:val="5EBA517D"/>
    <w:rsid w:val="5EBD202B"/>
    <w:rsid w:val="5ED6420B"/>
    <w:rsid w:val="5EE43E9B"/>
    <w:rsid w:val="5EE822FC"/>
    <w:rsid w:val="5EEC4DA1"/>
    <w:rsid w:val="5EF442CA"/>
    <w:rsid w:val="5EF715EB"/>
    <w:rsid w:val="5EFC796F"/>
    <w:rsid w:val="5F281498"/>
    <w:rsid w:val="5F4C13E6"/>
    <w:rsid w:val="5F4C71F9"/>
    <w:rsid w:val="5F530F9F"/>
    <w:rsid w:val="5F544D91"/>
    <w:rsid w:val="5F7D5ED3"/>
    <w:rsid w:val="5FA81A4B"/>
    <w:rsid w:val="5FB55DAF"/>
    <w:rsid w:val="5FC42AD9"/>
    <w:rsid w:val="5FFA1888"/>
    <w:rsid w:val="5FFB56DE"/>
    <w:rsid w:val="600960AF"/>
    <w:rsid w:val="601B7031"/>
    <w:rsid w:val="604407BF"/>
    <w:rsid w:val="60486347"/>
    <w:rsid w:val="60566B33"/>
    <w:rsid w:val="60580D25"/>
    <w:rsid w:val="60B179AB"/>
    <w:rsid w:val="60BF3DA2"/>
    <w:rsid w:val="60BF626C"/>
    <w:rsid w:val="60CE1B44"/>
    <w:rsid w:val="60E92F0A"/>
    <w:rsid w:val="60EB09BA"/>
    <w:rsid w:val="60F41E9F"/>
    <w:rsid w:val="61072CD2"/>
    <w:rsid w:val="610970AF"/>
    <w:rsid w:val="611D59EE"/>
    <w:rsid w:val="611D7C5B"/>
    <w:rsid w:val="61454633"/>
    <w:rsid w:val="617B0BB5"/>
    <w:rsid w:val="618E396B"/>
    <w:rsid w:val="61910762"/>
    <w:rsid w:val="61B05D45"/>
    <w:rsid w:val="61BE7D2A"/>
    <w:rsid w:val="61C015E9"/>
    <w:rsid w:val="61E74D6C"/>
    <w:rsid w:val="61F57174"/>
    <w:rsid w:val="623449FC"/>
    <w:rsid w:val="62355655"/>
    <w:rsid w:val="623F08B8"/>
    <w:rsid w:val="62523266"/>
    <w:rsid w:val="62595EC7"/>
    <w:rsid w:val="627177CD"/>
    <w:rsid w:val="627511AF"/>
    <w:rsid w:val="62770624"/>
    <w:rsid w:val="62814A14"/>
    <w:rsid w:val="62CE0974"/>
    <w:rsid w:val="62D54B71"/>
    <w:rsid w:val="62E0024A"/>
    <w:rsid w:val="62E02E1C"/>
    <w:rsid w:val="631D2AC7"/>
    <w:rsid w:val="63261CB3"/>
    <w:rsid w:val="633F1142"/>
    <w:rsid w:val="63463232"/>
    <w:rsid w:val="634D48DE"/>
    <w:rsid w:val="636B19CD"/>
    <w:rsid w:val="63780F55"/>
    <w:rsid w:val="63A1609E"/>
    <w:rsid w:val="63A22ADD"/>
    <w:rsid w:val="63BA5239"/>
    <w:rsid w:val="63F25AAD"/>
    <w:rsid w:val="63F71532"/>
    <w:rsid w:val="63F769F2"/>
    <w:rsid w:val="64045B83"/>
    <w:rsid w:val="641724DD"/>
    <w:rsid w:val="642C33B8"/>
    <w:rsid w:val="644F09B6"/>
    <w:rsid w:val="64516D3E"/>
    <w:rsid w:val="645C797F"/>
    <w:rsid w:val="64867737"/>
    <w:rsid w:val="648D4DC3"/>
    <w:rsid w:val="64937B40"/>
    <w:rsid w:val="64951845"/>
    <w:rsid w:val="64A7189D"/>
    <w:rsid w:val="64A93377"/>
    <w:rsid w:val="64B94457"/>
    <w:rsid w:val="64C10B7B"/>
    <w:rsid w:val="64C72A0B"/>
    <w:rsid w:val="64E414E0"/>
    <w:rsid w:val="64F81386"/>
    <w:rsid w:val="652524D0"/>
    <w:rsid w:val="652A3F85"/>
    <w:rsid w:val="652C15E3"/>
    <w:rsid w:val="656B25DE"/>
    <w:rsid w:val="656E0AFF"/>
    <w:rsid w:val="65744A67"/>
    <w:rsid w:val="657D496C"/>
    <w:rsid w:val="65965311"/>
    <w:rsid w:val="65991807"/>
    <w:rsid w:val="65A0142C"/>
    <w:rsid w:val="65C71253"/>
    <w:rsid w:val="65EA707A"/>
    <w:rsid w:val="663228BD"/>
    <w:rsid w:val="665C7E71"/>
    <w:rsid w:val="665F1C74"/>
    <w:rsid w:val="66722C55"/>
    <w:rsid w:val="66730C34"/>
    <w:rsid w:val="668E5827"/>
    <w:rsid w:val="66A43656"/>
    <w:rsid w:val="66AD46B9"/>
    <w:rsid w:val="66B3502D"/>
    <w:rsid w:val="66C806BD"/>
    <w:rsid w:val="66C873FE"/>
    <w:rsid w:val="66EF7312"/>
    <w:rsid w:val="66F44D63"/>
    <w:rsid w:val="67173F59"/>
    <w:rsid w:val="67256520"/>
    <w:rsid w:val="67267A59"/>
    <w:rsid w:val="67520F7A"/>
    <w:rsid w:val="67822F4A"/>
    <w:rsid w:val="67A04650"/>
    <w:rsid w:val="67A9516E"/>
    <w:rsid w:val="67D544FF"/>
    <w:rsid w:val="67F50961"/>
    <w:rsid w:val="68014D26"/>
    <w:rsid w:val="680F0D3C"/>
    <w:rsid w:val="68297331"/>
    <w:rsid w:val="683A43E2"/>
    <w:rsid w:val="68631F9E"/>
    <w:rsid w:val="68F212CB"/>
    <w:rsid w:val="68F63773"/>
    <w:rsid w:val="69010518"/>
    <w:rsid w:val="69272D88"/>
    <w:rsid w:val="69274894"/>
    <w:rsid w:val="69320622"/>
    <w:rsid w:val="69331F88"/>
    <w:rsid w:val="693F120E"/>
    <w:rsid w:val="69440073"/>
    <w:rsid w:val="6954065E"/>
    <w:rsid w:val="695C41D8"/>
    <w:rsid w:val="69730085"/>
    <w:rsid w:val="6980463C"/>
    <w:rsid w:val="69B6146E"/>
    <w:rsid w:val="69BA6CE6"/>
    <w:rsid w:val="69C81951"/>
    <w:rsid w:val="69E1043D"/>
    <w:rsid w:val="69E105C7"/>
    <w:rsid w:val="69E3741F"/>
    <w:rsid w:val="69E67861"/>
    <w:rsid w:val="69ED7FCE"/>
    <w:rsid w:val="69F603A4"/>
    <w:rsid w:val="69F677D1"/>
    <w:rsid w:val="6A122522"/>
    <w:rsid w:val="6A225BCB"/>
    <w:rsid w:val="6A4A00DD"/>
    <w:rsid w:val="6A5945EB"/>
    <w:rsid w:val="6A5B554E"/>
    <w:rsid w:val="6A6019CC"/>
    <w:rsid w:val="6A6F0C2B"/>
    <w:rsid w:val="6A8E441C"/>
    <w:rsid w:val="6A9834B2"/>
    <w:rsid w:val="6AA07311"/>
    <w:rsid w:val="6AA3203F"/>
    <w:rsid w:val="6AAC6B9E"/>
    <w:rsid w:val="6AC2507F"/>
    <w:rsid w:val="6B0D754B"/>
    <w:rsid w:val="6B161984"/>
    <w:rsid w:val="6B287EA8"/>
    <w:rsid w:val="6B2B5BD2"/>
    <w:rsid w:val="6B2F2DA6"/>
    <w:rsid w:val="6B385122"/>
    <w:rsid w:val="6B556307"/>
    <w:rsid w:val="6B865118"/>
    <w:rsid w:val="6B871777"/>
    <w:rsid w:val="6B8C65AF"/>
    <w:rsid w:val="6BA33D7F"/>
    <w:rsid w:val="6BC703C0"/>
    <w:rsid w:val="6BC8237B"/>
    <w:rsid w:val="6BCB7818"/>
    <w:rsid w:val="6BE26F6A"/>
    <w:rsid w:val="6BF23043"/>
    <w:rsid w:val="6BF32268"/>
    <w:rsid w:val="6BFB7D72"/>
    <w:rsid w:val="6BFC2786"/>
    <w:rsid w:val="6C08695F"/>
    <w:rsid w:val="6C0D546E"/>
    <w:rsid w:val="6C0D5A20"/>
    <w:rsid w:val="6C1E03F6"/>
    <w:rsid w:val="6C2C2459"/>
    <w:rsid w:val="6C3D3F2D"/>
    <w:rsid w:val="6C3F0B24"/>
    <w:rsid w:val="6C454CBD"/>
    <w:rsid w:val="6C4B7810"/>
    <w:rsid w:val="6C887360"/>
    <w:rsid w:val="6C941171"/>
    <w:rsid w:val="6CD27CEA"/>
    <w:rsid w:val="6CD57E78"/>
    <w:rsid w:val="6CF266C6"/>
    <w:rsid w:val="6D104C89"/>
    <w:rsid w:val="6D1A4E80"/>
    <w:rsid w:val="6D3343BE"/>
    <w:rsid w:val="6D37574E"/>
    <w:rsid w:val="6D46263C"/>
    <w:rsid w:val="6D476454"/>
    <w:rsid w:val="6D484037"/>
    <w:rsid w:val="6D5A55A1"/>
    <w:rsid w:val="6D6D18F5"/>
    <w:rsid w:val="6D710B57"/>
    <w:rsid w:val="6D8F6200"/>
    <w:rsid w:val="6DB07064"/>
    <w:rsid w:val="6DB94322"/>
    <w:rsid w:val="6DC45C8A"/>
    <w:rsid w:val="6E040055"/>
    <w:rsid w:val="6E39307B"/>
    <w:rsid w:val="6E3F2CCE"/>
    <w:rsid w:val="6E405F4A"/>
    <w:rsid w:val="6E704D3B"/>
    <w:rsid w:val="6E721AC2"/>
    <w:rsid w:val="6E875598"/>
    <w:rsid w:val="6E8E28B2"/>
    <w:rsid w:val="6EB25336"/>
    <w:rsid w:val="6EBC51F3"/>
    <w:rsid w:val="6ECB2092"/>
    <w:rsid w:val="6ECB75C0"/>
    <w:rsid w:val="6ECD2F7C"/>
    <w:rsid w:val="6EE06940"/>
    <w:rsid w:val="6EF9226B"/>
    <w:rsid w:val="6F0247A4"/>
    <w:rsid w:val="6F075F3D"/>
    <w:rsid w:val="6F094974"/>
    <w:rsid w:val="6F0C2BFB"/>
    <w:rsid w:val="6F17672B"/>
    <w:rsid w:val="6F1B2BD3"/>
    <w:rsid w:val="6F2C13F5"/>
    <w:rsid w:val="6F2C770E"/>
    <w:rsid w:val="6F5B3495"/>
    <w:rsid w:val="6F6144E0"/>
    <w:rsid w:val="6FB8455F"/>
    <w:rsid w:val="6FB91458"/>
    <w:rsid w:val="6FCB62BA"/>
    <w:rsid w:val="6FFA1703"/>
    <w:rsid w:val="70151F71"/>
    <w:rsid w:val="70206BB3"/>
    <w:rsid w:val="702D243B"/>
    <w:rsid w:val="703644CA"/>
    <w:rsid w:val="70730315"/>
    <w:rsid w:val="70784492"/>
    <w:rsid w:val="709A551D"/>
    <w:rsid w:val="70AA763C"/>
    <w:rsid w:val="70B10BBB"/>
    <w:rsid w:val="70B34E7A"/>
    <w:rsid w:val="70CB12D9"/>
    <w:rsid w:val="70CF1289"/>
    <w:rsid w:val="70D079F5"/>
    <w:rsid w:val="70EC036D"/>
    <w:rsid w:val="70FF4E43"/>
    <w:rsid w:val="71000A51"/>
    <w:rsid w:val="71137217"/>
    <w:rsid w:val="714149A1"/>
    <w:rsid w:val="715D41FB"/>
    <w:rsid w:val="71687318"/>
    <w:rsid w:val="71CD678B"/>
    <w:rsid w:val="71E963C9"/>
    <w:rsid w:val="71F372EB"/>
    <w:rsid w:val="71F97AA3"/>
    <w:rsid w:val="71FB2F3F"/>
    <w:rsid w:val="723C40E2"/>
    <w:rsid w:val="7242273F"/>
    <w:rsid w:val="72473C63"/>
    <w:rsid w:val="725215CC"/>
    <w:rsid w:val="72524DC3"/>
    <w:rsid w:val="72574340"/>
    <w:rsid w:val="727C1491"/>
    <w:rsid w:val="72967050"/>
    <w:rsid w:val="72980ABC"/>
    <w:rsid w:val="72A031B5"/>
    <w:rsid w:val="72B27DED"/>
    <w:rsid w:val="72B566B1"/>
    <w:rsid w:val="72BC0BF9"/>
    <w:rsid w:val="72C9415F"/>
    <w:rsid w:val="72D14842"/>
    <w:rsid w:val="72D37761"/>
    <w:rsid w:val="72D717C0"/>
    <w:rsid w:val="72F45438"/>
    <w:rsid w:val="730456BB"/>
    <w:rsid w:val="73177AF3"/>
    <w:rsid w:val="7330204A"/>
    <w:rsid w:val="735220C5"/>
    <w:rsid w:val="736A47A3"/>
    <w:rsid w:val="73853395"/>
    <w:rsid w:val="73863414"/>
    <w:rsid w:val="738C2387"/>
    <w:rsid w:val="73A078A8"/>
    <w:rsid w:val="73A7045C"/>
    <w:rsid w:val="73CA51E6"/>
    <w:rsid w:val="73CE6911"/>
    <w:rsid w:val="73CF5E6E"/>
    <w:rsid w:val="73EF6AF6"/>
    <w:rsid w:val="74131685"/>
    <w:rsid w:val="742346B4"/>
    <w:rsid w:val="742413AD"/>
    <w:rsid w:val="74245699"/>
    <w:rsid w:val="742837D4"/>
    <w:rsid w:val="74425093"/>
    <w:rsid w:val="74672F69"/>
    <w:rsid w:val="746A2482"/>
    <w:rsid w:val="746D17A9"/>
    <w:rsid w:val="747576EC"/>
    <w:rsid w:val="74870825"/>
    <w:rsid w:val="748A490D"/>
    <w:rsid w:val="74C55558"/>
    <w:rsid w:val="74F060ED"/>
    <w:rsid w:val="75101554"/>
    <w:rsid w:val="751D2BEE"/>
    <w:rsid w:val="7555614B"/>
    <w:rsid w:val="755D3BE5"/>
    <w:rsid w:val="7562116D"/>
    <w:rsid w:val="757C7A9C"/>
    <w:rsid w:val="757D33CC"/>
    <w:rsid w:val="758461E8"/>
    <w:rsid w:val="759A19ED"/>
    <w:rsid w:val="75A042AA"/>
    <w:rsid w:val="75AA3778"/>
    <w:rsid w:val="75C36B26"/>
    <w:rsid w:val="75CD37C6"/>
    <w:rsid w:val="75DC2DB7"/>
    <w:rsid w:val="75E32B1D"/>
    <w:rsid w:val="75EC2E8A"/>
    <w:rsid w:val="76032837"/>
    <w:rsid w:val="76125315"/>
    <w:rsid w:val="76154506"/>
    <w:rsid w:val="7638520B"/>
    <w:rsid w:val="765066A5"/>
    <w:rsid w:val="76525FF1"/>
    <w:rsid w:val="76687AB8"/>
    <w:rsid w:val="766E3BB5"/>
    <w:rsid w:val="76897870"/>
    <w:rsid w:val="76AA37AA"/>
    <w:rsid w:val="76C67EF9"/>
    <w:rsid w:val="76C84CCD"/>
    <w:rsid w:val="76F01E2B"/>
    <w:rsid w:val="76F22868"/>
    <w:rsid w:val="76F2757F"/>
    <w:rsid w:val="76FA5A69"/>
    <w:rsid w:val="76FD42C7"/>
    <w:rsid w:val="770A2942"/>
    <w:rsid w:val="77360CB3"/>
    <w:rsid w:val="77410D37"/>
    <w:rsid w:val="774F0625"/>
    <w:rsid w:val="77672932"/>
    <w:rsid w:val="7782776C"/>
    <w:rsid w:val="77C60B09"/>
    <w:rsid w:val="77E047BF"/>
    <w:rsid w:val="77E57096"/>
    <w:rsid w:val="78087C0A"/>
    <w:rsid w:val="783402FB"/>
    <w:rsid w:val="783B409E"/>
    <w:rsid w:val="784A0948"/>
    <w:rsid w:val="78595B08"/>
    <w:rsid w:val="78783252"/>
    <w:rsid w:val="787852A2"/>
    <w:rsid w:val="7892463D"/>
    <w:rsid w:val="78B44EA8"/>
    <w:rsid w:val="78CF67C4"/>
    <w:rsid w:val="78DA641E"/>
    <w:rsid w:val="78E131DA"/>
    <w:rsid w:val="78E81464"/>
    <w:rsid w:val="79026409"/>
    <w:rsid w:val="79076B57"/>
    <w:rsid w:val="791B26B4"/>
    <w:rsid w:val="795F5CCF"/>
    <w:rsid w:val="79F124F2"/>
    <w:rsid w:val="7A0B537A"/>
    <w:rsid w:val="7A3610CC"/>
    <w:rsid w:val="7A60697D"/>
    <w:rsid w:val="7A7D176C"/>
    <w:rsid w:val="7A7D43E3"/>
    <w:rsid w:val="7A9651DE"/>
    <w:rsid w:val="7A9E1199"/>
    <w:rsid w:val="7AA01F48"/>
    <w:rsid w:val="7AA37705"/>
    <w:rsid w:val="7ABA4D69"/>
    <w:rsid w:val="7ADB1D8A"/>
    <w:rsid w:val="7AE1116D"/>
    <w:rsid w:val="7AF62569"/>
    <w:rsid w:val="7B0A05EE"/>
    <w:rsid w:val="7B1D7382"/>
    <w:rsid w:val="7B3F01F5"/>
    <w:rsid w:val="7B7F7CAC"/>
    <w:rsid w:val="7B835C42"/>
    <w:rsid w:val="7BDA6932"/>
    <w:rsid w:val="7BE121BC"/>
    <w:rsid w:val="7BF25336"/>
    <w:rsid w:val="7BFB40BE"/>
    <w:rsid w:val="7BFC10C4"/>
    <w:rsid w:val="7C053EEA"/>
    <w:rsid w:val="7C4D5033"/>
    <w:rsid w:val="7C510967"/>
    <w:rsid w:val="7C660A57"/>
    <w:rsid w:val="7C6B6D07"/>
    <w:rsid w:val="7C804436"/>
    <w:rsid w:val="7C83738D"/>
    <w:rsid w:val="7C8B5068"/>
    <w:rsid w:val="7CC21E81"/>
    <w:rsid w:val="7CDE1C69"/>
    <w:rsid w:val="7D082E8B"/>
    <w:rsid w:val="7D2F14F1"/>
    <w:rsid w:val="7D7E530B"/>
    <w:rsid w:val="7D8442D2"/>
    <w:rsid w:val="7D95465E"/>
    <w:rsid w:val="7D9A6D7A"/>
    <w:rsid w:val="7DA5350B"/>
    <w:rsid w:val="7DB75509"/>
    <w:rsid w:val="7DD124DB"/>
    <w:rsid w:val="7E100392"/>
    <w:rsid w:val="7E192C83"/>
    <w:rsid w:val="7E253160"/>
    <w:rsid w:val="7E2A13A3"/>
    <w:rsid w:val="7E355625"/>
    <w:rsid w:val="7E4176C5"/>
    <w:rsid w:val="7EAB487A"/>
    <w:rsid w:val="7EB4068F"/>
    <w:rsid w:val="7EBE12A4"/>
    <w:rsid w:val="7EC77481"/>
    <w:rsid w:val="7EDB3970"/>
    <w:rsid w:val="7F29120C"/>
    <w:rsid w:val="7F3B7177"/>
    <w:rsid w:val="7F3D0996"/>
    <w:rsid w:val="7F4D6B12"/>
    <w:rsid w:val="7F5D2459"/>
    <w:rsid w:val="7F6711ED"/>
    <w:rsid w:val="7F753532"/>
    <w:rsid w:val="7F9830B0"/>
    <w:rsid w:val="7FC976D0"/>
    <w:rsid w:val="7FCD59AE"/>
    <w:rsid w:val="7FE27484"/>
    <w:rsid w:val="7FF31F0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left"/>
    </w:pPr>
    <w:rPr>
      <w:rFonts w:ascii="宋体" w:hAnsi="宋体" w:eastAsia="宋体" w:cs="Times New Roman"/>
      <w:kern w:val="2"/>
      <w:sz w:val="24"/>
      <w:szCs w:val="24"/>
      <w:lang w:val="en-US" w:eastAsia="zh-CN" w:bidi="ar-SA"/>
    </w:rPr>
  </w:style>
  <w:style w:type="paragraph" w:styleId="4">
    <w:name w:val="heading 1"/>
    <w:basedOn w:val="1"/>
    <w:next w:val="1"/>
    <w:link w:val="70"/>
    <w:qFormat/>
    <w:uiPriority w:val="0"/>
    <w:pPr>
      <w:keepNext/>
      <w:keepLines/>
      <w:adjustRightInd w:val="0"/>
      <w:snapToGrid w:val="0"/>
      <w:ind w:firstLine="0" w:firstLineChars="0"/>
      <w:jc w:val="center"/>
      <w:outlineLvl w:val="0"/>
    </w:pPr>
    <w:rPr>
      <w:rFonts w:ascii="宋体" w:hAnsi="宋体" w:eastAsia="宋体"/>
      <w:b/>
      <w:bCs/>
      <w:kern w:val="44"/>
      <w:sz w:val="32"/>
      <w:szCs w:val="52"/>
    </w:rPr>
  </w:style>
  <w:style w:type="paragraph" w:styleId="5">
    <w:name w:val="heading 2"/>
    <w:basedOn w:val="1"/>
    <w:next w:val="1"/>
    <w:link w:val="107"/>
    <w:qFormat/>
    <w:uiPriority w:val="0"/>
    <w:pPr>
      <w:keepNext/>
      <w:keepLines/>
      <w:adjustRightInd w:val="0"/>
      <w:snapToGrid w:val="0"/>
      <w:ind w:firstLine="0" w:firstLineChars="0"/>
      <w:jc w:val="left"/>
      <w:outlineLvl w:val="1"/>
    </w:pPr>
    <w:rPr>
      <w:rFonts w:ascii="宋体" w:hAnsi="宋体" w:eastAsia="宋体"/>
      <w:b/>
      <w:bCs/>
      <w:sz w:val="28"/>
      <w:szCs w:val="32"/>
    </w:rPr>
  </w:style>
  <w:style w:type="paragraph" w:styleId="6">
    <w:name w:val="heading 3"/>
    <w:basedOn w:val="1"/>
    <w:next w:val="1"/>
    <w:link w:val="71"/>
    <w:qFormat/>
    <w:uiPriority w:val="0"/>
    <w:pPr>
      <w:keepNext/>
      <w:keepLines/>
      <w:adjustRightInd w:val="0"/>
      <w:snapToGrid w:val="0"/>
      <w:ind w:firstLine="0" w:firstLineChars="0"/>
      <w:outlineLvl w:val="2"/>
    </w:pPr>
    <w:rPr>
      <w:rFonts w:ascii="宋体" w:hAnsi="宋体" w:eastAsia="宋体"/>
      <w:b/>
      <w:bCs/>
      <w:szCs w:val="32"/>
    </w:rPr>
  </w:style>
  <w:style w:type="paragraph" w:styleId="7">
    <w:name w:val="heading 4"/>
    <w:basedOn w:val="1"/>
    <w:next w:val="1"/>
    <w:link w:val="94"/>
    <w:qFormat/>
    <w:uiPriority w:val="9"/>
    <w:pPr>
      <w:keepNext/>
      <w:keepLines/>
      <w:adjustRightInd w:val="0"/>
      <w:snapToGrid w:val="0"/>
      <w:outlineLvl w:val="3"/>
    </w:pPr>
    <w:rPr>
      <w:rFonts w:ascii="Cambria" w:hAnsi="Cambria"/>
      <w:b/>
      <w:bCs/>
      <w:sz w:val="21"/>
      <w:szCs w:val="28"/>
    </w:rPr>
  </w:style>
  <w:style w:type="paragraph" w:styleId="8">
    <w:name w:val="heading 5"/>
    <w:basedOn w:val="1"/>
    <w:next w:val="1"/>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40">
    <w:name w:val="Default Paragraph Font"/>
    <w:unhideWhenUsed/>
    <w:qFormat/>
    <w:uiPriority w:val="1"/>
  </w:style>
  <w:style w:type="table" w:default="1" w:styleId="46">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link w:val="56"/>
    <w:unhideWhenUsed/>
    <w:qFormat/>
    <w:uiPriority w:val="0"/>
    <w:pPr>
      <w:widowControl/>
      <w:autoSpaceDE w:val="0"/>
      <w:autoSpaceDN w:val="0"/>
      <w:snapToGrid w:val="0"/>
      <w:spacing w:before="120" w:line="400" w:lineRule="atLeast"/>
      <w:ind w:firstLine="570" w:firstLineChars="0"/>
    </w:pPr>
    <w:rPr>
      <w:rFonts w:ascii="宋体"/>
      <w:kern w:val="0"/>
      <w:szCs w:val="20"/>
    </w:rPr>
  </w:style>
  <w:style w:type="paragraph" w:styleId="9">
    <w:name w:val="annotation subject"/>
    <w:basedOn w:val="10"/>
    <w:next w:val="10"/>
    <w:link w:val="103"/>
    <w:unhideWhenUsed/>
    <w:qFormat/>
    <w:uiPriority w:val="0"/>
    <w:rPr>
      <w:b/>
      <w:bCs/>
    </w:rPr>
  </w:style>
  <w:style w:type="paragraph" w:styleId="10">
    <w:name w:val="annotation text"/>
    <w:basedOn w:val="1"/>
    <w:link w:val="55"/>
    <w:unhideWhenUsed/>
    <w:qFormat/>
    <w:uiPriority w:val="0"/>
    <w:pPr>
      <w:spacing w:line="240" w:lineRule="auto"/>
      <w:ind w:firstLine="0" w:firstLineChars="0"/>
      <w:jc w:val="left"/>
    </w:pPr>
    <w:rPr>
      <w:sz w:val="21"/>
    </w:rPr>
  </w:style>
  <w:style w:type="paragraph" w:styleId="11">
    <w:name w:val="toc 7"/>
    <w:basedOn w:val="1"/>
    <w:next w:val="1"/>
    <w:unhideWhenUsed/>
    <w:qFormat/>
    <w:uiPriority w:val="39"/>
    <w:pPr>
      <w:spacing w:line="240" w:lineRule="auto"/>
      <w:ind w:left="1260" w:firstLine="0" w:firstLineChars="0"/>
      <w:jc w:val="left"/>
    </w:pPr>
    <w:rPr>
      <w:szCs w:val="21"/>
    </w:rPr>
  </w:style>
  <w:style w:type="paragraph" w:styleId="12">
    <w:name w:val="Body Text First Indent"/>
    <w:basedOn w:val="13"/>
    <w:unhideWhenUsed/>
    <w:qFormat/>
    <w:uiPriority w:val="99"/>
    <w:pPr>
      <w:ind w:firstLine="420" w:firstLineChars="100"/>
    </w:pPr>
  </w:style>
  <w:style w:type="paragraph" w:styleId="13">
    <w:name w:val="Body Text"/>
    <w:basedOn w:val="1"/>
    <w:next w:val="1"/>
    <w:link w:val="50"/>
    <w:unhideWhenUsed/>
    <w:qFormat/>
    <w:uiPriority w:val="0"/>
    <w:pPr>
      <w:adjustRightInd w:val="0"/>
      <w:spacing w:line="315" w:lineRule="atLeast"/>
      <w:ind w:firstLine="0" w:firstLineChars="0"/>
      <w:jc w:val="left"/>
    </w:pPr>
    <w:rPr>
      <w:rFonts w:ascii="仿宋_GB2312" w:eastAsia="仿宋_GB2312"/>
      <w:kern w:val="0"/>
      <w:sz w:val="28"/>
      <w:szCs w:val="20"/>
    </w:rPr>
  </w:style>
  <w:style w:type="paragraph" w:styleId="14">
    <w:name w:val="Normal Indent"/>
    <w:basedOn w:val="1"/>
    <w:link w:val="79"/>
    <w:unhideWhenUsed/>
    <w:qFormat/>
    <w:uiPriority w:val="0"/>
    <w:pPr>
      <w:spacing w:line="240" w:lineRule="auto"/>
      <w:ind w:firstLine="420" w:firstLineChars="0"/>
    </w:pPr>
    <w:rPr>
      <w:sz w:val="21"/>
    </w:rPr>
  </w:style>
  <w:style w:type="paragraph" w:styleId="15">
    <w:name w:val="Document Map"/>
    <w:basedOn w:val="1"/>
    <w:link w:val="102"/>
    <w:unhideWhenUsed/>
    <w:qFormat/>
    <w:uiPriority w:val="0"/>
    <w:rPr>
      <w:rFonts w:ascii="宋体"/>
      <w:kern w:val="0"/>
      <w:sz w:val="18"/>
      <w:szCs w:val="18"/>
    </w:rPr>
  </w:style>
  <w:style w:type="paragraph" w:styleId="16">
    <w:name w:val="Body Text 3"/>
    <w:basedOn w:val="1"/>
    <w:link w:val="106"/>
    <w:unhideWhenUsed/>
    <w:qFormat/>
    <w:uiPriority w:val="0"/>
    <w:pPr>
      <w:spacing w:line="440" w:lineRule="atLeast"/>
      <w:ind w:firstLine="0" w:firstLineChars="0"/>
      <w:jc w:val="center"/>
    </w:pPr>
    <w:rPr>
      <w:rFonts w:ascii="楷体_GB2312" w:eastAsia="楷体_GB2312"/>
      <w:b/>
      <w:color w:val="000000"/>
      <w:sz w:val="30"/>
    </w:rPr>
  </w:style>
  <w:style w:type="paragraph" w:styleId="17">
    <w:name w:val="List Bullet 3"/>
    <w:basedOn w:val="1"/>
    <w:unhideWhenUsed/>
    <w:qFormat/>
    <w:uiPriority w:val="0"/>
    <w:pPr>
      <w:numPr>
        <w:ilvl w:val="0"/>
        <w:numId w:val="1"/>
      </w:numPr>
      <w:tabs>
        <w:tab w:val="left" w:pos="720"/>
      </w:tabs>
      <w:spacing w:line="240" w:lineRule="auto"/>
      <w:ind w:firstLine="0" w:firstLineChars="0"/>
    </w:pPr>
  </w:style>
  <w:style w:type="paragraph" w:styleId="18">
    <w:name w:val="List 2"/>
    <w:basedOn w:val="1"/>
    <w:unhideWhenUsed/>
    <w:qFormat/>
    <w:uiPriority w:val="0"/>
    <w:pPr>
      <w:spacing w:line="240" w:lineRule="auto"/>
      <w:ind w:left="100" w:leftChars="200" w:hanging="200" w:hangingChars="200"/>
    </w:pPr>
  </w:style>
  <w:style w:type="paragraph" w:styleId="19">
    <w:name w:val="List Bullet 2"/>
    <w:basedOn w:val="1"/>
    <w:next w:val="17"/>
    <w:unhideWhenUsed/>
    <w:qFormat/>
    <w:uiPriority w:val="0"/>
    <w:pPr>
      <w:numPr>
        <w:ilvl w:val="0"/>
        <w:numId w:val="2"/>
      </w:numPr>
      <w:tabs>
        <w:tab w:val="left" w:pos="360"/>
        <w:tab w:val="left" w:pos="780"/>
      </w:tabs>
      <w:spacing w:after="100" w:afterAutospacing="1" w:line="240" w:lineRule="auto"/>
      <w:ind w:firstLine="0" w:firstLineChars="0"/>
    </w:pPr>
    <w:rPr>
      <w:rFonts w:eastAsia="仿宋_GB2312"/>
    </w:rPr>
  </w:style>
  <w:style w:type="paragraph" w:styleId="20">
    <w:name w:val="toc 5"/>
    <w:basedOn w:val="1"/>
    <w:next w:val="1"/>
    <w:unhideWhenUsed/>
    <w:qFormat/>
    <w:uiPriority w:val="39"/>
    <w:pPr>
      <w:spacing w:line="240" w:lineRule="auto"/>
      <w:ind w:left="840" w:firstLine="0" w:firstLineChars="0"/>
      <w:jc w:val="left"/>
    </w:pPr>
    <w:rPr>
      <w:szCs w:val="21"/>
    </w:rPr>
  </w:style>
  <w:style w:type="paragraph" w:styleId="21">
    <w:name w:val="toc 3"/>
    <w:basedOn w:val="1"/>
    <w:next w:val="1"/>
    <w:unhideWhenUsed/>
    <w:qFormat/>
    <w:uiPriority w:val="39"/>
    <w:pPr>
      <w:spacing w:line="240" w:lineRule="auto"/>
      <w:ind w:left="420" w:firstLine="0" w:firstLineChars="0"/>
      <w:jc w:val="left"/>
    </w:pPr>
    <w:rPr>
      <w:i/>
      <w:iCs/>
    </w:rPr>
  </w:style>
  <w:style w:type="paragraph" w:styleId="22">
    <w:name w:val="Plain Text"/>
    <w:basedOn w:val="1"/>
    <w:next w:val="1"/>
    <w:link w:val="61"/>
    <w:unhideWhenUsed/>
    <w:qFormat/>
    <w:uiPriority w:val="0"/>
    <w:pPr>
      <w:spacing w:line="240" w:lineRule="auto"/>
      <w:ind w:firstLine="0" w:firstLineChars="0"/>
    </w:pPr>
    <w:rPr>
      <w:rFonts w:ascii="宋体" w:hAnsi="Courier New"/>
      <w:sz w:val="21"/>
      <w:szCs w:val="20"/>
    </w:rPr>
  </w:style>
  <w:style w:type="paragraph" w:styleId="23">
    <w:name w:val="toc 8"/>
    <w:basedOn w:val="1"/>
    <w:next w:val="1"/>
    <w:unhideWhenUsed/>
    <w:qFormat/>
    <w:uiPriority w:val="39"/>
    <w:pPr>
      <w:spacing w:line="240" w:lineRule="auto"/>
      <w:ind w:left="1470" w:firstLine="0" w:firstLineChars="0"/>
      <w:jc w:val="left"/>
    </w:pPr>
    <w:rPr>
      <w:szCs w:val="21"/>
    </w:rPr>
  </w:style>
  <w:style w:type="paragraph" w:styleId="24">
    <w:name w:val="Date"/>
    <w:basedOn w:val="1"/>
    <w:next w:val="1"/>
    <w:link w:val="65"/>
    <w:unhideWhenUsed/>
    <w:qFormat/>
    <w:uiPriority w:val="0"/>
    <w:pPr>
      <w:spacing w:line="240" w:lineRule="auto"/>
      <w:ind w:left="100" w:leftChars="2500" w:firstLine="0" w:firstLineChars="0"/>
    </w:pPr>
    <w:rPr>
      <w:color w:val="000000"/>
    </w:rPr>
  </w:style>
  <w:style w:type="paragraph" w:styleId="25">
    <w:name w:val="Body Text Indent 2"/>
    <w:basedOn w:val="1"/>
    <w:link w:val="53"/>
    <w:unhideWhenUsed/>
    <w:qFormat/>
    <w:uiPriority w:val="0"/>
    <w:pPr>
      <w:widowControl/>
      <w:spacing w:line="480" w:lineRule="atLeast"/>
      <w:ind w:firstLine="480" w:firstLineChars="0"/>
    </w:pPr>
    <w:rPr>
      <w:rFonts w:ascii="宋体"/>
      <w:kern w:val="0"/>
      <w:szCs w:val="20"/>
    </w:rPr>
  </w:style>
  <w:style w:type="paragraph" w:styleId="26">
    <w:name w:val="Balloon Text"/>
    <w:basedOn w:val="1"/>
    <w:link w:val="84"/>
    <w:unhideWhenUsed/>
    <w:qFormat/>
    <w:uiPriority w:val="0"/>
    <w:rPr>
      <w:kern w:val="0"/>
      <w:sz w:val="18"/>
      <w:szCs w:val="18"/>
    </w:rPr>
  </w:style>
  <w:style w:type="paragraph" w:styleId="27">
    <w:name w:val="footer"/>
    <w:basedOn w:val="1"/>
    <w:link w:val="92"/>
    <w:unhideWhenUsed/>
    <w:qFormat/>
    <w:uiPriority w:val="99"/>
    <w:pPr>
      <w:tabs>
        <w:tab w:val="center" w:pos="4153"/>
        <w:tab w:val="right" w:pos="8306"/>
      </w:tabs>
      <w:snapToGrid w:val="0"/>
      <w:jc w:val="left"/>
    </w:pPr>
    <w:rPr>
      <w:kern w:val="0"/>
      <w:sz w:val="18"/>
      <w:szCs w:val="18"/>
    </w:rPr>
  </w:style>
  <w:style w:type="paragraph" w:styleId="28">
    <w:name w:val="header"/>
    <w:basedOn w:val="1"/>
    <w:link w:val="8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unhideWhenUsed/>
    <w:qFormat/>
    <w:uiPriority w:val="39"/>
    <w:pPr>
      <w:tabs>
        <w:tab w:val="right" w:leader="dot" w:pos="8296"/>
      </w:tabs>
      <w:ind w:firstLine="0" w:firstLineChars="0"/>
    </w:pPr>
  </w:style>
  <w:style w:type="paragraph" w:styleId="30">
    <w:name w:val="toc 4"/>
    <w:basedOn w:val="1"/>
    <w:next w:val="1"/>
    <w:unhideWhenUsed/>
    <w:qFormat/>
    <w:uiPriority w:val="39"/>
    <w:pPr>
      <w:spacing w:line="240" w:lineRule="auto"/>
      <w:ind w:left="630" w:firstLine="0" w:firstLineChars="0"/>
      <w:jc w:val="left"/>
    </w:pPr>
    <w:rPr>
      <w:szCs w:val="21"/>
    </w:rPr>
  </w:style>
  <w:style w:type="paragraph" w:styleId="31">
    <w:name w:val="List"/>
    <w:basedOn w:val="1"/>
    <w:unhideWhenUsed/>
    <w:qFormat/>
    <w:uiPriority w:val="0"/>
    <w:pPr>
      <w:spacing w:line="240" w:lineRule="auto"/>
      <w:ind w:left="420" w:hanging="420" w:firstLineChars="0"/>
    </w:pPr>
    <w:rPr>
      <w:szCs w:val="20"/>
    </w:rPr>
  </w:style>
  <w:style w:type="paragraph" w:styleId="32">
    <w:name w:val="toc 6"/>
    <w:basedOn w:val="1"/>
    <w:next w:val="1"/>
    <w:unhideWhenUsed/>
    <w:qFormat/>
    <w:uiPriority w:val="39"/>
    <w:pPr>
      <w:spacing w:line="240" w:lineRule="auto"/>
      <w:ind w:left="1050" w:firstLine="0" w:firstLineChars="0"/>
      <w:jc w:val="left"/>
    </w:pPr>
    <w:rPr>
      <w:szCs w:val="21"/>
    </w:rPr>
  </w:style>
  <w:style w:type="paragraph" w:styleId="33">
    <w:name w:val="Body Text Indent 3"/>
    <w:basedOn w:val="1"/>
    <w:link w:val="93"/>
    <w:unhideWhenUsed/>
    <w:qFormat/>
    <w:uiPriority w:val="0"/>
    <w:pPr>
      <w:autoSpaceDE w:val="0"/>
      <w:autoSpaceDN w:val="0"/>
      <w:spacing w:line="400" w:lineRule="atLeast"/>
      <w:ind w:firstLine="443"/>
    </w:pPr>
    <w:rPr>
      <w:rFonts w:eastAsia="黑体"/>
      <w:color w:val="000000"/>
    </w:rPr>
  </w:style>
  <w:style w:type="paragraph" w:styleId="34">
    <w:name w:val="toc 2"/>
    <w:basedOn w:val="1"/>
    <w:next w:val="1"/>
    <w:unhideWhenUsed/>
    <w:qFormat/>
    <w:uiPriority w:val="39"/>
    <w:pPr>
      <w:tabs>
        <w:tab w:val="right" w:leader="dot" w:pos="8296"/>
      </w:tabs>
      <w:ind w:left="420" w:leftChars="200" w:firstLine="0" w:firstLineChars="0"/>
    </w:pPr>
  </w:style>
  <w:style w:type="paragraph" w:styleId="35">
    <w:name w:val="toc 9"/>
    <w:basedOn w:val="1"/>
    <w:next w:val="1"/>
    <w:unhideWhenUsed/>
    <w:qFormat/>
    <w:uiPriority w:val="39"/>
    <w:pPr>
      <w:spacing w:line="240" w:lineRule="auto"/>
      <w:ind w:left="1680" w:firstLine="0" w:firstLineChars="0"/>
      <w:jc w:val="left"/>
    </w:pPr>
    <w:rPr>
      <w:szCs w:val="21"/>
    </w:rPr>
  </w:style>
  <w:style w:type="paragraph" w:styleId="36">
    <w:name w:val="Body Text 2"/>
    <w:basedOn w:val="1"/>
    <w:link w:val="100"/>
    <w:unhideWhenUsed/>
    <w:qFormat/>
    <w:uiPriority w:val="0"/>
    <w:pPr>
      <w:spacing w:line="240" w:lineRule="auto"/>
      <w:ind w:firstLine="0" w:firstLineChars="0"/>
    </w:pPr>
    <w:rPr>
      <w:b/>
      <w:bCs/>
      <w:color w:val="000000"/>
      <w:sz w:val="28"/>
    </w:rPr>
  </w:style>
  <w:style w:type="paragraph" w:styleId="37">
    <w:name w:val="HTML Preformatted"/>
    <w:basedOn w:val="1"/>
    <w:link w:val="63"/>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38">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kern w:val="0"/>
    </w:rPr>
  </w:style>
  <w:style w:type="paragraph" w:styleId="39">
    <w:name w:val="Title"/>
    <w:basedOn w:val="1"/>
    <w:link w:val="87"/>
    <w:qFormat/>
    <w:uiPriority w:val="0"/>
    <w:pPr>
      <w:spacing w:line="240" w:lineRule="auto"/>
      <w:ind w:firstLine="0" w:firstLineChars="0"/>
      <w:jc w:val="center"/>
    </w:pPr>
    <w:rPr>
      <w:sz w:val="30"/>
    </w:rPr>
  </w:style>
  <w:style w:type="character" w:styleId="41">
    <w:name w:val="Strong"/>
    <w:qFormat/>
    <w:uiPriority w:val="22"/>
    <w:rPr>
      <w:b/>
    </w:rPr>
  </w:style>
  <w:style w:type="character" w:styleId="42">
    <w:name w:val="page number"/>
    <w:basedOn w:val="40"/>
    <w:qFormat/>
    <w:uiPriority w:val="0"/>
  </w:style>
  <w:style w:type="character" w:styleId="43">
    <w:name w:val="FollowedHyperlink"/>
    <w:unhideWhenUsed/>
    <w:qFormat/>
    <w:uiPriority w:val="0"/>
    <w:rPr>
      <w:color w:val="800080"/>
      <w:u w:val="single"/>
    </w:rPr>
  </w:style>
  <w:style w:type="character" w:styleId="44">
    <w:name w:val="Hyperlink"/>
    <w:unhideWhenUsed/>
    <w:qFormat/>
    <w:uiPriority w:val="99"/>
    <w:rPr>
      <w:color w:val="0000FF"/>
      <w:u w:val="single"/>
    </w:rPr>
  </w:style>
  <w:style w:type="character" w:styleId="45">
    <w:name w:val="annotation reference"/>
    <w:unhideWhenUsed/>
    <w:qFormat/>
    <w:uiPriority w:val="0"/>
    <w:rPr>
      <w:sz w:val="21"/>
      <w:szCs w:val="21"/>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48">
    <w:name w:val="Default"/>
    <w:next w:val="49"/>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4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50">
    <w:name w:val="正文文本 Char"/>
    <w:link w:val="13"/>
    <w:semiHidden/>
    <w:qFormat/>
    <w:uiPriority w:val="0"/>
    <w:rPr>
      <w:rFonts w:ascii="仿宋_GB2312" w:hAnsi="Times New Roman" w:eastAsia="仿宋_GB2312"/>
      <w:sz w:val="28"/>
    </w:rPr>
  </w:style>
  <w:style w:type="character" w:customStyle="1" w:styleId="51">
    <w:name w:val="Char Char2"/>
    <w:qFormat/>
    <w:uiPriority w:val="0"/>
    <w:rPr>
      <w:rFonts w:hint="eastAsia" w:ascii="宋体" w:hAnsi="Courier New" w:eastAsia="宋体"/>
      <w:kern w:val="2"/>
      <w:sz w:val="21"/>
    </w:rPr>
  </w:style>
  <w:style w:type="character" w:customStyle="1" w:styleId="52">
    <w:name w:val="页脚 字符"/>
    <w:qFormat/>
    <w:uiPriority w:val="99"/>
    <w:rPr>
      <w:rFonts w:eastAsia="宋体"/>
      <w:kern w:val="2"/>
      <w:sz w:val="18"/>
      <w:lang w:val="en-US" w:eastAsia="zh-CN" w:bidi="ar-SA"/>
    </w:rPr>
  </w:style>
  <w:style w:type="character" w:customStyle="1" w:styleId="53">
    <w:name w:val="正文文本缩进 2 Char"/>
    <w:link w:val="25"/>
    <w:semiHidden/>
    <w:qFormat/>
    <w:uiPriority w:val="0"/>
    <w:rPr>
      <w:rFonts w:ascii="宋体" w:hAnsi="Times New Roman"/>
      <w:sz w:val="24"/>
    </w:rPr>
  </w:style>
  <w:style w:type="character" w:customStyle="1" w:styleId="54">
    <w:name w:val="unnamed51"/>
    <w:qFormat/>
    <w:uiPriority w:val="0"/>
    <w:rPr>
      <w:sz w:val="22"/>
      <w:szCs w:val="22"/>
    </w:rPr>
  </w:style>
  <w:style w:type="character" w:customStyle="1" w:styleId="55">
    <w:name w:val="批注文字 Char1"/>
    <w:link w:val="10"/>
    <w:semiHidden/>
    <w:qFormat/>
    <w:uiPriority w:val="0"/>
    <w:rPr>
      <w:rFonts w:ascii="Times New Roman" w:hAnsi="Times New Roman"/>
      <w:kern w:val="2"/>
      <w:sz w:val="21"/>
      <w:szCs w:val="24"/>
    </w:rPr>
  </w:style>
  <w:style w:type="character" w:customStyle="1" w:styleId="56">
    <w:name w:val="正文文本缩进 Char"/>
    <w:link w:val="3"/>
    <w:semiHidden/>
    <w:qFormat/>
    <w:uiPriority w:val="0"/>
    <w:rPr>
      <w:rFonts w:ascii="宋体" w:hAnsi="Times New Roman"/>
      <w:sz w:val="24"/>
    </w:rPr>
  </w:style>
  <w:style w:type="character" w:customStyle="1" w:styleId="57">
    <w:name w:val="纯文本 Char"/>
    <w:qFormat/>
    <w:uiPriority w:val="0"/>
    <w:rPr>
      <w:rFonts w:ascii="宋体" w:hAnsi="Courier New" w:cs="Courier New"/>
      <w:kern w:val="2"/>
      <w:sz w:val="21"/>
      <w:szCs w:val="21"/>
    </w:rPr>
  </w:style>
  <w:style w:type="character" w:customStyle="1" w:styleId="58">
    <w:name w:val="author-p-368601"/>
    <w:qFormat/>
    <w:uiPriority w:val="0"/>
  </w:style>
  <w:style w:type="character" w:customStyle="1" w:styleId="59">
    <w:name w:val="Char Char"/>
    <w:qFormat/>
    <w:uiPriority w:val="0"/>
    <w:rPr>
      <w:rFonts w:hint="eastAsia" w:ascii="宋体" w:hAnsi="Courier New" w:eastAsia="宋体"/>
      <w:kern w:val="2"/>
      <w:sz w:val="21"/>
      <w:lang w:val="en-US" w:eastAsia="zh-CN" w:bidi="ar-SA"/>
    </w:rPr>
  </w:style>
  <w:style w:type="character" w:customStyle="1" w:styleId="60">
    <w:name w:val="font01"/>
    <w:basedOn w:val="40"/>
    <w:qFormat/>
    <w:uiPriority w:val="0"/>
    <w:rPr>
      <w:rFonts w:hint="eastAsia" w:ascii="宋体" w:hAnsi="宋体" w:eastAsia="宋体" w:cs="宋体"/>
      <w:b/>
      <w:color w:val="333333"/>
      <w:sz w:val="20"/>
      <w:szCs w:val="20"/>
      <w:u w:val="none"/>
    </w:rPr>
  </w:style>
  <w:style w:type="character" w:customStyle="1" w:styleId="61">
    <w:name w:val="纯文本 Char1"/>
    <w:link w:val="22"/>
    <w:qFormat/>
    <w:locked/>
    <w:uiPriority w:val="0"/>
    <w:rPr>
      <w:rFonts w:ascii="宋体" w:hAnsi="Courier New"/>
      <w:kern w:val="2"/>
      <w:sz w:val="21"/>
    </w:rPr>
  </w:style>
  <w:style w:type="character" w:customStyle="1" w:styleId="62">
    <w:name w:val="button1"/>
    <w:qFormat/>
    <w:uiPriority w:val="0"/>
    <w:rPr>
      <w:rFonts w:hint="default" w:ascii="Verdana" w:hAnsi="Verdana"/>
      <w:b/>
      <w:bCs/>
      <w:sz w:val="20"/>
      <w:szCs w:val="20"/>
    </w:rPr>
  </w:style>
  <w:style w:type="character" w:customStyle="1" w:styleId="63">
    <w:name w:val="HTML 预设格式 Char"/>
    <w:link w:val="37"/>
    <w:semiHidden/>
    <w:qFormat/>
    <w:uiPriority w:val="0"/>
    <w:rPr>
      <w:rFonts w:ascii="Arial Unicode MS" w:hAnsi="Arial Unicode MS" w:eastAsia="Arial Unicode MS" w:cs="Arial Unicode MS"/>
    </w:rPr>
  </w:style>
  <w:style w:type="character" w:customStyle="1" w:styleId="64">
    <w:name w:val="search_content1"/>
    <w:qFormat/>
    <w:uiPriority w:val="0"/>
    <w:rPr>
      <w:sz w:val="20"/>
      <w:szCs w:val="20"/>
    </w:rPr>
  </w:style>
  <w:style w:type="character" w:customStyle="1" w:styleId="65">
    <w:name w:val="日期 Char"/>
    <w:link w:val="24"/>
    <w:semiHidden/>
    <w:qFormat/>
    <w:uiPriority w:val="0"/>
    <w:rPr>
      <w:rFonts w:ascii="Times New Roman" w:hAnsi="Times New Roman"/>
      <w:color w:val="000000"/>
      <w:kern w:val="2"/>
      <w:sz w:val="24"/>
      <w:szCs w:val="24"/>
    </w:rPr>
  </w:style>
  <w:style w:type="character" w:customStyle="1" w:styleId="66">
    <w:name w:val="标题 4 Char"/>
    <w:qFormat/>
    <w:uiPriority w:val="9"/>
    <w:rPr>
      <w:rFonts w:ascii="Cambria" w:hAnsi="Cambria" w:eastAsia="宋体" w:cs="Times New Roman"/>
      <w:b/>
      <w:bCs/>
      <w:kern w:val="2"/>
      <w:sz w:val="21"/>
      <w:szCs w:val="28"/>
    </w:rPr>
  </w:style>
  <w:style w:type="character" w:customStyle="1" w:styleId="67">
    <w:name w:val="纯文本 字符"/>
    <w:qFormat/>
    <w:uiPriority w:val="0"/>
    <w:rPr>
      <w:rFonts w:ascii="宋体" w:hAnsi="Courier New" w:eastAsia="宋体" w:cs="Courier New"/>
      <w:kern w:val="2"/>
      <w:sz w:val="21"/>
      <w:szCs w:val="21"/>
      <w:lang w:val="en-US" w:eastAsia="zh-CN" w:bidi="ar-SA"/>
    </w:rPr>
  </w:style>
  <w:style w:type="character" w:customStyle="1" w:styleId="68">
    <w:name w:val="不明显强调1"/>
    <w:qFormat/>
    <w:uiPriority w:val="0"/>
    <w:rPr>
      <w:i/>
      <w:iCs/>
      <w:color w:val="808080"/>
    </w:rPr>
  </w:style>
  <w:style w:type="character" w:customStyle="1" w:styleId="69">
    <w:name w:val="font101"/>
    <w:qFormat/>
    <w:uiPriority w:val="0"/>
    <w:rPr>
      <w:rFonts w:hint="eastAsia" w:ascii="宋体" w:hAnsi="宋体" w:eastAsia="宋体" w:cs="宋体"/>
      <w:color w:val="000000"/>
      <w:sz w:val="18"/>
      <w:szCs w:val="18"/>
      <w:u w:val="none"/>
    </w:rPr>
  </w:style>
  <w:style w:type="character" w:customStyle="1" w:styleId="70">
    <w:name w:val="标题 1 Char"/>
    <w:link w:val="4"/>
    <w:qFormat/>
    <w:uiPriority w:val="0"/>
    <w:rPr>
      <w:rFonts w:ascii="宋体" w:hAnsi="宋体" w:eastAsia="宋体" w:cs="宋体"/>
      <w:b/>
      <w:bCs/>
      <w:kern w:val="44"/>
      <w:sz w:val="32"/>
      <w:szCs w:val="52"/>
    </w:rPr>
  </w:style>
  <w:style w:type="character" w:customStyle="1" w:styleId="71">
    <w:name w:val="标题 3 Char1"/>
    <w:link w:val="6"/>
    <w:qFormat/>
    <w:uiPriority w:val="0"/>
    <w:rPr>
      <w:rFonts w:ascii="宋体" w:hAnsi="宋体" w:eastAsia="宋体"/>
      <w:b/>
      <w:bCs/>
      <w:kern w:val="2"/>
      <w:sz w:val="24"/>
      <w:szCs w:val="32"/>
    </w:rPr>
  </w:style>
  <w:style w:type="character" w:customStyle="1" w:styleId="72">
    <w:name w:val="font11"/>
    <w:qFormat/>
    <w:uiPriority w:val="0"/>
    <w:rPr>
      <w:rFonts w:hint="eastAsia" w:ascii="宋体" w:hAnsi="宋体" w:eastAsia="宋体" w:cs="宋体"/>
      <w:color w:val="000000"/>
      <w:sz w:val="40"/>
      <w:szCs w:val="40"/>
      <w:u w:val="none"/>
    </w:rPr>
  </w:style>
  <w:style w:type="character" w:customStyle="1" w:styleId="73">
    <w:name w:val="style8"/>
    <w:basedOn w:val="40"/>
    <w:qFormat/>
    <w:uiPriority w:val="0"/>
  </w:style>
  <w:style w:type="character" w:customStyle="1" w:styleId="74">
    <w:name w:val="hei16b1"/>
    <w:qFormat/>
    <w:uiPriority w:val="0"/>
    <w:rPr>
      <w:rFonts w:hint="default" w:ascii="Arial" w:hAnsi="Arial" w:cs="Arial"/>
      <w:b/>
      <w:bCs/>
      <w:color w:val="000000"/>
      <w:sz w:val="24"/>
      <w:szCs w:val="24"/>
    </w:rPr>
  </w:style>
  <w:style w:type="character" w:customStyle="1" w:styleId="75">
    <w:name w:val="无间隔 Char"/>
    <w:link w:val="76"/>
    <w:qFormat/>
    <w:locked/>
    <w:uiPriority w:val="0"/>
    <w:rPr>
      <w:rFonts w:cs="Calibri"/>
      <w:kern w:val="2"/>
      <w:sz w:val="21"/>
      <w:szCs w:val="22"/>
      <w:lang w:val="en-US" w:eastAsia="zh-CN" w:bidi="ar-SA"/>
    </w:rPr>
  </w:style>
  <w:style w:type="paragraph" w:customStyle="1" w:styleId="76">
    <w:name w:val="No Spacing"/>
    <w:link w:val="75"/>
    <w:qFormat/>
    <w:uiPriority w:val="0"/>
    <w:pPr>
      <w:widowControl w:val="0"/>
      <w:jc w:val="both"/>
    </w:pPr>
    <w:rPr>
      <w:rFonts w:ascii="Times New Roman" w:hAnsi="Times New Roman" w:eastAsia="宋体" w:cs="Calibri"/>
      <w:kern w:val="2"/>
      <w:sz w:val="21"/>
      <w:szCs w:val="22"/>
      <w:lang w:val="en-US" w:eastAsia="zh-CN" w:bidi="ar-SA"/>
    </w:rPr>
  </w:style>
  <w:style w:type="character" w:customStyle="1" w:styleId="77">
    <w:name w:val="s"/>
    <w:basedOn w:val="40"/>
    <w:qFormat/>
    <w:uiPriority w:val="0"/>
  </w:style>
  <w:style w:type="character" w:customStyle="1" w:styleId="78">
    <w:name w:val="font71"/>
    <w:qFormat/>
    <w:uiPriority w:val="0"/>
    <w:rPr>
      <w:rFonts w:ascii="Arial" w:hAnsi="Arial" w:cs="Arial"/>
      <w:b/>
      <w:color w:val="333333"/>
      <w:sz w:val="20"/>
      <w:szCs w:val="20"/>
      <w:u w:val="none"/>
    </w:rPr>
  </w:style>
  <w:style w:type="character" w:customStyle="1" w:styleId="79">
    <w:name w:val="正文缩进 Char"/>
    <w:link w:val="14"/>
    <w:semiHidden/>
    <w:qFormat/>
    <w:locked/>
    <w:uiPriority w:val="0"/>
    <w:rPr>
      <w:kern w:val="2"/>
      <w:sz w:val="21"/>
      <w:szCs w:val="24"/>
    </w:rPr>
  </w:style>
  <w:style w:type="character" w:customStyle="1" w:styleId="80">
    <w:name w:val="标题 Char"/>
    <w:qFormat/>
    <w:uiPriority w:val="0"/>
    <w:rPr>
      <w:rFonts w:ascii="Cambria" w:hAnsi="Cambria" w:cs="Times New Roman"/>
      <w:b/>
      <w:bCs/>
      <w:kern w:val="2"/>
      <w:sz w:val="32"/>
      <w:szCs w:val="32"/>
    </w:rPr>
  </w:style>
  <w:style w:type="character" w:customStyle="1" w:styleId="81">
    <w:name w:val="正文文本首行缩进 字符"/>
    <w:link w:val="82"/>
    <w:semiHidden/>
    <w:qFormat/>
    <w:uiPriority w:val="0"/>
    <w:rPr>
      <w:rFonts w:ascii="Times New Roman" w:hAnsi="Times New Roman" w:eastAsia="仿宋_GB2312"/>
      <w:kern w:val="2"/>
      <w:sz w:val="21"/>
      <w:szCs w:val="24"/>
    </w:rPr>
  </w:style>
  <w:style w:type="paragraph" w:customStyle="1" w:styleId="82">
    <w:name w:val="正文文本首行缩进1"/>
    <w:basedOn w:val="13"/>
    <w:link w:val="81"/>
    <w:unhideWhenUsed/>
    <w:qFormat/>
    <w:uiPriority w:val="0"/>
    <w:pPr>
      <w:adjustRightInd/>
      <w:spacing w:after="120" w:line="240" w:lineRule="auto"/>
      <w:ind w:firstLine="420" w:firstLineChars="100"/>
      <w:jc w:val="both"/>
    </w:pPr>
    <w:rPr>
      <w:rFonts w:ascii="Times New Roman"/>
      <w:kern w:val="2"/>
      <w:sz w:val="21"/>
      <w:szCs w:val="24"/>
    </w:rPr>
  </w:style>
  <w:style w:type="character" w:customStyle="1" w:styleId="83">
    <w:name w:val="正文文本缩进 字符"/>
    <w:qFormat/>
    <w:uiPriority w:val="0"/>
    <w:rPr>
      <w:rFonts w:ascii="仿宋_GB2312" w:eastAsia="仿宋_GB2312"/>
      <w:kern w:val="2"/>
      <w:sz w:val="28"/>
      <w:lang w:val="en-US" w:eastAsia="zh-CN" w:bidi="ar-SA"/>
    </w:rPr>
  </w:style>
  <w:style w:type="character" w:customStyle="1" w:styleId="84">
    <w:name w:val="批注框文本 Char"/>
    <w:link w:val="26"/>
    <w:semiHidden/>
    <w:qFormat/>
    <w:uiPriority w:val="0"/>
    <w:rPr>
      <w:rFonts w:ascii="Times New Roman" w:hAnsi="Times New Roman" w:eastAsia="宋体" w:cs="Times New Roman"/>
      <w:sz w:val="18"/>
      <w:szCs w:val="18"/>
    </w:rPr>
  </w:style>
  <w:style w:type="character" w:customStyle="1" w:styleId="85">
    <w:name w:val="body001"/>
    <w:qFormat/>
    <w:uiPriority w:val="0"/>
    <w:rPr>
      <w:rFonts w:hint="default" w:ascii="ˎ̥" w:hAnsi="ˎ̥"/>
      <w:color w:val="333333"/>
      <w:sz w:val="18"/>
      <w:szCs w:val="18"/>
    </w:rPr>
  </w:style>
  <w:style w:type="character" w:customStyle="1" w:styleId="86">
    <w:name w:val="Char Char3"/>
    <w:qFormat/>
    <w:uiPriority w:val="0"/>
    <w:rPr>
      <w:rFonts w:hint="eastAsia" w:ascii="宋体" w:hAnsi="Courier New" w:eastAsia="宋体"/>
      <w:kern w:val="2"/>
      <w:sz w:val="21"/>
      <w:lang w:val="en-US" w:eastAsia="zh-CN" w:bidi="ar-SA"/>
    </w:rPr>
  </w:style>
  <w:style w:type="character" w:customStyle="1" w:styleId="87">
    <w:name w:val="标题 Char1"/>
    <w:link w:val="39"/>
    <w:qFormat/>
    <w:locked/>
    <w:uiPriority w:val="0"/>
    <w:rPr>
      <w:rFonts w:ascii="Times New Roman" w:hAnsi="Times New Roman"/>
      <w:kern w:val="2"/>
      <w:sz w:val="30"/>
      <w:szCs w:val="24"/>
    </w:rPr>
  </w:style>
  <w:style w:type="character" w:customStyle="1" w:styleId="88">
    <w:name w:val="l17"/>
    <w:basedOn w:val="40"/>
    <w:qFormat/>
    <w:uiPriority w:val="0"/>
  </w:style>
  <w:style w:type="character" w:customStyle="1" w:styleId="89">
    <w:name w:val="页眉 Char"/>
    <w:link w:val="28"/>
    <w:qFormat/>
    <w:uiPriority w:val="99"/>
    <w:rPr>
      <w:sz w:val="18"/>
      <w:szCs w:val="18"/>
    </w:rPr>
  </w:style>
  <w:style w:type="character" w:customStyle="1" w:styleId="90">
    <w:name w:val="style1"/>
    <w:basedOn w:val="40"/>
    <w:qFormat/>
    <w:uiPriority w:val="0"/>
  </w:style>
  <w:style w:type="character" w:customStyle="1" w:styleId="91">
    <w:name w:val="huei12b1"/>
    <w:qFormat/>
    <w:uiPriority w:val="0"/>
    <w:rPr>
      <w:b/>
      <w:bCs/>
      <w:color w:val="333333"/>
      <w:sz w:val="20"/>
      <w:szCs w:val="20"/>
    </w:rPr>
  </w:style>
  <w:style w:type="character" w:customStyle="1" w:styleId="92">
    <w:name w:val="页脚 Char"/>
    <w:link w:val="27"/>
    <w:qFormat/>
    <w:uiPriority w:val="99"/>
    <w:rPr>
      <w:sz w:val="18"/>
      <w:szCs w:val="18"/>
    </w:rPr>
  </w:style>
  <w:style w:type="character" w:customStyle="1" w:styleId="93">
    <w:name w:val="正文文本缩进 3 Char"/>
    <w:link w:val="33"/>
    <w:semiHidden/>
    <w:qFormat/>
    <w:uiPriority w:val="0"/>
    <w:rPr>
      <w:rFonts w:ascii="Times New Roman" w:hAnsi="Times New Roman" w:eastAsia="黑体"/>
      <w:color w:val="000000"/>
      <w:kern w:val="2"/>
      <w:sz w:val="24"/>
      <w:szCs w:val="24"/>
    </w:rPr>
  </w:style>
  <w:style w:type="character" w:customStyle="1" w:styleId="94">
    <w:name w:val="标题 4 Char1"/>
    <w:link w:val="7"/>
    <w:qFormat/>
    <w:uiPriority w:val="9"/>
    <w:rPr>
      <w:rFonts w:ascii="Cambria" w:hAnsi="Cambria" w:eastAsia="宋体" w:cs="Times New Roman"/>
      <w:b/>
      <w:bCs/>
      <w:kern w:val="2"/>
      <w:sz w:val="21"/>
      <w:szCs w:val="28"/>
    </w:rPr>
  </w:style>
  <w:style w:type="character" w:customStyle="1" w:styleId="95">
    <w:name w:val="wz1"/>
    <w:basedOn w:val="40"/>
    <w:qFormat/>
    <w:uiPriority w:val="0"/>
  </w:style>
  <w:style w:type="character" w:customStyle="1" w:styleId="96">
    <w:name w:val="标题 3 字符"/>
    <w:qFormat/>
    <w:uiPriority w:val="0"/>
    <w:rPr>
      <w:b/>
      <w:bCs/>
      <w:kern w:val="2"/>
      <w:sz w:val="24"/>
      <w:szCs w:val="32"/>
    </w:rPr>
  </w:style>
  <w:style w:type="character" w:customStyle="1" w:styleId="97">
    <w:name w:val="unnamed1"/>
    <w:basedOn w:val="40"/>
    <w:qFormat/>
    <w:uiPriority w:val="0"/>
  </w:style>
  <w:style w:type="character" w:customStyle="1" w:styleId="98">
    <w:name w:val="(aNormal) + 宋体 Char"/>
    <w:link w:val="99"/>
    <w:qFormat/>
    <w:locked/>
    <w:uiPriority w:val="0"/>
    <w:rPr>
      <w:rFonts w:ascii="宋体" w:hAnsi="宋体"/>
      <w:lang w:val="en-GB"/>
    </w:rPr>
  </w:style>
  <w:style w:type="paragraph" w:customStyle="1" w:styleId="99">
    <w:name w:val="(aNormal) + 宋体"/>
    <w:basedOn w:val="1"/>
    <w:link w:val="98"/>
    <w:qFormat/>
    <w:uiPriority w:val="0"/>
    <w:pPr>
      <w:widowControl/>
      <w:spacing w:before="240" w:after="120" w:line="240" w:lineRule="auto"/>
      <w:ind w:firstLine="0" w:firstLineChars="0"/>
    </w:pPr>
    <w:rPr>
      <w:rFonts w:ascii="宋体" w:hAnsi="宋体"/>
      <w:kern w:val="0"/>
      <w:sz w:val="20"/>
      <w:szCs w:val="20"/>
      <w:lang w:val="en-GB"/>
    </w:rPr>
  </w:style>
  <w:style w:type="character" w:customStyle="1" w:styleId="100">
    <w:name w:val="正文文本 2 Char"/>
    <w:link w:val="36"/>
    <w:semiHidden/>
    <w:qFormat/>
    <w:uiPriority w:val="0"/>
    <w:rPr>
      <w:rFonts w:ascii="Times New Roman" w:hAnsi="Times New Roman"/>
      <w:b/>
      <w:bCs/>
      <w:color w:val="000000"/>
      <w:kern w:val="2"/>
      <w:sz w:val="28"/>
      <w:szCs w:val="24"/>
    </w:rPr>
  </w:style>
  <w:style w:type="character" w:customStyle="1" w:styleId="101">
    <w:name w:val="页眉 字符"/>
    <w:qFormat/>
    <w:locked/>
    <w:uiPriority w:val="0"/>
    <w:rPr>
      <w:rFonts w:eastAsia="宋体"/>
      <w:kern w:val="2"/>
      <w:sz w:val="18"/>
      <w:lang w:val="en-US" w:eastAsia="zh-CN" w:bidi="ar-SA"/>
    </w:rPr>
  </w:style>
  <w:style w:type="character" w:customStyle="1" w:styleId="102">
    <w:name w:val="文档结构图 Char"/>
    <w:link w:val="15"/>
    <w:semiHidden/>
    <w:qFormat/>
    <w:uiPriority w:val="0"/>
    <w:rPr>
      <w:rFonts w:ascii="宋体" w:hAnsi="Times New Roman" w:eastAsia="宋体" w:cs="Times New Roman"/>
      <w:sz w:val="18"/>
      <w:szCs w:val="18"/>
    </w:rPr>
  </w:style>
  <w:style w:type="character" w:customStyle="1" w:styleId="103">
    <w:name w:val="批注主题 Char"/>
    <w:link w:val="9"/>
    <w:semiHidden/>
    <w:qFormat/>
    <w:uiPriority w:val="0"/>
    <w:rPr>
      <w:rFonts w:ascii="Times New Roman" w:hAnsi="Times New Roman"/>
      <w:b/>
      <w:bCs/>
      <w:kern w:val="2"/>
      <w:sz w:val="21"/>
      <w:szCs w:val="24"/>
    </w:rPr>
  </w:style>
  <w:style w:type="character" w:customStyle="1" w:styleId="104">
    <w:name w:val="apple-converted-space"/>
    <w:basedOn w:val="40"/>
    <w:qFormat/>
    <w:uiPriority w:val="0"/>
  </w:style>
  <w:style w:type="character" w:customStyle="1" w:styleId="105">
    <w:name w:val="标题 3 Char"/>
    <w:qFormat/>
    <w:uiPriority w:val="0"/>
    <w:rPr>
      <w:rFonts w:ascii="Times New Roman" w:hAnsi="Times New Roman"/>
      <w:b/>
      <w:bCs/>
      <w:kern w:val="2"/>
      <w:sz w:val="21"/>
      <w:szCs w:val="32"/>
    </w:rPr>
  </w:style>
  <w:style w:type="character" w:customStyle="1" w:styleId="106">
    <w:name w:val="正文文本 3 Char"/>
    <w:link w:val="16"/>
    <w:semiHidden/>
    <w:qFormat/>
    <w:uiPriority w:val="0"/>
    <w:rPr>
      <w:rFonts w:ascii="楷体_GB2312" w:hAnsi="Times New Roman" w:eastAsia="楷体_GB2312"/>
      <w:b/>
      <w:color w:val="000000"/>
      <w:kern w:val="2"/>
      <w:sz w:val="30"/>
      <w:szCs w:val="24"/>
    </w:rPr>
  </w:style>
  <w:style w:type="character" w:customStyle="1" w:styleId="107">
    <w:name w:val="标题 2 Char"/>
    <w:link w:val="5"/>
    <w:qFormat/>
    <w:uiPriority w:val="0"/>
    <w:rPr>
      <w:rFonts w:ascii="宋体" w:hAnsi="宋体" w:eastAsia="宋体"/>
      <w:b/>
      <w:bCs/>
      <w:kern w:val="2"/>
      <w:sz w:val="28"/>
      <w:szCs w:val="32"/>
    </w:rPr>
  </w:style>
  <w:style w:type="character" w:customStyle="1" w:styleId="108">
    <w:name w:val="content"/>
    <w:basedOn w:val="40"/>
    <w:qFormat/>
    <w:uiPriority w:val="0"/>
  </w:style>
  <w:style w:type="character" w:customStyle="1" w:styleId="109">
    <w:name w:val="search_result_snap1"/>
    <w:qFormat/>
    <w:uiPriority w:val="0"/>
    <w:rPr>
      <w:sz w:val="21"/>
      <w:szCs w:val="21"/>
    </w:rPr>
  </w:style>
  <w:style w:type="character" w:customStyle="1" w:styleId="110">
    <w:name w:val="批注文字 Char"/>
    <w:semiHidden/>
    <w:qFormat/>
    <w:uiPriority w:val="0"/>
    <w:rPr>
      <w:rFonts w:ascii="Times New Roman" w:hAnsi="Times New Roman"/>
      <w:kern w:val="2"/>
      <w:sz w:val="21"/>
      <w:szCs w:val="24"/>
    </w:rPr>
  </w:style>
  <w:style w:type="paragraph" w:customStyle="1" w:styleId="111">
    <w:name w:val="_Style 40"/>
    <w:basedOn w:val="1"/>
    <w:qFormat/>
    <w:uiPriority w:val="0"/>
    <w:pPr>
      <w:spacing w:line="240" w:lineRule="auto"/>
      <w:ind w:firstLine="0" w:firstLineChars="0"/>
    </w:pPr>
  </w:style>
  <w:style w:type="paragraph" w:customStyle="1" w:styleId="11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13">
    <w:name w:val="标题3"/>
    <w:basedOn w:val="6"/>
    <w:qFormat/>
    <w:uiPriority w:val="0"/>
    <w:pPr>
      <w:spacing w:before="260" w:after="260" w:line="415" w:lineRule="auto"/>
    </w:pPr>
    <w:rPr>
      <w:rFonts w:ascii="宋体" w:hAnsi="宋体"/>
      <w:sz w:val="28"/>
      <w:szCs w:val="28"/>
    </w:rPr>
  </w:style>
  <w:style w:type="paragraph" w:customStyle="1" w:styleId="114">
    <w:name w:val="TOC 标题1"/>
    <w:basedOn w:val="5"/>
    <w:next w:val="1"/>
    <w:qFormat/>
    <w:uiPriority w:val="39"/>
    <w:pPr>
      <w:widowControl/>
      <w:spacing w:line="240" w:lineRule="auto"/>
      <w:outlineLvl w:val="9"/>
    </w:pPr>
    <w:rPr>
      <w:kern w:val="0"/>
      <w:sz w:val="21"/>
      <w:szCs w:val="28"/>
    </w:rPr>
  </w:style>
  <w:style w:type="paragraph" w:customStyle="1" w:styleId="115">
    <w:name w:val="列出段落1"/>
    <w:basedOn w:val="1"/>
    <w:qFormat/>
    <w:uiPriority w:val="0"/>
    <w:pPr>
      <w:spacing w:line="240" w:lineRule="auto"/>
      <w:ind w:firstLine="420"/>
    </w:pPr>
  </w:style>
  <w:style w:type="paragraph" w:customStyle="1" w:styleId="11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17">
    <w:name w:val="正文2"/>
    <w:basedOn w:val="1"/>
    <w:qFormat/>
    <w:uiPriority w:val="0"/>
    <w:pPr>
      <w:spacing w:before="156"/>
      <w:ind w:firstLine="510"/>
    </w:pPr>
    <w:rPr>
      <w:rFonts w:ascii="MT Extra" w:hAnsi="MT Extra" w:cs="MT Extra"/>
    </w:rPr>
  </w:style>
  <w:style w:type="paragraph" w:customStyle="1" w:styleId="118">
    <w:name w:val="Char Char Char Char"/>
    <w:basedOn w:val="1"/>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119">
    <w:name w:val="样式1"/>
    <w:basedOn w:val="1"/>
    <w:qFormat/>
    <w:uiPriority w:val="0"/>
    <w:pPr>
      <w:spacing w:line="360" w:lineRule="exact"/>
    </w:pPr>
    <w:rPr>
      <w:rFonts w:ascii="Arial" w:hAnsi="Arial"/>
      <w:sz w:val="21"/>
    </w:rPr>
  </w:style>
  <w:style w:type="paragraph" w:customStyle="1" w:styleId="120">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121">
    <w:name w:val="正文缩进1"/>
    <w:basedOn w:val="1"/>
    <w:next w:val="3"/>
    <w:qFormat/>
    <w:uiPriority w:val="0"/>
    <w:pPr>
      <w:autoSpaceDE w:val="0"/>
      <w:autoSpaceDN w:val="0"/>
      <w:adjustRightInd w:val="0"/>
      <w:snapToGrid w:val="0"/>
      <w:spacing w:after="120"/>
      <w:ind w:left="420" w:firstLine="480" w:firstLineChars="0"/>
    </w:pPr>
    <w:rPr>
      <w:szCs w:val="20"/>
    </w:rPr>
  </w:style>
  <w:style w:type="paragraph" w:customStyle="1" w:styleId="12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23">
    <w:name w:val="xl82"/>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24">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25">
    <w:name w:val="_Style 54"/>
    <w:basedOn w:val="1"/>
    <w:qFormat/>
    <w:uiPriority w:val="0"/>
    <w:pPr>
      <w:spacing w:line="240" w:lineRule="auto"/>
      <w:ind w:firstLine="0" w:firstLineChars="0"/>
    </w:pPr>
  </w:style>
  <w:style w:type="paragraph" w:customStyle="1" w:styleId="12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27">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28">
    <w:name w:val="List Paragraph"/>
    <w:basedOn w:val="1"/>
    <w:qFormat/>
    <w:uiPriority w:val="34"/>
    <w:pPr>
      <w:ind w:firstLine="420"/>
    </w:pPr>
    <w:rPr>
      <w:szCs w:val="22"/>
    </w:rPr>
  </w:style>
  <w:style w:type="paragraph" w:customStyle="1" w:styleId="12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30">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31">
    <w:name w:val="表格"/>
    <w:basedOn w:val="13"/>
    <w:next w:val="1"/>
    <w:qFormat/>
    <w:uiPriority w:val="0"/>
    <w:pPr>
      <w:spacing w:line="240" w:lineRule="auto"/>
      <w:jc w:val="center"/>
    </w:pPr>
    <w:rPr>
      <w:rFonts w:ascii="Times New Roman"/>
    </w:rPr>
  </w:style>
  <w:style w:type="paragraph" w:customStyle="1" w:styleId="132">
    <w:name w:val="Revision"/>
    <w:unhideWhenUsed/>
    <w:qFormat/>
    <w:uiPriority w:val="99"/>
    <w:rPr>
      <w:rFonts w:ascii="Times New Roman" w:hAnsi="Times New Roman" w:eastAsia="宋体" w:cs="Times New Roman"/>
      <w:kern w:val="2"/>
      <w:sz w:val="24"/>
      <w:szCs w:val="24"/>
      <w:lang w:val="en-US" w:eastAsia="zh-CN" w:bidi="ar-SA"/>
    </w:rPr>
  </w:style>
  <w:style w:type="paragraph" w:customStyle="1" w:styleId="13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134">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135">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136">
    <w:name w:val="Char"/>
    <w:basedOn w:val="1"/>
    <w:qFormat/>
    <w:uiPriority w:val="0"/>
    <w:pPr>
      <w:spacing w:line="240" w:lineRule="auto"/>
      <w:ind w:firstLine="0" w:firstLineChars="0"/>
    </w:pPr>
    <w:rPr>
      <w:rFonts w:ascii="仿宋_GB2312" w:eastAsia="仿宋_GB2312"/>
      <w:b/>
      <w:sz w:val="32"/>
      <w:szCs w:val="32"/>
    </w:rPr>
  </w:style>
  <w:style w:type="paragraph" w:customStyle="1" w:styleId="13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38">
    <w:name w:val="_Style 3"/>
    <w:basedOn w:val="1"/>
    <w:next w:val="128"/>
    <w:qFormat/>
    <w:uiPriority w:val="34"/>
    <w:pPr>
      <w:ind w:firstLine="420"/>
    </w:pPr>
    <w:rPr>
      <w:szCs w:val="22"/>
    </w:rPr>
  </w:style>
  <w:style w:type="paragraph" w:customStyle="1" w:styleId="139">
    <w:name w:val="默认段落字体 Para Char"/>
    <w:basedOn w:val="1"/>
    <w:qFormat/>
    <w:uiPriority w:val="0"/>
    <w:pPr>
      <w:spacing w:line="240" w:lineRule="auto"/>
      <w:ind w:firstLine="0" w:firstLineChars="0"/>
    </w:pPr>
  </w:style>
  <w:style w:type="paragraph" w:customStyle="1" w:styleId="140">
    <w:name w:val="部分1"/>
    <w:basedOn w:val="1"/>
    <w:qFormat/>
    <w:uiPriority w:val="99"/>
    <w:pPr>
      <w:keepNext/>
      <w:pageBreakBefore/>
      <w:tabs>
        <w:tab w:val="left" w:pos="720"/>
      </w:tabs>
      <w:jc w:val="center"/>
      <w:outlineLvl w:val="0"/>
    </w:pPr>
    <w:rPr>
      <w:rFonts w:eastAsia="黑体"/>
      <w:b/>
      <w:kern w:val="44"/>
      <w:sz w:val="36"/>
    </w:rPr>
  </w:style>
  <w:style w:type="paragraph" w:customStyle="1" w:styleId="141">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14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43">
    <w:name w:val="font6"/>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44">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145">
    <w:name w:val="小标题2"/>
    <w:basedOn w:val="1"/>
    <w:next w:val="1"/>
    <w:qFormat/>
    <w:uiPriority w:val="0"/>
    <w:pPr>
      <w:spacing w:beforeLines="20" w:afterLines="20" w:line="400" w:lineRule="exact"/>
    </w:pPr>
    <w:rPr>
      <w:rFonts w:eastAsia="楷体_GB2312"/>
    </w:rPr>
  </w:style>
  <w:style w:type="paragraph" w:customStyle="1" w:styleId="14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147">
    <w:name w:val="Blockquote"/>
    <w:basedOn w:val="1"/>
    <w:qFormat/>
    <w:uiPriority w:val="0"/>
    <w:pPr>
      <w:autoSpaceDE w:val="0"/>
      <w:autoSpaceDN w:val="0"/>
      <w:adjustRightInd w:val="0"/>
      <w:spacing w:before="100" w:after="100"/>
      <w:ind w:left="360" w:right="360"/>
      <w:jc w:val="left"/>
    </w:pPr>
    <w:rPr>
      <w:kern w:val="0"/>
    </w:rPr>
  </w:style>
  <w:style w:type="paragraph" w:customStyle="1" w:styleId="14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49">
    <w:name w:val="p16"/>
    <w:basedOn w:val="1"/>
    <w:qFormat/>
    <w:uiPriority w:val="0"/>
    <w:pPr>
      <w:widowControl/>
      <w:spacing w:line="240" w:lineRule="auto"/>
      <w:ind w:left="420" w:hanging="420" w:firstLineChars="0"/>
    </w:pPr>
    <w:rPr>
      <w:kern w:val="0"/>
      <w:szCs w:val="21"/>
    </w:rPr>
  </w:style>
  <w:style w:type="paragraph" w:customStyle="1" w:styleId="150">
    <w:name w:val="Proposals body"/>
    <w:basedOn w:val="1"/>
    <w:next w:val="1"/>
    <w:qFormat/>
    <w:uiPriority w:val="0"/>
    <w:pPr>
      <w:widowControl/>
      <w:snapToGrid w:val="0"/>
      <w:ind w:firstLine="0" w:firstLineChars="0"/>
      <w:jc w:val="left"/>
    </w:pPr>
    <w:rPr>
      <w:rFonts w:ascii="宋体"/>
      <w:color w:val="000000"/>
      <w:kern w:val="0"/>
      <w:szCs w:val="20"/>
    </w:rPr>
  </w:style>
  <w:style w:type="paragraph" w:customStyle="1" w:styleId="151">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5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53">
    <w:name w:val="p0"/>
    <w:basedOn w:val="1"/>
    <w:qFormat/>
    <w:uiPriority w:val="0"/>
    <w:pPr>
      <w:widowControl/>
      <w:spacing w:line="240" w:lineRule="auto"/>
      <w:ind w:firstLine="0" w:firstLineChars="0"/>
    </w:pPr>
    <w:rPr>
      <w:kern w:val="0"/>
      <w:szCs w:val="21"/>
    </w:rPr>
  </w:style>
  <w:style w:type="paragraph" w:customStyle="1" w:styleId="154">
    <w:name w:val="彩色列表 - 强调文字颜色 11"/>
    <w:basedOn w:val="1"/>
    <w:qFormat/>
    <w:uiPriority w:val="34"/>
    <w:pPr>
      <w:ind w:firstLine="420"/>
    </w:pPr>
  </w:style>
  <w:style w:type="paragraph" w:customStyle="1" w:styleId="15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56">
    <w:name w:val="Char Char Char Char Char Char Char Char"/>
    <w:basedOn w:val="1"/>
    <w:qFormat/>
    <w:uiPriority w:val="0"/>
    <w:pPr>
      <w:tabs>
        <w:tab w:val="left" w:pos="360"/>
      </w:tabs>
      <w:spacing w:line="240" w:lineRule="auto"/>
      <w:ind w:firstLine="0" w:firstLineChars="0"/>
    </w:pPr>
    <w:rPr>
      <w:szCs w:val="20"/>
    </w:rPr>
  </w:style>
  <w:style w:type="paragraph" w:customStyle="1" w:styleId="157">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158">
    <w:name w:val="Char Char Char Char Char Char Char Char Char Char"/>
    <w:basedOn w:val="15"/>
    <w:qFormat/>
    <w:uiPriority w:val="0"/>
    <w:pPr>
      <w:shd w:val="clear" w:color="auto" w:fill="000080"/>
      <w:spacing w:line="240" w:lineRule="auto"/>
      <w:ind w:firstLine="0" w:firstLineChars="0"/>
    </w:pPr>
    <w:rPr>
      <w:rFonts w:ascii="Tahoma" w:hAnsi="Tahoma"/>
      <w:sz w:val="24"/>
      <w:szCs w:val="24"/>
    </w:rPr>
  </w:style>
  <w:style w:type="paragraph" w:customStyle="1" w:styleId="15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60">
    <w:name w:val="1"/>
    <w:basedOn w:val="1"/>
    <w:next w:val="38"/>
    <w:qFormat/>
    <w:uiPriority w:val="0"/>
    <w:pPr>
      <w:widowControl/>
      <w:spacing w:before="100" w:beforeAutospacing="1" w:after="100" w:afterAutospacing="1" w:line="240" w:lineRule="auto"/>
      <w:ind w:firstLine="0" w:firstLineChars="0"/>
      <w:jc w:val="left"/>
    </w:pPr>
    <w:rPr>
      <w:rFonts w:ascii="宋体" w:hAnsi="宋体"/>
      <w:kern w:val="0"/>
    </w:rPr>
  </w:style>
  <w:style w:type="paragraph" w:customStyle="1" w:styleId="16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2">
    <w:name w:val="正文1"/>
    <w:basedOn w:val="1"/>
    <w:qFormat/>
    <w:uiPriority w:val="0"/>
    <w:pPr>
      <w:widowControl/>
      <w:spacing w:after="200" w:line="300" w:lineRule="atLeast"/>
      <w:jc w:val="left"/>
    </w:pPr>
    <w:rPr>
      <w:rFonts w:cs="宋体"/>
      <w:kern w:val="0"/>
      <w:sz w:val="22"/>
      <w:szCs w:val="22"/>
    </w:rPr>
  </w:style>
  <w:style w:type="paragraph" w:customStyle="1" w:styleId="163">
    <w:name w:val="正文－恩普"/>
    <w:basedOn w:val="14"/>
    <w:qFormat/>
    <w:uiPriority w:val="0"/>
    <w:pPr>
      <w:widowControl/>
      <w:spacing w:afterLines="50" w:line="360" w:lineRule="auto"/>
      <w:ind w:firstLine="480" w:firstLineChars="200"/>
      <w:jc w:val="left"/>
    </w:pPr>
  </w:style>
  <w:style w:type="paragraph" w:customStyle="1" w:styleId="164">
    <w:name w:val="Char Char Char"/>
    <w:basedOn w:val="1"/>
    <w:qFormat/>
    <w:uiPriority w:val="0"/>
    <w:pPr>
      <w:spacing w:line="240" w:lineRule="auto"/>
      <w:ind w:firstLine="0" w:firstLineChars="0"/>
    </w:pPr>
    <w:rPr>
      <w:rFonts w:ascii="Tahoma" w:hAnsi="Tahoma"/>
      <w:szCs w:val="20"/>
    </w:rPr>
  </w:style>
  <w:style w:type="paragraph" w:customStyle="1" w:styleId="16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6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67">
    <w:name w:val="列表段落1"/>
    <w:basedOn w:val="1"/>
    <w:qFormat/>
    <w:uiPriority w:val="0"/>
    <w:pPr>
      <w:ind w:firstLine="420"/>
    </w:pPr>
  </w:style>
  <w:style w:type="paragraph" w:customStyle="1" w:styleId="16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69">
    <w:name w:val="正文格式"/>
    <w:basedOn w:val="1"/>
    <w:qFormat/>
    <w:uiPriority w:val="0"/>
    <w:pPr>
      <w:widowControl/>
      <w:adjustRightInd w:val="0"/>
      <w:snapToGrid w:val="0"/>
      <w:ind w:firstLine="482" w:firstLineChars="0"/>
    </w:pPr>
    <w:rPr>
      <w:kern w:val="0"/>
      <w:szCs w:val="20"/>
    </w:rPr>
  </w:style>
  <w:style w:type="paragraph" w:customStyle="1" w:styleId="170">
    <w:name w:val="head 1.1"/>
    <w:basedOn w:val="167"/>
    <w:qFormat/>
    <w:uiPriority w:val="0"/>
    <w:pPr>
      <w:numPr>
        <w:ilvl w:val="1"/>
        <w:numId w:val="3"/>
      </w:numPr>
      <w:spacing w:before="260" w:after="260" w:line="240" w:lineRule="auto"/>
      <w:ind w:firstLine="0" w:firstLineChars="0"/>
    </w:pPr>
    <w:rPr>
      <w:rFonts w:ascii="宋体" w:hAnsi="宋体"/>
      <w:bCs/>
      <w:szCs w:val="22"/>
    </w:rPr>
  </w:style>
  <w:style w:type="paragraph" w:customStyle="1" w:styleId="17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72">
    <w:name w:val="head 1.1.1"/>
    <w:basedOn w:val="167"/>
    <w:qFormat/>
    <w:uiPriority w:val="0"/>
    <w:pPr>
      <w:numPr>
        <w:ilvl w:val="2"/>
        <w:numId w:val="3"/>
      </w:numPr>
      <w:spacing w:line="240" w:lineRule="auto"/>
      <w:ind w:firstLine="0" w:firstLineChars="0"/>
    </w:pPr>
    <w:rPr>
      <w:bCs/>
      <w:szCs w:val="22"/>
    </w:rPr>
  </w:style>
  <w:style w:type="paragraph" w:customStyle="1" w:styleId="173">
    <w:name w:val="默认段落字体 Para Char Char Char Char Char Char Char Char Char1 Char Char Char Char"/>
    <w:basedOn w:val="1"/>
    <w:qFormat/>
    <w:uiPriority w:val="0"/>
    <w:rPr>
      <w:rFonts w:ascii="Tahoma" w:hAnsi="Tahoma"/>
      <w:szCs w:val="20"/>
    </w:rPr>
  </w:style>
  <w:style w:type="paragraph" w:customStyle="1" w:styleId="174">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175">
    <w:name w:val="Char1"/>
    <w:basedOn w:val="1"/>
    <w:qFormat/>
    <w:uiPriority w:val="0"/>
    <w:rPr>
      <w:rFonts w:ascii="Tahoma" w:hAnsi="Tahoma"/>
      <w:szCs w:val="20"/>
    </w:rPr>
  </w:style>
  <w:style w:type="paragraph" w:customStyle="1" w:styleId="17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color w:val="000000"/>
      <w:kern w:val="0"/>
      <w:sz w:val="18"/>
      <w:szCs w:val="18"/>
    </w:rPr>
  </w:style>
  <w:style w:type="paragraph" w:customStyle="1" w:styleId="17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78">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179">
    <w:name w:val="Char2"/>
    <w:basedOn w:val="1"/>
    <w:qFormat/>
    <w:uiPriority w:val="0"/>
    <w:pPr>
      <w:spacing w:line="240" w:lineRule="auto"/>
      <w:ind w:firstLine="0" w:firstLineChars="0"/>
    </w:pPr>
    <w:rPr>
      <w:rFonts w:ascii="仿宋_GB2312" w:eastAsia="仿宋_GB2312"/>
      <w:b/>
      <w:sz w:val="32"/>
      <w:szCs w:val="32"/>
    </w:rPr>
  </w:style>
  <w:style w:type="paragraph" w:customStyle="1" w:styleId="180">
    <w:name w:val="小标题"/>
    <w:basedOn w:val="1"/>
    <w:qFormat/>
    <w:uiPriority w:val="0"/>
    <w:pPr>
      <w:autoSpaceDE w:val="0"/>
      <w:autoSpaceDN w:val="0"/>
      <w:spacing w:before="240" w:line="300" w:lineRule="auto"/>
      <w:ind w:firstLine="480"/>
      <w:textAlignment w:val="center"/>
    </w:pPr>
    <w:rPr>
      <w:rFonts w:ascii="仿宋" w:hAnsi="仿宋" w:eastAsia="仿宋" w:cs="宋体"/>
      <w:b/>
      <w:bCs/>
      <w:szCs w:val="20"/>
    </w:rPr>
  </w:style>
  <w:style w:type="paragraph" w:customStyle="1" w:styleId="181">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hAnsi="宋体" w:eastAsia="楷体_GB2312"/>
      <w:kern w:val="0"/>
    </w:rPr>
  </w:style>
  <w:style w:type="paragraph" w:customStyle="1" w:styleId="182">
    <w:name w:val="Char Char Char Char Char Char"/>
    <w:basedOn w:val="1"/>
    <w:qFormat/>
    <w:uiPriority w:val="0"/>
    <w:pPr>
      <w:spacing w:line="240" w:lineRule="auto"/>
    </w:pPr>
    <w:rPr>
      <w:rFonts w:ascii="Tahoma" w:hAnsi="Tahoma"/>
      <w:szCs w:val="20"/>
    </w:rPr>
  </w:style>
  <w:style w:type="paragraph" w:customStyle="1" w:styleId="183">
    <w:name w:val="正文段"/>
    <w:basedOn w:val="1"/>
    <w:qFormat/>
    <w:uiPriority w:val="0"/>
    <w:pPr>
      <w:widowControl/>
      <w:snapToGrid w:val="0"/>
      <w:spacing w:afterLines="50"/>
    </w:pPr>
    <w:rPr>
      <w:kern w:val="0"/>
    </w:rPr>
  </w:style>
  <w:style w:type="paragraph" w:customStyle="1" w:styleId="184">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18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86">
    <w:name w:val="font8"/>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87">
    <w:name w:val="WPSOffice手动目录 1"/>
    <w:qFormat/>
    <w:uiPriority w:val="0"/>
    <w:pPr>
      <w:ind w:leftChars="0"/>
    </w:pPr>
    <w:rPr>
      <w:rFonts w:ascii="Times New Roman" w:hAnsi="Times New Roman" w:eastAsia="宋体" w:cs="Times New Roman"/>
      <w:sz w:val="20"/>
      <w:szCs w:val="20"/>
    </w:rPr>
  </w:style>
  <w:style w:type="paragraph" w:customStyle="1" w:styleId="188">
    <w:name w:val="WPSOffice手动目录 2"/>
    <w:qFormat/>
    <w:uiPriority w:val="0"/>
    <w:pPr>
      <w:ind w:leftChars="200"/>
    </w:pPr>
    <w:rPr>
      <w:rFonts w:ascii="Times New Roman" w:hAnsi="Times New Roman" w:eastAsia="宋体" w:cs="Times New Roman"/>
      <w:sz w:val="20"/>
      <w:szCs w:val="20"/>
    </w:rPr>
  </w:style>
  <w:style w:type="paragraph" w:customStyle="1" w:styleId="189">
    <w:name w:val="WPSOffice手动目录 3"/>
    <w:qFormat/>
    <w:uiPriority w:val="0"/>
    <w:pPr>
      <w:ind w:leftChars="400"/>
    </w:pPr>
    <w:rPr>
      <w:rFonts w:ascii="Times New Roman" w:hAnsi="Times New Roman" w:eastAsia="宋体" w:cs="Times New Roman"/>
      <w:sz w:val="20"/>
      <w:szCs w:val="20"/>
    </w:rPr>
  </w:style>
  <w:style w:type="paragraph" w:customStyle="1" w:styleId="190">
    <w:name w:val="Char Char Char Char Char Char Char1"/>
    <w:basedOn w:val="1"/>
    <w:qFormat/>
    <w:uiPriority w:val="0"/>
    <w:pPr>
      <w:tabs>
        <w:tab w:val="left" w:pos="432"/>
      </w:tabs>
      <w:ind w:left="432" w:hanging="432"/>
    </w:pPr>
    <w:rPr>
      <w:rFonts w:ascii="Tahoma" w:hAnsi="Tahoma"/>
      <w:szCs w:val="20"/>
    </w:rPr>
  </w:style>
  <w:style w:type="paragraph" w:customStyle="1" w:styleId="191">
    <w:name w:val="普通(网站)1"/>
    <w:basedOn w:val="1"/>
    <w:qFormat/>
    <w:uiPriority w:val="2"/>
    <w:pPr>
      <w:widowControl/>
      <w:spacing w:before="100" w:after="10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6347</Words>
  <Characters>36178</Characters>
  <Lines>301</Lines>
  <Paragraphs>84</Paragraphs>
  <ScaleCrop>false</ScaleCrop>
  <LinksUpToDate>false</LinksUpToDate>
  <CharactersWithSpaces>42441</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2021-03-17T08:05:00Z</dcterms:created>
  <dc:creator>Administrator</dc:creator>
  <cp:lastModifiedBy>Administrator</cp:lastModifiedBy>
  <cp:lastPrinted>2019-08-14T12:21:00Z</cp:lastPrinted>
  <dcterms:modified xsi:type="dcterms:W3CDTF">2021-08-31T01:32:11Z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y fmtid="{D5CDD505-2E9C-101B-9397-08002B2CF9AE}" pid="3" name="ICV">
    <vt:lpwstr>6B37AB17D735450F912D0F3A8C7357CB</vt:lpwstr>
  </property>
</Properties>
</file>