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600" w:lineRule="auto"/>
        <w:ind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 xml:space="preserve"> </w:t>
      </w:r>
    </w:p>
    <w:p>
      <w:pPr>
        <w:spacing w:line="600" w:lineRule="auto"/>
        <w:ind w:firstLine="0" w:firstLineChars="0"/>
        <w:jc w:val="center"/>
        <w:rPr>
          <w:rFonts w:hint="eastAsia" w:ascii="宋体" w:hAnsi="宋体" w:eastAsia="宋体" w:cs="宋体"/>
          <w:b/>
          <w:bCs/>
          <w:color w:val="auto"/>
          <w:sz w:val="48"/>
          <w:szCs w:val="48"/>
          <w:highlight w:val="none"/>
        </w:rPr>
      </w:pPr>
      <w:r>
        <w:rPr>
          <w:rFonts w:hint="eastAsia" w:cs="宋体"/>
          <w:b/>
          <w:bCs/>
          <w:color w:val="auto"/>
          <w:sz w:val="48"/>
          <w:szCs w:val="48"/>
          <w:highlight w:val="none"/>
          <w:lang w:eastAsia="zh-CN"/>
        </w:rPr>
        <w:t>浙江海洋大学</w:t>
      </w:r>
    </w:p>
    <w:p>
      <w:pPr>
        <w:spacing w:line="600" w:lineRule="auto"/>
        <w:ind w:firstLine="964"/>
        <w:jc w:val="center"/>
        <w:rPr>
          <w:rFonts w:hint="eastAsia" w:ascii="宋体" w:hAnsi="宋体" w:eastAsia="宋体" w:cs="宋体"/>
          <w:b/>
          <w:bCs/>
          <w:color w:val="auto"/>
          <w:sz w:val="48"/>
          <w:szCs w:val="48"/>
          <w:highlight w:val="none"/>
        </w:rPr>
      </w:pPr>
    </w:p>
    <w:p>
      <w:pPr>
        <w:snapToGrid w:val="0"/>
        <w:ind w:firstLine="0" w:firstLineChars="0"/>
        <w:rPr>
          <w:rFonts w:hint="eastAsia" w:ascii="宋体" w:hAnsi="宋体" w:eastAsia="宋体" w:cs="宋体"/>
          <w:b/>
          <w:color w:val="auto"/>
          <w:sz w:val="72"/>
          <w:szCs w:val="72"/>
          <w:highlight w:val="none"/>
        </w:rPr>
      </w:pPr>
    </w:p>
    <w:p>
      <w:pPr>
        <w:pStyle w:val="48"/>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pPr>
        <w:snapToGrid w:val="0"/>
        <w:ind w:firstLine="0" w:firstLineChars="0"/>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公开招标文件</w:t>
      </w:r>
    </w:p>
    <w:p>
      <w:pPr>
        <w:pStyle w:val="10"/>
        <w:rPr>
          <w:rFonts w:hint="eastAsia" w:ascii="宋体" w:hAnsi="宋体" w:eastAsia="宋体" w:cs="宋体"/>
          <w:b/>
          <w:color w:val="auto"/>
          <w:sz w:val="40"/>
          <w:szCs w:val="28"/>
          <w:highlight w:val="none"/>
        </w:rPr>
      </w:pPr>
    </w:p>
    <w:p>
      <w:pPr>
        <w:pStyle w:val="10"/>
        <w:rPr>
          <w:rFonts w:hint="eastAsia" w:ascii="宋体" w:hAnsi="宋体" w:eastAsia="宋体" w:cs="宋体"/>
          <w:b/>
          <w:color w:val="auto"/>
          <w:sz w:val="40"/>
          <w:szCs w:val="28"/>
          <w:highlight w:val="none"/>
        </w:rPr>
      </w:pPr>
    </w:p>
    <w:p>
      <w:pPr>
        <w:pStyle w:val="48"/>
        <w:rPr>
          <w:rFonts w:hint="eastAsia" w:ascii="宋体" w:hAnsi="宋体" w:eastAsia="宋体" w:cs="宋体"/>
          <w:color w:val="auto"/>
          <w:highlight w:val="none"/>
        </w:rPr>
      </w:pPr>
    </w:p>
    <w:p>
      <w:pPr>
        <w:pStyle w:val="49"/>
        <w:rPr>
          <w:rFonts w:hint="eastAsia" w:ascii="宋体" w:hAnsi="宋体" w:eastAsia="宋体" w:cs="宋体"/>
          <w:color w:val="auto"/>
          <w:highlight w:val="none"/>
        </w:rPr>
      </w:pPr>
    </w:p>
    <w:p>
      <w:pPr>
        <w:snapToGrid w:val="0"/>
        <w:ind w:firstLine="0" w:firstLineChars="0"/>
        <w:rPr>
          <w:rFonts w:hint="eastAsia" w:ascii="宋体" w:hAnsi="宋体" w:eastAsia="宋体" w:cs="宋体"/>
          <w:b/>
          <w:color w:val="auto"/>
          <w:sz w:val="40"/>
          <w:szCs w:val="28"/>
          <w:highlight w:val="none"/>
        </w:rPr>
      </w:pPr>
    </w:p>
    <w:p>
      <w:pPr>
        <w:snapToGrid w:val="0"/>
        <w:ind w:firstLine="643"/>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项目名称：</w:t>
      </w:r>
      <w:r>
        <w:rPr>
          <w:rFonts w:hint="eastAsia" w:cs="宋体"/>
          <w:b/>
          <w:bCs/>
          <w:color w:val="auto"/>
          <w:sz w:val="32"/>
          <w:szCs w:val="32"/>
          <w:highlight w:val="none"/>
          <w:lang w:eastAsia="zh-CN"/>
        </w:rPr>
        <w:t>浙江海洋大学实验教学设备采购项目</w:t>
      </w:r>
    </w:p>
    <w:p>
      <w:pPr>
        <w:snapToGrid w:val="0"/>
        <w:ind w:firstLine="643"/>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招标编号：</w:t>
      </w:r>
      <w:r>
        <w:rPr>
          <w:rFonts w:hint="eastAsia" w:cs="宋体"/>
          <w:b/>
          <w:bCs/>
          <w:color w:val="auto"/>
          <w:sz w:val="32"/>
          <w:szCs w:val="32"/>
          <w:highlight w:val="none"/>
          <w:lang w:eastAsia="zh-CN"/>
        </w:rPr>
        <w:t>ZJWS-20210137HY</w:t>
      </w:r>
    </w:p>
    <w:p>
      <w:pPr>
        <w:snapToGrid w:val="0"/>
        <w:ind w:firstLine="643"/>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购</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人：</w:t>
      </w:r>
      <w:r>
        <w:rPr>
          <w:rFonts w:hint="eastAsia" w:cs="宋体"/>
          <w:b/>
          <w:bCs/>
          <w:color w:val="auto"/>
          <w:sz w:val="32"/>
          <w:szCs w:val="32"/>
          <w:highlight w:val="none"/>
          <w:lang w:eastAsia="zh-CN"/>
        </w:rPr>
        <w:t>浙江海洋大学</w:t>
      </w:r>
    </w:p>
    <w:p>
      <w:pPr>
        <w:snapToGrid w:val="0"/>
        <w:ind w:firstLine="643"/>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代理机构：浙江五石工程咨询有限公司</w:t>
      </w:r>
    </w:p>
    <w:p>
      <w:pPr>
        <w:snapToGrid w:val="0"/>
        <w:ind w:firstLine="643"/>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时    间：二〇二一年</w:t>
      </w:r>
      <w:r>
        <w:rPr>
          <w:rFonts w:hint="eastAsia" w:cs="宋体"/>
          <w:b/>
          <w:bCs/>
          <w:color w:val="auto"/>
          <w:sz w:val="32"/>
          <w:szCs w:val="32"/>
          <w:highlight w:val="none"/>
          <w:lang w:eastAsia="zh-CN"/>
        </w:rPr>
        <w:t>六</w:t>
      </w:r>
      <w:r>
        <w:rPr>
          <w:rFonts w:hint="eastAsia" w:ascii="宋体" w:hAnsi="宋体" w:eastAsia="宋体" w:cs="宋体"/>
          <w:b/>
          <w:bCs/>
          <w:color w:val="auto"/>
          <w:sz w:val="32"/>
          <w:szCs w:val="32"/>
          <w:highlight w:val="none"/>
        </w:rPr>
        <w:t>月</w:t>
      </w:r>
    </w:p>
    <w:p>
      <w:pPr>
        <w:pStyle w:val="48"/>
        <w:rPr>
          <w:rFonts w:hint="eastAsia" w:ascii="宋体" w:hAnsi="宋体" w:eastAsia="宋体" w:cs="宋体"/>
          <w:color w:val="auto"/>
          <w:highlight w:val="none"/>
        </w:rPr>
      </w:pPr>
    </w:p>
    <w:p>
      <w:pPr>
        <w:snapToGrid w:val="0"/>
        <w:ind w:firstLine="643"/>
        <w:rPr>
          <w:rFonts w:hint="eastAsia" w:ascii="宋体" w:hAnsi="宋体" w:eastAsia="宋体" w:cs="宋体"/>
          <w:b/>
          <w:bCs/>
          <w:color w:val="auto"/>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080" w:bottom="1440" w:left="1080" w:header="851" w:footer="992" w:gutter="0"/>
          <w:pgBorders>
            <w:top w:val="none" w:color="auto" w:sz="0" w:space="0"/>
            <w:left w:val="none" w:color="auto" w:sz="0" w:space="0"/>
            <w:bottom w:val="none" w:color="auto" w:sz="0" w:space="0"/>
            <w:right w:val="none" w:color="auto" w:sz="0" w:space="0"/>
          </w:pgBorders>
          <w:pgNumType w:start="1"/>
          <w:cols w:space="720" w:num="1"/>
          <w:docGrid w:type="lines" w:linePitch="312" w:charSpace="0"/>
        </w:sectPr>
      </w:pPr>
    </w:p>
    <w:p>
      <w:pPr>
        <w:pStyle w:val="34"/>
        <w:tabs>
          <w:tab w:val="right" w:leader="dot" w:pos="8306"/>
          <w:tab w:val="clear" w:pos="8296"/>
        </w:tabs>
        <w:ind w:left="480"/>
        <w:jc w:val="center"/>
        <w:rPr>
          <w:rFonts w:hint="eastAsia" w:ascii="宋体" w:hAnsi="宋体" w:eastAsia="宋体" w:cs="宋体"/>
          <w:b/>
          <w:bCs/>
          <w:color w:val="auto"/>
          <w:sz w:val="36"/>
          <w:szCs w:val="36"/>
          <w:highlight w:val="none"/>
          <w:lang w:val="zh-CN"/>
        </w:rPr>
      </w:pPr>
      <w:bookmarkStart w:id="0" w:name="_Toc32639"/>
      <w:r>
        <w:rPr>
          <w:rFonts w:hint="eastAsia" w:ascii="宋体" w:hAnsi="宋体" w:eastAsia="宋体" w:cs="宋体"/>
          <w:b/>
          <w:bCs/>
          <w:color w:val="auto"/>
          <w:sz w:val="36"/>
          <w:szCs w:val="36"/>
          <w:highlight w:val="none"/>
          <w:lang w:val="zh-CN"/>
        </w:rPr>
        <w:t>目</w:t>
      </w:r>
      <w:r>
        <w:rPr>
          <w:rFonts w:hint="eastAsia" w:ascii="宋体" w:hAnsi="宋体" w:eastAsia="宋体" w:cs="宋体"/>
          <w:b/>
          <w:bCs/>
          <w:color w:val="auto"/>
          <w:sz w:val="36"/>
          <w:szCs w:val="36"/>
          <w:highlight w:val="none"/>
        </w:rPr>
        <w:t xml:space="preserve">  </w:t>
      </w:r>
      <w:r>
        <w:rPr>
          <w:rFonts w:hint="eastAsia" w:ascii="宋体" w:hAnsi="宋体" w:eastAsia="宋体" w:cs="宋体"/>
          <w:b/>
          <w:bCs/>
          <w:color w:val="auto"/>
          <w:sz w:val="36"/>
          <w:szCs w:val="36"/>
          <w:highlight w:val="none"/>
          <w:lang w:val="zh-CN"/>
        </w:rPr>
        <w:t>录</w:t>
      </w:r>
      <w:bookmarkEnd w:id="0"/>
    </w:p>
    <w:p>
      <w:pPr>
        <w:bidi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TOC \o "1-2" \h \z \u </w:instrText>
      </w:r>
      <w:r>
        <w:rPr>
          <w:rFonts w:hint="eastAsia" w:ascii="宋体" w:hAnsi="宋体" w:eastAsia="宋体" w:cs="宋体"/>
          <w:color w:val="auto"/>
          <w:highlight w:val="none"/>
        </w:rPr>
        <w:fldChar w:fldCharType="separate"/>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_Toc19596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第一章 招标公告</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_Toc19596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_Toc6146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lang w:eastAsia="zh-CN"/>
        </w:rPr>
        <w:t>第二章</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项目需求说明</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_Toc6146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_Toc5760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36"/>
          <w:highlight w:val="none"/>
        </w:rPr>
        <w:t>第三章 投标人须知</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_Toc5760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_Toc8778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前 附 表</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_Toc8778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17</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_Toc14541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第一节 总 则</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_Toc14541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20</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_Toc27084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第二节 招标文件的构成、澄清、修改</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_Toc27084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_Toc21160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第三节 投标文件</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_Toc21160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25</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_Toc22584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第四节 投标文件的递交</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_Toc22584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27</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_Toc11276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第五节 开标</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_Toc11276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27</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_Toc21559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第六节 评标</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_Toc21559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29</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_Toc15663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第七节 授予合同</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_Toc15663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33</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_Toc14481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第八节 例外处理</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_Toc14481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33</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_Toc21368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第四章 评标办法及评分标准</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_Toc21368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_Toc3017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一、评分总则</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_Toc3017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_Toc30520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4"/>
          <w:highlight w:val="none"/>
        </w:rPr>
        <w:t>二、评分内容及标准</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_Toc30520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34</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_Toc10616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第五章 合同格式</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_Toc10616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42</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29"/>
        <w:tabs>
          <w:tab w:val="right" w:leader="dot" w:pos="9746"/>
          <w:tab w:val="clear" w:pos="829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_Toc24575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第六章 投标文件格式</w:t>
      </w:r>
      <w:r>
        <w:rPr>
          <w:rFonts w:hint="eastAsia" w:ascii="宋体" w:hAnsi="宋体" w:eastAsia="宋体" w:cs="宋体"/>
          <w:color w:val="auto"/>
          <w:highlight w:val="none"/>
        </w:rPr>
        <w:tab/>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PAGEREF _Toc24575 \h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45</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fldChar w:fldCharType="end"/>
      </w:r>
    </w:p>
    <w:p>
      <w:pPr>
        <w:pStyle w:val="34"/>
        <w:tabs>
          <w:tab w:val="right" w:leader="dot" w:pos="8306"/>
          <w:tab w:val="clear" w:pos="8296"/>
        </w:tabs>
        <w:ind w:left="480"/>
        <w:jc w:val="center"/>
        <w:rPr>
          <w:rFonts w:hint="eastAsia" w:ascii="宋体" w:hAnsi="宋体" w:eastAsia="宋体" w:cs="宋体"/>
          <w:color w:val="auto"/>
          <w:highlight w:val="none"/>
        </w:rPr>
      </w:pPr>
      <w:r>
        <w:rPr>
          <w:rFonts w:hint="eastAsia" w:ascii="宋体" w:hAnsi="宋体" w:eastAsia="宋体" w:cs="宋体"/>
          <w:color w:val="auto"/>
          <w:highlight w:val="none"/>
        </w:rPr>
        <w:fldChar w:fldCharType="end"/>
      </w:r>
    </w:p>
    <w:p>
      <w:pPr>
        <w:rPr>
          <w:rFonts w:hint="eastAsia" w:ascii="宋体" w:hAnsi="宋体" w:eastAsia="宋体" w:cs="宋体"/>
          <w:color w:val="auto"/>
          <w:highlight w:val="none"/>
        </w:rPr>
      </w:pPr>
    </w:p>
    <w:p>
      <w:pPr>
        <w:pStyle w:val="10"/>
        <w:rPr>
          <w:rFonts w:hint="eastAsia" w:ascii="宋体" w:hAnsi="宋体" w:eastAsia="宋体" w:cs="宋体"/>
          <w:color w:val="auto"/>
          <w:highlight w:val="none"/>
        </w:rPr>
        <w:sectPr>
          <w:footerReference r:id="rId10" w:type="default"/>
          <w:headerReference r:id="rId9" w:type="even"/>
          <w:footerReference r:id="rId11" w:type="even"/>
          <w:pgSz w:w="11906" w:h="16838"/>
          <w:pgMar w:top="1440" w:right="1080" w:bottom="1440" w:left="108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pStyle w:val="2"/>
        <w:bidi w:val="0"/>
        <w:rPr>
          <w:rFonts w:hint="eastAsia" w:ascii="宋体" w:hAnsi="宋体" w:eastAsia="宋体" w:cs="宋体"/>
          <w:color w:val="auto"/>
          <w:highlight w:val="none"/>
        </w:rPr>
      </w:pPr>
      <w:bookmarkStart w:id="1" w:name="_Toc24232"/>
      <w:bookmarkStart w:id="2" w:name="_Toc19596"/>
      <w:bookmarkStart w:id="3" w:name="_Toc12653"/>
      <w:bookmarkStart w:id="4" w:name="_Toc452457411"/>
      <w:r>
        <w:rPr>
          <w:rFonts w:hint="eastAsia" w:ascii="宋体" w:hAnsi="宋体" w:eastAsia="宋体" w:cs="宋体"/>
          <w:color w:val="auto"/>
          <w:highlight w:val="none"/>
        </w:rPr>
        <w:t>第一章 招标公告</w:t>
      </w:r>
      <w:bookmarkEnd w:id="1"/>
      <w:bookmarkEnd w:id="2"/>
      <w:bookmarkEnd w:id="3"/>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bCs/>
          <w:sz w:val="24"/>
          <w:szCs w:val="24"/>
          <w:highlight w:val="none"/>
        </w:rPr>
      </w:pPr>
      <w:r>
        <w:rPr>
          <w:rFonts w:hint="eastAsia" w:cs="宋体"/>
          <w:sz w:val="24"/>
          <w:szCs w:val="24"/>
          <w:highlight w:val="none"/>
          <w:u w:val="single"/>
          <w:lang w:eastAsia="zh-CN"/>
        </w:rPr>
        <w:t>浙江海洋大学实验教学设备</w:t>
      </w:r>
      <w:r>
        <w:rPr>
          <w:rFonts w:hint="eastAsia" w:ascii="宋体" w:hAnsi="宋体" w:eastAsia="宋体" w:cs="宋体"/>
          <w:sz w:val="24"/>
          <w:szCs w:val="24"/>
          <w:highlight w:val="none"/>
        </w:rPr>
        <w:t>招标项目的潜在投标人应在</w:t>
      </w:r>
      <w:r>
        <w:rPr>
          <w:rFonts w:hint="eastAsia" w:ascii="宋体" w:hAnsi="宋体" w:eastAsia="宋体" w:cs="宋体"/>
          <w:sz w:val="24"/>
          <w:szCs w:val="24"/>
          <w:highlight w:val="none"/>
          <w:u w:val="single"/>
        </w:rPr>
        <w:t>政采云平台（http://zfcg.czt.zj.gov.cn）</w:t>
      </w:r>
      <w:r>
        <w:rPr>
          <w:rFonts w:hint="eastAsia" w:ascii="宋体" w:hAnsi="宋体" w:eastAsia="宋体" w:cs="宋体"/>
          <w:sz w:val="24"/>
          <w:szCs w:val="24"/>
          <w:highlight w:val="none"/>
        </w:rPr>
        <w:t>获取招标文件，并于</w:t>
      </w:r>
      <w:r>
        <w:rPr>
          <w:rFonts w:hint="eastAsia" w:ascii="宋体" w:hAnsi="宋体" w:eastAsia="宋体" w:cs="宋体"/>
          <w:sz w:val="24"/>
          <w:szCs w:val="24"/>
          <w:highlight w:val="none"/>
          <w:u w:val="single"/>
        </w:rPr>
        <w:t>2021</w:t>
      </w:r>
      <w:r>
        <w:rPr>
          <w:rFonts w:hint="eastAsia" w:ascii="宋体" w:hAnsi="宋体" w:eastAsia="宋体" w:cs="宋体"/>
          <w:bCs/>
          <w:sz w:val="24"/>
          <w:szCs w:val="24"/>
          <w:highlight w:val="none"/>
          <w:u w:val="single"/>
        </w:rPr>
        <w:t>年</w:t>
      </w:r>
      <w:r>
        <w:rPr>
          <w:rFonts w:hint="eastAsia" w:cs="宋体"/>
          <w:bCs/>
          <w:sz w:val="24"/>
          <w:szCs w:val="24"/>
          <w:highlight w:val="none"/>
          <w:u w:val="single"/>
          <w:lang w:val="en-US" w:eastAsia="zh-CN"/>
        </w:rPr>
        <w:t>6</w:t>
      </w:r>
      <w:r>
        <w:rPr>
          <w:rFonts w:hint="eastAsia" w:ascii="宋体" w:hAnsi="宋体" w:eastAsia="宋体" w:cs="宋体"/>
          <w:bCs/>
          <w:sz w:val="24"/>
          <w:szCs w:val="24"/>
          <w:highlight w:val="none"/>
          <w:u w:val="single"/>
        </w:rPr>
        <w:t>月</w:t>
      </w:r>
      <w:r>
        <w:rPr>
          <w:rFonts w:hint="eastAsia" w:cs="宋体"/>
          <w:bCs/>
          <w:sz w:val="24"/>
          <w:szCs w:val="24"/>
          <w:highlight w:val="none"/>
          <w:u w:val="single"/>
          <w:lang w:val="en-US" w:eastAsia="zh-CN"/>
        </w:rPr>
        <w:t>24</w:t>
      </w:r>
      <w:r>
        <w:rPr>
          <w:rFonts w:hint="eastAsia" w:ascii="宋体" w:hAnsi="宋体" w:eastAsia="宋体" w:cs="宋体"/>
          <w:bCs/>
          <w:sz w:val="24"/>
          <w:szCs w:val="24"/>
          <w:highlight w:val="none"/>
          <w:u w:val="single"/>
        </w:rPr>
        <w:t>日</w:t>
      </w:r>
      <w:r>
        <w:rPr>
          <w:rFonts w:hint="eastAsia" w:cs="宋体"/>
          <w:bCs/>
          <w:sz w:val="24"/>
          <w:szCs w:val="24"/>
          <w:highlight w:val="none"/>
          <w:u w:val="single"/>
          <w:lang w:val="en-US" w:eastAsia="zh-CN"/>
        </w:rPr>
        <w:t>09</w:t>
      </w:r>
      <w:r>
        <w:rPr>
          <w:rFonts w:hint="eastAsia" w:ascii="宋体" w:hAnsi="宋体" w:eastAsia="宋体" w:cs="宋体"/>
          <w:bCs/>
          <w:sz w:val="24"/>
          <w:szCs w:val="24"/>
          <w:highlight w:val="none"/>
          <w:u w:val="single"/>
        </w:rPr>
        <w:t>点</w:t>
      </w:r>
      <w:r>
        <w:rPr>
          <w:rFonts w:hint="eastAsia" w:cs="宋体"/>
          <w:bCs/>
          <w:sz w:val="24"/>
          <w:szCs w:val="24"/>
          <w:highlight w:val="none"/>
          <w:u w:val="single"/>
          <w:lang w:val="en-US" w:eastAsia="zh-CN"/>
        </w:rPr>
        <w:t>30</w:t>
      </w:r>
      <w:r>
        <w:rPr>
          <w:rFonts w:hint="eastAsia" w:ascii="宋体" w:hAnsi="宋体" w:eastAsia="宋体" w:cs="宋体"/>
          <w:bCs/>
          <w:sz w:val="24"/>
          <w:szCs w:val="24"/>
          <w:highlight w:val="none"/>
          <w:u w:val="single"/>
        </w:rPr>
        <w:t>分（</w:t>
      </w:r>
      <w:r>
        <w:rPr>
          <w:rFonts w:hint="eastAsia" w:ascii="宋体" w:hAnsi="宋体" w:eastAsia="宋体" w:cs="宋体"/>
          <w:bCs/>
          <w:sz w:val="24"/>
          <w:szCs w:val="24"/>
          <w:highlight w:val="none"/>
        </w:rPr>
        <w:t>北京时间）前递交（上传）投标文件。</w:t>
      </w:r>
    </w:p>
    <w:p>
      <w:pPr>
        <w:pStyle w:val="3"/>
        <w:spacing w:before="0" w:after="0"/>
        <w:rPr>
          <w:rFonts w:hint="eastAsia" w:ascii="宋体" w:hAnsi="宋体" w:eastAsia="宋体" w:cs="宋体"/>
          <w:sz w:val="24"/>
          <w:szCs w:val="24"/>
          <w:highlight w:val="none"/>
        </w:rPr>
      </w:pPr>
      <w:bookmarkStart w:id="5" w:name="_Toc28359002"/>
      <w:bookmarkStart w:id="6" w:name="_Toc35393621"/>
      <w:bookmarkStart w:id="7" w:name="_Toc25244"/>
      <w:bookmarkStart w:id="8" w:name="_Toc35393790"/>
      <w:bookmarkStart w:id="9" w:name="_Toc28359079"/>
      <w:r>
        <w:rPr>
          <w:rFonts w:hint="eastAsia" w:ascii="宋体" w:hAnsi="宋体" w:eastAsia="宋体" w:cs="宋体"/>
          <w:sz w:val="24"/>
          <w:szCs w:val="24"/>
          <w:highlight w:val="none"/>
        </w:rPr>
        <w:t>一、项目基本情况</w:t>
      </w:r>
      <w:bookmarkEnd w:id="5"/>
      <w:bookmarkEnd w:id="6"/>
      <w:bookmarkEnd w:id="7"/>
      <w:bookmarkEnd w:id="8"/>
      <w:bookmarkEnd w:id="9"/>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项目编号：</w:t>
      </w:r>
      <w:r>
        <w:rPr>
          <w:rFonts w:hint="eastAsia" w:cs="宋体"/>
          <w:sz w:val="24"/>
          <w:szCs w:val="24"/>
          <w:highlight w:val="none"/>
          <w:lang w:eastAsia="zh-CN"/>
        </w:rPr>
        <w:t>ZJWS-20210137HY</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r>
        <w:rPr>
          <w:rFonts w:hint="eastAsia" w:cs="宋体"/>
          <w:sz w:val="24"/>
          <w:szCs w:val="24"/>
          <w:highlight w:val="none"/>
          <w:lang w:eastAsia="zh-CN"/>
        </w:rPr>
        <w:t>浙江海洋大学实验教学设备采购项目</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预算金额：</w:t>
      </w:r>
      <w:r>
        <w:rPr>
          <w:rFonts w:hint="eastAsia" w:cs="宋体"/>
          <w:sz w:val="24"/>
          <w:szCs w:val="24"/>
          <w:highlight w:val="none"/>
          <w:lang w:val="en-US" w:eastAsia="zh-CN"/>
        </w:rPr>
        <w:t>56.3万元</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采购需求：</w:t>
      </w:r>
    </w:p>
    <w:tbl>
      <w:tblPr>
        <w:tblStyle w:val="46"/>
        <w:tblW w:w="9207" w:type="dxa"/>
        <w:tblInd w:w="91"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82"/>
        <w:gridCol w:w="1943"/>
        <w:gridCol w:w="1725"/>
        <w:gridCol w:w="855"/>
        <w:gridCol w:w="400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613" w:hRule="exact"/>
        </w:trPr>
        <w:tc>
          <w:tcPr>
            <w:tcW w:w="682" w:type="dxa"/>
            <w:shd w:val="clear" w:color="000000" w:fill="auto"/>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标项</w:t>
            </w:r>
          </w:p>
        </w:tc>
        <w:tc>
          <w:tcPr>
            <w:tcW w:w="1943" w:type="dxa"/>
            <w:shd w:val="clear" w:color="000000" w:fill="auto"/>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采购内容</w:t>
            </w:r>
          </w:p>
        </w:tc>
        <w:tc>
          <w:tcPr>
            <w:tcW w:w="1725" w:type="dxa"/>
            <w:shd w:val="clear" w:color="000000" w:fill="auto"/>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技术要求</w:t>
            </w:r>
          </w:p>
        </w:tc>
        <w:tc>
          <w:tcPr>
            <w:tcW w:w="855" w:type="dxa"/>
            <w:shd w:val="clear" w:color="000000" w:fill="auto"/>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数量</w:t>
            </w:r>
          </w:p>
        </w:tc>
        <w:tc>
          <w:tcPr>
            <w:tcW w:w="4002" w:type="dxa"/>
            <w:shd w:val="clear" w:color="000000" w:fill="auto"/>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合同履行期限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9" w:hRule="exact"/>
        </w:trPr>
        <w:tc>
          <w:tcPr>
            <w:tcW w:w="682" w:type="dxa"/>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一</w:t>
            </w:r>
          </w:p>
        </w:tc>
        <w:tc>
          <w:tcPr>
            <w:tcW w:w="1943" w:type="dxa"/>
            <w:vAlign w:val="center"/>
          </w:tcPr>
          <w:p>
            <w:pPr>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"https://www.zcygov.cn/bidding-entrust/" \l "/order/orderDetail/6684269099491124685/look" \t "https://www.zcygov.cn/bidding-entrust/" \l "/order/_blank" </w:instrText>
            </w:r>
            <w:r>
              <w:rPr>
                <w:rFonts w:hint="eastAsia" w:ascii="宋体" w:hAnsi="宋体" w:eastAsia="宋体" w:cs="宋体"/>
                <w:sz w:val="21"/>
                <w:szCs w:val="21"/>
                <w:highlight w:val="none"/>
              </w:rPr>
              <w:fldChar w:fldCharType="separate"/>
            </w:r>
            <w:r>
              <w:rPr>
                <w:rFonts w:hint="eastAsia" w:cs="宋体"/>
                <w:sz w:val="21"/>
                <w:szCs w:val="21"/>
                <w:highlight w:val="none"/>
                <w:lang w:eastAsia="zh-CN"/>
              </w:rPr>
              <w:t>实验教学设备</w:t>
            </w:r>
            <w:r>
              <w:rPr>
                <w:rFonts w:hint="eastAsia" w:ascii="宋体" w:hAnsi="宋体" w:eastAsia="宋体" w:cs="宋体"/>
                <w:sz w:val="21"/>
                <w:szCs w:val="21"/>
                <w:highlight w:val="none"/>
              </w:rPr>
              <w:fldChar w:fldCharType="end"/>
            </w:r>
          </w:p>
        </w:tc>
        <w:tc>
          <w:tcPr>
            <w:tcW w:w="1725" w:type="dxa"/>
            <w:vAlign w:val="center"/>
          </w:tcPr>
          <w:p>
            <w:pPr>
              <w:ind w:left="0" w:leftChars="0"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详见采购文件</w:t>
            </w:r>
          </w:p>
        </w:tc>
        <w:tc>
          <w:tcPr>
            <w:tcW w:w="855" w:type="dxa"/>
            <w:vAlign w:val="center"/>
          </w:tcPr>
          <w:p>
            <w:pPr>
              <w:ind w:left="0" w:leftChars="0"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1批</w:t>
            </w:r>
          </w:p>
        </w:tc>
        <w:tc>
          <w:tcPr>
            <w:tcW w:w="4002" w:type="dxa"/>
            <w:vAlign w:val="center"/>
          </w:tcPr>
          <w:p>
            <w:pPr>
              <w:ind w:left="0" w:leftChars="0" w:firstLine="0" w:firstLineChars="0"/>
              <w:jc w:val="center"/>
              <w:rPr>
                <w:rFonts w:hint="eastAsia" w:ascii="宋体" w:hAnsi="宋体" w:eastAsia="宋体" w:cs="宋体"/>
                <w:sz w:val="21"/>
                <w:szCs w:val="21"/>
                <w:highlight w:val="none"/>
                <w:lang w:eastAsia="zh-CN"/>
              </w:rPr>
            </w:pPr>
            <w:r>
              <w:rPr>
                <w:rFonts w:hint="eastAsia" w:cs="宋体"/>
                <w:sz w:val="21"/>
                <w:szCs w:val="21"/>
                <w:highlight w:val="none"/>
                <w:lang w:eastAsia="zh-CN"/>
              </w:rPr>
              <w:t>自合同签订生效后2个月内完成交货安装</w:t>
            </w:r>
          </w:p>
        </w:tc>
      </w:tr>
    </w:tbl>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本项目不接受联合体投标。</w:t>
      </w:r>
    </w:p>
    <w:p>
      <w:pPr>
        <w:pStyle w:val="3"/>
        <w:spacing w:before="0" w:after="0"/>
        <w:rPr>
          <w:rFonts w:hint="eastAsia" w:ascii="宋体" w:hAnsi="宋体" w:eastAsia="宋体" w:cs="宋体"/>
          <w:sz w:val="24"/>
          <w:szCs w:val="24"/>
          <w:highlight w:val="none"/>
        </w:rPr>
      </w:pPr>
      <w:bookmarkStart w:id="10" w:name="_Toc3134"/>
      <w:bookmarkStart w:id="11" w:name="_Toc35393791"/>
      <w:bookmarkStart w:id="12" w:name="_Toc28359003"/>
      <w:bookmarkStart w:id="13" w:name="_Toc28359080"/>
      <w:bookmarkStart w:id="14" w:name="_Toc35393622"/>
      <w:r>
        <w:rPr>
          <w:rFonts w:hint="eastAsia" w:ascii="宋体" w:hAnsi="宋体" w:eastAsia="宋体" w:cs="宋体"/>
          <w:sz w:val="24"/>
          <w:szCs w:val="24"/>
          <w:highlight w:val="none"/>
        </w:rPr>
        <w:t>二、申请人的资格要求：</w:t>
      </w:r>
      <w:bookmarkEnd w:id="10"/>
      <w:bookmarkEnd w:id="11"/>
      <w:bookmarkEnd w:id="12"/>
      <w:bookmarkEnd w:id="13"/>
      <w:bookmarkEnd w:id="14"/>
    </w:p>
    <w:p>
      <w:pPr>
        <w:pStyle w:val="21"/>
        <w:spacing w:line="360"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1.满足《中华人民共和国政府采购法》第二十二条规定且未列入“www.creditchina.gov.cn、www.ccgp.gov.cn”网站失信被执行人、重大税收违法案件当事人名单、政府采购严重违法失信记录名单在禁止参加采购期限的供应商；</w:t>
      </w:r>
    </w:p>
    <w:p>
      <w:pPr>
        <w:spacing w:line="360" w:lineRule="auto"/>
        <w:ind w:firstLine="480" w:firstLineChars="200"/>
        <w:rPr>
          <w:rFonts w:hint="eastAsia" w:ascii="宋体" w:hAnsi="宋体" w:eastAsia="宋体" w:cs="宋体"/>
          <w:sz w:val="24"/>
          <w:szCs w:val="24"/>
          <w:highlight w:val="none"/>
        </w:rPr>
      </w:pPr>
      <w:bookmarkStart w:id="15" w:name="_Toc28359004"/>
      <w:bookmarkStart w:id="16" w:name="_Toc28359081"/>
      <w:r>
        <w:rPr>
          <w:rFonts w:hint="eastAsia" w:ascii="宋体" w:hAnsi="宋体" w:eastAsia="宋体" w:cs="宋体"/>
          <w:sz w:val="24"/>
          <w:szCs w:val="24"/>
          <w:highlight w:val="none"/>
        </w:rPr>
        <w:t>2.落实政府采购政策需满足的资格要求：</w:t>
      </w:r>
      <w:r>
        <w:rPr>
          <w:rFonts w:hint="eastAsia" w:ascii="宋体" w:hAnsi="宋体" w:eastAsia="宋体" w:cs="宋体"/>
          <w:sz w:val="24"/>
          <w:szCs w:val="24"/>
          <w:highlight w:val="none"/>
          <w:u w:val="single"/>
        </w:rPr>
        <w:t>无</w:t>
      </w:r>
    </w:p>
    <w:p>
      <w:pPr>
        <w:spacing w:line="360" w:lineRule="auto"/>
        <w:ind w:firstLine="480" w:firstLineChars="200"/>
        <w:rPr>
          <w:rFonts w:hint="eastAsia" w:ascii="宋体" w:hAnsi="宋体" w:eastAsia="宋体" w:cs="宋体"/>
          <w:i/>
          <w:iCs/>
          <w:sz w:val="24"/>
          <w:szCs w:val="24"/>
          <w:highlight w:val="none"/>
          <w:u w:val="single"/>
        </w:rPr>
      </w:pPr>
      <w:r>
        <w:rPr>
          <w:rFonts w:hint="eastAsia" w:ascii="宋体" w:hAnsi="宋体" w:eastAsia="宋体" w:cs="宋体"/>
          <w:sz w:val="24"/>
          <w:szCs w:val="24"/>
          <w:highlight w:val="none"/>
        </w:rPr>
        <w:t>3.本项目的特定资格要求：</w:t>
      </w:r>
      <w:r>
        <w:rPr>
          <w:rFonts w:hint="eastAsia" w:ascii="宋体" w:hAnsi="宋体" w:eastAsia="宋体" w:cs="宋体"/>
          <w:sz w:val="24"/>
          <w:szCs w:val="24"/>
          <w:highlight w:val="none"/>
          <w:u w:val="single"/>
        </w:rPr>
        <w:t>无</w:t>
      </w:r>
    </w:p>
    <w:p>
      <w:pPr>
        <w:pStyle w:val="3"/>
        <w:spacing w:before="0" w:after="0"/>
        <w:rPr>
          <w:rFonts w:hint="eastAsia" w:ascii="宋体" w:hAnsi="宋体" w:eastAsia="宋体" w:cs="宋体"/>
          <w:bCs w:val="0"/>
          <w:sz w:val="24"/>
          <w:szCs w:val="24"/>
          <w:highlight w:val="none"/>
        </w:rPr>
      </w:pPr>
      <w:bookmarkStart w:id="17" w:name="_Toc35393792"/>
      <w:bookmarkStart w:id="18" w:name="_Toc35393623"/>
      <w:bookmarkStart w:id="19" w:name="_Toc29705"/>
      <w:r>
        <w:rPr>
          <w:rFonts w:hint="eastAsia" w:ascii="宋体" w:hAnsi="宋体" w:eastAsia="宋体" w:cs="宋体"/>
          <w:bCs w:val="0"/>
          <w:sz w:val="24"/>
          <w:szCs w:val="24"/>
          <w:highlight w:val="none"/>
        </w:rPr>
        <w:t>三、获取招标文件</w:t>
      </w:r>
      <w:bookmarkEnd w:id="15"/>
      <w:bookmarkEnd w:id="16"/>
      <w:bookmarkEnd w:id="17"/>
      <w:bookmarkEnd w:id="18"/>
      <w:bookmarkEnd w:id="19"/>
    </w:p>
    <w:p>
      <w:pPr>
        <w:spacing w:line="360" w:lineRule="auto"/>
        <w:ind w:firstLine="540"/>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r>
        <w:rPr>
          <w:rFonts w:hint="eastAsia" w:ascii="宋体" w:hAnsi="宋体" w:eastAsia="宋体" w:cs="宋体"/>
          <w:sz w:val="24"/>
          <w:szCs w:val="24"/>
          <w:highlight w:val="none"/>
          <w:u w:val="single"/>
          <w:lang w:eastAsia="zh-CN"/>
        </w:rPr>
        <w:t>2021</w:t>
      </w:r>
      <w:r>
        <w:rPr>
          <w:rFonts w:hint="eastAsia" w:ascii="宋体" w:hAnsi="宋体" w:eastAsia="宋体" w:cs="宋体"/>
          <w:sz w:val="24"/>
          <w:szCs w:val="24"/>
          <w:highlight w:val="none"/>
          <w:u w:val="single"/>
        </w:rPr>
        <w:t>年</w:t>
      </w:r>
      <w:r>
        <w:rPr>
          <w:rFonts w:hint="eastAsia" w:cs="宋体"/>
          <w:sz w:val="24"/>
          <w:szCs w:val="24"/>
          <w:highlight w:val="none"/>
          <w:u w:val="single"/>
          <w:lang w:val="en-US" w:eastAsia="zh-CN"/>
        </w:rPr>
        <w:t>6</w:t>
      </w:r>
      <w:r>
        <w:rPr>
          <w:rFonts w:hint="eastAsia" w:ascii="宋体" w:hAnsi="宋体" w:eastAsia="宋体" w:cs="宋体"/>
          <w:sz w:val="24"/>
          <w:szCs w:val="24"/>
          <w:highlight w:val="none"/>
          <w:u w:val="single"/>
        </w:rPr>
        <w:t>月</w:t>
      </w:r>
      <w:r>
        <w:rPr>
          <w:rFonts w:hint="eastAsia" w:cs="宋体"/>
          <w:sz w:val="24"/>
          <w:szCs w:val="24"/>
          <w:highlight w:val="none"/>
          <w:u w:val="single"/>
          <w:lang w:val="en-US" w:eastAsia="zh-CN"/>
        </w:rPr>
        <w:t>4</w:t>
      </w:r>
      <w:r>
        <w:rPr>
          <w:rFonts w:hint="eastAsia" w:ascii="宋体" w:hAnsi="宋体" w:eastAsia="宋体" w:cs="宋体"/>
          <w:sz w:val="24"/>
          <w:szCs w:val="24"/>
          <w:highlight w:val="none"/>
          <w:u w:val="single"/>
        </w:rPr>
        <w:t>日</w:t>
      </w:r>
      <w:r>
        <w:rPr>
          <w:rFonts w:hint="eastAsia" w:ascii="宋体" w:hAnsi="宋体" w:eastAsia="宋体" w:cs="宋体"/>
          <w:sz w:val="24"/>
          <w:szCs w:val="24"/>
          <w:highlight w:val="none"/>
        </w:rPr>
        <w:t>至</w:t>
      </w:r>
      <w:r>
        <w:rPr>
          <w:rFonts w:hint="eastAsia" w:ascii="宋体" w:hAnsi="宋体" w:eastAsia="宋体" w:cs="宋体"/>
          <w:sz w:val="24"/>
          <w:szCs w:val="24"/>
          <w:highlight w:val="none"/>
          <w:u w:val="single"/>
        </w:rPr>
        <w:t xml:space="preserve"> 2021年</w:t>
      </w:r>
      <w:r>
        <w:rPr>
          <w:rFonts w:hint="eastAsia" w:cs="宋体"/>
          <w:sz w:val="24"/>
          <w:szCs w:val="24"/>
          <w:highlight w:val="none"/>
          <w:u w:val="single"/>
          <w:lang w:val="en-US" w:eastAsia="zh-CN"/>
        </w:rPr>
        <w:t>6</w:t>
      </w:r>
      <w:r>
        <w:rPr>
          <w:rFonts w:hint="eastAsia" w:ascii="宋体" w:hAnsi="宋体" w:eastAsia="宋体" w:cs="宋体"/>
          <w:sz w:val="24"/>
          <w:szCs w:val="24"/>
          <w:highlight w:val="none"/>
          <w:u w:val="single"/>
        </w:rPr>
        <w:t>月</w:t>
      </w:r>
      <w:r>
        <w:rPr>
          <w:rFonts w:hint="eastAsia" w:cs="宋体"/>
          <w:sz w:val="24"/>
          <w:szCs w:val="24"/>
          <w:highlight w:val="none"/>
          <w:u w:val="single"/>
          <w:lang w:val="en-US" w:eastAsia="zh-CN"/>
        </w:rPr>
        <w:t>24</w:t>
      </w:r>
      <w:r>
        <w:rPr>
          <w:rFonts w:hint="eastAsia" w:ascii="宋体" w:hAnsi="宋体" w:eastAsia="宋体" w:cs="宋体"/>
          <w:sz w:val="24"/>
          <w:szCs w:val="24"/>
          <w:highlight w:val="none"/>
          <w:u w:val="single"/>
        </w:rPr>
        <w:t>日</w:t>
      </w:r>
      <w:r>
        <w:rPr>
          <w:rFonts w:hint="eastAsia" w:ascii="宋体" w:hAnsi="宋体" w:eastAsia="宋体" w:cs="宋体"/>
          <w:sz w:val="24"/>
          <w:szCs w:val="24"/>
          <w:highlight w:val="none"/>
        </w:rPr>
        <w:t>（北京时间，法定节假日除外）</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地点：政采云平台（http://zfcg.czt.zj.gov.cn）；</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方式：</w:t>
      </w:r>
    </w:p>
    <w:p>
      <w:pPr>
        <w:spacing w:line="360" w:lineRule="auto"/>
        <w:ind w:firstLine="420"/>
        <w:rPr>
          <w:rFonts w:hint="eastAsia" w:ascii="宋体" w:hAnsi="宋体" w:eastAsia="宋体" w:cs="宋体"/>
          <w:sz w:val="24"/>
          <w:szCs w:val="24"/>
          <w:highlight w:val="none"/>
        </w:rPr>
      </w:pPr>
      <w:r>
        <w:rPr>
          <w:rFonts w:hint="eastAsia" w:ascii="宋体" w:hAnsi="宋体" w:eastAsia="宋体" w:cs="宋体"/>
          <w:sz w:val="24"/>
          <w:szCs w:val="24"/>
          <w:highlight w:val="none"/>
        </w:rPr>
        <w:t>1、本项目招标文件实行“政府采购云平台”在线获取，不提供招标文件纸质版。供应商获取招标文件前应先完成“政府采购云平台”的账号注册；</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招标公告附件内的招标文件（或采购需求）仅供阅览使用，投标人只有在“政府采购云平台”完成获取招标文件申请并下载了招标文件后才视作依法获取招标文件（法律法规所指的供应商获取招标文件时间以供应商完成获取招标文件申请后下载招标文件的时间为准）。</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注：请投标人按上述要求获取招标文件，如未在“政采云”系统内完成相关流程，引起的投标无效责任自负。</w:t>
      </w:r>
    </w:p>
    <w:p>
      <w:pPr>
        <w:pStyle w:val="3"/>
        <w:spacing w:before="0" w:after="0"/>
        <w:rPr>
          <w:rFonts w:hint="eastAsia" w:ascii="宋体" w:hAnsi="宋体" w:eastAsia="宋体" w:cs="宋体"/>
          <w:sz w:val="24"/>
          <w:szCs w:val="24"/>
          <w:highlight w:val="none"/>
        </w:rPr>
      </w:pPr>
      <w:bookmarkStart w:id="20" w:name="_Toc28359005"/>
      <w:bookmarkStart w:id="21" w:name="_Toc28359082"/>
      <w:bookmarkStart w:id="22" w:name="_Toc35393793"/>
      <w:bookmarkStart w:id="23" w:name="_Toc24835"/>
      <w:bookmarkStart w:id="24" w:name="_Toc35393624"/>
      <w:r>
        <w:rPr>
          <w:rFonts w:hint="eastAsia" w:ascii="宋体" w:hAnsi="宋体" w:eastAsia="宋体" w:cs="宋体"/>
          <w:sz w:val="24"/>
          <w:szCs w:val="24"/>
          <w:highlight w:val="none"/>
        </w:rPr>
        <w:t>四、提交投标文件</w:t>
      </w:r>
      <w:bookmarkEnd w:id="20"/>
      <w:bookmarkEnd w:id="21"/>
      <w:r>
        <w:rPr>
          <w:rFonts w:hint="eastAsia" w:ascii="宋体" w:hAnsi="宋体" w:eastAsia="宋体" w:cs="宋体"/>
          <w:sz w:val="24"/>
          <w:szCs w:val="24"/>
          <w:highlight w:val="none"/>
        </w:rPr>
        <w:t>截止时间、开标时间和地点</w:t>
      </w:r>
      <w:bookmarkEnd w:id="22"/>
      <w:bookmarkEnd w:id="23"/>
      <w:bookmarkEnd w:id="24"/>
    </w:p>
    <w:p>
      <w:pPr>
        <w:spacing w:line="360" w:lineRule="auto"/>
        <w:ind w:firstLine="480"/>
        <w:rPr>
          <w:rFonts w:hint="eastAsia" w:ascii="宋体" w:hAnsi="宋体" w:eastAsia="宋体" w:cs="宋体"/>
          <w:sz w:val="24"/>
          <w:szCs w:val="24"/>
          <w:highlight w:val="none"/>
        </w:rPr>
      </w:pPr>
      <w:bookmarkStart w:id="25" w:name="_Toc28359007"/>
      <w:bookmarkStart w:id="26" w:name="_Toc28359084"/>
      <w:bookmarkStart w:id="27" w:name="_Toc35393794"/>
      <w:bookmarkStart w:id="28" w:name="_Toc35393625"/>
      <w:r>
        <w:rPr>
          <w:rFonts w:hint="eastAsia" w:ascii="宋体" w:hAnsi="宋体" w:eastAsia="宋体" w:cs="宋体"/>
          <w:sz w:val="24"/>
          <w:szCs w:val="24"/>
          <w:highlight w:val="none"/>
        </w:rPr>
        <w:t>1、投标文件递交截止时间：2021年</w:t>
      </w:r>
      <w:r>
        <w:rPr>
          <w:rFonts w:hint="eastAsia" w:cs="宋体"/>
          <w:sz w:val="24"/>
          <w:szCs w:val="24"/>
          <w:highlight w:val="none"/>
          <w:lang w:val="en-US" w:eastAsia="zh-CN"/>
        </w:rPr>
        <w:t>6</w:t>
      </w:r>
      <w:r>
        <w:rPr>
          <w:rFonts w:hint="eastAsia" w:ascii="宋体" w:hAnsi="宋体" w:eastAsia="宋体" w:cs="宋体"/>
          <w:sz w:val="24"/>
          <w:szCs w:val="24"/>
          <w:highlight w:val="none"/>
        </w:rPr>
        <w:t>月</w:t>
      </w:r>
      <w:r>
        <w:rPr>
          <w:rFonts w:hint="eastAsia" w:cs="宋体"/>
          <w:sz w:val="24"/>
          <w:szCs w:val="24"/>
          <w:highlight w:val="none"/>
          <w:lang w:val="en-US" w:eastAsia="zh-CN"/>
        </w:rPr>
        <w:t>24</w:t>
      </w:r>
      <w:r>
        <w:rPr>
          <w:rFonts w:hint="eastAsia" w:ascii="宋体" w:hAnsi="宋体" w:eastAsia="宋体" w:cs="宋体"/>
          <w:sz w:val="24"/>
          <w:szCs w:val="24"/>
          <w:highlight w:val="none"/>
        </w:rPr>
        <w:t>日</w:t>
      </w:r>
      <w:r>
        <w:rPr>
          <w:rFonts w:hint="eastAsia" w:cs="宋体"/>
          <w:sz w:val="24"/>
          <w:szCs w:val="24"/>
          <w:highlight w:val="none"/>
          <w:lang w:val="en-US" w:eastAsia="zh-CN"/>
        </w:rPr>
        <w:t>09</w:t>
      </w:r>
      <w:r>
        <w:rPr>
          <w:rFonts w:hint="eastAsia" w:ascii="宋体" w:hAnsi="宋体" w:eastAsia="宋体" w:cs="宋体"/>
          <w:sz w:val="24"/>
          <w:szCs w:val="24"/>
          <w:highlight w:val="none"/>
        </w:rPr>
        <w:t>时</w:t>
      </w:r>
      <w:r>
        <w:rPr>
          <w:rFonts w:hint="eastAsia" w:cs="宋体"/>
          <w:sz w:val="24"/>
          <w:szCs w:val="24"/>
          <w:highlight w:val="none"/>
          <w:lang w:val="en-US" w:eastAsia="zh-CN"/>
        </w:rPr>
        <w:t>3</w:t>
      </w:r>
      <w:r>
        <w:rPr>
          <w:rFonts w:hint="eastAsia" w:ascii="宋体" w:hAnsi="宋体" w:eastAsia="宋体" w:cs="宋体"/>
          <w:sz w:val="24"/>
          <w:szCs w:val="24"/>
          <w:highlight w:val="none"/>
        </w:rPr>
        <w:t>0分（北京时间）</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2、投标地点：</w:t>
      </w:r>
      <w:r>
        <w:rPr>
          <w:rFonts w:hint="eastAsia" w:cs="宋体"/>
          <w:sz w:val="24"/>
          <w:szCs w:val="24"/>
          <w:highlight w:val="none"/>
          <w:lang w:eastAsia="zh-CN"/>
        </w:rPr>
        <w:t>宁波市鄞州区宁穿路1679号金融硅谷9号楼14楼开标室</w:t>
      </w:r>
      <w:r>
        <w:rPr>
          <w:rFonts w:hint="eastAsia" w:ascii="宋体" w:hAnsi="宋体" w:eastAsia="宋体" w:cs="宋体"/>
          <w:sz w:val="24"/>
          <w:szCs w:val="24"/>
          <w:highlight w:val="none"/>
        </w:rPr>
        <w:t>。</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3、开标时间： 2021年</w:t>
      </w:r>
      <w:r>
        <w:rPr>
          <w:rFonts w:hint="eastAsia" w:cs="宋体"/>
          <w:sz w:val="24"/>
          <w:szCs w:val="24"/>
          <w:highlight w:val="none"/>
          <w:lang w:val="en-US" w:eastAsia="zh-CN"/>
        </w:rPr>
        <w:t>6</w:t>
      </w:r>
      <w:r>
        <w:rPr>
          <w:rFonts w:hint="eastAsia" w:ascii="宋体" w:hAnsi="宋体" w:eastAsia="宋体" w:cs="宋体"/>
          <w:sz w:val="24"/>
          <w:szCs w:val="24"/>
          <w:highlight w:val="none"/>
        </w:rPr>
        <w:t>月</w:t>
      </w:r>
      <w:r>
        <w:rPr>
          <w:rFonts w:hint="eastAsia" w:cs="宋体"/>
          <w:sz w:val="24"/>
          <w:szCs w:val="24"/>
          <w:highlight w:val="none"/>
          <w:lang w:val="en-US" w:eastAsia="zh-CN"/>
        </w:rPr>
        <w:t>24</w:t>
      </w:r>
      <w:r>
        <w:rPr>
          <w:rFonts w:hint="eastAsia" w:ascii="宋体" w:hAnsi="宋体" w:eastAsia="宋体" w:cs="宋体"/>
          <w:sz w:val="24"/>
          <w:szCs w:val="24"/>
          <w:highlight w:val="none"/>
        </w:rPr>
        <w:t>日</w:t>
      </w:r>
      <w:r>
        <w:rPr>
          <w:rFonts w:hint="eastAsia" w:cs="宋体"/>
          <w:sz w:val="24"/>
          <w:szCs w:val="24"/>
          <w:highlight w:val="none"/>
          <w:lang w:val="en-US" w:eastAsia="zh-CN"/>
        </w:rPr>
        <w:t>09</w:t>
      </w:r>
      <w:r>
        <w:rPr>
          <w:rFonts w:hint="eastAsia" w:ascii="宋体" w:hAnsi="宋体" w:eastAsia="宋体" w:cs="宋体"/>
          <w:sz w:val="24"/>
          <w:szCs w:val="24"/>
          <w:highlight w:val="none"/>
        </w:rPr>
        <w:t>时</w:t>
      </w:r>
      <w:r>
        <w:rPr>
          <w:rFonts w:hint="eastAsia" w:cs="宋体"/>
          <w:sz w:val="24"/>
          <w:szCs w:val="24"/>
          <w:highlight w:val="none"/>
          <w:lang w:val="en-US" w:eastAsia="zh-CN"/>
        </w:rPr>
        <w:t>3</w:t>
      </w:r>
      <w:r>
        <w:rPr>
          <w:rFonts w:hint="eastAsia" w:ascii="宋体" w:hAnsi="宋体" w:eastAsia="宋体" w:cs="宋体"/>
          <w:sz w:val="24"/>
          <w:szCs w:val="24"/>
          <w:highlight w:val="none"/>
        </w:rPr>
        <w:t>0分（北京时间）</w:t>
      </w:r>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4、开标地点：</w:t>
      </w:r>
      <w:r>
        <w:rPr>
          <w:rFonts w:hint="eastAsia" w:cs="宋体"/>
          <w:sz w:val="24"/>
          <w:szCs w:val="24"/>
          <w:highlight w:val="none"/>
          <w:lang w:eastAsia="zh-CN"/>
        </w:rPr>
        <w:t>宁波市鄞州区宁穿路1679号金融硅谷9号楼14楼开标室</w:t>
      </w:r>
      <w:r>
        <w:rPr>
          <w:rFonts w:hint="eastAsia" w:ascii="宋体" w:hAnsi="宋体" w:eastAsia="宋体" w:cs="宋体"/>
          <w:sz w:val="24"/>
          <w:szCs w:val="24"/>
          <w:highlight w:val="none"/>
        </w:rPr>
        <w:t>。</w:t>
      </w:r>
    </w:p>
    <w:p>
      <w:pPr>
        <w:pStyle w:val="3"/>
        <w:spacing w:before="0" w:after="0"/>
        <w:rPr>
          <w:rFonts w:hint="eastAsia" w:ascii="宋体" w:hAnsi="宋体" w:eastAsia="宋体" w:cs="宋体"/>
          <w:sz w:val="24"/>
          <w:szCs w:val="24"/>
          <w:highlight w:val="none"/>
        </w:rPr>
      </w:pPr>
      <w:r>
        <w:rPr>
          <w:rFonts w:hint="eastAsia" w:ascii="宋体" w:hAnsi="宋体" w:eastAsia="宋体" w:cs="宋体"/>
          <w:sz w:val="24"/>
          <w:szCs w:val="24"/>
          <w:highlight w:val="none"/>
        </w:rPr>
        <w:t>五、公告期限</w:t>
      </w:r>
      <w:bookmarkEnd w:id="25"/>
      <w:bookmarkEnd w:id="26"/>
      <w:bookmarkEnd w:id="27"/>
      <w:bookmarkEnd w:id="28"/>
      <w:r>
        <w:rPr>
          <w:rFonts w:hint="eastAsia" w:ascii="宋体" w:hAnsi="宋体" w:eastAsia="宋体" w:cs="宋体"/>
          <w:sz w:val="24"/>
          <w:szCs w:val="24"/>
          <w:highlight w:val="none"/>
        </w:rPr>
        <w:t>(招标文件公告期限)</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自本公告发布之日起5个工作日。</w:t>
      </w:r>
    </w:p>
    <w:p>
      <w:pPr>
        <w:pStyle w:val="3"/>
        <w:spacing w:before="0" w:after="0"/>
        <w:rPr>
          <w:rFonts w:hint="eastAsia" w:ascii="宋体" w:hAnsi="宋体" w:eastAsia="宋体" w:cs="宋体"/>
          <w:sz w:val="24"/>
          <w:szCs w:val="24"/>
          <w:highlight w:val="none"/>
        </w:rPr>
      </w:pPr>
      <w:bookmarkStart w:id="29" w:name="_Toc35393626"/>
      <w:bookmarkStart w:id="30" w:name="_Toc30132"/>
      <w:bookmarkStart w:id="31" w:name="_Toc35393795"/>
      <w:r>
        <w:rPr>
          <w:rFonts w:hint="eastAsia" w:ascii="宋体" w:hAnsi="宋体" w:eastAsia="宋体" w:cs="宋体"/>
          <w:sz w:val="24"/>
          <w:szCs w:val="24"/>
          <w:highlight w:val="none"/>
        </w:rPr>
        <w:t>六、其他补充事宜</w:t>
      </w:r>
      <w:bookmarkEnd w:id="29"/>
      <w:bookmarkEnd w:id="30"/>
      <w:bookmarkEnd w:id="31"/>
    </w:p>
    <w:p>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1、本次政府采购活动有关信息在浙江政府采购网和浙江五石工程咨询有限公司网公布，视同送达所有潜在投标人。</w:t>
      </w:r>
    </w:p>
    <w:p>
      <w:pPr>
        <w:pStyle w:val="3"/>
        <w:spacing w:before="0" w:after="0"/>
        <w:rPr>
          <w:rFonts w:hint="eastAsia" w:ascii="宋体" w:hAnsi="宋体" w:eastAsia="宋体" w:cs="宋体"/>
          <w:sz w:val="24"/>
          <w:szCs w:val="24"/>
          <w:highlight w:val="none"/>
        </w:rPr>
      </w:pPr>
      <w:bookmarkStart w:id="32" w:name="_Toc35393796"/>
      <w:bookmarkStart w:id="33" w:name="_Toc28359008"/>
      <w:bookmarkStart w:id="34" w:name="_Toc2735"/>
      <w:bookmarkStart w:id="35" w:name="_Toc35393627"/>
      <w:bookmarkStart w:id="36" w:name="_Toc28359085"/>
      <w:r>
        <w:rPr>
          <w:rFonts w:hint="eastAsia" w:ascii="宋体" w:hAnsi="宋体" w:eastAsia="宋体" w:cs="宋体"/>
          <w:sz w:val="24"/>
          <w:szCs w:val="24"/>
          <w:highlight w:val="none"/>
        </w:rPr>
        <w:t>七、对本次招标提出询问，请按以下方式联系</w:t>
      </w:r>
      <w:bookmarkEnd w:id="32"/>
      <w:bookmarkEnd w:id="33"/>
      <w:bookmarkEnd w:id="34"/>
      <w:bookmarkEnd w:id="35"/>
      <w:bookmarkEnd w:id="36"/>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1.采购人：</w:t>
      </w:r>
      <w:r>
        <w:rPr>
          <w:rFonts w:hint="eastAsia" w:cs="宋体"/>
          <w:sz w:val="24"/>
          <w:highlight w:val="none"/>
          <w:lang w:eastAsia="zh-CN"/>
        </w:rPr>
        <w:t>浙江海洋大学</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地    址：</w:t>
      </w:r>
      <w:r>
        <w:rPr>
          <w:rFonts w:hint="eastAsia" w:ascii="宋体" w:hAnsi="宋体" w:eastAsia="宋体" w:cs="宋体"/>
          <w:i w:val="0"/>
          <w:caps w:val="0"/>
          <w:color w:val="000000"/>
          <w:spacing w:val="0"/>
          <w:sz w:val="24"/>
          <w:szCs w:val="24"/>
          <w:highlight w:val="none"/>
        </w:rPr>
        <w:t>舟山市定海区临城街道长峙岛海大南路1号</w:t>
      </w:r>
    </w:p>
    <w:p>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传 真：</w:t>
      </w:r>
      <w:r>
        <w:rPr>
          <w:rFonts w:hint="eastAsia" w:ascii="宋体" w:hAnsi="宋体" w:eastAsia="宋体" w:cs="宋体"/>
          <w:i w:val="0"/>
          <w:caps w:val="0"/>
          <w:color w:val="000000"/>
          <w:spacing w:val="0"/>
          <w:sz w:val="24"/>
          <w:szCs w:val="24"/>
          <w:highlight w:val="none"/>
        </w:rPr>
        <w:t>0580-8180348</w:t>
      </w:r>
    </w:p>
    <w:p>
      <w:pPr>
        <w:spacing w:line="360" w:lineRule="auto"/>
        <w:rPr>
          <w:rFonts w:hint="eastAsia" w:ascii="宋体" w:hAnsi="宋体" w:cs="宋体"/>
          <w:sz w:val="24"/>
          <w:highlight w:val="none"/>
        </w:rPr>
      </w:pPr>
      <w:r>
        <w:rPr>
          <w:rFonts w:hint="eastAsia" w:ascii="宋体" w:hAnsi="宋体" w:cs="宋体"/>
          <w:sz w:val="24"/>
          <w:highlight w:val="none"/>
        </w:rPr>
        <w:t>项目联系人（询问）：</w:t>
      </w:r>
      <w:r>
        <w:rPr>
          <w:rFonts w:hint="eastAsia" w:cs="宋体"/>
          <w:sz w:val="24"/>
          <w:highlight w:val="none"/>
          <w:lang w:eastAsia="zh-CN"/>
        </w:rPr>
        <w:t>李军</w:t>
      </w:r>
    </w:p>
    <w:p>
      <w:pPr>
        <w:spacing w:line="360" w:lineRule="auto"/>
        <w:rPr>
          <w:rFonts w:hint="eastAsia" w:ascii="宋体" w:hAnsi="宋体" w:cs="宋体"/>
          <w:sz w:val="24"/>
          <w:highlight w:val="none"/>
        </w:rPr>
      </w:pPr>
      <w:r>
        <w:rPr>
          <w:rFonts w:hint="eastAsia" w:ascii="宋体" w:hAnsi="宋体" w:cs="宋体"/>
          <w:sz w:val="24"/>
          <w:highlight w:val="none"/>
        </w:rPr>
        <w:t>项目联系方式（询问）：</w:t>
      </w:r>
      <w:r>
        <w:rPr>
          <w:rFonts w:hint="eastAsia" w:ascii="宋体" w:hAnsi="宋体" w:eastAsia="宋体" w:cs="宋体"/>
          <w:i w:val="0"/>
          <w:caps w:val="0"/>
          <w:color w:val="000000"/>
          <w:spacing w:val="0"/>
          <w:sz w:val="24"/>
          <w:szCs w:val="24"/>
          <w:highlight w:val="none"/>
        </w:rPr>
        <w:t>0580-8180348</w:t>
      </w:r>
    </w:p>
    <w:p>
      <w:pPr>
        <w:spacing w:line="360" w:lineRule="auto"/>
        <w:rPr>
          <w:rFonts w:hint="eastAsia" w:ascii="宋体" w:hAnsi="宋体" w:cs="宋体"/>
          <w:sz w:val="24"/>
          <w:highlight w:val="none"/>
        </w:rPr>
      </w:pPr>
      <w:r>
        <w:rPr>
          <w:rFonts w:hint="eastAsia" w:ascii="宋体" w:hAnsi="宋体" w:cs="宋体"/>
          <w:sz w:val="24"/>
          <w:highlight w:val="none"/>
        </w:rPr>
        <w:t>质疑联系人：</w:t>
      </w:r>
      <w:r>
        <w:rPr>
          <w:rFonts w:hint="eastAsia" w:cs="宋体"/>
          <w:sz w:val="24"/>
          <w:highlight w:val="none"/>
          <w:lang w:eastAsia="zh-CN"/>
        </w:rPr>
        <w:t>吕政</w:t>
      </w:r>
    </w:p>
    <w:p>
      <w:pPr>
        <w:spacing w:line="360" w:lineRule="auto"/>
        <w:rPr>
          <w:rFonts w:hint="eastAsia" w:ascii="宋体" w:hAnsi="宋体" w:cs="宋体"/>
          <w:sz w:val="24"/>
          <w:highlight w:val="none"/>
        </w:rPr>
      </w:pPr>
      <w:r>
        <w:rPr>
          <w:rFonts w:hint="eastAsia" w:ascii="宋体" w:hAnsi="宋体" w:cs="宋体"/>
          <w:sz w:val="24"/>
          <w:highlight w:val="none"/>
        </w:rPr>
        <w:t>质疑联系方式：</w:t>
      </w:r>
      <w:r>
        <w:rPr>
          <w:rFonts w:hint="eastAsia" w:ascii="宋体" w:hAnsi="宋体" w:cs="宋体"/>
          <w:szCs w:val="21"/>
          <w:highlight w:val="none"/>
        </w:rPr>
        <w:t>0580-2550101</w:t>
      </w:r>
    </w:p>
    <w:p>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2.招标代理机构名称：浙江五石工程咨询有限公司</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址：宁波市鄞州区宁穿路1679号金融硅谷9号楼1402室。</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业务联系人：毛</w:t>
      </w:r>
      <w:r>
        <w:rPr>
          <w:rFonts w:hint="eastAsia" w:ascii="宋体" w:hAnsi="宋体" w:eastAsia="宋体" w:cs="宋体"/>
          <w:color w:val="auto"/>
          <w:sz w:val="24"/>
          <w:szCs w:val="24"/>
          <w:highlight w:val="none"/>
          <w:lang w:eastAsia="zh-CN"/>
        </w:rPr>
        <w:t>建华</w:t>
      </w:r>
      <w:r>
        <w:rPr>
          <w:rFonts w:hint="eastAsia" w:ascii="宋体" w:hAnsi="宋体" w:eastAsia="宋体" w:cs="宋体"/>
          <w:color w:val="auto"/>
          <w:sz w:val="24"/>
          <w:szCs w:val="24"/>
          <w:highlight w:val="none"/>
        </w:rPr>
        <w:t>、毕</w:t>
      </w:r>
      <w:r>
        <w:rPr>
          <w:rFonts w:hint="eastAsia" w:ascii="宋体" w:hAnsi="宋体" w:eastAsia="宋体" w:cs="宋体"/>
          <w:color w:val="auto"/>
          <w:sz w:val="24"/>
          <w:szCs w:val="24"/>
          <w:highlight w:val="none"/>
          <w:lang w:eastAsia="zh-CN"/>
        </w:rPr>
        <w:t>夏凤</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eastAsia="zh-CN"/>
        </w:rPr>
        <w:t>小丽</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联系电话：0574-83896188、87645885      传    真：0574-87520151</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质疑联系人：毛先生          联系电话：0574-87208097</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邮箱：</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"mailto:hzwsgc@163.com"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hzwsgc@163.com</w:t>
      </w:r>
      <w:r>
        <w:rPr>
          <w:rFonts w:hint="eastAsia" w:ascii="宋体" w:hAnsi="宋体" w:eastAsia="宋体" w:cs="宋体"/>
          <w:color w:val="auto"/>
          <w:sz w:val="24"/>
          <w:szCs w:val="24"/>
          <w:highlight w:val="none"/>
        </w:rPr>
        <w:fldChar w:fldCharType="end"/>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网站系统问题咨询：注册、账号等， 4008817190</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；其它，4008371020。</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3.同级政府采购监督管理部门</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称：浙江省财政厅政府采购监管处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址：杭州市环城西路37号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 ：倪文良、吴聪瑜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监督投诉电话：0571-87057615、87058489</w:t>
      </w:r>
    </w:p>
    <w:p>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pPr>
        <w:bidi w:val="0"/>
        <w:rPr>
          <w:rFonts w:hint="eastAsia" w:ascii="宋体" w:hAnsi="宋体" w:eastAsia="宋体" w:cs="宋体"/>
          <w:color w:val="auto"/>
          <w:highlight w:val="none"/>
        </w:rPr>
      </w:pPr>
    </w:p>
    <w:p>
      <w:pPr>
        <w:pStyle w:val="48"/>
        <w:rPr>
          <w:rFonts w:hint="eastAsia" w:ascii="宋体" w:hAnsi="宋体" w:eastAsia="宋体" w:cs="宋体"/>
          <w:color w:val="auto"/>
          <w:highlight w:val="none"/>
        </w:rPr>
      </w:pPr>
    </w:p>
    <w:p>
      <w:pPr>
        <w:pStyle w:val="48"/>
        <w:rPr>
          <w:rFonts w:hint="eastAsia" w:ascii="宋体" w:hAnsi="宋体" w:eastAsia="宋体" w:cs="宋体"/>
          <w:color w:val="auto"/>
          <w:highlight w:val="none"/>
        </w:rPr>
        <w:sectPr>
          <w:footerReference r:id="rId12" w:type="default"/>
          <w:pgSz w:w="11906" w:h="16838"/>
          <w:pgMar w:top="1440" w:right="1080" w:bottom="1440" w:left="1080" w:header="850" w:footer="992" w:gutter="0"/>
          <w:pgBorders>
            <w:top w:val="none" w:color="auto" w:sz="0" w:space="0"/>
            <w:left w:val="none" w:color="auto" w:sz="0" w:space="0"/>
            <w:bottom w:val="none" w:color="auto" w:sz="0" w:space="0"/>
            <w:right w:val="none" w:color="auto" w:sz="0" w:space="0"/>
          </w:pgBorders>
          <w:pgNumType w:start="1"/>
          <w:cols w:space="720" w:num="1"/>
          <w:docGrid w:linePitch="381" w:charSpace="0"/>
        </w:sectPr>
      </w:pPr>
    </w:p>
    <w:bookmarkEnd w:id="4"/>
    <w:p>
      <w:pPr>
        <w:pStyle w:val="2"/>
        <w:numPr>
          <w:ilvl w:val="0"/>
          <w:numId w:val="4"/>
        </w:numPr>
        <w:bidi w:val="0"/>
        <w:ind w:left="0" w:leftChars="0" w:right="0" w:rightChars="0" w:firstLine="0" w:firstLineChars="0"/>
        <w:jc w:val="center"/>
        <w:rPr>
          <w:rFonts w:hint="eastAsia" w:ascii="宋体" w:hAnsi="宋体" w:eastAsia="宋体" w:cs="宋体"/>
          <w:color w:val="auto"/>
          <w:highlight w:val="none"/>
        </w:rPr>
      </w:pPr>
      <w:bookmarkStart w:id="37" w:name="_Toc6146"/>
      <w:bookmarkStart w:id="38" w:name="_Toc26040"/>
      <w:r>
        <w:rPr>
          <w:rFonts w:hint="eastAsia" w:ascii="宋体" w:hAnsi="宋体" w:eastAsia="宋体" w:cs="宋体"/>
          <w:color w:val="auto"/>
          <w:highlight w:val="none"/>
        </w:rPr>
        <w:t>项目需求说明</w:t>
      </w:r>
      <w:bookmarkEnd w:id="37"/>
      <w:bookmarkEnd w:id="38"/>
    </w:p>
    <w:tbl>
      <w:tblPr>
        <w:tblStyle w:val="46"/>
        <w:tblW w:w="98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533"/>
        <w:gridCol w:w="6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bookmarkStart w:id="39" w:name="_Toc5760"/>
            <w:bookmarkStart w:id="40" w:name="_Toc24825"/>
            <w:r>
              <w:rPr>
                <w:rFonts w:hint="eastAsia" w:cs="宋体"/>
                <w:bCs/>
                <w:sz w:val="21"/>
                <w:szCs w:val="21"/>
                <w:highlight w:val="none"/>
              </w:rPr>
              <w:t>序号</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项目</w:t>
            </w:r>
          </w:p>
        </w:tc>
        <w:tc>
          <w:tcPr>
            <w:tcW w:w="659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招标需求内容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项目内容</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lang w:eastAsia="zh-CN"/>
              </w:rPr>
              <w:t>浙江海洋大学实验教学设备采购项目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2</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ascii="宋体" w:hAnsi="宋体" w:eastAsia="宋体" w:cs="宋体"/>
                <w:bCs/>
                <w:sz w:val="21"/>
                <w:szCs w:val="21"/>
                <w:highlight w:val="none"/>
              </w:rPr>
              <w:t>▲</w:t>
            </w:r>
            <w:r>
              <w:rPr>
                <w:rFonts w:hint="eastAsia" w:cs="宋体"/>
                <w:bCs/>
                <w:sz w:val="21"/>
                <w:szCs w:val="21"/>
                <w:highlight w:val="none"/>
              </w:rPr>
              <w:t>交付时间和地点</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交付时间：合同签订后</w:t>
            </w:r>
            <w:r>
              <w:rPr>
                <w:rFonts w:hint="eastAsia" w:cs="宋体"/>
                <w:bCs/>
                <w:sz w:val="21"/>
                <w:szCs w:val="21"/>
                <w:highlight w:val="none"/>
                <w:lang w:val="en-US" w:eastAsia="zh-CN"/>
              </w:rPr>
              <w:t>2个月</w:t>
            </w:r>
            <w:r>
              <w:rPr>
                <w:rFonts w:hint="eastAsia" w:cs="宋体"/>
                <w:bCs/>
                <w:sz w:val="21"/>
                <w:szCs w:val="21"/>
                <w:highlight w:val="none"/>
              </w:rPr>
              <w:t>内供货</w:t>
            </w:r>
            <w:r>
              <w:rPr>
                <w:rFonts w:hint="eastAsia" w:cs="宋体"/>
                <w:bCs/>
                <w:sz w:val="21"/>
                <w:szCs w:val="21"/>
                <w:highlight w:val="none"/>
                <w:lang w:eastAsia="zh-CN"/>
              </w:rPr>
              <w:t>安装</w:t>
            </w:r>
            <w:r>
              <w:rPr>
                <w:rFonts w:hint="eastAsia" w:cs="宋体"/>
                <w:bCs/>
                <w:sz w:val="21"/>
                <w:szCs w:val="21"/>
                <w:highlight w:val="none"/>
              </w:rPr>
              <w:t>。</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交货地点：业主指定地点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3</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需实现的功能或者目标</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4</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执行的国家相关标准、行业标准、地方标准或者其它标准、规范</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5</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服务要求</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ascii="宋体" w:hAnsi="宋体" w:eastAsia="宋体" w:cs="宋体"/>
                <w:bCs/>
                <w:sz w:val="21"/>
                <w:szCs w:val="21"/>
                <w:highlight w:val="none"/>
              </w:rPr>
              <w:t>▲</w:t>
            </w:r>
            <w:r>
              <w:rPr>
                <w:rFonts w:hint="eastAsia" w:cs="宋体"/>
                <w:bCs/>
                <w:sz w:val="21"/>
                <w:szCs w:val="21"/>
                <w:highlight w:val="none"/>
              </w:rPr>
              <w:t>自合同签订生效，设备</w:t>
            </w:r>
            <w:r>
              <w:rPr>
                <w:rFonts w:hint="eastAsia" w:cs="宋体"/>
                <w:bCs/>
                <w:sz w:val="21"/>
                <w:szCs w:val="21"/>
                <w:highlight w:val="none"/>
                <w:lang w:eastAsia="zh-CN"/>
              </w:rPr>
              <w:t>经乙方免费</w:t>
            </w:r>
            <w:r>
              <w:rPr>
                <w:rFonts w:hint="eastAsia" w:cs="宋体"/>
                <w:bCs/>
                <w:sz w:val="21"/>
                <w:szCs w:val="21"/>
                <w:highlight w:val="none"/>
              </w:rPr>
              <w:t>安装调试完毕并经甲方验收合格之日起免费质保</w:t>
            </w:r>
            <w:r>
              <w:rPr>
                <w:rFonts w:hint="eastAsia" w:cs="宋体"/>
                <w:bCs/>
                <w:sz w:val="21"/>
                <w:szCs w:val="21"/>
                <w:highlight w:val="none"/>
                <w:lang w:val="en-US" w:eastAsia="zh-CN"/>
              </w:rPr>
              <w:t>6</w:t>
            </w:r>
            <w:r>
              <w:rPr>
                <w:rFonts w:hint="eastAsia" w:cs="宋体"/>
                <w:bCs/>
                <w:sz w:val="21"/>
                <w:szCs w:val="21"/>
                <w:highlight w:val="none"/>
              </w:rPr>
              <w:t>年，质保期内上门对损坏的设备（或软件）进行安装、升级、更换、调试，包括配件费、材料费、软件升级费、人工费等全部免费。质保期内被免费更换的零部件质量保证期再延续3年。</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lang w:val="en-US" w:eastAsia="zh-CN"/>
              </w:rPr>
              <w:t>质量保证期（或保修期）期满后，乙方承诺对设备维修所更换的零配件按成本价收取</w:t>
            </w:r>
            <w:r>
              <w:rPr>
                <w:rFonts w:hint="eastAsia" w:cs="宋体"/>
                <w:bCs/>
                <w:sz w:val="21"/>
                <w:szCs w:val="21"/>
                <w:highlight w:val="none"/>
              </w:rPr>
              <w:t>。</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合同商品出现故障后，中标人接到需方通知后,最迟于2小时内做出响应，12小时内解决故障。合同商品到达后,中标人提供安装调试，培训服务，帮助需方用户尽快熟悉使用。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6</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物理特性要求</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7</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质量、安全要求</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8</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服务标准、期限、效率</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9</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现场踏勘</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10</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lang w:eastAsia="zh-CN"/>
              </w:rPr>
              <w:t>样品摆放</w:t>
            </w:r>
            <w:r>
              <w:rPr>
                <w:rFonts w:hint="eastAsia" w:cs="宋体"/>
                <w:bCs/>
                <w:sz w:val="21"/>
                <w:szCs w:val="21"/>
                <w:highlight w:val="none"/>
              </w:rPr>
              <w:t>时间及地点</w:t>
            </w:r>
          </w:p>
        </w:tc>
        <w:tc>
          <w:tcPr>
            <w:tcW w:w="6593" w:type="dxa"/>
            <w:vAlign w:val="center"/>
          </w:tcPr>
          <w:p>
            <w:pPr>
              <w:spacing w:line="440" w:lineRule="exact"/>
              <w:ind w:firstLine="0" w:firstLineChars="0"/>
              <w:jc w:val="left"/>
              <w:rPr>
                <w:rFonts w:hint="default" w:eastAsia="宋体" w:cs="宋体"/>
                <w:bCs/>
                <w:sz w:val="21"/>
                <w:szCs w:val="21"/>
                <w:highlight w:val="none"/>
                <w:lang w:val="en-US" w:eastAsia="zh-CN"/>
              </w:rPr>
            </w:pPr>
            <w:r>
              <w:rPr>
                <w:rFonts w:hint="eastAsia" w:cs="宋体"/>
                <w:bCs/>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11</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样品要求</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12</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本项目的核心产品</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13</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验收</w:t>
            </w:r>
          </w:p>
          <w:p>
            <w:pPr>
              <w:spacing w:line="440" w:lineRule="exact"/>
              <w:ind w:firstLine="0" w:firstLineChars="0"/>
              <w:jc w:val="center"/>
              <w:rPr>
                <w:rFonts w:hint="eastAsia" w:cs="宋体"/>
                <w:bCs/>
                <w:sz w:val="21"/>
                <w:szCs w:val="21"/>
                <w:highlight w:val="none"/>
              </w:rPr>
            </w:pP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2.如中标人委托国内代理（或其他机构）负责安装或配合安装，应在签约时指明，但中标人仍要对合同货物及其安装质量负全部责任。</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3.验收费用由中标人承担。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14</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培训、技术支持和安装调试</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1.培训：</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1.1 投标人应对采购人提供相应的培训计划并免费进行培训。</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1.3投标人应对上述内容的实现方式、地点、人数、时间在投标文件中详细说明。</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2.技术支持：</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中标人应及时提供所需零配件。</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3.安装调试（若需要安装调试）：</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3.1 安装地点：采购人指定地点。</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3.2 安装标准：符合我国国家有关技术规范要求和技术标准，所有的软件和硬件必须保证同时安装到位。</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3.3 中标人免费提供合同货物的安装服务。</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3.4 中标人在投标文件中应提供安装调试计划、对安装场地和环境的要求。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15</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其他说明</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1、根据浙财采监字[2007]2号文件规定：除采购文件明确的品牌外，欢迎其他能满足本项目技术需求且性能与所明确品牌相当的产品参加。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16</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履约保证金</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中标人提交合同总价 5% 的履约保证金，在签订合同时支付给采购人。由甲乙双方在合同中自行约定退回的方式和时间。履约保证金可以现金或银行、保险公司出具的保函形式提交。（如在合同履约期间未完全履行投标文件的承诺内容的，采购人将视其情节严重程度给予相应处罚，直至没收其履约保证金，甲方保留终止合同的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17</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付款方式</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（一）国内交货的产品</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合同签订生效之日起，中标方3日内支付合同总金额的5%到需方账户作为履约保证金，需方收到中标方履约保证金后，支付合同总金额的</w:t>
            </w:r>
            <w:r>
              <w:rPr>
                <w:rFonts w:hint="eastAsia" w:cs="宋体"/>
                <w:bCs/>
                <w:sz w:val="21"/>
                <w:szCs w:val="21"/>
                <w:highlight w:val="none"/>
                <w:lang w:val="en-US" w:eastAsia="zh-CN"/>
              </w:rPr>
              <w:t>30</w:t>
            </w:r>
            <w:r>
              <w:rPr>
                <w:rFonts w:hint="eastAsia" w:cs="宋体"/>
                <w:bCs/>
                <w:sz w:val="21"/>
                <w:szCs w:val="21"/>
                <w:highlight w:val="none"/>
              </w:rPr>
              <w:t>%；到货后，</w:t>
            </w:r>
            <w:r>
              <w:rPr>
                <w:rFonts w:hint="eastAsia" w:cs="宋体"/>
                <w:bCs/>
                <w:sz w:val="21"/>
                <w:szCs w:val="21"/>
                <w:highlight w:val="none"/>
                <w:lang w:eastAsia="zh-CN"/>
              </w:rPr>
              <w:t>设备安装调试完毕并经</w:t>
            </w:r>
            <w:r>
              <w:rPr>
                <w:rFonts w:hint="eastAsia" w:cs="宋体"/>
                <w:bCs/>
                <w:sz w:val="21"/>
                <w:szCs w:val="21"/>
                <w:highlight w:val="none"/>
              </w:rPr>
              <w:t>需方验收合格后，按实付清货款。</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lang w:val="en-US" w:eastAsia="zh-CN"/>
              </w:rPr>
              <w:t>（二）5%履约保证金待设备质保期满经采购人复验合格后无息退还。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18</w:t>
            </w:r>
          </w:p>
        </w:tc>
        <w:tc>
          <w:tcPr>
            <w:tcW w:w="2533" w:type="dxa"/>
            <w:vAlign w:val="center"/>
          </w:tcPr>
          <w:p>
            <w:pPr>
              <w:spacing w:line="440" w:lineRule="exact"/>
              <w:ind w:firstLine="0" w:firstLineChars="0"/>
              <w:jc w:val="center"/>
              <w:rPr>
                <w:rFonts w:hint="eastAsia" w:cs="宋体"/>
                <w:bCs/>
                <w:sz w:val="21"/>
                <w:szCs w:val="21"/>
                <w:highlight w:val="none"/>
              </w:rPr>
            </w:pPr>
            <w:r>
              <w:rPr>
                <w:rFonts w:hint="eastAsia" w:cs="宋体"/>
                <w:bCs/>
                <w:sz w:val="21"/>
                <w:szCs w:val="21"/>
                <w:highlight w:val="none"/>
              </w:rPr>
              <w:t>违约责任</w:t>
            </w:r>
          </w:p>
        </w:tc>
        <w:tc>
          <w:tcPr>
            <w:tcW w:w="6593" w:type="dxa"/>
            <w:vAlign w:val="center"/>
          </w:tcPr>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1、投标人（乙方）如中标，在与采购人（甲方）签订合同生效后，如不能按合同如期交货，则每延期一天，按合同总金额的1‰作为违约金赔偿给甲方。</w:t>
            </w:r>
          </w:p>
          <w:p>
            <w:pPr>
              <w:spacing w:line="440" w:lineRule="exact"/>
              <w:ind w:firstLine="0" w:firstLineChars="0"/>
              <w:jc w:val="left"/>
              <w:rPr>
                <w:rFonts w:hint="eastAsia" w:cs="宋体"/>
                <w:bCs/>
                <w:sz w:val="21"/>
                <w:szCs w:val="21"/>
                <w:highlight w:val="none"/>
              </w:rPr>
            </w:pPr>
            <w:r>
              <w:rPr>
                <w:rFonts w:hint="eastAsia" w:cs="宋体"/>
                <w:bCs/>
                <w:sz w:val="21"/>
                <w:szCs w:val="21"/>
                <w:highlight w:val="none"/>
              </w:rPr>
              <w:t>2、中标后中标人撤回投标或拒绝签订合同的，给采购人造成的损失、招标过程产生的代理服务费以及重新招标期间产生的费用，由中标人承担。</w:t>
            </w:r>
          </w:p>
        </w:tc>
      </w:tr>
    </w:tbl>
    <w:p>
      <w:pPr>
        <w:pStyle w:val="2"/>
        <w:bidi w:val="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p>
    <w:p>
      <w:pPr>
        <w:spacing w:line="360" w:lineRule="auto"/>
        <w:rPr>
          <w:rFonts w:hint="eastAsia" w:ascii="宋体" w:hAnsi="宋体" w:cs="宋体"/>
          <w:b/>
          <w:sz w:val="24"/>
          <w:highlight w:val="none"/>
        </w:rPr>
      </w:pPr>
      <w:r>
        <w:rPr>
          <w:rFonts w:hint="eastAsia" w:ascii="宋体" w:hAnsi="宋体" w:cs="宋体"/>
          <w:b/>
          <w:sz w:val="24"/>
          <w:highlight w:val="none"/>
        </w:rPr>
        <w:t>一、采购货物一览表</w:t>
      </w:r>
    </w:p>
    <w:tbl>
      <w:tblPr>
        <w:tblStyle w:val="46"/>
        <w:tblW w:w="96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4392"/>
        <w:gridCol w:w="1077"/>
        <w:gridCol w:w="1075"/>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
                <w:szCs w:val="21"/>
                <w:highlight w:val="none"/>
              </w:rPr>
            </w:pPr>
            <w:r>
              <w:rPr>
                <w:rFonts w:hint="eastAsia" w:ascii="宋体" w:hAnsi="宋体" w:cs="宋体"/>
                <w:b/>
                <w:szCs w:val="21"/>
                <w:highlight w:val="none"/>
              </w:rPr>
              <w:t>序号</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
                <w:szCs w:val="21"/>
                <w:highlight w:val="none"/>
              </w:rPr>
            </w:pPr>
            <w:r>
              <w:rPr>
                <w:rFonts w:hint="eastAsia" w:ascii="宋体" w:hAnsi="宋体" w:cs="宋体"/>
                <w:b/>
                <w:szCs w:val="21"/>
                <w:highlight w:val="none"/>
              </w:rPr>
              <w:t>名称</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
                <w:szCs w:val="21"/>
                <w:highlight w:val="none"/>
              </w:rPr>
            </w:pPr>
            <w:r>
              <w:rPr>
                <w:rFonts w:hint="eastAsia" w:ascii="宋体" w:hAnsi="宋体" w:cs="宋体"/>
                <w:b/>
                <w:szCs w:val="21"/>
                <w:highlight w:val="none"/>
              </w:rPr>
              <w:t>单位</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
                <w:szCs w:val="21"/>
                <w:highlight w:val="none"/>
              </w:rPr>
            </w:pPr>
            <w:r>
              <w:rPr>
                <w:rFonts w:hint="eastAsia" w:ascii="宋体" w:hAnsi="宋体" w:cs="宋体"/>
                <w:b/>
                <w:szCs w:val="21"/>
                <w:highlight w:val="none"/>
              </w:rPr>
              <w:t>数量</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
                <w:szCs w:val="21"/>
                <w:highlight w:val="none"/>
              </w:rPr>
            </w:pPr>
            <w:r>
              <w:rPr>
                <w:rFonts w:hint="eastAsia" w:ascii="宋体" w:hAnsi="宋体" w:cs="宋体"/>
                <w:b/>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1</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实验台架</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张</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24</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2</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直流稳压电源</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60</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3</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2通道数字存储示波器</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60</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4</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4通道数字存储示波器</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1</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5</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任意信号发生器</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40</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6</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交直流数字功率计</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4</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8" w:hRule="atLeast"/>
          <w:jc w:val="center"/>
        </w:trPr>
        <w:tc>
          <w:tcPr>
            <w:tcW w:w="1168"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7</w:t>
            </w:r>
          </w:p>
        </w:tc>
        <w:tc>
          <w:tcPr>
            <w:tcW w:w="4392"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直流电子负载</w:t>
            </w:r>
          </w:p>
        </w:tc>
        <w:tc>
          <w:tcPr>
            <w:tcW w:w="1077"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台</w:t>
            </w:r>
          </w:p>
        </w:tc>
        <w:tc>
          <w:tcPr>
            <w:tcW w:w="1075"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r>
              <w:rPr>
                <w:rFonts w:hint="eastAsia" w:ascii="宋体" w:hAnsi="宋体" w:cs="宋体"/>
                <w:bCs/>
                <w:szCs w:val="21"/>
                <w:highlight w:val="none"/>
              </w:rPr>
              <w:t>2</w:t>
            </w:r>
          </w:p>
        </w:tc>
        <w:tc>
          <w:tcPr>
            <w:tcW w:w="1890" w:type="dxa"/>
            <w:tcBorders>
              <w:top w:val="single" w:color="auto" w:sz="4" w:space="0"/>
              <w:left w:val="single" w:color="auto" w:sz="4" w:space="0"/>
              <w:bottom w:val="single" w:color="auto" w:sz="4" w:space="0"/>
              <w:right w:val="single" w:color="auto" w:sz="4" w:space="0"/>
            </w:tcBorders>
            <w:vAlign w:val="center"/>
          </w:tcPr>
          <w:p>
            <w:pPr>
              <w:ind w:left="0" w:leftChars="0" w:firstLine="0" w:firstLineChars="0"/>
              <w:jc w:val="center"/>
              <w:rPr>
                <w:rFonts w:hint="eastAsia" w:ascii="宋体" w:hAnsi="宋体" w:cs="宋体"/>
                <w:bCs/>
                <w:szCs w:val="21"/>
                <w:highlight w:val="none"/>
              </w:rPr>
            </w:pPr>
          </w:p>
        </w:tc>
      </w:tr>
    </w:tbl>
    <w:p>
      <w:pPr>
        <w:spacing w:before="156" w:beforeLines="50" w:after="156" w:afterLines="50"/>
        <w:rPr>
          <w:rFonts w:hint="eastAsia" w:ascii="宋体" w:hAnsi="宋体" w:cs="宋体"/>
          <w:b/>
          <w:sz w:val="24"/>
          <w:highlight w:val="none"/>
        </w:rPr>
      </w:pPr>
      <w:r>
        <w:rPr>
          <w:rFonts w:hint="eastAsia" w:ascii="宋体" w:hAnsi="宋体" w:cs="宋体"/>
          <w:b/>
          <w:sz w:val="24"/>
          <w:highlight w:val="none"/>
        </w:rPr>
        <w:t>二、采购内容技术参数及技术要求</w:t>
      </w:r>
    </w:p>
    <w:tbl>
      <w:tblPr>
        <w:tblStyle w:val="46"/>
        <w:tblW w:w="9525"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020"/>
        <w:gridCol w:w="7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序号</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设备名称</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技术要求及技术参数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实验台架</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1.技术规格：≥L1500*W867*H1200）± 2mm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  实验台桌面离地面高度：≥760mm± 2mm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台面厚度：≥25mm± 2mm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台面以上层板：≥（L1500*W358*H18）± 2mm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2.★材质工艺：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  实验台主体：采用铝合金结构</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  实验台台面：桌面采用E1级三聚氰胺贴面胶合板，厚度≥25mm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  框架：材质采用40*40mm工业铝型材和铁质方管搭配，表面氧化处理成本色或者喷漆成乳白色</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封边条：采用PVC封边条，封边条厚2mm,所有板材均需全封边处理</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  桌腿：采用70*70mm 工业铝型材，表面氧化处理成本色</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实验台主体框架连接：框架链接构件需采用六只铝合金压铸件，表面抛丸后喷塑处理</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3.★电气连接：安全保护：接地保护，漏电保护（动作电流∠30ma）,过载保护（10A） 需提供不少于9位3孔220V/10A电源插座 ，电源插座采用铝型材制作，表面氧化处理成本色</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4.电源指示灯指示电源通断情况</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5.层板要求：</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a.层板高度灵活可调，确保可以根据实际使用情况调整</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b.层板带有内嵌式LED灯光，灯光角度可以调节，确保眼睛不会直视到光源</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c.层板前沿另需铝合金型材包边，保证美观</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6.桌面前沿需安装有铝合金防滚条，防止做实验时笔，零件滚落桌面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7.台面下方配置钢制抽屉一套，表面喷塑处理，颜色可选，牢固可靠的固定在方管框架上。</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8.★产品具有外观设计专利证书、实用新型专利证书，提供相关证明材料。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直流稳压电源</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★总通道：三路，两路0-30V/10mA-5A;一路：0-5V/10mA-5A;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数字设置电压、电流值，具有输出控制开关，三位电压、电流数显功能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输入电压：230 V/ 50 Hz</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输出电压：0-30 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输出电流：0-5 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电源效应：C.V. ≤ 0.01 % + 3 mV；C.C. ≤ 0.1 % + 3 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负载效应：C.V. ≤ 0.01 % + 5 mV；C.C. ≤ 0.1 % + 10 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分辨率：10 mV，1 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精度(25°C ± 5°C)：≤ 0.1% + 20 mV；≤ 0.1 % + 5 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★纹波 (20Hz-20MHz)：≤ 1 mV rms；≤ 3 mA rms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温度系数：≤ 150 ppm </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读出精度：10 mV，1 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并联负载调整率：≤ 0.1%+0.1V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串联负载调整率：≤ 0.1%+0.1V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尺寸：不大于220(W) x 145(H) x 310(D) 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3</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cs="宋体"/>
                <w:b w:val="0"/>
                <w:bCs/>
                <w:szCs w:val="21"/>
                <w:highlight w:val="none"/>
                <w:lang w:val="en-US" w:eastAsia="zh-CN"/>
              </w:rPr>
              <w:t>2</w:t>
            </w:r>
            <w:r>
              <w:rPr>
                <w:rFonts w:hint="eastAsia" w:ascii="宋体" w:hAnsi="宋体" w:cs="宋体"/>
                <w:b w:val="0"/>
                <w:bCs/>
                <w:szCs w:val="21"/>
                <w:highlight w:val="none"/>
              </w:rPr>
              <w:t>通道数字存储示波器</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w:t>
            </w:r>
            <w:r>
              <w:rPr>
                <w:rFonts w:hint="eastAsia" w:ascii="宋体" w:hAnsi="宋体" w:cs="宋体"/>
                <w:b w:val="0"/>
                <w:bCs/>
                <w:szCs w:val="21"/>
                <w:highlight w:val="none"/>
              </w:rPr>
              <w:tab/>
            </w:r>
            <w:r>
              <w:rPr>
                <w:rFonts w:hint="eastAsia" w:ascii="宋体" w:hAnsi="宋体" w:cs="宋体"/>
                <w:b w:val="0"/>
                <w:bCs/>
                <w:szCs w:val="21"/>
                <w:highlight w:val="none"/>
              </w:rPr>
              <w:t>带宽达100 MHz，标配50 Ω输入阻抗</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w:t>
            </w:r>
            <w:r>
              <w:rPr>
                <w:rFonts w:hint="eastAsia" w:ascii="宋体" w:hAnsi="宋体" w:cs="宋体"/>
                <w:b w:val="0"/>
                <w:bCs/>
                <w:szCs w:val="21"/>
                <w:highlight w:val="none"/>
              </w:rPr>
              <w:tab/>
            </w:r>
            <w:r>
              <w:rPr>
                <w:rFonts w:hint="eastAsia" w:ascii="宋体" w:hAnsi="宋体" w:cs="宋体"/>
                <w:b w:val="0"/>
                <w:bCs/>
                <w:szCs w:val="21"/>
                <w:highlight w:val="none"/>
              </w:rPr>
              <w:t>2个模拟通道</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3.</w:t>
            </w:r>
            <w:r>
              <w:rPr>
                <w:rFonts w:hint="eastAsia" w:ascii="宋体" w:hAnsi="宋体" w:cs="宋体"/>
                <w:b w:val="0"/>
                <w:bCs/>
                <w:szCs w:val="21"/>
                <w:highlight w:val="none"/>
              </w:rPr>
              <w:tab/>
            </w:r>
            <w:r>
              <w:rPr>
                <w:rFonts w:hint="eastAsia" w:ascii="宋体" w:hAnsi="宋体" w:cs="宋体"/>
                <w:b w:val="0"/>
                <w:bCs/>
                <w:szCs w:val="21"/>
                <w:highlight w:val="none"/>
              </w:rPr>
              <w:t>宽范围，低底噪，垂直灵敏度范围：500 uV/div~10 V/div，各个档位均支持全带宽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w:t>
            </w:r>
            <w:r>
              <w:rPr>
                <w:rFonts w:hint="eastAsia" w:ascii="宋体" w:hAnsi="宋体" w:cs="宋体"/>
                <w:b w:val="0"/>
                <w:bCs/>
                <w:szCs w:val="21"/>
                <w:highlight w:val="none"/>
              </w:rPr>
              <w:tab/>
            </w:r>
            <w:r>
              <w:rPr>
                <w:rFonts w:hint="eastAsia" w:ascii="宋体" w:hAnsi="宋体" w:cs="宋体"/>
                <w:b w:val="0"/>
                <w:bCs/>
                <w:szCs w:val="21"/>
                <w:highlight w:val="none"/>
              </w:rPr>
              <w:t>实时采样率模拟通道达1 GSa/s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5.</w:t>
            </w:r>
            <w:r>
              <w:rPr>
                <w:rFonts w:hint="eastAsia" w:ascii="宋体" w:hAnsi="宋体" w:cs="宋体"/>
                <w:b w:val="0"/>
                <w:bCs/>
                <w:szCs w:val="21"/>
                <w:highlight w:val="none"/>
              </w:rPr>
              <w:tab/>
            </w:r>
            <w:r>
              <w:rPr>
                <w:rFonts w:hint="eastAsia" w:ascii="宋体" w:hAnsi="宋体" w:cs="宋体"/>
                <w:b w:val="0"/>
                <w:bCs/>
                <w:szCs w:val="21"/>
                <w:highlight w:val="none"/>
              </w:rPr>
              <w:t>★存储深度：标配达56 Mpts，并可以通过U盘导出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6.</w:t>
            </w:r>
            <w:r>
              <w:rPr>
                <w:rFonts w:hint="eastAsia" w:ascii="宋体" w:hAnsi="宋体" w:cs="宋体"/>
                <w:b w:val="0"/>
                <w:bCs/>
                <w:szCs w:val="21"/>
                <w:highlight w:val="none"/>
              </w:rPr>
              <w:tab/>
            </w:r>
            <w:r>
              <w:rPr>
                <w:rFonts w:hint="eastAsia" w:ascii="宋体" w:hAnsi="宋体" w:cs="宋体"/>
                <w:b w:val="0"/>
                <w:bCs/>
                <w:szCs w:val="21"/>
                <w:highlight w:val="none"/>
              </w:rPr>
              <w:t>★实时采集波形捕获率达50,000个波形每秒，并可以从接口测试出该捕获率</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7.</w:t>
            </w:r>
            <w:r>
              <w:rPr>
                <w:rFonts w:hint="eastAsia" w:ascii="宋体" w:hAnsi="宋体" w:cs="宋体"/>
                <w:b w:val="0"/>
                <w:bCs/>
                <w:szCs w:val="21"/>
                <w:highlight w:val="none"/>
              </w:rPr>
              <w:tab/>
            </w:r>
            <w:r>
              <w:rPr>
                <w:rFonts w:hint="eastAsia" w:ascii="宋体" w:hAnsi="宋体" w:cs="宋体"/>
                <w:b w:val="0"/>
                <w:bCs/>
                <w:szCs w:val="21"/>
                <w:highlight w:val="none"/>
              </w:rPr>
              <w:t>★标配多达6.5万帧的硬件实时波形不间断录制、回放和分析功能，该功能为机器本身自带功能，不允许外接设备来实现此功能。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8.</w:t>
            </w:r>
            <w:r>
              <w:rPr>
                <w:rFonts w:hint="eastAsia" w:ascii="宋体" w:hAnsi="宋体" w:cs="宋体"/>
                <w:b w:val="0"/>
                <w:bCs/>
                <w:szCs w:val="21"/>
                <w:highlight w:val="none"/>
              </w:rPr>
              <w:tab/>
            </w:r>
            <w:r>
              <w:rPr>
                <w:rFonts w:hint="eastAsia" w:ascii="宋体" w:hAnsi="宋体" w:cs="宋体"/>
                <w:b w:val="0"/>
                <w:bCs/>
                <w:szCs w:val="21"/>
                <w:highlight w:val="none"/>
              </w:rPr>
              <w:t xml:space="preserve">水平时基档位5ns/div -1000s/div，时基精度不高于25ppm </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9.</w:t>
            </w:r>
            <w:r>
              <w:rPr>
                <w:rFonts w:hint="eastAsia" w:ascii="宋体" w:hAnsi="宋体" w:cs="宋体"/>
                <w:b w:val="0"/>
                <w:bCs/>
                <w:szCs w:val="21"/>
                <w:highlight w:val="none"/>
              </w:rPr>
              <w:tab/>
            </w:r>
            <w:r>
              <w:rPr>
                <w:rFonts w:hint="eastAsia" w:ascii="宋体" w:hAnsi="宋体" w:cs="宋体"/>
                <w:b w:val="0"/>
                <w:bCs/>
                <w:szCs w:val="21"/>
                <w:highlight w:val="none"/>
              </w:rPr>
              <w:t>时基模式：Y-T、X-Y、Roll、延迟扫描、慢扫描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10.</w:t>
            </w:r>
            <w:r>
              <w:rPr>
                <w:rFonts w:hint="eastAsia" w:ascii="宋体" w:hAnsi="宋体" w:cs="宋体"/>
                <w:b w:val="0"/>
                <w:bCs/>
                <w:szCs w:val="21"/>
                <w:highlight w:val="none"/>
              </w:rPr>
              <w:tab/>
            </w:r>
            <w:r>
              <w:rPr>
                <w:rFonts w:hint="eastAsia" w:ascii="宋体" w:hAnsi="宋体" w:cs="宋体"/>
                <w:b w:val="0"/>
                <w:bCs/>
                <w:szCs w:val="21"/>
                <w:highlight w:val="none"/>
              </w:rPr>
              <w:t>水平参考：屏幕中心，触发位置，自定义</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11.</w:t>
            </w:r>
            <w:r>
              <w:rPr>
                <w:rFonts w:hint="eastAsia" w:ascii="宋体" w:hAnsi="宋体" w:cs="宋体"/>
                <w:b w:val="0"/>
                <w:bCs/>
                <w:szCs w:val="21"/>
                <w:highlight w:val="none"/>
              </w:rPr>
              <w:tab/>
            </w:r>
            <w:r>
              <w:rPr>
                <w:rFonts w:hint="eastAsia" w:ascii="宋体" w:hAnsi="宋体" w:cs="宋体"/>
                <w:b w:val="0"/>
                <w:bCs/>
                <w:szCs w:val="21"/>
                <w:highlight w:val="none"/>
              </w:rPr>
              <w:t>通道单位可选W”、“A”、“V”或“U，通道标签可编辑</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12.</w:t>
            </w:r>
            <w:r>
              <w:rPr>
                <w:rFonts w:hint="eastAsia" w:ascii="宋体" w:hAnsi="宋体" w:cs="宋体"/>
                <w:b w:val="0"/>
                <w:bCs/>
                <w:szCs w:val="21"/>
                <w:highlight w:val="none"/>
              </w:rPr>
              <w:tab/>
            </w:r>
            <w:r>
              <w:rPr>
                <w:rFonts w:hint="eastAsia" w:ascii="宋体" w:hAnsi="宋体" w:cs="宋体"/>
                <w:b w:val="0"/>
                <w:bCs/>
                <w:szCs w:val="21"/>
                <w:highlight w:val="none"/>
              </w:rPr>
              <w:t>平均值、峰值检测、普通和高分辨率四种采样方式，其中高分辨率采样方式可以提供12bit分辨率</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14.</w:t>
            </w:r>
            <w:r>
              <w:rPr>
                <w:rFonts w:hint="eastAsia" w:ascii="宋体" w:hAnsi="宋体" w:cs="宋体"/>
                <w:b w:val="0"/>
                <w:bCs/>
                <w:szCs w:val="21"/>
                <w:highlight w:val="none"/>
              </w:rPr>
              <w:tab/>
            </w:r>
            <w:r>
              <w:rPr>
                <w:rFonts w:hint="eastAsia" w:ascii="宋体" w:hAnsi="宋体" w:cs="宋体"/>
                <w:b w:val="0"/>
                <w:bCs/>
                <w:szCs w:val="21"/>
                <w:highlight w:val="none"/>
              </w:rPr>
              <w:t>★触发类型：</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标配：边沿触发、脉宽触发、欠幅触发、斜率触发、视频触发、码型触发、建立保持、RS232、I2C、SPI、超幅触发、第N边沿、高清视频触发、延迟触发、超时触发、持续时间触发、CAN触发、USB触发</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15.</w:t>
            </w:r>
            <w:r>
              <w:rPr>
                <w:rFonts w:hint="eastAsia" w:ascii="宋体" w:hAnsi="宋体" w:cs="宋体"/>
                <w:b w:val="0"/>
                <w:bCs/>
                <w:szCs w:val="21"/>
                <w:highlight w:val="none"/>
              </w:rPr>
              <w:tab/>
            </w:r>
            <w:r>
              <w:rPr>
                <w:rFonts w:hint="eastAsia" w:ascii="宋体" w:hAnsi="宋体" w:cs="宋体"/>
                <w:b w:val="0"/>
                <w:bCs/>
                <w:szCs w:val="21"/>
                <w:highlight w:val="none"/>
              </w:rPr>
              <w:t>解码：提供2个解码通道，标配并行解码，选配RS232, I2C, SPI, CAN</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16.</w:t>
            </w:r>
            <w:r>
              <w:rPr>
                <w:rFonts w:hint="eastAsia" w:ascii="宋体" w:hAnsi="宋体" w:cs="宋体"/>
                <w:b w:val="0"/>
                <w:bCs/>
                <w:szCs w:val="21"/>
                <w:highlight w:val="none"/>
              </w:rPr>
              <w:tab/>
            </w:r>
            <w:r>
              <w:rPr>
                <w:rFonts w:hint="eastAsia" w:ascii="宋体" w:hAnsi="宋体" w:cs="宋体"/>
                <w:b w:val="0"/>
                <w:bCs/>
                <w:szCs w:val="21"/>
                <w:highlight w:val="none"/>
              </w:rPr>
              <w:t>自动测量：29种参数，测量范围（屏幕或光标），提供专用测量键</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17.</w:t>
            </w:r>
            <w:r>
              <w:rPr>
                <w:rFonts w:hint="eastAsia" w:ascii="宋体" w:hAnsi="宋体" w:cs="宋体"/>
                <w:b w:val="0"/>
                <w:bCs/>
                <w:szCs w:val="21"/>
                <w:highlight w:val="none"/>
              </w:rPr>
              <w:tab/>
            </w:r>
            <w:r>
              <w:rPr>
                <w:rFonts w:hint="eastAsia" w:ascii="宋体" w:hAnsi="宋体" w:cs="宋体"/>
                <w:b w:val="0"/>
                <w:bCs/>
                <w:szCs w:val="21"/>
                <w:highlight w:val="none"/>
              </w:rPr>
              <w:t>提供5组统计，可显示当前值、平均值、最大值、最小值、标准差和测量次数</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18.</w:t>
            </w:r>
            <w:r>
              <w:rPr>
                <w:rFonts w:hint="eastAsia" w:ascii="宋体" w:hAnsi="宋体" w:cs="宋体"/>
                <w:b w:val="0"/>
                <w:bCs/>
                <w:szCs w:val="21"/>
                <w:highlight w:val="none"/>
              </w:rPr>
              <w:tab/>
            </w:r>
            <w:r>
              <w:rPr>
                <w:rFonts w:hint="eastAsia" w:ascii="宋体" w:hAnsi="宋体" w:cs="宋体"/>
                <w:b w:val="0"/>
                <w:bCs/>
                <w:szCs w:val="21"/>
                <w:highlight w:val="none"/>
              </w:rPr>
              <w:t>自动测量信源支持CH1-CH2和MATH</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19.</w:t>
            </w:r>
            <w:r>
              <w:rPr>
                <w:rFonts w:hint="eastAsia" w:ascii="宋体" w:hAnsi="宋体" w:cs="宋体"/>
                <w:b w:val="0"/>
                <w:bCs/>
                <w:szCs w:val="21"/>
                <w:highlight w:val="none"/>
              </w:rPr>
              <w:tab/>
            </w:r>
            <w:r>
              <w:rPr>
                <w:rFonts w:hint="eastAsia" w:ascii="宋体" w:hAnsi="宋体" w:cs="宋体"/>
                <w:b w:val="0"/>
                <w:bCs/>
                <w:szCs w:val="21"/>
                <w:highlight w:val="none"/>
              </w:rPr>
              <w:t>提供6位硬件频率计</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20.</w:t>
            </w:r>
            <w:r>
              <w:rPr>
                <w:rFonts w:hint="eastAsia" w:ascii="宋体" w:hAnsi="宋体" w:cs="宋体"/>
                <w:b w:val="0"/>
                <w:bCs/>
                <w:szCs w:val="21"/>
                <w:highlight w:val="none"/>
              </w:rPr>
              <w:tab/>
            </w:r>
            <w:r>
              <w:rPr>
                <w:rFonts w:hint="eastAsia" w:ascii="宋体" w:hAnsi="宋体" w:cs="宋体"/>
                <w:b w:val="0"/>
                <w:bCs/>
                <w:szCs w:val="21"/>
                <w:highlight w:val="none"/>
              </w:rPr>
              <w:t>具备加、减、乘、除、FFT，数字滤波，逻辑运算和可编辑高级运算功能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21.</w:t>
            </w:r>
            <w:r>
              <w:rPr>
                <w:rFonts w:hint="eastAsia" w:ascii="宋体" w:hAnsi="宋体" w:cs="宋体"/>
                <w:b w:val="0"/>
                <w:bCs/>
                <w:szCs w:val="21"/>
                <w:highlight w:val="none"/>
              </w:rPr>
              <w:tab/>
            </w:r>
            <w:r>
              <w:rPr>
                <w:rFonts w:hint="eastAsia" w:ascii="宋体" w:hAnsi="宋体" w:cs="宋体"/>
                <w:b w:val="0"/>
                <w:bCs/>
                <w:szCs w:val="21"/>
                <w:highlight w:val="none"/>
              </w:rPr>
              <w:t>参考波形：10组</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22.</w:t>
            </w:r>
            <w:r>
              <w:rPr>
                <w:rFonts w:hint="eastAsia" w:ascii="宋体" w:hAnsi="宋体" w:cs="宋体"/>
                <w:b w:val="0"/>
                <w:bCs/>
                <w:szCs w:val="21"/>
                <w:highlight w:val="none"/>
              </w:rPr>
              <w:tab/>
            </w:r>
            <w:r>
              <w:rPr>
                <w:rFonts w:hint="eastAsia" w:ascii="宋体" w:hAnsi="宋体" w:cs="宋体"/>
                <w:b w:val="0"/>
                <w:bCs/>
                <w:szCs w:val="21"/>
                <w:highlight w:val="none"/>
              </w:rPr>
              <w:t>通过失败测试，超限可报警，可输出脉冲信号</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23.</w:t>
            </w:r>
            <w:r>
              <w:rPr>
                <w:rFonts w:hint="eastAsia" w:ascii="宋体" w:hAnsi="宋体" w:cs="宋体"/>
                <w:b w:val="0"/>
                <w:bCs/>
                <w:szCs w:val="21"/>
                <w:highlight w:val="none"/>
              </w:rPr>
              <w:tab/>
            </w:r>
            <w:r>
              <w:rPr>
                <w:rFonts w:hint="eastAsia" w:ascii="宋体" w:hAnsi="宋体" w:cs="宋体"/>
                <w:b w:val="0"/>
                <w:bCs/>
                <w:szCs w:val="21"/>
                <w:highlight w:val="none"/>
              </w:rPr>
              <w:t>支持一键打印屏幕</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24.</w:t>
            </w:r>
            <w:r>
              <w:rPr>
                <w:rFonts w:hint="eastAsia" w:ascii="宋体" w:hAnsi="宋体" w:cs="宋体"/>
                <w:b w:val="0"/>
                <w:bCs/>
                <w:szCs w:val="21"/>
                <w:highlight w:val="none"/>
              </w:rPr>
              <w:tab/>
            </w:r>
            <w:r>
              <w:rPr>
                <w:rFonts w:hint="eastAsia" w:ascii="宋体" w:hAnsi="宋体" w:cs="宋体"/>
                <w:b w:val="0"/>
                <w:bCs/>
                <w:szCs w:val="21"/>
                <w:highlight w:val="none"/>
              </w:rPr>
              <w:t>支持PictBridge打印机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25.</w:t>
            </w:r>
            <w:r>
              <w:rPr>
                <w:rFonts w:hint="eastAsia" w:ascii="宋体" w:hAnsi="宋体" w:cs="宋体"/>
                <w:b w:val="0"/>
                <w:bCs/>
                <w:szCs w:val="21"/>
                <w:highlight w:val="none"/>
              </w:rPr>
              <w:tab/>
            </w:r>
            <w:r>
              <w:rPr>
                <w:rFonts w:hint="eastAsia" w:ascii="宋体" w:hAnsi="宋体" w:cs="宋体"/>
                <w:b w:val="0"/>
                <w:bCs/>
                <w:szCs w:val="21"/>
                <w:highlight w:val="none"/>
              </w:rPr>
              <w:t>支持一键恢复默认值</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26.</w:t>
            </w:r>
            <w:r>
              <w:rPr>
                <w:rFonts w:hint="eastAsia" w:ascii="宋体" w:hAnsi="宋体" w:cs="宋体"/>
                <w:b w:val="0"/>
                <w:bCs/>
                <w:szCs w:val="21"/>
                <w:highlight w:val="none"/>
              </w:rPr>
              <w:tab/>
            </w:r>
            <w:r>
              <w:rPr>
                <w:rFonts w:hint="eastAsia" w:ascii="宋体" w:hAnsi="宋体" w:cs="宋体"/>
                <w:b w:val="0"/>
                <w:bCs/>
                <w:szCs w:val="21"/>
                <w:highlight w:val="none"/>
              </w:rPr>
              <w:t>电源前开关状态支持常开，上电后可直接开机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27.</w:t>
            </w:r>
            <w:r>
              <w:rPr>
                <w:rFonts w:hint="eastAsia" w:ascii="宋体" w:hAnsi="宋体" w:cs="宋体"/>
                <w:b w:val="0"/>
                <w:bCs/>
                <w:szCs w:val="21"/>
                <w:highlight w:val="none"/>
              </w:rPr>
              <w:tab/>
            </w:r>
            <w:r>
              <w:rPr>
                <w:rFonts w:hint="eastAsia" w:ascii="宋体" w:hAnsi="宋体" w:cs="宋体"/>
                <w:b w:val="0"/>
                <w:bCs/>
                <w:szCs w:val="21"/>
                <w:highlight w:val="none"/>
              </w:rPr>
              <w:t>可设置余辉时间：最小值、具体值（50 ms至20 s）或无限</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28.</w:t>
            </w:r>
            <w:r>
              <w:rPr>
                <w:rFonts w:hint="eastAsia" w:ascii="宋体" w:hAnsi="宋体" w:cs="宋体"/>
                <w:b w:val="0"/>
                <w:bCs/>
                <w:szCs w:val="21"/>
                <w:highlight w:val="none"/>
              </w:rPr>
              <w:tab/>
            </w:r>
            <w:r>
              <w:rPr>
                <w:rFonts w:hint="eastAsia" w:ascii="宋体" w:hAnsi="宋体" w:cs="宋体"/>
                <w:b w:val="0"/>
                <w:bCs/>
                <w:szCs w:val="21"/>
                <w:highlight w:val="none"/>
              </w:rPr>
              <w:t>归档类型：轨迹，波形，设置，图像，CSV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29.</w:t>
            </w:r>
            <w:r>
              <w:rPr>
                <w:rFonts w:hint="eastAsia" w:ascii="宋体" w:hAnsi="宋体" w:cs="宋体"/>
                <w:b w:val="0"/>
                <w:bCs/>
                <w:szCs w:val="21"/>
                <w:highlight w:val="none"/>
              </w:rPr>
              <w:tab/>
            </w:r>
            <w:r>
              <w:rPr>
                <w:rFonts w:hint="eastAsia" w:ascii="宋体" w:hAnsi="宋体" w:cs="宋体"/>
                <w:b w:val="0"/>
                <w:bCs/>
                <w:szCs w:val="21"/>
                <w:highlight w:val="none"/>
              </w:rPr>
              <w:t>提供两种免费PC控制软件（UltraSigma，UltraScope）</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30.★丰富的接口：USB Host&amp;Device、LAN接口符合LXI协议，LXI接口标准网站可查询、AUX（通过/失败，触发输出）、USB-GPIB（可选）</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8英寸WVGA(800x480)，14 x 8div，256 级灰度显示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★提供两种免费PC控制软件，提供正版电路仿真软件NI Multisim学生版和虚拟仪器开发软件NI LabVIEW学生版，仪器可通过LabVIEW编程控制，并提供《电工电子实验》课程标准实验课件，内容包括如何基于Multisim和LabVIEW软件以及测量仪器完成电工电子常见实验内容。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cs="宋体"/>
                <w:b w:val="0"/>
                <w:bCs/>
                <w:szCs w:val="21"/>
                <w:highlight w:val="none"/>
                <w:lang w:val="en-US" w:eastAsia="zh-CN"/>
              </w:rPr>
              <w:t>4</w:t>
            </w:r>
            <w:bookmarkStart w:id="191" w:name="_GoBack"/>
            <w:bookmarkEnd w:id="191"/>
            <w:r>
              <w:rPr>
                <w:rFonts w:hint="eastAsia" w:ascii="宋体" w:hAnsi="宋体" w:cs="宋体"/>
                <w:b w:val="0"/>
                <w:bCs/>
                <w:szCs w:val="21"/>
                <w:highlight w:val="none"/>
              </w:rPr>
              <w:t>通道数字存储示波器</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带宽:≥100MHz </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★4个模拟通道；支持16个数字通道输入</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垂直灵敏度范围：500 uV/div~10 V/div </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★实时采样率：模拟通道≥8 GSa/s，数字通道≥1 GSa/s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★存储深度：≥100 Mpts，可升级200Mpts，数字通道≥25Mpts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波形捕获率≥500,000个波形每秒</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★≥45 万帧的硬件实时波形不间断录制和回放功能，须机器本体实现此功能，无需外接设备，录制后可以以色温方式显示各个波形差异程度；</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支持2路25MHz函数/任意波形发生器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提供数字电压表、6位频率计和48位累加器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 xml:space="preserve">水平时基档位1ns/div -1000s/div，时基精度 ±10ppm±10ppm/年 </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时基模式：Y-T、X-Y、Roll、延迟扫描、慢扫描（scan）</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水平参考：屏幕中心，屏幕左侧，屏幕右侧，触发位置，自定义</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通道单位可选W”、“A”、“V”或“U”，通道标签可编辑</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平均值、峰值检测、普通、高分辨率四种种采样方式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独立的搜索、导航按键和事件列表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触发类型：标配：边沿、脉宽、斜率、视频、码型、持续时间、超时、欠幅脉冲、超幅、延迟、建立保持、第N边沿触发,选配：RS232、UART、I2C、SPI、CAN、FlexRay、LIN、I2S、MIL-STD-1553</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解码：提供4个解码通道</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自动测量：精确测量和普通测量两种模式，支持全内存硬件精确测量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自动测量：41种参数，测量范围：主时基、扩展时基、光标；提供全内存硬件测量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★可以同时显示4个MAT和波形，支持高通，低通，带通，带阻滤波器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提供10组统计，可显示当前值、平均值、最大值、最小值、标准差和测量次数</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自动测量信源支持CH1~CH4、Math1~Math4、D0~D15</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波形运算：支持同时显示4个数字函数</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波形运算：加、减、乘、除、FFT、与、或、非、异或、Intg、Diff、Lg、Ln、Exp、Sqrt、Abs、AX+B、低通滤波、高通滤波、带通滤波、带阻滤波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通过失败测试，支持失败图形保存，超限可报警，可设置输出脉冲信号</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用户可定义的Quick一键快捷操作,快捷键功能用户可设置</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支持一键恢复默认值</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可设置余辉时间：最小值、具体值（（100ms、200 ms、500 ms、1 s、2 s、5 s 和10 s）或无限</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归档类型：轨迹，波形，设置，图像，CSV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提供两种免费PC控制软件（UltraSigma，UltraScope，Ultra Station）</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★≥丰富的接口：USB Host&amp;Device、LAN（需通过LXI-C认证）、HDMI、AUX（通过/失败，触发输出）、USB-GPIB（可选）</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★≥9英寸多点触控电容屏/支持手势操作 显示分辨率1024×600</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支持在线机器软件版本升级功能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★支持Web Control远程控制，仪器联网后在浏览器输入IP地址即可显示仪器界面，并点击界面控制仪器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★支持伯德图绘制功能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支持USB和网络打印机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标配波形直方图分析</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提供模拟通道波形的色温显示，不同颜色表示数据采集的次数或概率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5</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任意信号发生器</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1.标配等性能双通道，频率25M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2.★逐点生成任意波形，采样率1HZ精确可调</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3.★每通道任意波长度2Mpts；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4.内置8次谐波发生器，可按奇次，偶次，顺序，自定义方式输出；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5.扫频功能，支持线性/对数/步进方式，可设置起始/终止/返回时间和标记频率；</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6.内置7 Digits，240MHz带宽频率计，可测量频率、周期、占空比、正脉宽和负脉宽，统计结果以“数字”和“动态曲线”来显示；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7.★160种内建任意波形，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8.★实时采样率250MSa/s，垂直分辨率：16bits；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9.输出特性(50欧)：1mVpp 至10Vpp；</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10.★伪随机二级制序列波形支持到50Mbps；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11.调制功能：AM、FM、PM、ASK、FSK、PSK和PWM；</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12.配备波形叠加功能，可以在基本波形的基础上叠加指定波形后输出；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13.★RS232波特率可选范围：9600，14400，19200，38400，57600，115200，128000，230400</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14.配备通道耦合功能，支持频率/幅度/相位耦合；</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15.通道输出模式，支持常规和门控；</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16.★可以通过U盘读取图片方式定制开机界面；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17.★支持接口：USB Host，USB Device(TMC)、USB-LAN(LXI)，USB-WIFI，与同品牌示波器无缝互联；LAN接口符合LXI协议，LXI接口标准网站可查询。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18.★4.3英寸TFT 彩色电容触摸显示屏，多手势操作，支持滑动屏幕操作，符合现代用户使用习惯</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19.具备过压过流保护功能，电流保护：大于240mA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20.★提供正版电路仿真软件NI Multisim学生版和虚拟仪器开发软件NI LabVIEW学生版，仪器可通过LabVIEW编程控制，并提供《电工电子实验》课程标准实验课件，内容包括如何基于Multisim和LabVIEW软件以及测量仪器完成电工电子常见实验内容。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6</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交直流数字功率计</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宽范围输入：电压：75mV~600V；电流：0.025mA~20A；频率：DC、0.5Hz~100kHz。</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四窗口显示：V、A、W、var、VA、Vpk、Apk、VHz、AHz、PF、Deg、VCF、ACF、Ah+、Ah-、Wh+、Wh-、V%THD、A%THD、V∑、A∑、W∑、Vi、Ai、Wi、Vi%、Ai%（i：谐波次数）</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自动量程功能：常规测量时指定量程的自动跳转功能，积分功能时自动量程功能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多功能同时测量：可同时进行常规测量、谐波测量和积分测量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数据存储/调出功能：支持测量数据和测量配置存储，可通过PC软件读取调用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谐波分析功能：采用锁相环（PLL）同步技术，可分析基波频率20Hz~2.56kHz的电压、电流的总谐波失真、总谐波电压、总谐波电流、总谐波功率、2-50次各次谐波的有效值和相对值。</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变比功能：可使用电压互感器（PT）、电流互感器（CT）或电压输出型电流传感器扩展量程，变比（SCALING）功能将测量结果直接换算成真实值显示输出。</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电能量积分模式：手动积分、标准积分或连续重复积分，积分时间可设定</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平均功能：当因被测信号不稳定而读数困难时，可使用平均（AVG）功能将测量值进行平均运算后再显示输出，有指数平均（EXP）和算术移动平均（MOV）两种方式。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滤波功能：可选OFF、500Hz、5kHz频率滤波器或线路滤波器。</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数据保持功能：可保持电压、电流的真有效值与峰值、有功功率、无功功率、视在功率的最大值。</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快速显示与数据更新：数据更新率可供选择，最快可达0.1s。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★PC软件：提供专用应用软件，快速设置测量参数，获取测量数据与波形。</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通讯接口：标配USB，RS-232（可选），GP-IB（可选）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4"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7</w:t>
            </w:r>
          </w:p>
        </w:tc>
        <w:tc>
          <w:tcPr>
            <w:tcW w:w="1020"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center"/>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直流电子负载</w:t>
            </w:r>
          </w:p>
        </w:tc>
        <w:tc>
          <w:tcPr>
            <w:tcW w:w="7771" w:type="dxa"/>
            <w:vAlign w:val="center"/>
          </w:tcPr>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★电压范围：0-120V</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★电流范围：0-240A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★额定功率：不小于1500W</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定电压模式:</w:t>
            </w:r>
            <w:r>
              <w:rPr>
                <w:rFonts w:hint="eastAsia" w:ascii="宋体" w:hAnsi="宋体" w:cs="宋体"/>
                <w:b w:val="0"/>
                <w:bCs/>
                <w:szCs w:val="21"/>
                <w:highlight w:val="none"/>
              </w:rPr>
              <w:br w:type="textWrapping"/>
            </w:r>
            <w:r>
              <w:rPr>
                <w:rFonts w:hint="eastAsia" w:ascii="宋体" w:hAnsi="宋体" w:cs="宋体"/>
                <w:b w:val="0"/>
                <w:bCs/>
                <w:szCs w:val="21"/>
                <w:highlight w:val="none"/>
              </w:rPr>
              <w:t>0~18V,分辨率1mV,精度0.05%+0.02%FS</w:t>
            </w:r>
            <w:r>
              <w:rPr>
                <w:rFonts w:hint="eastAsia" w:ascii="宋体" w:hAnsi="宋体" w:cs="宋体"/>
                <w:b w:val="0"/>
                <w:bCs/>
                <w:szCs w:val="21"/>
                <w:highlight w:val="none"/>
              </w:rPr>
              <w:br w:type="textWrapping"/>
            </w:r>
            <w:r>
              <w:rPr>
                <w:rFonts w:hint="eastAsia" w:ascii="宋体" w:hAnsi="宋体" w:cs="宋体"/>
                <w:b w:val="0"/>
                <w:bCs/>
                <w:szCs w:val="21"/>
                <w:highlight w:val="none"/>
              </w:rPr>
              <w:t>0-120V分辨率10mV,精度0.05%+0.025%FS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定电流模式:</w:t>
            </w:r>
            <w:r>
              <w:rPr>
                <w:rFonts w:hint="eastAsia" w:ascii="宋体" w:hAnsi="宋体" w:cs="宋体"/>
                <w:b w:val="0"/>
                <w:bCs/>
                <w:szCs w:val="21"/>
                <w:highlight w:val="none"/>
              </w:rPr>
              <w:br w:type="textWrapping"/>
            </w:r>
            <w:r>
              <w:rPr>
                <w:rFonts w:hint="eastAsia" w:ascii="宋体" w:hAnsi="宋体" w:cs="宋体"/>
                <w:b w:val="0"/>
                <w:bCs/>
                <w:szCs w:val="21"/>
                <w:highlight w:val="none"/>
              </w:rPr>
              <w:t>0-24A,分辨率1mA,精度0.1%+0.1%FS</w:t>
            </w:r>
            <w:r>
              <w:rPr>
                <w:rFonts w:hint="eastAsia" w:ascii="宋体" w:hAnsi="宋体" w:cs="宋体"/>
                <w:b w:val="0"/>
                <w:bCs/>
                <w:szCs w:val="21"/>
                <w:highlight w:val="none"/>
              </w:rPr>
              <w:br w:type="textWrapping"/>
            </w:r>
            <w:r>
              <w:rPr>
                <w:rFonts w:hint="eastAsia" w:ascii="宋体" w:hAnsi="宋体" w:cs="宋体"/>
                <w:b w:val="0"/>
                <w:bCs/>
                <w:szCs w:val="21"/>
                <w:highlight w:val="none"/>
              </w:rPr>
              <w:t>0-240A,分辨率10mA，精度0.2%+0.15%FS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定电阻模式：</w:t>
            </w:r>
            <w:r>
              <w:rPr>
                <w:rFonts w:hint="eastAsia" w:ascii="宋体" w:hAnsi="宋体" w:cs="宋体"/>
                <w:b w:val="0"/>
                <w:bCs/>
                <w:szCs w:val="21"/>
                <w:highlight w:val="none"/>
              </w:rPr>
              <w:br w:type="textWrapping"/>
            </w:r>
            <w:r>
              <w:rPr>
                <w:rFonts w:hint="eastAsia" w:ascii="宋体" w:hAnsi="宋体" w:cs="宋体"/>
                <w:b w:val="0"/>
                <w:bCs/>
                <w:szCs w:val="21"/>
                <w:highlight w:val="none"/>
              </w:rPr>
              <w:t>0.1-99Ω，分辨率0.01Ω，精度1%+0.3%FS</w:t>
            </w:r>
            <w:r>
              <w:rPr>
                <w:rFonts w:hint="eastAsia" w:ascii="宋体" w:hAnsi="宋体" w:cs="宋体"/>
                <w:b w:val="0"/>
                <w:bCs/>
                <w:szCs w:val="21"/>
                <w:highlight w:val="none"/>
              </w:rPr>
              <w:br w:type="textWrapping"/>
            </w:r>
            <w:r>
              <w:rPr>
                <w:rFonts w:hint="eastAsia" w:ascii="宋体" w:hAnsi="宋体" w:cs="宋体"/>
                <w:b w:val="0"/>
                <w:bCs/>
                <w:szCs w:val="21"/>
                <w:highlight w:val="none"/>
              </w:rPr>
              <w:t>100-4KΩ，分辨率1Ω，精度1%+0.8%FS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定功率模式：</w:t>
            </w:r>
            <w:r>
              <w:rPr>
                <w:rFonts w:hint="eastAsia" w:ascii="宋体" w:hAnsi="宋体" w:cs="宋体"/>
                <w:b w:val="0"/>
                <w:bCs/>
                <w:szCs w:val="21"/>
                <w:highlight w:val="none"/>
              </w:rPr>
              <w:br w:type="textWrapping"/>
            </w:r>
            <w:r>
              <w:rPr>
                <w:rFonts w:hint="eastAsia" w:ascii="宋体" w:hAnsi="宋体" w:cs="宋体"/>
                <w:b w:val="0"/>
                <w:bCs/>
                <w:szCs w:val="21"/>
                <w:highlight w:val="none"/>
              </w:rPr>
              <w:t>0-100W，分辨率1mW，精度1%+0.1%FS</w:t>
            </w:r>
            <w:r>
              <w:rPr>
                <w:rFonts w:hint="eastAsia" w:ascii="宋体" w:hAnsi="宋体" w:cs="宋体"/>
                <w:b w:val="0"/>
                <w:bCs/>
                <w:szCs w:val="21"/>
                <w:highlight w:val="none"/>
              </w:rPr>
              <w:br w:type="textWrapping"/>
            </w:r>
            <w:r>
              <w:rPr>
                <w:rFonts w:hint="eastAsia" w:ascii="宋体" w:hAnsi="宋体" w:cs="宋体"/>
                <w:b w:val="0"/>
                <w:bCs/>
                <w:szCs w:val="21"/>
                <w:highlight w:val="none"/>
              </w:rPr>
              <w:t>100W-1200W，分辨率100mW，精度1%+0.1%FS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电压量测：</w:t>
            </w:r>
            <w:r>
              <w:rPr>
                <w:rFonts w:hint="eastAsia" w:ascii="宋体" w:hAnsi="宋体" w:cs="宋体"/>
                <w:b w:val="0"/>
                <w:bCs/>
                <w:szCs w:val="21"/>
                <w:highlight w:val="none"/>
              </w:rPr>
              <w:br w:type="textWrapping"/>
            </w:r>
            <w:r>
              <w:rPr>
                <w:rFonts w:hint="eastAsia" w:ascii="宋体" w:hAnsi="宋体" w:cs="宋体"/>
                <w:b w:val="0"/>
                <w:bCs/>
                <w:szCs w:val="21"/>
                <w:highlight w:val="none"/>
              </w:rPr>
              <w:t>0-18V，分辨率1mV，精度0.02%+0.02%FS</w:t>
            </w:r>
            <w:r>
              <w:rPr>
                <w:rFonts w:hint="eastAsia" w:ascii="宋体" w:hAnsi="宋体" w:cs="宋体"/>
                <w:b w:val="0"/>
                <w:bCs/>
                <w:szCs w:val="21"/>
                <w:highlight w:val="none"/>
              </w:rPr>
              <w:br w:type="textWrapping"/>
            </w:r>
            <w:r>
              <w:rPr>
                <w:rFonts w:hint="eastAsia" w:ascii="宋体" w:hAnsi="宋体" w:cs="宋体"/>
                <w:b w:val="0"/>
                <w:bCs/>
                <w:szCs w:val="21"/>
                <w:highlight w:val="none"/>
              </w:rPr>
              <w:t>0-120V，分辨率10mV，精度0.02%+0.025%FS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电流量测：</w:t>
            </w:r>
            <w:r>
              <w:rPr>
                <w:rFonts w:hint="eastAsia" w:ascii="宋体" w:hAnsi="宋体" w:cs="宋体"/>
                <w:b w:val="0"/>
                <w:bCs/>
                <w:szCs w:val="21"/>
                <w:highlight w:val="none"/>
              </w:rPr>
              <w:br w:type="textWrapping"/>
            </w:r>
            <w:r>
              <w:rPr>
                <w:rFonts w:hint="eastAsia" w:ascii="宋体" w:hAnsi="宋体" w:cs="宋体"/>
                <w:b w:val="0"/>
                <w:bCs/>
                <w:szCs w:val="21"/>
                <w:highlight w:val="none"/>
              </w:rPr>
              <w:t>0-24A，分辨率1mA，精度0.1%+0.1%FS</w:t>
            </w:r>
            <w:r>
              <w:rPr>
                <w:rFonts w:hint="eastAsia" w:ascii="宋体" w:hAnsi="宋体" w:cs="宋体"/>
                <w:b w:val="0"/>
                <w:bCs/>
                <w:szCs w:val="21"/>
                <w:highlight w:val="none"/>
              </w:rPr>
              <w:br w:type="textWrapping"/>
            </w:r>
            <w:r>
              <w:rPr>
                <w:rFonts w:hint="eastAsia" w:ascii="宋体" w:hAnsi="宋体" w:cs="宋体"/>
                <w:b w:val="0"/>
                <w:bCs/>
                <w:szCs w:val="21"/>
                <w:highlight w:val="none"/>
              </w:rPr>
              <w:t>0-240A，分辨率10mA，精度0.2%+0.15%FS</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短路测试：</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短路电流，IT8513C≈120A IT8514C≈240A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内阻：IT8513C≈15mΩ IT8514C≈8mΩ</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容量：MAX999AH</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测试速率：0.1Hz-1KHz</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四种操作模式：定电压、定电流、定电阻、定功率</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电池测试功能、自动测试功能、过功率测试功能、过电流测试功能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高达10KHz动态模式</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电压测量分辨率最高可达0.1mV/0.1mA</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远端量测功能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短路功能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电流监控功能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断电保持记忆功能</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记忆容量100组</w:t>
            </w:r>
          </w:p>
          <w:p>
            <w:pPr>
              <w:keepNext w:val="0"/>
              <w:keepLines w:val="0"/>
              <w:pageBreakBefore w:val="0"/>
              <w:widowControl w:val="0"/>
              <w:kinsoku/>
              <w:wordWrap/>
              <w:overflowPunct/>
              <w:topLinePunct w:val="0"/>
              <w:autoSpaceDE/>
              <w:autoSpaceDN/>
              <w:bidi w:val="0"/>
              <w:adjustRightInd/>
              <w:snapToGrid/>
              <w:spacing w:before="192" w:beforeLines="50" w:after="192" w:afterLines="50" w:line="360" w:lineRule="auto"/>
              <w:ind w:left="0" w:leftChars="0" w:right="0" w:rightChars="0" w:firstLine="0" w:firstLineChars="0"/>
              <w:jc w:val="both"/>
              <w:textAlignment w:val="auto"/>
              <w:outlineLvl w:val="9"/>
              <w:rPr>
                <w:rFonts w:hint="eastAsia" w:ascii="宋体" w:hAnsi="宋体" w:cs="宋体"/>
                <w:b w:val="0"/>
                <w:bCs/>
                <w:szCs w:val="21"/>
                <w:highlight w:val="none"/>
              </w:rPr>
            </w:pPr>
            <w:r>
              <w:rPr>
                <w:rFonts w:hint="eastAsia" w:ascii="宋体" w:hAnsi="宋体" w:cs="宋体"/>
                <w:b w:val="0"/>
                <w:bCs/>
                <w:szCs w:val="21"/>
                <w:highlight w:val="none"/>
              </w:rPr>
              <w:t>可选配USB/RS232/RS485接口</w:t>
            </w:r>
          </w:p>
        </w:tc>
      </w:tr>
    </w:tbl>
    <w:p>
      <w:pPr>
        <w:rPr>
          <w:rFonts w:hint="eastAsia"/>
          <w:highlight w:val="none"/>
          <w:lang w:eastAsia="zh-CN"/>
        </w:rPr>
      </w:pPr>
      <w:r>
        <w:rPr>
          <w:rFonts w:hint="eastAsia"/>
          <w:highlight w:val="none"/>
          <w:lang w:eastAsia="zh-CN"/>
        </w:rPr>
        <w:br w:type="page"/>
      </w:r>
    </w:p>
    <w:p>
      <w:pPr>
        <w:pStyle w:val="2"/>
        <w:bidi w:val="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第三章 投标人须知</w:t>
      </w:r>
      <w:bookmarkEnd w:id="39"/>
      <w:bookmarkEnd w:id="40"/>
    </w:p>
    <w:p>
      <w:pPr>
        <w:pStyle w:val="3"/>
        <w:bidi w:val="0"/>
        <w:ind w:left="0" w:leftChars="0" w:right="0" w:rightChars="0" w:firstLine="0" w:firstLineChars="0"/>
        <w:jc w:val="center"/>
        <w:rPr>
          <w:rFonts w:hint="eastAsia" w:ascii="宋体" w:hAnsi="宋体" w:eastAsia="宋体" w:cs="宋体"/>
          <w:color w:val="auto"/>
          <w:highlight w:val="none"/>
        </w:rPr>
      </w:pPr>
      <w:bookmarkStart w:id="41" w:name="_Toc8778"/>
      <w:bookmarkStart w:id="42" w:name="_Toc12845"/>
      <w:bookmarkStart w:id="43" w:name="_Toc2290"/>
      <w:bookmarkStart w:id="44" w:name="_Toc21699"/>
      <w:bookmarkStart w:id="45" w:name="_Toc452457413"/>
      <w:r>
        <w:rPr>
          <w:rFonts w:hint="eastAsia" w:ascii="宋体" w:hAnsi="宋体" w:eastAsia="宋体" w:cs="宋体"/>
          <w:color w:val="auto"/>
          <w:highlight w:val="none"/>
        </w:rPr>
        <w:t>前 附 表</w:t>
      </w:r>
      <w:bookmarkEnd w:id="41"/>
      <w:bookmarkEnd w:id="42"/>
      <w:bookmarkEnd w:id="43"/>
      <w:bookmarkEnd w:id="44"/>
      <w:bookmarkEnd w:id="45"/>
    </w:p>
    <w:p>
      <w:pPr>
        <w:pStyle w:val="10"/>
        <w:ind w:left="0" w:leftChars="0" w:firstLine="0" w:firstLineChars="0"/>
        <w:rPr>
          <w:rFonts w:hint="eastAsia" w:ascii="宋体" w:hAnsi="宋体" w:eastAsia="宋体" w:cs="宋体"/>
          <w:color w:val="auto"/>
          <w:highlight w:val="none"/>
        </w:rPr>
      </w:pPr>
    </w:p>
    <w:tbl>
      <w:tblPr>
        <w:tblStyle w:val="46"/>
        <w:tblW w:w="95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944"/>
        <w:gridCol w:w="6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6"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事项</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项目概况</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采购人：</w:t>
            </w:r>
            <w:r>
              <w:rPr>
                <w:rFonts w:hint="eastAsia" w:cs="宋体"/>
                <w:color w:val="auto"/>
                <w:highlight w:val="none"/>
                <w:lang w:val="en-US" w:eastAsia="zh-CN"/>
              </w:rPr>
              <w:t>浙江海洋大学</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项目名称：</w:t>
            </w:r>
            <w:r>
              <w:rPr>
                <w:rFonts w:hint="eastAsia" w:cs="宋体"/>
                <w:color w:val="auto"/>
                <w:highlight w:val="none"/>
                <w:lang w:val="en-US" w:eastAsia="zh-CN"/>
              </w:rPr>
              <w:t>浙江海洋大学实验教学设备采购项目</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招标编号：</w:t>
            </w:r>
            <w:r>
              <w:rPr>
                <w:rFonts w:hint="eastAsia" w:cs="宋体"/>
                <w:color w:val="auto"/>
                <w:highlight w:val="none"/>
                <w:lang w:val="en-US" w:eastAsia="zh-CN"/>
              </w:rPr>
              <w:t>ZJWS-20210137HY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采购方式及评标办法</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经批准或确认的本次采购方式：公开招标</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评标办法：综合评分法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bidi w:val="0"/>
              <w:spacing w:line="240" w:lineRule="auto"/>
              <w:ind w:firstLine="0" w:firstLine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投标文件</w:t>
            </w:r>
            <w:r>
              <w:rPr>
                <w:rFonts w:hint="eastAsia" w:ascii="宋体" w:hAnsi="宋体" w:eastAsia="宋体" w:cs="宋体"/>
                <w:b w:val="0"/>
                <w:bCs w:val="0"/>
                <w:color w:val="auto"/>
                <w:sz w:val="24"/>
                <w:szCs w:val="24"/>
                <w:highlight w:val="none"/>
                <w:lang w:val="en-US" w:eastAsia="zh-CN"/>
              </w:rPr>
              <w:t>编制</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资格证明文件和报价文件、商务技术文件</w:t>
            </w:r>
            <w:r>
              <w:rPr>
                <w:rFonts w:hint="eastAsia" w:ascii="宋体" w:hAnsi="宋体" w:eastAsia="宋体" w:cs="宋体"/>
                <w:color w:val="auto"/>
                <w:highlight w:val="none"/>
                <w:lang w:val="en-US" w:eastAsia="zh-CN"/>
              </w:rPr>
              <w:t>分别</w:t>
            </w:r>
            <w:r>
              <w:rPr>
                <w:rFonts w:hint="eastAsia" w:ascii="宋体" w:hAnsi="宋体" w:eastAsia="宋体" w:cs="宋体"/>
                <w:color w:val="auto"/>
                <w:highlight w:val="none"/>
              </w:rPr>
              <w:t>单独装订成册</w:t>
            </w:r>
            <w:r>
              <w:rPr>
                <w:rFonts w:hint="eastAsia" w:ascii="宋体" w:hAnsi="宋体" w:eastAsia="宋体" w:cs="宋体"/>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bidi w:val="0"/>
              <w:adjustRightInd w:val="0"/>
              <w:snapToGrid w:val="0"/>
              <w:spacing w:line="240" w:lineRule="auto"/>
              <w:ind w:firstLine="0" w:firstLine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投标文件份数</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纸质版：正本一份，副本四份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投标有效期</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从提交投标文件的截止之日起90天。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现场踏勘</w:t>
            </w:r>
            <w:r>
              <w:rPr>
                <w:rFonts w:hint="eastAsia" w:ascii="宋体" w:hAnsi="宋体" w:eastAsia="宋体" w:cs="宋体"/>
                <w:color w:val="auto"/>
                <w:highlight w:val="none"/>
                <w:lang w:val="en-US" w:eastAsia="zh-CN"/>
              </w:rPr>
              <w:t>/样品/演示</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rPr>
            </w:pPr>
            <w:r>
              <w:rPr>
                <w:rFonts w:hint="eastAsia" w:ascii="宋体" w:hAnsi="宋体" w:eastAsia="宋体" w:cs="宋体"/>
                <w:color w:val="auto"/>
                <w:highlight w:val="none"/>
              </w:rPr>
              <w:t xml:space="preserve">现场踏勘：□ </w:t>
            </w:r>
            <w:r>
              <w:rPr>
                <w:rFonts w:hint="eastAsia" w:ascii="宋体" w:hAnsi="宋体" w:eastAsia="宋体" w:cs="宋体"/>
                <w:color w:val="auto"/>
                <w:highlight w:val="none"/>
                <w:lang w:val="en-US" w:eastAsia="zh-CN"/>
              </w:rPr>
              <w:t>组织；</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不组织</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样品：</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提供；</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不提供</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演示：</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提供；</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信息公告及评标结果公告媒体</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sz w:val="24"/>
                <w:szCs w:val="24"/>
                <w:highlight w:val="none"/>
              </w:rPr>
              <w:t>浙江政府采购网（http://zfcg.czt.zj.gov.cn）、浙江五石工程咨询有限公司官网：（http://zjwsbidding.com/）上发布。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报价要求</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highlight w:val="none"/>
              </w:rPr>
            </w:pPr>
            <w:r>
              <w:rPr>
                <w:rFonts w:hint="eastAsia"/>
                <w:highlight w:val="none"/>
              </w:rPr>
              <w:t>1.</w:t>
            </w:r>
            <w:r>
              <w:rPr>
                <w:rFonts w:hint="eastAsia"/>
                <w:highlight w:val="none"/>
                <w:lang w:eastAsia="zh-CN"/>
              </w:rPr>
              <w:t>总价，人民币</w:t>
            </w:r>
            <w:r>
              <w:rPr>
                <w:rFonts w:hint="eastAsia"/>
                <w:highlight w:val="none"/>
              </w:rPr>
              <w:t>报价；</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highlight w:val="none"/>
                <w:lang w:val="en-US" w:eastAsia="zh-CN"/>
              </w:rPr>
            </w:pPr>
            <w:r>
              <w:rPr>
                <w:rFonts w:hint="eastAsia"/>
                <w:highlight w:val="none"/>
              </w:rPr>
              <w:t>2.报价内容：本项目为交钥匙价，报价应包含按要求完成本项目的所有费用，包含但不仅限于项目实施所需的软件、硬件、附件、备品备件等费用，以及本项目在实施过程中涉及的专用工具、安装、调试、检验、培训、技术服务、运杂、保险费、税金、验收检定、首次第三方计量/验收的费用供应商认为需要的所有费用。中标价格一经确定，除采购单位要求的追加或变动项目外，不再另行支付任何费用。采购文件未列明，而投标人认为必需的费用也需列入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合同签订</w:t>
            </w:r>
          </w:p>
        </w:tc>
        <w:tc>
          <w:tcPr>
            <w:tcW w:w="667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中标通知书发出后30日内，中标供应商持中标通知书与采购人签订合同</w:t>
            </w:r>
            <w:r>
              <w:rPr>
                <w:rFonts w:hint="eastAsia" w:cs="宋体"/>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采购机构代理费用</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1.参照国家发改委发改办价格[2003]857号通知和原国家计[2002]1980号文件规定的招标费率标准，按照成交通知书确定的金额</w:t>
            </w:r>
            <w:r>
              <w:rPr>
                <w:rFonts w:hint="eastAsia" w:cs="宋体"/>
                <w:color w:val="auto"/>
                <w:highlight w:val="none"/>
                <w:lang w:val="en-US" w:eastAsia="zh-CN"/>
              </w:rPr>
              <w:t>0.5%</w:t>
            </w:r>
            <w:r>
              <w:rPr>
                <w:rFonts w:hint="eastAsia" w:ascii="宋体" w:hAnsi="宋体" w:eastAsia="宋体" w:cs="宋体"/>
                <w:color w:val="auto"/>
                <w:highlight w:val="none"/>
              </w:rPr>
              <w:t>，向</w:t>
            </w:r>
            <w:r>
              <w:rPr>
                <w:rFonts w:hint="eastAsia" w:ascii="宋体" w:hAnsi="宋体" w:eastAsia="宋体" w:cs="宋体"/>
                <w:color w:val="auto"/>
                <w:highlight w:val="none"/>
                <w:lang w:eastAsia="zh-CN"/>
              </w:rPr>
              <w:t>中</w:t>
            </w:r>
            <w:r>
              <w:rPr>
                <w:rFonts w:hint="eastAsia" w:ascii="宋体" w:hAnsi="宋体" w:eastAsia="宋体" w:cs="宋体"/>
                <w:color w:val="auto"/>
                <w:highlight w:val="none"/>
              </w:rPr>
              <w:t>标人收取招标代理服务费。服务费须包含在总报价中，并以人民币方式支付。</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2.中标人在领取中标通知书后应向招标代理机构交纳招标代理服务费。</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3.招标代理服务费以现金或电汇方式支付。</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户名：浙江五石工程咨询有限公司宁波分公司</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开户银行：中国建设银行宁波市段塘支行</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账号：33101984336050506455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中标后注意事项</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1.若中标人未在约定时间内支付招标代理服务费，从逾期之日起按日利率千分之一承担违约金。</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2.若中标人未按上述规定办理，需承担招标代理机构为实现债权的所有费用（包括但不限于律师费、催讨车旅费、保全担保费等）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b w:val="0"/>
                <w:bCs w:val="0"/>
                <w:color w:val="auto"/>
                <w:sz w:val="24"/>
                <w:szCs w:val="24"/>
                <w:highlight w:val="none"/>
              </w:rPr>
              <w:t>投标保证金</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其他说明</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带“</w:t>
            </w:r>
            <w:r>
              <w:rPr>
                <w:rFonts w:hint="eastAsia" w:ascii="宋体" w:hAnsi="宋体" w:eastAsia="宋体" w:cs="宋体"/>
                <w:color w:val="auto"/>
                <w:highlight w:val="none"/>
              </w:rPr>
              <w:t>▲”的条款是实质性条款，投标文件须作出实质性响应，否则作无效投标处理。</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为了节约社会资源，所有获取招标文件的潜在投标人如果放弃投标请务必在投标截止时间 48 小时前将盖章的放弃投标函 发至采购代理机构，格式详见附件，谢谢配合。（将扫描件发送至代理机构联系人邮箱：</w:t>
            </w:r>
            <w:r>
              <w:rPr>
                <w:rFonts w:hint="eastAsia" w:ascii="宋体" w:hAnsi="宋体" w:eastAsia="宋体" w:cs="宋体"/>
                <w:color w:val="auto"/>
                <w:highlight w:val="none"/>
                <w:lang w:val="en-US" w:eastAsia="zh-CN"/>
              </w:rPr>
              <w:fldChar w:fldCharType="begin"/>
            </w:r>
            <w:r>
              <w:rPr>
                <w:rFonts w:hint="eastAsia" w:ascii="宋体" w:hAnsi="宋体" w:eastAsia="宋体" w:cs="宋体"/>
                <w:color w:val="auto"/>
                <w:highlight w:val="none"/>
                <w:lang w:val="en-US" w:eastAsia="zh-CN"/>
              </w:rPr>
              <w:instrText xml:space="preserve"> HYPERLINK "mailto:2971521730@qq.com）。" </w:instrText>
            </w:r>
            <w:r>
              <w:rPr>
                <w:rFonts w:hint="eastAsia" w:ascii="宋体" w:hAnsi="宋体" w:eastAsia="宋体" w:cs="宋体"/>
                <w:color w:val="auto"/>
                <w:highlight w:val="none"/>
                <w:lang w:val="en-US" w:eastAsia="zh-CN"/>
              </w:rPr>
              <w:fldChar w:fldCharType="separate"/>
            </w:r>
            <w:r>
              <w:rPr>
                <w:rFonts w:hint="eastAsia" w:ascii="宋体" w:hAnsi="宋体" w:eastAsia="宋体" w:cs="宋体"/>
                <w:color w:val="auto"/>
                <w:highlight w:val="none"/>
                <w:lang w:val="en-US" w:eastAsia="zh-CN"/>
              </w:rPr>
              <w:t>253656196</w:t>
            </w:r>
            <w:r>
              <w:rPr>
                <w:rFonts w:hint="eastAsia" w:ascii="宋体" w:hAnsi="宋体" w:eastAsia="宋体" w:cs="宋体"/>
                <w:color w:val="auto"/>
                <w:highlight w:val="none"/>
              </w:rPr>
              <w:t>@qq.com</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en-US" w:eastAsia="zh-CN"/>
              </w:rPr>
              <w:fldChar w:fldCharType="end"/>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本招标文件解释权属于</w:t>
            </w:r>
            <w:r>
              <w:rPr>
                <w:rFonts w:hint="eastAsia" w:ascii="宋体" w:hAnsi="宋体" w:eastAsia="宋体" w:cs="宋体"/>
                <w:color w:val="auto"/>
                <w:highlight w:val="none"/>
                <w:lang w:val="en-US" w:eastAsia="zh-CN"/>
              </w:rPr>
              <w:t>采购人</w:t>
            </w:r>
            <w:r>
              <w:rPr>
                <w:rFonts w:hint="eastAsia" w:ascii="宋体" w:hAnsi="宋体" w:eastAsia="宋体" w:cs="宋体"/>
                <w:color w:val="auto"/>
                <w:highlight w:val="none"/>
              </w:rPr>
              <w:t>和采购代理机构。</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中标后，供应商拒绝签订合同的，</w:t>
            </w:r>
            <w:r>
              <w:rPr>
                <w:rFonts w:hint="eastAsia" w:ascii="宋体" w:hAnsi="宋体" w:eastAsia="宋体" w:cs="宋体"/>
                <w:color w:val="auto"/>
                <w:highlight w:val="none"/>
                <w:lang w:eastAsia="zh-CN"/>
              </w:rPr>
              <w:t>采购人</w:t>
            </w:r>
            <w:r>
              <w:rPr>
                <w:rFonts w:hint="eastAsia" w:ascii="宋体" w:hAnsi="宋体" w:eastAsia="宋体" w:cs="宋体"/>
                <w:color w:val="auto"/>
                <w:highlight w:val="none"/>
              </w:rPr>
              <w:t>可以按照评审报告推荐的中标候选人名单排序，确定下一候选人为中标供应商，也可以重新开展政府采购活动。</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存在下列行为的，招标代理机构将其失信行为上报政府采购主管部门，由主管部门按有关规定对其违法失信行为记录进行公开：</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（1）中标或者成交后，拒绝签订政府采购合同的；</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（2）投标有效期内撤销投标文件的。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质疑与投诉</w:t>
            </w: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质疑：根据《政府采购法》第五十二条的规定，投标人认为招标文件、采购过程和中标、成交结果使自己的权益受到损害的，可以在知道或者应知其权益受到损害之日起七个工作日内，以书面形式向采购人、招标代理机构提出质疑（格式详见附件）。联系人：毛先生0574-87208097</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质疑起算日期：1、对采购公告信息（含投标人资格条件）提出质疑的，质疑期限自采购公告发布之日起计算。2、对招标文件提出质疑的，质疑期限自投标人获得招标文件之日起计算。（发售截止日之后报名的供应商，质疑起算日期以发售截止日起计算）3、对招标过程提出质疑的，为各招标程序环节结束之日。否则，被质疑人可不予接受。4、对采购结果提出质疑的，质疑期限自采购结果公告（包括公示、预公告、结果变更公告等）之日起计算。</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质疑人可以采取直接递交、传真或邮寄方式提交质疑书（一式三份以上）。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投诉：根据《政府采购法》第五十五条的规定，质疑投标人对采购人、招标代理机构的答复不满意或者采购人、招标代理机构未在规定的时间内作出答复的，可以在答复期满后十五个工作日内向同级政府采购监督管理部门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keepNext w:val="0"/>
              <w:keepLines w:val="0"/>
              <w:pageBreakBefore w:val="0"/>
              <w:widowControl w:val="0"/>
              <w:numPr>
                <w:ilvl w:val="0"/>
                <w:numId w:val="5"/>
              </w:numPr>
              <w:kinsoku/>
              <w:wordWrap/>
              <w:overflowPunct/>
              <w:topLinePunct w:val="0"/>
              <w:autoSpaceDE/>
              <w:autoSpaceDN/>
              <w:bidi w:val="0"/>
              <w:adjustRightInd w:val="0"/>
              <w:snapToGrid w:val="0"/>
              <w:spacing w:line="240" w:lineRule="auto"/>
              <w:ind w:left="0" w:leftChars="0" w:right="0" w:rightChars="0" w:firstLine="213" w:firstLineChars="89"/>
              <w:jc w:val="center"/>
              <w:textAlignment w:val="auto"/>
              <w:rPr>
                <w:rFonts w:hint="eastAsia" w:ascii="宋体" w:hAnsi="宋体" w:eastAsia="宋体" w:cs="宋体"/>
                <w:color w:val="auto"/>
                <w:highlight w:val="none"/>
              </w:rPr>
            </w:pPr>
          </w:p>
        </w:tc>
        <w:tc>
          <w:tcPr>
            <w:tcW w:w="1944"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落实的政策</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lang w:val="en-US" w:eastAsia="zh-CN"/>
              </w:rPr>
            </w:pPr>
          </w:p>
        </w:tc>
        <w:tc>
          <w:tcPr>
            <w:tcW w:w="66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政府采购促进中小企业发展管理办法》（财库〔2020〕46号）、《政府采购促进中小企业发展暂行办法》（财库[2011]181号）、《关于政府采购支持监狱企业发展有关问题的通知》(财库[2014]68号)、《关于环境标志产品政府采购实施的意见》（财库〔2006〕90号、《节能产品政府采购实施意见》的通知（财库〔2004〕185号）。</w:t>
            </w:r>
          </w:p>
        </w:tc>
      </w:tr>
    </w:tbl>
    <w:p>
      <w:pPr>
        <w:pStyle w:val="3"/>
        <w:bidi w:val="0"/>
        <w:ind w:left="0" w:leftChars="0" w:right="0" w:rightChars="0" w:firstLine="0" w:firstLineChars="0"/>
        <w:jc w:val="center"/>
        <w:rPr>
          <w:rFonts w:hint="eastAsia" w:ascii="宋体" w:hAnsi="宋体" w:eastAsia="宋体" w:cs="宋体"/>
          <w:color w:val="auto"/>
          <w:highlight w:val="none"/>
        </w:rPr>
        <w:sectPr>
          <w:footerReference r:id="rId13" w:type="default"/>
          <w:pgSz w:w="11906" w:h="16838"/>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381" w:charSpace="0"/>
        </w:sectPr>
      </w:pPr>
      <w:bookmarkStart w:id="46" w:name="_Toc2440"/>
      <w:bookmarkStart w:id="47" w:name="_Toc6777"/>
      <w:bookmarkStart w:id="48" w:name="_Toc22147"/>
      <w:bookmarkStart w:id="49" w:name="_Toc246996919"/>
      <w:bookmarkStart w:id="50" w:name="_Toc246996176"/>
      <w:bookmarkStart w:id="51" w:name="_Toc144974498"/>
      <w:bookmarkStart w:id="52" w:name="_Toc152042306"/>
      <w:bookmarkStart w:id="53" w:name="_Toc152045530"/>
      <w:bookmarkStart w:id="54" w:name="_Toc247085690"/>
      <w:bookmarkStart w:id="55" w:name="_Toc179632547"/>
      <w:bookmarkStart w:id="56" w:name="_Toc296602421"/>
    </w:p>
    <w:p>
      <w:pPr>
        <w:pStyle w:val="3"/>
        <w:bidi w:val="0"/>
        <w:ind w:left="0" w:leftChars="0" w:right="0" w:rightChars="0" w:firstLine="0" w:firstLineChars="0"/>
        <w:jc w:val="center"/>
        <w:rPr>
          <w:rFonts w:hint="eastAsia" w:ascii="宋体" w:hAnsi="宋体" w:eastAsia="宋体" w:cs="宋体"/>
          <w:color w:val="auto"/>
          <w:highlight w:val="none"/>
        </w:rPr>
      </w:pPr>
      <w:bookmarkStart w:id="57" w:name="_Toc14541"/>
      <w:r>
        <w:rPr>
          <w:rFonts w:hint="eastAsia" w:ascii="宋体" w:hAnsi="宋体" w:eastAsia="宋体" w:cs="宋体"/>
          <w:color w:val="auto"/>
          <w:highlight w:val="none"/>
        </w:rPr>
        <w:t>第一节 总 则</w:t>
      </w:r>
      <w:bookmarkEnd w:id="46"/>
      <w:bookmarkEnd w:id="47"/>
      <w:bookmarkEnd w:id="48"/>
      <w:bookmarkEnd w:id="57"/>
    </w:p>
    <w:p>
      <w:pPr>
        <w:pStyle w:val="4"/>
        <w:bidi w:val="0"/>
        <w:rPr>
          <w:rFonts w:hint="eastAsia" w:ascii="宋体" w:hAnsi="宋体" w:eastAsia="宋体" w:cs="宋体"/>
          <w:color w:val="auto"/>
          <w:highlight w:val="none"/>
        </w:rPr>
      </w:pPr>
      <w:bookmarkStart w:id="58" w:name="_Toc29454"/>
      <w:r>
        <w:rPr>
          <w:rFonts w:hint="eastAsia" w:ascii="宋体" w:hAnsi="宋体" w:eastAsia="宋体" w:cs="宋体"/>
          <w:color w:val="auto"/>
          <w:highlight w:val="none"/>
        </w:rPr>
        <w:t>一、适用范围</w:t>
      </w:r>
      <w:bookmarkEnd w:id="58"/>
    </w:p>
    <w:p>
      <w:pPr>
        <w:bidi w:val="0"/>
        <w:rPr>
          <w:rFonts w:hint="eastAsia" w:ascii="宋体" w:hAnsi="宋体" w:eastAsia="宋体" w:cs="宋体"/>
          <w:color w:val="auto"/>
          <w:highlight w:val="none"/>
        </w:rPr>
      </w:pPr>
      <w:r>
        <w:rPr>
          <w:rFonts w:hint="eastAsia" w:ascii="宋体" w:hAnsi="宋体" w:eastAsia="宋体" w:cs="宋体"/>
          <w:color w:val="auto"/>
          <w:highlight w:val="none"/>
        </w:rPr>
        <w:t>本招标文件适用于该项目的招标、投标、开标、资格审查及信用信息查询、评标、定标、合同、验收等行为（法律、法规另有规定的，从其规定）。</w:t>
      </w:r>
    </w:p>
    <w:p>
      <w:pPr>
        <w:pStyle w:val="4"/>
        <w:bidi w:val="0"/>
        <w:rPr>
          <w:rFonts w:hint="eastAsia" w:ascii="宋体" w:hAnsi="宋体" w:eastAsia="宋体" w:cs="宋体"/>
          <w:color w:val="auto"/>
          <w:highlight w:val="none"/>
        </w:rPr>
      </w:pPr>
      <w:bookmarkStart w:id="59" w:name="_Toc1362"/>
      <w:r>
        <w:rPr>
          <w:rFonts w:hint="eastAsia" w:ascii="宋体" w:hAnsi="宋体" w:eastAsia="宋体" w:cs="宋体"/>
          <w:color w:val="auto"/>
          <w:highlight w:val="none"/>
        </w:rPr>
        <w:t>二、定义</w:t>
      </w:r>
      <w:bookmarkEnd w:id="59"/>
    </w:p>
    <w:p>
      <w:pPr>
        <w:bidi w:val="0"/>
        <w:rPr>
          <w:rFonts w:hint="eastAsia" w:ascii="宋体" w:hAnsi="宋体" w:eastAsia="宋体" w:cs="宋体"/>
          <w:color w:val="auto"/>
          <w:highlight w:val="none"/>
        </w:rPr>
      </w:pPr>
      <w:r>
        <w:rPr>
          <w:rFonts w:hint="eastAsia" w:ascii="宋体" w:hAnsi="宋体" w:eastAsia="宋体" w:cs="宋体"/>
          <w:color w:val="auto"/>
          <w:highlight w:val="none"/>
        </w:rPr>
        <w:t>（一）“采购人”系指</w:t>
      </w:r>
      <w:r>
        <w:rPr>
          <w:rFonts w:hint="eastAsia" w:cs="宋体"/>
          <w:color w:val="auto"/>
          <w:highlight w:val="none"/>
          <w:lang w:eastAsia="zh-CN"/>
        </w:rPr>
        <w:t>浙江海洋大学</w:t>
      </w:r>
      <w:r>
        <w:rPr>
          <w:rFonts w:hint="eastAsia" w:ascii="宋体" w:hAnsi="宋体" w:eastAsia="宋体" w:cs="宋体"/>
          <w:color w:val="auto"/>
          <w:highlight w:val="none"/>
        </w:rPr>
        <w:t>。</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（二）“采购代理机构”系组织本次招标的浙江五石工程咨询有限公司。</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（三）“投标人”和“投标方”系指参加本次招标活动符合资格条件的供应商。</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（四）“全权代表”系指参加本次招标活动的授权代表。</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（五）“▲”系指实质性要求条款，投标人应做出实质性响应；“★”系指重要条款。</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（六）联合体：</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联合体投标的，应遵守以下规定：</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两个以上供应商可以组成一个联合体，以一个供应商的身份共同参加政府采购；</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组成联合体参加本项目的，须在购买招标文件时做出相关声明，否则不予接受。</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以联合体形式参加本项目的，联合体的各成员均应当具备《中华人民共和国政府采购法》第二十二条规定的条件；联合体各方中至少应当有一方符合采购人规定的特定条件，联合体中有同类资质的供应商按照联合体分工承担相同工作的，按照资质等级较低的供应商确定资质等级；</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联合体各方之间应当签订联合协议，明确约定联合体各方承担的工作和相应的责任，在联合协议中指定本项目主办人，并将联合协议作为投标文件组成的一部分；本项目的主体、关键性工作须由主办人完成，并在联合协议中进行说明；</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联合体各方签订联合协议后，不得再以自己名义单独在同一项目中参加投标，也不得组成新的联合体参加同一项目投标；</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联合体各方应当共同与采购人签订采购合同，就采购合同约定的事项对采购人承担连带责任；</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投标文件须由主办人盖章及其代表签署。</w:t>
      </w:r>
    </w:p>
    <w:p>
      <w:pPr>
        <w:numPr>
          <w:ilvl w:val="0"/>
          <w:numId w:val="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联合体投标，投标文件中供应商名称应注明“成员单位名称1和成员单位名称2的联合体”。</w:t>
      </w:r>
    </w:p>
    <w:p>
      <w:pPr>
        <w:pStyle w:val="4"/>
        <w:bidi w:val="0"/>
        <w:rPr>
          <w:rFonts w:hint="eastAsia" w:ascii="宋体" w:hAnsi="宋体" w:eastAsia="宋体" w:cs="宋体"/>
          <w:color w:val="auto"/>
          <w:highlight w:val="none"/>
        </w:rPr>
      </w:pPr>
      <w:bookmarkStart w:id="60" w:name="_Toc18732"/>
      <w:r>
        <w:rPr>
          <w:rFonts w:hint="eastAsia" w:ascii="宋体" w:hAnsi="宋体" w:eastAsia="宋体" w:cs="宋体"/>
          <w:color w:val="auto"/>
          <w:highlight w:val="none"/>
        </w:rPr>
        <w:t>三、合格的投标人</w:t>
      </w:r>
      <w:bookmarkEnd w:id="60"/>
    </w:p>
    <w:p>
      <w:pPr>
        <w:bidi w:val="0"/>
        <w:rPr>
          <w:rFonts w:hint="eastAsia" w:ascii="宋体" w:hAnsi="宋体" w:eastAsia="宋体" w:cs="宋体"/>
          <w:color w:val="auto"/>
          <w:highlight w:val="none"/>
        </w:rPr>
      </w:pPr>
      <w:r>
        <w:rPr>
          <w:rFonts w:hint="eastAsia" w:ascii="宋体" w:hAnsi="宋体" w:eastAsia="宋体" w:cs="宋体"/>
          <w:color w:val="auto"/>
          <w:highlight w:val="none"/>
        </w:rPr>
        <w:t>详见招标公告“投标人资格要求”。</w:t>
      </w:r>
    </w:p>
    <w:p>
      <w:pPr>
        <w:pStyle w:val="4"/>
        <w:bidi w:val="0"/>
        <w:rPr>
          <w:rFonts w:hint="eastAsia" w:ascii="宋体" w:hAnsi="宋体" w:eastAsia="宋体" w:cs="宋体"/>
          <w:color w:val="auto"/>
          <w:highlight w:val="none"/>
        </w:rPr>
      </w:pPr>
      <w:bookmarkStart w:id="61" w:name="_Toc24994"/>
      <w:r>
        <w:rPr>
          <w:rFonts w:hint="eastAsia" w:ascii="宋体" w:hAnsi="宋体" w:eastAsia="宋体" w:cs="宋体"/>
          <w:color w:val="auto"/>
          <w:highlight w:val="none"/>
        </w:rPr>
        <w:t>四、投标费用</w:t>
      </w:r>
      <w:bookmarkEnd w:id="61"/>
    </w:p>
    <w:p>
      <w:pPr>
        <w:bidi w:val="0"/>
        <w:rPr>
          <w:rFonts w:hint="eastAsia" w:ascii="宋体" w:hAnsi="宋体" w:eastAsia="宋体" w:cs="宋体"/>
          <w:color w:val="auto"/>
          <w:highlight w:val="none"/>
        </w:rPr>
      </w:pPr>
      <w:r>
        <w:rPr>
          <w:rFonts w:hint="eastAsia" w:ascii="宋体" w:hAnsi="宋体" w:eastAsia="宋体" w:cs="宋体"/>
          <w:color w:val="auto"/>
          <w:highlight w:val="none"/>
        </w:rPr>
        <w:t>无论投标结果如何，投标人自行承担所有与参加投标有关的全部费用。</w:t>
      </w:r>
    </w:p>
    <w:p>
      <w:pPr>
        <w:pStyle w:val="4"/>
        <w:bidi w:val="0"/>
        <w:rPr>
          <w:rFonts w:hint="eastAsia" w:ascii="宋体" w:hAnsi="宋体" w:eastAsia="宋体" w:cs="宋体"/>
          <w:color w:val="auto"/>
          <w:highlight w:val="none"/>
          <w:lang w:val="en-US" w:eastAsia="zh-CN"/>
        </w:rPr>
      </w:pPr>
      <w:bookmarkStart w:id="62" w:name="_Toc12389"/>
      <w:r>
        <w:rPr>
          <w:rFonts w:hint="eastAsia" w:ascii="宋体" w:hAnsi="宋体" w:eastAsia="宋体" w:cs="宋体"/>
          <w:color w:val="auto"/>
          <w:highlight w:val="none"/>
        </w:rPr>
        <w:t>五、</w:t>
      </w:r>
      <w:bookmarkEnd w:id="62"/>
      <w:r>
        <w:rPr>
          <w:rFonts w:hint="eastAsia" w:ascii="宋体" w:hAnsi="宋体" w:eastAsia="宋体" w:cs="宋体"/>
          <w:color w:val="auto"/>
          <w:highlight w:val="none"/>
          <w:lang w:val="en-US" w:eastAsia="zh-CN"/>
        </w:rPr>
        <w:t>分包与转包</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本项目不允许转包</w:t>
      </w:r>
      <w:r>
        <w:rPr>
          <w:rFonts w:hint="eastAsia" w:ascii="宋体" w:hAnsi="宋体" w:eastAsia="宋体" w:cs="宋体"/>
          <w:color w:val="auto"/>
          <w:highlight w:val="none"/>
          <w:lang w:eastAsia="zh-CN"/>
        </w:rPr>
        <w:t>、分包</w:t>
      </w:r>
      <w:r>
        <w:rPr>
          <w:rFonts w:hint="eastAsia" w:ascii="宋体" w:hAnsi="宋体" w:eastAsia="宋体" w:cs="宋体"/>
          <w:color w:val="auto"/>
          <w:highlight w:val="none"/>
        </w:rPr>
        <w:t>；</w:t>
      </w:r>
    </w:p>
    <w:p>
      <w:pPr>
        <w:pStyle w:val="4"/>
        <w:bidi w:val="0"/>
        <w:rPr>
          <w:rFonts w:hint="eastAsia" w:ascii="宋体" w:hAnsi="宋体" w:eastAsia="宋体" w:cs="宋体"/>
          <w:color w:val="auto"/>
          <w:highlight w:val="none"/>
        </w:rPr>
      </w:pPr>
      <w:r>
        <w:rPr>
          <w:rFonts w:hint="eastAsia" w:ascii="宋体" w:hAnsi="宋体" w:eastAsia="宋体" w:cs="宋体"/>
          <w:color w:val="auto"/>
          <w:highlight w:val="none"/>
          <w:lang w:eastAsia="zh-CN"/>
        </w:rPr>
        <w:t>六</w:t>
      </w:r>
      <w:r>
        <w:rPr>
          <w:rFonts w:hint="eastAsia" w:ascii="宋体" w:hAnsi="宋体" w:eastAsia="宋体" w:cs="宋体"/>
          <w:color w:val="auto"/>
          <w:highlight w:val="none"/>
        </w:rPr>
        <w:t>、采购项目需要落实的政府采购政策</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一）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（二）小型、微型企业价格扣除。</w:t>
      </w:r>
    </w:p>
    <w:p>
      <w:pPr>
        <w:numPr>
          <w:ilvl w:val="0"/>
          <w:numId w:val="7"/>
        </w:numPr>
        <w:ind w:left="0" w:leftChars="0" w:firstLine="48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本次采购为非专门面向中小企业预留采购份额的采购项目。</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numPr>
          <w:ilvl w:val="0"/>
          <w:numId w:val="7"/>
        </w:numPr>
        <w:ind w:left="0" w:leftChars="0" w:firstLine="480" w:firstLineChars="200"/>
        <w:rPr>
          <w:rFonts w:hint="eastAsia" w:ascii="宋体" w:hAnsi="宋体" w:eastAsia="宋体" w:cs="宋体"/>
          <w:color w:val="auto"/>
          <w:kern w:val="0"/>
          <w:highlight w:val="none"/>
        </w:rPr>
      </w:pPr>
      <w:r>
        <w:rPr>
          <w:rFonts w:hint="eastAsia" w:ascii="宋体" w:hAnsi="宋体" w:eastAsia="宋体" w:cs="宋体"/>
          <w:color w:val="auto"/>
          <w:kern w:val="0"/>
          <w:highlight w:val="none"/>
        </w:rPr>
        <w:t>本次采购标的为</w:t>
      </w:r>
      <w:r>
        <w:rPr>
          <w:rFonts w:hint="eastAsia" w:ascii="宋体" w:hAnsi="宋体" w:eastAsia="宋体" w:cs="宋体"/>
          <w:color w:val="auto"/>
          <w:kern w:val="0"/>
          <w:highlight w:val="none"/>
          <w:lang w:val="en-US" w:eastAsia="zh-CN"/>
        </w:rPr>
        <w:t>货物</w:t>
      </w:r>
      <w:r>
        <w:rPr>
          <w:rFonts w:hint="eastAsia" w:ascii="宋体" w:hAnsi="宋体" w:eastAsia="宋体" w:cs="宋体"/>
          <w:color w:val="auto"/>
          <w:kern w:val="0"/>
          <w:highlight w:val="none"/>
        </w:rPr>
        <w:t>，对应的中小企业划分标准所属行业是：</w:t>
      </w:r>
      <w:r>
        <w:rPr>
          <w:rFonts w:hint="eastAsia" w:ascii="宋体" w:hAnsi="宋体" w:eastAsia="宋体" w:cs="宋体"/>
          <w:color w:val="auto"/>
          <w:kern w:val="0"/>
          <w:highlight w:val="none"/>
          <w:u w:val="single"/>
          <w:lang w:val="en-US" w:eastAsia="zh-CN"/>
        </w:rPr>
        <w:t>工业</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以联合体形式参加政府采购活动，联合体各方均为小微企业的，联合体视同小微企业。</w:t>
      </w:r>
      <w:r>
        <w:rPr>
          <w:rFonts w:hint="eastAsia" w:ascii="宋体" w:hAnsi="宋体" w:eastAsia="宋体" w:cs="宋体"/>
          <w:b/>
          <w:bCs/>
          <w:color w:val="auto"/>
          <w:highlight w:val="none"/>
        </w:rPr>
        <w:t>（本项目不适用）</w:t>
      </w:r>
    </w:p>
    <w:p>
      <w:pPr>
        <w:numPr>
          <w:ilvl w:val="0"/>
          <w:numId w:val="7"/>
        </w:numPr>
        <w:ind w:left="0" w:leftChars="0" w:firstLine="480" w:firstLineChars="200"/>
        <w:rPr>
          <w:rFonts w:hint="eastAsia" w:ascii="宋体" w:hAnsi="宋体" w:eastAsia="宋体" w:cs="宋体"/>
          <w:color w:val="auto"/>
          <w:kern w:val="0"/>
          <w:highlight w:val="none"/>
        </w:rPr>
      </w:pPr>
      <w:r>
        <w:rPr>
          <w:rFonts w:hint="eastAsia" w:ascii="宋体" w:hAnsi="宋体" w:eastAsia="宋体" w:cs="宋体"/>
          <w:color w:val="auto"/>
          <w:highlight w:val="none"/>
        </w:rPr>
        <w:t>参加</w:t>
      </w:r>
      <w:r>
        <w:rPr>
          <w:rFonts w:hint="eastAsia" w:ascii="宋体" w:hAnsi="宋体" w:eastAsia="宋体" w:cs="宋体"/>
          <w:color w:val="auto"/>
          <w:kern w:val="0"/>
          <w:highlight w:val="none"/>
        </w:rPr>
        <w:t>本次采购活动的供应商</w:t>
      </w:r>
      <w:r>
        <w:rPr>
          <w:rFonts w:hint="eastAsia" w:ascii="宋体" w:hAnsi="宋体" w:eastAsia="宋体" w:cs="宋体"/>
          <w:b/>
          <w:color w:val="auto"/>
          <w:kern w:val="0"/>
          <w:highlight w:val="none"/>
          <w:u w:val="single"/>
        </w:rPr>
        <w:t>提供的</w:t>
      </w:r>
      <w:r>
        <w:rPr>
          <w:rFonts w:hint="eastAsia" w:ascii="宋体" w:hAnsi="宋体" w:eastAsia="宋体" w:cs="宋体"/>
          <w:b/>
          <w:color w:val="auto"/>
          <w:kern w:val="0"/>
          <w:highlight w:val="none"/>
          <w:u w:val="single"/>
          <w:lang w:val="en-US" w:eastAsia="zh-CN"/>
        </w:rPr>
        <w:t>货物</w:t>
      </w:r>
      <w:r>
        <w:rPr>
          <w:rFonts w:hint="eastAsia" w:ascii="宋体" w:hAnsi="宋体" w:eastAsia="宋体" w:cs="宋体"/>
          <w:b/>
          <w:color w:val="auto"/>
          <w:kern w:val="0"/>
          <w:highlight w:val="none"/>
          <w:u w:val="single"/>
        </w:rPr>
        <w:t>全部由小微企业</w:t>
      </w:r>
      <w:r>
        <w:rPr>
          <w:rFonts w:hint="eastAsia" w:ascii="宋体" w:hAnsi="宋体" w:eastAsia="宋体" w:cs="宋体"/>
          <w:b/>
          <w:color w:val="auto"/>
          <w:kern w:val="0"/>
          <w:highlight w:val="none"/>
          <w:u w:val="single"/>
          <w:lang w:val="en-US" w:eastAsia="zh-CN"/>
        </w:rPr>
        <w:t>生产制造</w:t>
      </w:r>
      <w:r>
        <w:rPr>
          <w:rFonts w:hint="eastAsia" w:ascii="宋体" w:hAnsi="宋体" w:eastAsia="宋体" w:cs="宋体"/>
          <w:color w:val="auto"/>
          <w:kern w:val="0"/>
          <w:highlight w:val="none"/>
        </w:rPr>
        <w:t>的，其报价给予</w:t>
      </w:r>
      <w:r>
        <w:rPr>
          <w:rFonts w:hint="eastAsia" w:ascii="宋体" w:hAnsi="宋体" w:eastAsia="宋体" w:cs="宋体"/>
          <w:b/>
          <w:color w:val="auto"/>
          <w:kern w:val="0"/>
          <w:highlight w:val="none"/>
          <w:u w:val="single"/>
        </w:rPr>
        <w:t>6%</w:t>
      </w:r>
      <w:r>
        <w:rPr>
          <w:rFonts w:hint="eastAsia" w:ascii="宋体" w:hAnsi="宋体" w:eastAsia="宋体" w:cs="宋体"/>
          <w:color w:val="auto"/>
          <w:kern w:val="0"/>
          <w:highlight w:val="none"/>
        </w:rPr>
        <w:t>的扣除，用扣除后的价格参加评审。</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符合小微企业划分标准的个体工商户，视同小微企业。</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本项目不接受大中型企业与小微企业组成联合体。</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本项目不允许大中型企业向一家或者多家小微企业分包。</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小微企业参加政府采购活动，应当出具《中小企业声明函》，否则其报价不予扣除。</w:t>
      </w:r>
    </w:p>
    <w:p>
      <w:pPr>
        <w:numPr>
          <w:ilvl w:val="0"/>
          <w:numId w:val="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监狱企业和残疾人福利性单位视同小型、微型企业，按《财政部司法部关于政府采购支持监狱企业发展有关问题的通知》(财库〔2014〕68号)、《财政部民政部中国残疾人联合会关于促进残疾人就业政府采购政策的通知》（财库〔2017〕141号）的规定执行。</w:t>
      </w:r>
    </w:p>
    <w:p>
      <w:pPr>
        <w:numPr>
          <w:ilvl w:val="0"/>
          <w:numId w:val="8"/>
        </w:num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节能环保要求</w:t>
      </w:r>
    </w:p>
    <w:p>
      <w:pPr>
        <w:numPr>
          <w:ilvl w:val="0"/>
          <w:numId w:val="9"/>
        </w:numPr>
        <w:ind w:left="0" w:leftChars="0" w:firstLine="403"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numPr>
          <w:ilvl w:val="0"/>
          <w:numId w:val="9"/>
        </w:numPr>
        <w:ind w:left="0" w:leftChars="0" w:firstLine="403" w:firstLineChars="0"/>
        <w:rPr>
          <w:rFonts w:hint="eastAsia" w:ascii="宋体" w:hAnsi="宋体" w:eastAsia="宋体" w:cs="宋体"/>
          <w:highlight w:val="none"/>
        </w:rPr>
      </w:pPr>
      <w:r>
        <w:rPr>
          <w:rFonts w:hint="eastAsia" w:ascii="宋体" w:hAnsi="宋体" w:eastAsia="宋体" w:cs="宋体"/>
          <w:color w:val="auto"/>
          <w:highlight w:val="none"/>
        </w:rPr>
        <w:t>▲</w:t>
      </w:r>
      <w:r>
        <w:rPr>
          <w:rFonts w:hint="eastAsia" w:ascii="宋体" w:hAnsi="宋体" w:eastAsia="宋体" w:cs="宋体"/>
          <w:b/>
          <w:bCs/>
          <w:color w:val="auto"/>
          <w:highlight w:val="none"/>
        </w:rPr>
        <w:t>采购人拟采购的产品属于政府强制采购的节能产品品目清单范围的，投标人未按招标文件要求提供国家确定的认证机构出具的、处于有效期之内的节能产品认证证书，投标无效。</w:t>
      </w:r>
    </w:p>
    <w:p>
      <w:pPr>
        <w:pStyle w:val="4"/>
        <w:bidi w:val="0"/>
        <w:rPr>
          <w:rFonts w:hint="eastAsia" w:ascii="宋体" w:hAnsi="宋体" w:eastAsia="宋体" w:cs="宋体"/>
          <w:color w:val="auto"/>
          <w:highlight w:val="none"/>
        </w:rPr>
      </w:pPr>
      <w:bookmarkStart w:id="63" w:name="_Toc28441"/>
      <w:r>
        <w:rPr>
          <w:rFonts w:hint="eastAsia" w:ascii="宋体" w:hAnsi="宋体" w:eastAsia="宋体" w:cs="宋体"/>
          <w:color w:val="auto"/>
          <w:highlight w:val="none"/>
          <w:lang w:eastAsia="zh-CN"/>
        </w:rPr>
        <w:t>七</w:t>
      </w:r>
      <w:r>
        <w:rPr>
          <w:rFonts w:hint="eastAsia" w:ascii="宋体" w:hAnsi="宋体" w:eastAsia="宋体" w:cs="宋体"/>
          <w:color w:val="auto"/>
          <w:highlight w:val="none"/>
        </w:rPr>
        <w:t>、询问、质疑、投诉</w:t>
      </w:r>
      <w:bookmarkEnd w:id="63"/>
    </w:p>
    <w:p>
      <w:pPr>
        <w:bidi w:val="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一</w:t>
      </w:r>
      <w:r>
        <w:rPr>
          <w:rFonts w:hint="eastAsia" w:ascii="宋体" w:hAnsi="宋体" w:eastAsia="宋体" w:cs="宋体"/>
          <w:color w:val="auto"/>
          <w:highlight w:val="none"/>
          <w:lang w:val="zh-CN"/>
        </w:rPr>
        <w:t>）供应商询问</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供应商可以就采购文件中特定资格条件、采购需求、评分办法及采购过程中有关现场考察或开标前答疑会事项向采购人提出询问，采购人将对此作出答复；供应商可以就采购活动中的其它事项向采购机构提出询问，采购机构将对此作出答复。答复的内容不得涉及商业秘密。</w:t>
      </w:r>
    </w:p>
    <w:p>
      <w:pPr>
        <w:bidi w:val="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二</w:t>
      </w:r>
      <w:r>
        <w:rPr>
          <w:rFonts w:hint="eastAsia" w:ascii="宋体" w:hAnsi="宋体" w:eastAsia="宋体" w:cs="宋体"/>
          <w:color w:val="auto"/>
          <w:highlight w:val="none"/>
          <w:lang w:val="zh-CN"/>
        </w:rPr>
        <w:t>）供应商质疑</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提出质疑的供应商应当是参与所质疑项目采购活动的供应商。潜在供应商已依法获取其可质疑的采购文件的，可以对该文件提出质疑。</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认为招标文件、采购过程和成交结果使自己的权益受到损害的，可以在知道或者应知其权益受到损害之日起七个工作日内，以书面形式（法定质疑期内）一次性向采购人、采购代理机构提出同一采购环节的质疑，否则，采购人或者采购代理机构不予受理。</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供应商提出质疑应当提交质疑函和必要的证明材料。质疑函应当包括下列内容：</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供应商的姓名或者名称、地址、邮编、联系人及联系电话；</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质疑项目的名称、编号；</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具体、明确的质疑事项和与质疑事项相关的请求；</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事实依据；</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必要的法律依据；</w:t>
      </w:r>
    </w:p>
    <w:p>
      <w:pPr>
        <w:numPr>
          <w:ilvl w:val="0"/>
          <w:numId w:val="11"/>
        </w:numPr>
        <w:tabs>
          <w:tab w:val="left" w:pos="420"/>
        </w:tabs>
        <w:ind w:left="845" w:leftChars="0" w:hanging="425" w:firstLineChars="0"/>
        <w:rPr>
          <w:rFonts w:hint="eastAsia" w:ascii="宋体" w:hAnsi="宋体" w:eastAsia="宋体" w:cs="宋体"/>
          <w:color w:val="auto"/>
          <w:highlight w:val="none"/>
        </w:rPr>
      </w:pPr>
      <w:r>
        <w:rPr>
          <w:rFonts w:hint="eastAsia" w:ascii="宋体" w:hAnsi="宋体" w:eastAsia="宋体" w:cs="宋体"/>
          <w:color w:val="auto"/>
          <w:highlight w:val="none"/>
        </w:rPr>
        <w:t>提出质疑的日期。</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采购人或者采购代理机构应当在收到供应商的书面质疑后七个工作日内作出答复，并以书面形式通知质疑供应商和其他与质疑处理结果有利害关系的政府采购当事人，但答复的内容不得涉及商业秘密。</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询问或者质疑事项可能影响采购结果的，采购人应当暂停签订合同，已经签订合同的，应当中止履行合同。</w:t>
      </w:r>
    </w:p>
    <w:p>
      <w:pPr>
        <w:numPr>
          <w:ilvl w:val="0"/>
          <w:numId w:val="1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质疑接收人：</w:t>
      </w:r>
    </w:p>
    <w:p>
      <w:pPr>
        <w:keepNext w:val="0"/>
        <w:keepLines w:val="0"/>
        <w:pageBreakBefore w:val="0"/>
        <w:widowControl w:val="0"/>
        <w:numPr>
          <w:ilvl w:val="0"/>
          <w:numId w:val="0"/>
        </w:numPr>
        <w:tabs>
          <w:tab w:val="clear" w:pos="360"/>
          <w:tab w:val="clear" w:pos="420"/>
        </w:tabs>
        <w:kinsoku/>
        <w:wordWrap/>
        <w:overflowPunct/>
        <w:topLinePunct w:val="0"/>
        <w:autoSpaceDE/>
        <w:autoSpaceDN/>
        <w:bidi w:val="0"/>
        <w:adjustRightInd/>
        <w:snapToGrid/>
        <w:ind w:left="567" w:leftChars="0"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姓</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eastAsia="zh-CN"/>
        </w:rPr>
        <w:t>名：</w:t>
      </w:r>
      <w:r>
        <w:rPr>
          <w:rFonts w:hint="eastAsia" w:ascii="宋体" w:hAnsi="宋体" w:eastAsia="宋体" w:cs="宋体"/>
          <w:color w:val="auto"/>
          <w:highlight w:val="none"/>
        </w:rPr>
        <w:t>毛</w:t>
      </w:r>
      <w:r>
        <w:rPr>
          <w:rFonts w:hint="eastAsia" w:ascii="宋体" w:hAnsi="宋体" w:eastAsia="宋体" w:cs="宋体"/>
          <w:color w:val="auto"/>
          <w:highlight w:val="none"/>
          <w:lang w:eastAsia="zh-CN"/>
        </w:rPr>
        <w:t>工</w:t>
      </w:r>
    </w:p>
    <w:p>
      <w:pPr>
        <w:keepNext w:val="0"/>
        <w:keepLines w:val="0"/>
        <w:pageBreakBefore w:val="0"/>
        <w:widowControl w:val="0"/>
        <w:numPr>
          <w:ilvl w:val="0"/>
          <w:numId w:val="0"/>
        </w:numPr>
        <w:tabs>
          <w:tab w:val="clear" w:pos="360"/>
          <w:tab w:val="clear" w:pos="420"/>
        </w:tabs>
        <w:kinsoku/>
        <w:wordWrap/>
        <w:overflowPunct/>
        <w:topLinePunct w:val="0"/>
        <w:autoSpaceDE/>
        <w:autoSpaceDN/>
        <w:bidi w:val="0"/>
        <w:adjustRightInd/>
        <w:snapToGrid/>
        <w:ind w:left="567" w:leftChars="0"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联系电话：057</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-87</w:t>
      </w:r>
      <w:r>
        <w:rPr>
          <w:rFonts w:hint="eastAsia" w:ascii="宋体" w:hAnsi="宋体" w:eastAsia="宋体" w:cs="宋体"/>
          <w:color w:val="auto"/>
          <w:highlight w:val="none"/>
          <w:lang w:val="en-US" w:eastAsia="zh-CN"/>
        </w:rPr>
        <w:t>208097</w:t>
      </w:r>
    </w:p>
    <w:p>
      <w:pPr>
        <w:keepNext w:val="0"/>
        <w:keepLines w:val="0"/>
        <w:pageBreakBefore w:val="0"/>
        <w:widowControl w:val="0"/>
        <w:numPr>
          <w:ilvl w:val="0"/>
          <w:numId w:val="0"/>
        </w:numPr>
        <w:tabs>
          <w:tab w:val="clear" w:pos="360"/>
          <w:tab w:val="clear" w:pos="420"/>
        </w:tabs>
        <w:kinsoku/>
        <w:wordWrap/>
        <w:overflowPunct/>
        <w:topLinePunct w:val="0"/>
        <w:autoSpaceDE/>
        <w:autoSpaceDN/>
        <w:bidi w:val="0"/>
        <w:adjustRightInd/>
        <w:snapToGrid/>
        <w:ind w:left="567"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址：</w:t>
      </w:r>
      <w:r>
        <w:rPr>
          <w:rFonts w:hint="eastAsia" w:ascii="宋体" w:hAnsi="宋体" w:cs="宋体"/>
          <w:color w:val="auto"/>
          <w:sz w:val="24"/>
          <w:szCs w:val="24"/>
          <w:highlight w:val="none"/>
        </w:rPr>
        <w:t>宁波市鄞州区宁穿路1679号金融硅谷9号楼1402室</w:t>
      </w:r>
    </w:p>
    <w:p>
      <w:pPr>
        <w:bidi w:val="0"/>
        <w:rPr>
          <w:rFonts w:hint="eastAsia" w:ascii="宋体" w:hAnsi="宋体" w:eastAsia="宋体" w:cs="宋体"/>
          <w:color w:val="auto"/>
          <w:highlight w:val="none"/>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三</w:t>
      </w:r>
      <w:r>
        <w:rPr>
          <w:rFonts w:hint="eastAsia" w:ascii="宋体" w:hAnsi="宋体" w:eastAsia="宋体" w:cs="宋体"/>
          <w:color w:val="auto"/>
          <w:highlight w:val="none"/>
          <w:lang w:val="zh-CN"/>
        </w:rPr>
        <w:t>）供应商投诉</w:t>
      </w:r>
    </w:p>
    <w:p>
      <w:pPr>
        <w:numPr>
          <w:ilvl w:val="0"/>
          <w:numId w:val="1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质疑供应商对采购人、采购代理机构的答复不满意或者采购人、采购代理机构未在规定的时间内作出答复的，可以在答复期满后十五个工作日内向同级采购监督管理部门提出投诉。</w:t>
      </w:r>
    </w:p>
    <w:p>
      <w:pPr>
        <w:numPr>
          <w:ilvl w:val="0"/>
          <w:numId w:val="1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供应商投诉的事项不得超出已质疑事项的范围，基于质疑答复内容提出的投诉事项除外。</w:t>
      </w:r>
    </w:p>
    <w:p>
      <w:pPr>
        <w:numPr>
          <w:ilvl w:val="0"/>
          <w:numId w:val="1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供应商投诉应当有明确的请求和必要的证明材料。</w:t>
      </w:r>
    </w:p>
    <w:p>
      <w:pPr>
        <w:numPr>
          <w:ilvl w:val="0"/>
          <w:numId w:val="1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以联合体形式参加政府采购活动的，其投诉应当由组成联合体的所有供应商共同提出。</w:t>
      </w:r>
    </w:p>
    <w:p>
      <w:pPr>
        <w:pStyle w:val="4"/>
        <w:bidi w:val="0"/>
        <w:rPr>
          <w:rFonts w:hint="eastAsia" w:ascii="宋体" w:hAnsi="宋体" w:eastAsia="宋体" w:cs="宋体"/>
          <w:color w:val="auto"/>
          <w:highlight w:val="none"/>
        </w:rPr>
      </w:pPr>
      <w:bookmarkStart w:id="64" w:name="_Toc6069"/>
      <w:r>
        <w:rPr>
          <w:rFonts w:hint="eastAsia" w:ascii="宋体" w:hAnsi="宋体" w:eastAsia="宋体" w:cs="宋体"/>
          <w:color w:val="auto"/>
          <w:highlight w:val="none"/>
          <w:lang w:eastAsia="zh-CN"/>
        </w:rPr>
        <w:t>八</w:t>
      </w:r>
      <w:r>
        <w:rPr>
          <w:rFonts w:hint="eastAsia" w:ascii="宋体" w:hAnsi="宋体" w:eastAsia="宋体" w:cs="宋体"/>
          <w:color w:val="auto"/>
          <w:highlight w:val="none"/>
        </w:rPr>
        <w:t>、特别说明</w:t>
      </w:r>
      <w:bookmarkEnd w:id="64"/>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投标人投标所使用的资格、信誉、荣誉、业绩与企业认证必须为本法人所拥有。投标人投标所使用的采购项目实施人员必须为本法人员工（指本法人或控股公司正式员工）。</w:t>
      </w:r>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eastAsia="宋体" w:cs="宋体"/>
          <w:color w:val="auto"/>
          <w:highlight w:val="none"/>
        </w:rPr>
        <w:tab/>
      </w:r>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单位负责人为同一人或者存在直接控股、管理关系的不同供应商，不得参加同一合同项下的政府采购活动。</w:t>
      </w:r>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为采购项目提供整体设计、规范编制或者项目管理、监理、检测等服务的供应商，不得再参加该采购项目的其他采购活动。</w:t>
      </w:r>
    </w:p>
    <w:p>
      <w:pPr>
        <w:numPr>
          <w:ilvl w:val="0"/>
          <w:numId w:val="1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合同履行期内，任何一方因不可抗力事件不能履行合同的，合同履行期限可相应顺延。不可抗力事件发生后，应立即通知对方，并邮寄或送达有关权威机构出具的证明。</w:t>
      </w:r>
    </w:p>
    <w:p>
      <w:pPr>
        <w:ind w:firstLine="480"/>
        <w:rPr>
          <w:rFonts w:hint="eastAsia" w:ascii="宋体" w:hAnsi="宋体" w:eastAsia="宋体" w:cs="宋体"/>
          <w:color w:val="auto"/>
          <w:highlight w:val="none"/>
        </w:rPr>
      </w:pPr>
      <w:r>
        <w:rPr>
          <w:rFonts w:hint="eastAsia"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供应商在采购过程中或合同履行过程中存在其他违法行为的，且违法行为严重的，供应商在承担相应的民事责任以外，采购人将有权向相关行政管理部门建议给予供应商限制本项目内容所涉及的市场响应采购的处罚。</w:t>
      </w:r>
    </w:p>
    <w:p>
      <w:pPr>
        <w:pStyle w:val="3"/>
        <w:bidi w:val="0"/>
        <w:ind w:left="0" w:leftChars="0" w:right="0" w:rightChars="0" w:firstLine="0" w:firstLineChars="0"/>
        <w:jc w:val="center"/>
        <w:rPr>
          <w:rFonts w:hint="eastAsia" w:ascii="宋体" w:hAnsi="宋体" w:eastAsia="宋体" w:cs="宋体"/>
          <w:color w:val="auto"/>
          <w:highlight w:val="none"/>
        </w:rPr>
      </w:pPr>
      <w:bookmarkStart w:id="65" w:name="_Toc91899879"/>
      <w:bookmarkStart w:id="66" w:name="_Toc32426"/>
      <w:bookmarkStart w:id="67" w:name="_Toc16985"/>
      <w:bookmarkStart w:id="68" w:name="_Toc27084"/>
      <w:r>
        <w:rPr>
          <w:rFonts w:hint="eastAsia" w:ascii="宋体" w:hAnsi="宋体" w:eastAsia="宋体" w:cs="宋体"/>
          <w:color w:val="auto"/>
          <w:highlight w:val="none"/>
        </w:rPr>
        <w:t>第二节 招标文件</w:t>
      </w:r>
      <w:bookmarkEnd w:id="65"/>
      <w:r>
        <w:rPr>
          <w:rFonts w:hint="eastAsia" w:ascii="宋体" w:hAnsi="宋体" w:eastAsia="宋体" w:cs="宋体"/>
          <w:color w:val="auto"/>
          <w:highlight w:val="none"/>
        </w:rPr>
        <w:t>的构成、澄清、修改</w:t>
      </w:r>
      <w:bookmarkEnd w:id="66"/>
      <w:bookmarkEnd w:id="67"/>
      <w:bookmarkEnd w:id="68"/>
    </w:p>
    <w:p>
      <w:pPr>
        <w:pStyle w:val="4"/>
        <w:rPr>
          <w:rFonts w:hint="eastAsia" w:ascii="宋体" w:hAnsi="宋体" w:eastAsia="宋体" w:cs="宋体"/>
          <w:color w:val="auto"/>
          <w:sz w:val="24"/>
          <w:szCs w:val="24"/>
          <w:highlight w:val="none"/>
        </w:rPr>
      </w:pPr>
      <w:bookmarkStart w:id="69" w:name="_Toc15003"/>
      <w:bookmarkStart w:id="70" w:name="_Toc91899880"/>
      <w:bookmarkStart w:id="71" w:name="_Hlt74730307"/>
      <w:r>
        <w:rPr>
          <w:rFonts w:hint="eastAsia" w:ascii="宋体" w:hAnsi="宋体" w:eastAsia="宋体" w:cs="宋体"/>
          <w:color w:val="auto"/>
          <w:sz w:val="24"/>
          <w:szCs w:val="24"/>
          <w:highlight w:val="none"/>
        </w:rPr>
        <w:t>一、招标文件的构成</w:t>
      </w:r>
      <w:bookmarkEnd w:id="69"/>
      <w:bookmarkEnd w:id="70"/>
    </w:p>
    <w:bookmarkEnd w:id="71"/>
    <w:p>
      <w:pPr>
        <w:numPr>
          <w:ilvl w:val="0"/>
          <w:numId w:val="14"/>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招标文件包括下列文件及附件</w:t>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"_Toc32332"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第一章 招标公告</w:t>
      </w:r>
      <w:r>
        <w:rPr>
          <w:rFonts w:hint="eastAsia" w:ascii="宋体" w:hAnsi="宋体" w:eastAsia="宋体" w:cs="宋体"/>
          <w:color w:val="auto"/>
          <w:highlight w:val="none"/>
        </w:rPr>
        <w:fldChar w:fldCharType="end"/>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"_Toc24282"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第二章 项目需求说明</w:t>
      </w:r>
      <w:r>
        <w:rPr>
          <w:rFonts w:hint="eastAsia" w:ascii="宋体" w:hAnsi="宋体" w:eastAsia="宋体" w:cs="宋体"/>
          <w:color w:val="auto"/>
          <w:highlight w:val="none"/>
        </w:rPr>
        <w:fldChar w:fldCharType="end"/>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"_Toc7338"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第三章 投标人须知</w:t>
      </w:r>
      <w:r>
        <w:rPr>
          <w:rFonts w:hint="eastAsia" w:ascii="宋体" w:hAnsi="宋体" w:eastAsia="宋体" w:cs="宋体"/>
          <w:color w:val="auto"/>
          <w:highlight w:val="none"/>
        </w:rPr>
        <w:fldChar w:fldCharType="end"/>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"_Toc22869"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第四章 评标办法及评分标准</w:t>
      </w:r>
      <w:r>
        <w:rPr>
          <w:rFonts w:hint="eastAsia" w:ascii="宋体" w:hAnsi="宋体" w:eastAsia="宋体" w:cs="宋体"/>
          <w:color w:val="auto"/>
          <w:highlight w:val="none"/>
        </w:rPr>
        <w:fldChar w:fldCharType="end"/>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"_Toc7087"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第五章 合同格式</w:t>
      </w:r>
      <w:r>
        <w:rPr>
          <w:rFonts w:hint="eastAsia" w:ascii="宋体" w:hAnsi="宋体" w:eastAsia="宋体" w:cs="宋体"/>
          <w:color w:val="auto"/>
          <w:highlight w:val="none"/>
        </w:rPr>
        <w:fldChar w:fldCharType="end"/>
      </w:r>
    </w:p>
    <w:p>
      <w:pPr>
        <w:keepNext w:val="0"/>
        <w:keepLines w:val="0"/>
        <w:pageBreakBefore w:val="0"/>
        <w:widowControl w:val="0"/>
        <w:numPr>
          <w:ilvl w:val="0"/>
          <w:numId w:val="15"/>
        </w:numPr>
        <w:kinsoku/>
        <w:wordWrap/>
        <w:overflowPunct/>
        <w:topLinePunct w:val="0"/>
        <w:autoSpaceDE/>
        <w:autoSpaceDN/>
        <w:bidi w:val="0"/>
        <w:adjustRightInd/>
        <w:snapToGrid/>
        <w:ind w:left="0" w:leftChars="0" w:firstLine="567"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"_Toc29638"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第六章 投标文件格式</w:t>
      </w:r>
      <w:r>
        <w:rPr>
          <w:rFonts w:hint="eastAsia" w:ascii="宋体" w:hAnsi="宋体" w:eastAsia="宋体" w:cs="宋体"/>
          <w:color w:val="auto"/>
          <w:highlight w:val="none"/>
        </w:rPr>
        <w:fldChar w:fldCharType="end"/>
      </w:r>
    </w:p>
    <w:p>
      <w:pPr>
        <w:numPr>
          <w:ilvl w:val="0"/>
          <w:numId w:val="14"/>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与本项目有关的澄清或者修改的内容为招标文件的组成部分。</w:t>
      </w:r>
    </w:p>
    <w:p>
      <w:pPr>
        <w:pStyle w:val="4"/>
        <w:rPr>
          <w:rFonts w:hint="eastAsia" w:ascii="宋体" w:hAnsi="宋体" w:eastAsia="宋体" w:cs="宋体"/>
          <w:color w:val="auto"/>
          <w:sz w:val="24"/>
          <w:szCs w:val="24"/>
          <w:highlight w:val="none"/>
        </w:rPr>
      </w:pPr>
      <w:bookmarkStart w:id="72" w:name="_Toc15053"/>
      <w:r>
        <w:rPr>
          <w:rFonts w:hint="eastAsia" w:ascii="宋体" w:hAnsi="宋体" w:eastAsia="宋体" w:cs="宋体"/>
          <w:color w:val="auto"/>
          <w:sz w:val="24"/>
          <w:szCs w:val="24"/>
          <w:highlight w:val="none"/>
        </w:rPr>
        <w:t>二、招标文件的澄清、修改</w:t>
      </w:r>
      <w:bookmarkEnd w:id="72"/>
    </w:p>
    <w:p>
      <w:pPr>
        <w:numPr>
          <w:ilvl w:val="0"/>
          <w:numId w:val="1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已获取招标文件的潜在投标人，若有问题需要澄清，应于投标截止时间前，以书面形式向采购代理机构提出，采购代理机构与采购人研究后，对认为有必要回答的问题，将以书面解答形式</w:t>
      </w:r>
      <w:r>
        <w:rPr>
          <w:rFonts w:hint="eastAsia" w:ascii="宋体" w:hAnsi="宋体" w:eastAsia="宋体" w:cs="宋体"/>
          <w:color w:val="auto"/>
          <w:highlight w:val="none"/>
          <w:lang w:eastAsia="zh-CN"/>
        </w:rPr>
        <w:t>答复</w:t>
      </w:r>
      <w:r>
        <w:rPr>
          <w:rFonts w:hint="eastAsia" w:ascii="宋体" w:hAnsi="宋体" w:eastAsia="宋体" w:cs="宋体"/>
          <w:color w:val="auto"/>
          <w:highlight w:val="none"/>
        </w:rPr>
        <w:t>。</w:t>
      </w:r>
    </w:p>
    <w:p>
      <w:pPr>
        <w:numPr>
          <w:ilvl w:val="0"/>
          <w:numId w:val="1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采购人或者采购代理机构可以对已发出的招标文件进行必要的澄清或者修改，澄清或者修改会在原公告发布媒体上发布澄清公告，澄清或者修改的内容为招标文件的组成部分。</w:t>
      </w:r>
    </w:p>
    <w:p>
      <w:pPr>
        <w:numPr>
          <w:ilvl w:val="0"/>
          <w:numId w:val="1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澄清或者修改的内容可能影响投标文件编制的，采购人或者采购代理机构会在投标截止时间至少15日前，以</w:t>
      </w:r>
      <w:r>
        <w:rPr>
          <w:rFonts w:hint="eastAsia" w:ascii="宋体" w:hAnsi="宋体" w:eastAsia="宋体" w:cs="宋体"/>
          <w:color w:val="auto"/>
          <w:highlight w:val="none"/>
          <w:lang w:eastAsia="zh-CN"/>
        </w:rPr>
        <w:t>公告</w:t>
      </w:r>
      <w:r>
        <w:rPr>
          <w:rFonts w:hint="eastAsia" w:ascii="宋体" w:hAnsi="宋体" w:eastAsia="宋体" w:cs="宋体"/>
          <w:color w:val="auto"/>
          <w:highlight w:val="none"/>
        </w:rPr>
        <w:t>形式通知所有获取招标文件的潜在投标人；不足15日的，采购人或者采购代理机构会顺延提交投标文件的截止时间。</w:t>
      </w:r>
    </w:p>
    <w:p>
      <w:pPr>
        <w:numPr>
          <w:ilvl w:val="0"/>
          <w:numId w:val="1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招标文件的修改将以</w:t>
      </w:r>
      <w:r>
        <w:rPr>
          <w:rFonts w:hint="eastAsia" w:ascii="宋体" w:hAnsi="宋体" w:eastAsia="宋体" w:cs="宋体"/>
          <w:color w:val="auto"/>
          <w:highlight w:val="none"/>
          <w:lang w:eastAsia="zh-CN"/>
        </w:rPr>
        <w:t>公告</w:t>
      </w:r>
      <w:r>
        <w:rPr>
          <w:rFonts w:hint="eastAsia" w:ascii="宋体" w:hAnsi="宋体" w:eastAsia="宋体" w:cs="宋体"/>
          <w:color w:val="auto"/>
          <w:highlight w:val="none"/>
        </w:rPr>
        <w:t>形式通知所有购买招标文件的投标人，并对其具有约束力。若</w:t>
      </w:r>
      <w:r>
        <w:rPr>
          <w:rFonts w:hint="eastAsia" w:ascii="宋体" w:hAnsi="宋体" w:eastAsia="宋体" w:cs="宋体"/>
          <w:color w:val="auto"/>
          <w:highlight w:val="none"/>
          <w:lang w:eastAsia="zh-CN"/>
        </w:rPr>
        <w:t>发布更正公告后</w:t>
      </w:r>
      <w:r>
        <w:rPr>
          <w:rFonts w:hint="eastAsia" w:ascii="宋体" w:hAnsi="宋体" w:eastAsia="宋体" w:cs="宋体"/>
          <w:color w:val="auto"/>
          <w:highlight w:val="none"/>
        </w:rPr>
        <w:t>，视同投标人已收到招标文件修改的通知，并受其约束。</w:t>
      </w:r>
    </w:p>
    <w:p>
      <w:pPr>
        <w:bidi w:val="0"/>
        <w:rPr>
          <w:rFonts w:hint="eastAsia" w:ascii="宋体" w:hAnsi="宋体" w:eastAsia="宋体" w:cs="宋体"/>
          <w:b/>
          <w:bCs/>
          <w:color w:val="auto"/>
          <w:highlight w:val="none"/>
        </w:rPr>
      </w:pPr>
      <w:r>
        <w:rPr>
          <w:rFonts w:hint="eastAsia" w:ascii="宋体" w:hAnsi="宋体" w:eastAsia="宋体" w:cs="宋体"/>
          <w:b/>
          <w:bCs/>
          <w:color w:val="auto"/>
          <w:highlight w:val="none"/>
        </w:rPr>
        <w:t>▲投标文件未按招标文件的澄清、修改的内容编制，又不符合实质性要求的，投标无效。</w:t>
      </w:r>
    </w:p>
    <w:p>
      <w:pPr>
        <w:pStyle w:val="3"/>
        <w:bidi w:val="0"/>
        <w:ind w:left="0" w:leftChars="0" w:right="0" w:rightChars="0" w:firstLine="0" w:firstLineChars="0"/>
        <w:jc w:val="center"/>
        <w:rPr>
          <w:rFonts w:hint="eastAsia" w:ascii="宋体" w:hAnsi="宋体" w:eastAsia="宋体" w:cs="宋体"/>
          <w:color w:val="auto"/>
          <w:highlight w:val="none"/>
        </w:rPr>
      </w:pPr>
      <w:bookmarkStart w:id="73" w:name="_Toc82338241"/>
      <w:bookmarkStart w:id="74" w:name="_Toc21160"/>
      <w:bookmarkStart w:id="75" w:name="_Toc19164"/>
      <w:bookmarkStart w:id="76" w:name="_Toc82873324"/>
      <w:bookmarkStart w:id="77" w:name="_Toc1096"/>
      <w:bookmarkStart w:id="78" w:name="_Toc450840075"/>
      <w:bookmarkStart w:id="79" w:name="_Toc204"/>
      <w:r>
        <w:rPr>
          <w:rFonts w:hint="eastAsia" w:ascii="宋体" w:hAnsi="宋体" w:eastAsia="宋体" w:cs="宋体"/>
          <w:color w:val="auto"/>
          <w:highlight w:val="none"/>
        </w:rPr>
        <w:t>第三节 投标文件</w:t>
      </w:r>
      <w:bookmarkEnd w:id="73"/>
      <w:bookmarkEnd w:id="74"/>
      <w:bookmarkEnd w:id="75"/>
      <w:bookmarkEnd w:id="76"/>
      <w:bookmarkEnd w:id="77"/>
      <w:bookmarkEnd w:id="78"/>
      <w:bookmarkEnd w:id="79"/>
    </w:p>
    <w:p>
      <w:pPr>
        <w:pStyle w:val="4"/>
        <w:bidi w:val="0"/>
        <w:rPr>
          <w:rFonts w:hint="eastAsia" w:ascii="宋体" w:hAnsi="宋体" w:eastAsia="宋体" w:cs="宋体"/>
          <w:color w:val="auto"/>
          <w:highlight w:val="none"/>
        </w:rPr>
      </w:pPr>
      <w:bookmarkStart w:id="80" w:name="_Toc8877"/>
      <w:r>
        <w:rPr>
          <w:rFonts w:hint="eastAsia" w:ascii="宋体" w:hAnsi="宋体" w:eastAsia="宋体" w:cs="宋体"/>
          <w:color w:val="auto"/>
          <w:highlight w:val="none"/>
        </w:rPr>
        <w:t>一、投标文件语言和计量单位</w:t>
      </w:r>
      <w:bookmarkEnd w:id="80"/>
    </w:p>
    <w:p>
      <w:pPr>
        <w:numPr>
          <w:ilvl w:val="0"/>
          <w:numId w:val="1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投标文件应用中文书写。投标文件中所附或所引用的原件不是中文时，应附中文译本。</w:t>
      </w:r>
    </w:p>
    <w:p>
      <w:pPr>
        <w:numPr>
          <w:ilvl w:val="0"/>
          <w:numId w:val="1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投标文件中所使用的计量单位，除招标文件中有特殊要求外，应采用国家法定计量单位。</w:t>
      </w:r>
    </w:p>
    <w:p>
      <w:pPr>
        <w:pStyle w:val="4"/>
        <w:bidi w:val="0"/>
        <w:rPr>
          <w:rFonts w:hint="eastAsia" w:ascii="宋体" w:hAnsi="宋体" w:eastAsia="宋体" w:cs="宋体"/>
          <w:color w:val="auto"/>
          <w:highlight w:val="none"/>
        </w:rPr>
      </w:pPr>
      <w:bookmarkStart w:id="81" w:name="_Toc5487"/>
      <w:r>
        <w:rPr>
          <w:rFonts w:hint="eastAsia" w:ascii="宋体" w:hAnsi="宋体" w:eastAsia="宋体" w:cs="宋体"/>
          <w:color w:val="auto"/>
          <w:highlight w:val="none"/>
        </w:rPr>
        <w:t>二、投标文件的组成</w:t>
      </w:r>
      <w:bookmarkEnd w:id="81"/>
      <w:r>
        <w:rPr>
          <w:rFonts w:hint="eastAsia" w:ascii="宋体" w:hAnsi="宋体" w:eastAsia="宋体" w:cs="宋体"/>
          <w:color w:val="auto"/>
          <w:highlight w:val="none"/>
        </w:rPr>
        <w:t>（资格证明文件、报价文件和商务技术文件三部分组成）</w:t>
      </w:r>
    </w:p>
    <w:p>
      <w:pPr>
        <w:ind w:firstLine="0" w:firstLineChars="0"/>
        <w:rPr>
          <w:rFonts w:hint="eastAsia" w:ascii="宋体" w:hAnsi="宋体" w:eastAsia="宋体" w:cs="宋体"/>
          <w:b/>
          <w:bCs/>
          <w:color w:val="auto"/>
          <w:highlight w:val="none"/>
          <w:lang w:eastAsia="zh-CN"/>
        </w:rPr>
      </w:pPr>
      <w:bookmarkStart w:id="82" w:name="_Toc22525"/>
      <w:r>
        <w:rPr>
          <w:rFonts w:hint="eastAsia" w:ascii="宋体" w:hAnsi="宋体" w:eastAsia="宋体" w:cs="宋体"/>
          <w:b/>
          <w:bCs/>
          <w:color w:val="auto"/>
          <w:highlight w:val="none"/>
        </w:rPr>
        <w:t>（一）资格证明文件：</w:t>
      </w:r>
      <w:r>
        <w:rPr>
          <w:rFonts w:hint="eastAsia" w:ascii="宋体" w:hAnsi="宋体" w:eastAsia="宋体" w:cs="宋体"/>
          <w:b/>
          <w:bCs/>
          <w:color w:val="auto"/>
          <w:highlight w:val="none"/>
          <w:lang w:eastAsia="zh-CN"/>
        </w:rPr>
        <w:t>（</w:t>
      </w:r>
      <w:r>
        <w:rPr>
          <w:rFonts w:hint="eastAsia" w:ascii="宋体" w:hAnsi="宋体" w:eastAsia="宋体" w:cs="宋体"/>
          <w:b/>
          <w:bCs/>
          <w:color w:val="auto"/>
          <w:highlight w:val="none"/>
          <w:lang w:val="en-US" w:eastAsia="zh-CN"/>
        </w:rPr>
        <w:t>均须加盖公章</w:t>
      </w:r>
      <w:r>
        <w:rPr>
          <w:rFonts w:hint="eastAsia" w:ascii="宋体" w:hAnsi="宋体" w:eastAsia="宋体" w:cs="宋体"/>
          <w:b/>
          <w:bCs/>
          <w:color w:val="auto"/>
          <w:highlight w:val="none"/>
          <w:lang w:eastAsia="zh-CN"/>
        </w:rPr>
        <w:t>）</w:t>
      </w:r>
    </w:p>
    <w:p>
      <w:pPr>
        <w:numPr>
          <w:ilvl w:val="0"/>
          <w:numId w:val="1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提供有效的经营执照复印件；事业单位的，则提供有效的《事业单位法人证书》副本复印件章；</w:t>
      </w:r>
    </w:p>
    <w:p>
      <w:pPr>
        <w:numPr>
          <w:ilvl w:val="0"/>
          <w:numId w:val="18"/>
        </w:numPr>
        <w:ind w:left="0" w:leftChars="0"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提供</w:t>
      </w:r>
      <w:r>
        <w:rPr>
          <w:rFonts w:hint="eastAsia" w:cs="宋体"/>
          <w:color w:val="auto"/>
          <w:highlight w:val="none"/>
          <w:lang w:val="en-US" w:eastAsia="zh-CN"/>
        </w:rPr>
        <w:t>2020</w:t>
      </w:r>
      <w:r>
        <w:rPr>
          <w:rFonts w:hint="eastAsia" w:ascii="宋体" w:hAnsi="宋体" w:eastAsia="宋体" w:cs="宋体"/>
          <w:color w:val="auto"/>
          <w:highlight w:val="none"/>
          <w:lang w:val="en-US" w:eastAsia="zh-CN"/>
        </w:rPr>
        <w:t>年度财务报告</w:t>
      </w:r>
      <w:r>
        <w:rPr>
          <w:rFonts w:hint="eastAsia" w:cs="宋体"/>
          <w:color w:val="auto"/>
          <w:highlight w:val="none"/>
          <w:lang w:val="en-US" w:eastAsia="zh-CN"/>
        </w:rPr>
        <w:t>；</w:t>
      </w:r>
    </w:p>
    <w:p>
      <w:pPr>
        <w:numPr>
          <w:ilvl w:val="0"/>
          <w:numId w:val="1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提供</w:t>
      </w:r>
      <w:r>
        <w:rPr>
          <w:rFonts w:hint="eastAsia" w:ascii="宋体" w:hAnsi="宋体" w:eastAsia="宋体" w:cs="宋体"/>
          <w:color w:val="auto"/>
          <w:highlight w:val="none"/>
          <w:lang w:val="en-US" w:eastAsia="zh-CN"/>
        </w:rPr>
        <w:t>近一年任意一个月</w:t>
      </w:r>
      <w:r>
        <w:rPr>
          <w:rFonts w:hint="eastAsia" w:ascii="宋体" w:hAnsi="宋体" w:eastAsia="宋体" w:cs="宋体"/>
          <w:color w:val="auto"/>
          <w:highlight w:val="none"/>
        </w:rPr>
        <w:t>依法缴纳税收证明（完税凭证或税务部门出具的证明）；</w:t>
      </w:r>
    </w:p>
    <w:p>
      <w:pPr>
        <w:numPr>
          <w:ilvl w:val="0"/>
          <w:numId w:val="1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提供</w:t>
      </w:r>
      <w:r>
        <w:rPr>
          <w:rFonts w:hint="eastAsia" w:ascii="宋体" w:hAnsi="宋体" w:eastAsia="宋体" w:cs="宋体"/>
          <w:color w:val="auto"/>
          <w:highlight w:val="none"/>
          <w:lang w:val="en-US" w:eastAsia="zh-CN"/>
        </w:rPr>
        <w:t>近一年任意一个月</w:t>
      </w:r>
      <w:r>
        <w:rPr>
          <w:rFonts w:hint="eastAsia" w:ascii="宋体" w:hAnsi="宋体" w:eastAsia="宋体" w:cs="宋体"/>
          <w:color w:val="auto"/>
          <w:highlight w:val="none"/>
        </w:rPr>
        <w:t>依法缴纳社会保障资金证明（缴纳凭证或人社部门出具的证明）；</w:t>
      </w:r>
    </w:p>
    <w:p>
      <w:pPr>
        <w:numPr>
          <w:ilvl w:val="0"/>
          <w:numId w:val="1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具有履行合同所必需的设备和专业技术能力的承诺函</w:t>
      </w:r>
    </w:p>
    <w:p>
      <w:pPr>
        <w:numPr>
          <w:ilvl w:val="0"/>
          <w:numId w:val="1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参加政府采购活动</w:t>
      </w:r>
      <w:r>
        <w:rPr>
          <w:rFonts w:hint="eastAsia" w:ascii="宋体" w:hAnsi="宋体" w:eastAsia="宋体" w:cs="宋体"/>
          <w:color w:val="auto"/>
          <w:highlight w:val="none"/>
        </w:rPr>
        <w:t>前3年内在经营活动中没有重大违法记录的书面声明；</w:t>
      </w:r>
    </w:p>
    <w:p>
      <w:pPr>
        <w:numPr>
          <w:ilvl w:val="0"/>
          <w:numId w:val="18"/>
        </w:numPr>
        <w:ind w:left="0" w:leftChars="0"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信用记录：查询信息网站截图：查询渠道：“信用中国”（www.creditchina.gov.cn）、“中国政府采购网”（www.ccgp.gov.cn），最终审查以代理机构在响应截止前一个工作日查询的最新信息为准</w:t>
      </w:r>
      <w:r>
        <w:rPr>
          <w:rFonts w:hint="eastAsia" w:ascii="宋体" w:hAnsi="宋体" w:eastAsia="宋体" w:cs="宋体"/>
          <w:color w:val="auto"/>
          <w:highlight w:val="none"/>
          <w:lang w:eastAsia="zh-CN"/>
        </w:rPr>
        <w:t>。</w:t>
      </w:r>
    </w:p>
    <w:p>
      <w:pPr>
        <w:ind w:firstLine="0" w:firstLineChars="0"/>
        <w:rPr>
          <w:rFonts w:hint="eastAsia" w:ascii="宋体" w:hAnsi="宋体" w:eastAsia="宋体" w:cs="宋体"/>
          <w:color w:val="auto"/>
          <w:szCs w:val="32"/>
          <w:highlight w:val="none"/>
        </w:rPr>
      </w:pPr>
      <w:r>
        <w:rPr>
          <w:rFonts w:hint="eastAsia" w:ascii="宋体" w:hAnsi="宋体" w:eastAsia="宋体" w:cs="宋体"/>
          <w:b/>
          <w:color w:val="auto"/>
          <w:highlight w:val="none"/>
        </w:rPr>
        <w:t>（二）报价文件</w:t>
      </w:r>
      <w:r>
        <w:rPr>
          <w:rFonts w:hint="eastAsia" w:ascii="宋体" w:hAnsi="宋体" w:eastAsia="宋体" w:cs="宋体"/>
          <w:color w:val="auto"/>
          <w:szCs w:val="32"/>
          <w:highlight w:val="none"/>
        </w:rPr>
        <w:t>：</w:t>
      </w:r>
    </w:p>
    <w:p>
      <w:pPr>
        <w:numPr>
          <w:ilvl w:val="0"/>
          <w:numId w:val="1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投标函；</w:t>
      </w:r>
    </w:p>
    <w:p>
      <w:pPr>
        <w:numPr>
          <w:ilvl w:val="0"/>
          <w:numId w:val="1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开标一览表；</w:t>
      </w:r>
    </w:p>
    <w:p>
      <w:pPr>
        <w:numPr>
          <w:ilvl w:val="0"/>
          <w:numId w:val="1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投标分项报价表</w:t>
      </w:r>
      <w:r>
        <w:rPr>
          <w:rFonts w:hint="eastAsia" w:cs="宋体"/>
          <w:color w:val="auto"/>
          <w:highlight w:val="none"/>
          <w:lang w:eastAsia="zh-CN"/>
        </w:rPr>
        <w:t>；</w:t>
      </w:r>
    </w:p>
    <w:p>
      <w:pPr>
        <w:numPr>
          <w:ilvl w:val="0"/>
          <w:numId w:val="1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《中小企业声明函》及相关证明材料；</w:t>
      </w:r>
    </w:p>
    <w:p>
      <w:pPr>
        <w:numPr>
          <w:ilvl w:val="0"/>
          <w:numId w:val="19"/>
        </w:numPr>
        <w:ind w:left="0" w:leftChars="0" w:firstLine="480" w:firstLineChars="200"/>
        <w:rPr>
          <w:rFonts w:hint="eastAsia" w:ascii="宋体" w:hAnsi="宋体" w:eastAsia="宋体" w:cs="宋体"/>
          <w:color w:val="auto"/>
          <w:highlight w:val="none"/>
        </w:rPr>
      </w:pPr>
      <w:bookmarkStart w:id="83" w:name="_Toc4797"/>
      <w:bookmarkStart w:id="84" w:name="_Toc31456"/>
      <w:r>
        <w:rPr>
          <w:rFonts w:hint="eastAsia" w:ascii="宋体" w:hAnsi="宋体" w:eastAsia="宋体" w:cs="宋体"/>
          <w:color w:val="auto"/>
          <w:highlight w:val="none"/>
        </w:rPr>
        <w:t>残疾人福利性单位声明函（如有需提供）（格式附后）；</w:t>
      </w:r>
      <w:bookmarkEnd w:id="83"/>
      <w:bookmarkEnd w:id="84"/>
    </w:p>
    <w:p>
      <w:pPr>
        <w:numPr>
          <w:ilvl w:val="0"/>
          <w:numId w:val="19"/>
        </w:numPr>
        <w:ind w:left="0" w:leftChars="0" w:firstLine="480" w:firstLineChars="200"/>
        <w:rPr>
          <w:rFonts w:hint="eastAsia" w:ascii="宋体" w:hAnsi="宋体" w:eastAsia="宋体" w:cs="宋体"/>
          <w:color w:val="auto"/>
          <w:highlight w:val="none"/>
        </w:rPr>
      </w:pPr>
      <w:bookmarkStart w:id="85" w:name="_Toc5746"/>
      <w:bookmarkStart w:id="86" w:name="_Toc6461"/>
      <w:r>
        <w:rPr>
          <w:rFonts w:hint="eastAsia" w:ascii="宋体" w:hAnsi="宋体" w:eastAsia="宋体" w:cs="宋体"/>
          <w:color w:val="auto"/>
          <w:highlight w:val="none"/>
        </w:rPr>
        <w:t>投标人针对报价需要说明的其他文件和说明。</w:t>
      </w:r>
      <w:bookmarkEnd w:id="85"/>
      <w:bookmarkEnd w:id="86"/>
    </w:p>
    <w:p>
      <w:pPr>
        <w:ind w:firstLine="0" w:firstLineChars="0"/>
        <w:rPr>
          <w:rFonts w:hint="eastAsia" w:ascii="宋体" w:hAnsi="宋体" w:eastAsia="宋体" w:cs="宋体"/>
          <w:b/>
          <w:bCs/>
          <w:color w:val="auto"/>
          <w:szCs w:val="32"/>
          <w:highlight w:val="none"/>
        </w:rPr>
      </w:pPr>
      <w:r>
        <w:rPr>
          <w:rFonts w:hint="eastAsia" w:ascii="宋体" w:hAnsi="宋体" w:eastAsia="宋体" w:cs="宋体"/>
          <w:b/>
          <w:bCs/>
          <w:color w:val="auto"/>
          <w:szCs w:val="32"/>
          <w:highlight w:val="none"/>
        </w:rPr>
        <w:t>（三）商务技术文件：</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投标声明书</w:t>
      </w:r>
      <w:r>
        <w:rPr>
          <w:rFonts w:hint="eastAsia" w:ascii="宋体" w:hAnsi="宋体" w:eastAsia="宋体" w:cs="宋体"/>
          <w:color w:val="auto"/>
          <w:highlight w:val="none"/>
          <w:lang w:eastAsia="zh-CN"/>
        </w:rPr>
        <w:t>；</w:t>
      </w:r>
    </w:p>
    <w:p>
      <w:pPr>
        <w:numPr>
          <w:ilvl w:val="0"/>
          <w:numId w:val="20"/>
        </w:numPr>
        <w:ind w:left="0" w:leftChars="0"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法定代表人资格证明书和法定代表人授权委托书（投标人的代表若为非法定代表人的，必须提交法定代表人授权书；身份证复印件、授权委托人社保证明（近一年任意一个月的社保证明）；</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廉政承诺书；</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投标人情况表，质量管理体系（如有）、环境管理体系（如有）、职业健康及安全管理体系（如有）等三体系认证证书；（如有）；</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同类项目实施情况一览表：2018年1月（以合同签订时间为准）至今实施的类似项目合同复印件（加盖公章），相关实施经验及成功案例介绍（要求提供有关情况，包括：项目名称、项目基本内容、业主名称、联系人及电话，项目金额、实施日期等）</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技术规范偏离表；</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产品总体性能及质量水平</w:t>
      </w:r>
      <w:r>
        <w:rPr>
          <w:rFonts w:hint="eastAsia" w:ascii="宋体" w:hAnsi="宋体" w:eastAsia="宋体" w:cs="宋体"/>
          <w:color w:val="auto"/>
          <w:highlight w:val="none"/>
          <w:lang w:eastAsia="zh-CN"/>
        </w:rPr>
        <w:t>；</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产品配置的先进性、完整性和适用性</w:t>
      </w:r>
      <w:r>
        <w:rPr>
          <w:rFonts w:hint="eastAsia" w:ascii="宋体" w:hAnsi="宋体" w:eastAsia="宋体" w:cs="宋体"/>
          <w:color w:val="auto"/>
          <w:highlight w:val="none"/>
        </w:rPr>
        <w:t>；</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产品的稳定性、可操作性和可维护性</w:t>
      </w:r>
      <w:r>
        <w:rPr>
          <w:rFonts w:hint="eastAsia" w:ascii="宋体" w:hAnsi="宋体" w:eastAsia="宋体" w:cs="宋体"/>
          <w:color w:val="auto"/>
          <w:highlight w:val="none"/>
        </w:rPr>
        <w:t>；</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安装、调试、验收计划及人员安排情况</w:t>
      </w:r>
      <w:r>
        <w:rPr>
          <w:rFonts w:hint="eastAsia" w:ascii="宋体" w:hAnsi="宋体" w:eastAsia="宋体" w:cs="宋体"/>
          <w:color w:val="auto"/>
          <w:highlight w:val="none"/>
        </w:rPr>
        <w:t>；</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售后服务</w:t>
      </w:r>
      <w:r>
        <w:rPr>
          <w:rFonts w:hint="eastAsia" w:ascii="宋体" w:hAnsi="宋体" w:eastAsia="宋体" w:cs="宋体"/>
          <w:color w:val="auto"/>
          <w:highlight w:val="none"/>
        </w:rPr>
        <w:t>；</w:t>
      </w:r>
    </w:p>
    <w:p>
      <w:pPr>
        <w:numPr>
          <w:ilvl w:val="0"/>
          <w:numId w:val="20"/>
        </w:numPr>
        <w:ind w:left="0" w:leftChars="0" w:firstLine="456" w:firstLineChars="200"/>
        <w:rPr>
          <w:rFonts w:hint="eastAsia" w:ascii="宋体" w:hAnsi="宋体" w:eastAsia="宋体" w:cs="宋体"/>
          <w:color w:val="auto"/>
          <w:highlight w:val="none"/>
        </w:rPr>
      </w:pPr>
      <w:r>
        <w:rPr>
          <w:rFonts w:hint="eastAsia" w:ascii="宋体" w:hAnsi="宋体" w:cs="宋体"/>
          <w:b w:val="0"/>
          <w:bCs/>
          <w:spacing w:val="-6"/>
          <w:sz w:val="24"/>
          <w:highlight w:val="none"/>
        </w:rPr>
        <w:t>优惠条件</w:t>
      </w:r>
      <w:r>
        <w:rPr>
          <w:rFonts w:hint="eastAsia" w:ascii="宋体" w:hAnsi="宋体" w:eastAsia="宋体" w:cs="宋体"/>
          <w:color w:val="auto"/>
          <w:highlight w:val="none"/>
          <w:lang w:eastAsia="zh-CN"/>
        </w:rPr>
        <w:t>；</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政府采购政策分</w:t>
      </w:r>
    </w:p>
    <w:p>
      <w:pPr>
        <w:numPr>
          <w:ilvl w:val="0"/>
          <w:numId w:val="2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其它本招标文件评分表要求提供的材料或投标人认为需要的其他技术文件资料或说明。</w:t>
      </w:r>
    </w:p>
    <w:p>
      <w:pPr>
        <w:pStyle w:val="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、投标报价</w:t>
      </w:r>
      <w:bookmarkEnd w:id="82"/>
    </w:p>
    <w:p>
      <w:pPr>
        <w:numPr>
          <w:ilvl w:val="0"/>
          <w:numId w:val="2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投标报价是指一次性报出不得更改的价格；</w:t>
      </w:r>
    </w:p>
    <w:p>
      <w:pPr>
        <w:numPr>
          <w:ilvl w:val="0"/>
          <w:numId w:val="2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投标人的报价中应包含货物的价格、损耗、运费、仓储、搬运、税费、初加工服务费、</w:t>
      </w:r>
      <w:r>
        <w:rPr>
          <w:rFonts w:hint="eastAsia" w:ascii="宋体" w:hAnsi="宋体" w:eastAsia="宋体" w:cs="宋体"/>
          <w:color w:val="auto"/>
          <w:highlight w:val="none"/>
          <w:lang w:val="en-US" w:eastAsia="zh-CN"/>
        </w:rPr>
        <w:t>质保</w:t>
      </w:r>
      <w:r>
        <w:rPr>
          <w:rFonts w:hint="eastAsia" w:ascii="宋体" w:hAnsi="宋体" w:eastAsia="宋体" w:cs="宋体"/>
          <w:color w:val="auto"/>
          <w:highlight w:val="none"/>
        </w:rPr>
        <w:t>期服务所需的全部费用及招标代理服务费所有费用，不再支付其他费用。</w:t>
      </w:r>
    </w:p>
    <w:p>
      <w:pPr>
        <w:pStyle w:val="4"/>
        <w:rPr>
          <w:rFonts w:hint="eastAsia" w:ascii="宋体" w:hAnsi="宋体" w:eastAsia="宋体" w:cs="宋体"/>
          <w:color w:val="auto"/>
          <w:sz w:val="24"/>
          <w:szCs w:val="24"/>
          <w:highlight w:val="none"/>
        </w:rPr>
      </w:pPr>
      <w:bookmarkStart w:id="87" w:name="_Toc25476"/>
      <w:bookmarkStart w:id="88" w:name="_Toc1"/>
      <w:bookmarkStart w:id="89" w:name="_Toc12521"/>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、投标文件的有效期</w:t>
      </w:r>
      <w:bookmarkEnd w:id="87"/>
    </w:p>
    <w:p>
      <w:pPr>
        <w:numPr>
          <w:ilvl w:val="0"/>
          <w:numId w:val="2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投标文件有效期按“供应商须知前附表”规定，投标文件应在该有效期内保持有效。合同签订后，投标文件作为合同附件，投标文件有效期同合同有效期。</w:t>
      </w:r>
    </w:p>
    <w:p>
      <w:pPr>
        <w:numPr>
          <w:ilvl w:val="0"/>
          <w:numId w:val="2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在特殊情况下，采购人可与供应商协商延长投标文件有效期，这种要求和答复均应以书面形式进行。</w:t>
      </w:r>
    </w:p>
    <w:p>
      <w:pPr>
        <w:pStyle w:val="4"/>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五</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投标文件的签署及规定</w:t>
      </w:r>
    </w:p>
    <w:p>
      <w:pPr>
        <w:numPr>
          <w:ilvl w:val="0"/>
          <w:numId w:val="23"/>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投标人应按本招标文件规定的格式和顺序编制、装订投标文件，投标文件内容不完整、编排混乱导致投标文件被误读、漏读或者查找不到相关内容的，是投标人的责任。</w:t>
      </w:r>
    </w:p>
    <w:p>
      <w:pPr>
        <w:numPr>
          <w:ilvl w:val="0"/>
          <w:numId w:val="23"/>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▲活页装订（卡条、抽杆夹、订书机、散装）的投标文件无效。</w:t>
      </w:r>
    </w:p>
    <w:p>
      <w:pPr>
        <w:numPr>
          <w:ilvl w:val="0"/>
          <w:numId w:val="23"/>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投标文件的正本必须以不褪色的墨水填写或打印（（原件和复印件须加盖公章）），注明“正本”字样，副本可以是正本加盖公章后的复印件。</w:t>
      </w:r>
    </w:p>
    <w:p>
      <w:pPr>
        <w:numPr>
          <w:ilvl w:val="0"/>
          <w:numId w:val="23"/>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投标文件须由投标人在规定位置盖章并由投标人代表签署，投标人应写全称。</w:t>
      </w:r>
    </w:p>
    <w:p>
      <w:pPr>
        <w:numPr>
          <w:ilvl w:val="0"/>
          <w:numId w:val="23"/>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投标文件不得涂改，若有修改错漏处，须由投标人代表签字并加盖公章。投标文件因字迹潦草或表达不清所引起的后果由投标人负责。</w:t>
      </w:r>
    </w:p>
    <w:p>
      <w:pPr>
        <w:bidi w:val="0"/>
        <w:rPr>
          <w:rFonts w:hint="eastAsia" w:ascii="宋体" w:hAnsi="宋体" w:eastAsia="宋体" w:cs="宋体"/>
          <w:color w:val="auto"/>
          <w:highlight w:val="none"/>
        </w:rPr>
      </w:pPr>
    </w:p>
    <w:p>
      <w:pPr>
        <w:pStyle w:val="3"/>
        <w:bidi w:val="0"/>
        <w:ind w:left="0" w:leftChars="0" w:right="0" w:rightChars="0" w:firstLine="0" w:firstLineChars="0"/>
        <w:jc w:val="center"/>
        <w:rPr>
          <w:rFonts w:hint="eastAsia" w:ascii="宋体" w:hAnsi="宋体" w:eastAsia="宋体" w:cs="宋体"/>
          <w:color w:val="auto"/>
          <w:highlight w:val="none"/>
        </w:rPr>
      </w:pPr>
      <w:bookmarkStart w:id="90" w:name="_Toc22584"/>
      <w:bookmarkStart w:id="91" w:name="_Toc7245"/>
      <w:r>
        <w:rPr>
          <w:rFonts w:hint="eastAsia" w:ascii="宋体" w:hAnsi="宋体" w:eastAsia="宋体" w:cs="宋体"/>
          <w:color w:val="auto"/>
          <w:highlight w:val="none"/>
        </w:rPr>
        <w:t>第四节 投标文件的递交</w:t>
      </w:r>
      <w:bookmarkEnd w:id="88"/>
      <w:bookmarkEnd w:id="89"/>
      <w:bookmarkEnd w:id="90"/>
      <w:bookmarkEnd w:id="91"/>
    </w:p>
    <w:p>
      <w:pPr>
        <w:pStyle w:val="4"/>
        <w:bidi w:val="0"/>
        <w:rPr>
          <w:rFonts w:hint="eastAsia" w:ascii="宋体" w:hAnsi="宋体" w:eastAsia="宋体" w:cs="宋体"/>
          <w:color w:val="auto"/>
          <w:highlight w:val="none"/>
        </w:rPr>
      </w:pPr>
      <w:bookmarkStart w:id="92" w:name="_Toc20835"/>
      <w:bookmarkStart w:id="93" w:name="_Toc27893"/>
      <w:r>
        <w:rPr>
          <w:rFonts w:hint="eastAsia" w:ascii="宋体" w:hAnsi="宋体" w:eastAsia="宋体" w:cs="宋体"/>
          <w:color w:val="auto"/>
          <w:highlight w:val="none"/>
        </w:rPr>
        <w:t>一、投标文件的密封及标记</w:t>
      </w:r>
    </w:p>
    <w:p>
      <w:pPr>
        <w:ind w:firstLine="480"/>
        <w:rPr>
          <w:rFonts w:hint="eastAsia" w:ascii="宋体" w:hAnsi="宋体" w:eastAsia="宋体" w:cs="宋体"/>
          <w:color w:val="auto"/>
          <w:spacing w:val="-6"/>
          <w:szCs w:val="21"/>
          <w:highlight w:val="none"/>
        </w:rPr>
      </w:pPr>
      <w:r>
        <w:rPr>
          <w:rFonts w:hint="eastAsia" w:ascii="宋体" w:hAnsi="宋体" w:eastAsia="宋体" w:cs="宋体"/>
          <w:color w:val="auto"/>
          <w:highlight w:val="none"/>
        </w:rPr>
        <w:t>1.将全部投标文件（资格证明文件、报价文件、商务技术文件三部分）分别包装。</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2.投标文件（资格证明文件、商务技术文件、报价文件）应按以下方法分别装袋密封：</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相同部分的投标文件密封袋内装投标文件正副本。外层封皮上写明采购人名称、招标编号、招标项目名称、投标文件名称</w:t>
      </w:r>
      <w:r>
        <w:rPr>
          <w:rFonts w:hint="eastAsia" w:ascii="宋体" w:hAnsi="宋体" w:eastAsia="宋体" w:cs="宋体"/>
          <w:color w:val="auto"/>
          <w:spacing w:val="-6"/>
          <w:szCs w:val="21"/>
          <w:highlight w:val="none"/>
        </w:rPr>
        <w:t>（资格证明文件、报价文件、商务技术文件）</w:t>
      </w:r>
      <w:r>
        <w:rPr>
          <w:rFonts w:hint="eastAsia" w:ascii="宋体" w:hAnsi="宋体" w:eastAsia="宋体" w:cs="宋体"/>
          <w:color w:val="auto"/>
          <w:highlight w:val="none"/>
        </w:rPr>
        <w:t>、投标方名称、投标方地址、投标方授权代表签字及日期并注明“</w:t>
      </w:r>
      <w:r>
        <w:rPr>
          <w:rFonts w:hint="eastAsia" w:ascii="宋体" w:hAnsi="宋体" w:eastAsia="宋体" w:cs="宋体"/>
          <w:bCs/>
          <w:color w:val="auto"/>
          <w:spacing w:val="-6"/>
          <w:highlight w:val="none"/>
        </w:rPr>
        <w:t>在    年  月  日  时  分之前不得启封</w:t>
      </w:r>
      <w:r>
        <w:rPr>
          <w:rFonts w:hint="eastAsia" w:ascii="宋体" w:hAnsi="宋体" w:eastAsia="宋体" w:cs="宋体"/>
          <w:color w:val="auto"/>
          <w:highlight w:val="none"/>
        </w:rPr>
        <w:t>”字样。</w:t>
      </w:r>
    </w:p>
    <w:p>
      <w:pPr>
        <w:ind w:firstLine="480"/>
        <w:rPr>
          <w:rFonts w:hint="eastAsia" w:ascii="宋体" w:hAnsi="宋体" w:eastAsia="宋体" w:cs="宋体"/>
          <w:color w:val="auto"/>
          <w:highlight w:val="none"/>
        </w:rPr>
      </w:pPr>
      <w:r>
        <w:rPr>
          <w:rFonts w:hint="eastAsia" w:cs="宋体"/>
          <w:color w:val="auto"/>
          <w:highlight w:val="none"/>
          <w:lang w:val="en-US" w:eastAsia="zh-CN"/>
        </w:rPr>
        <w:t>3</w:t>
      </w:r>
      <w:r>
        <w:rPr>
          <w:rFonts w:hint="eastAsia" w:ascii="宋体" w:hAnsi="宋体" w:eastAsia="宋体" w:cs="宋体"/>
          <w:color w:val="auto"/>
          <w:highlight w:val="none"/>
        </w:rPr>
        <w:t>.如果投标方未按上述要求密封及加写标记，招标方对投标文件的误投和提前启封概不负责。</w:t>
      </w:r>
    </w:p>
    <w:p>
      <w:pPr>
        <w:ind w:firstLine="480"/>
        <w:rPr>
          <w:rFonts w:hint="eastAsia" w:ascii="宋体" w:hAnsi="宋体" w:eastAsia="宋体" w:cs="宋体"/>
          <w:color w:val="auto"/>
          <w:highlight w:val="none"/>
        </w:rPr>
      </w:pPr>
      <w:r>
        <w:rPr>
          <w:rFonts w:hint="eastAsia" w:cs="宋体"/>
          <w:color w:val="auto"/>
          <w:highlight w:val="none"/>
          <w:lang w:val="en-US" w:eastAsia="zh-CN"/>
        </w:rPr>
        <w:t>4</w:t>
      </w:r>
      <w:r>
        <w:rPr>
          <w:rFonts w:hint="eastAsia" w:ascii="宋体" w:hAnsi="宋体" w:eastAsia="宋体" w:cs="宋体"/>
          <w:color w:val="auto"/>
          <w:highlight w:val="none"/>
        </w:rPr>
        <w:t>.投标文件必须在投标截止时间前派人送达到指定的投标地点，在投标截止时间以后送达的投标文件或者未按照招标文件要求密封的投标文件，招标方拒绝接收。</w:t>
      </w:r>
    </w:p>
    <w:p>
      <w:pPr>
        <w:pStyle w:val="4"/>
        <w:rPr>
          <w:rFonts w:hint="eastAsia" w:ascii="宋体" w:hAnsi="宋体" w:eastAsia="宋体" w:cs="宋体"/>
          <w:color w:val="auto"/>
          <w:highlight w:val="none"/>
        </w:rPr>
      </w:pPr>
      <w:r>
        <w:rPr>
          <w:rFonts w:hint="eastAsia" w:ascii="宋体" w:hAnsi="宋体" w:eastAsia="宋体" w:cs="宋体"/>
          <w:color w:val="auto"/>
          <w:highlight w:val="none"/>
        </w:rPr>
        <w:t>二、投标文件的补充、修改或撤回</w:t>
      </w:r>
    </w:p>
    <w:p>
      <w:pPr>
        <w:numPr>
          <w:ilvl w:val="0"/>
          <w:numId w:val="24"/>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投标以后，如果投标方在投标截止时间前提出补充、修改或撤回要求，必须提供有法人代表或全权代表签署的要求撤回投标的正式文件，本招标代理公司将予以接受。</w:t>
      </w:r>
    </w:p>
    <w:p>
      <w:pPr>
        <w:numPr>
          <w:ilvl w:val="0"/>
          <w:numId w:val="24"/>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投标方修改投标文件的书面村料，须密封送达招标方，同时应在封套上标明“修改投标文件（并注明招标编号）”和“在    年  月  日  时  分之前不得启封”字样。</w:t>
      </w:r>
    </w:p>
    <w:p>
      <w:pPr>
        <w:numPr>
          <w:ilvl w:val="0"/>
          <w:numId w:val="24"/>
        </w:numPr>
        <w:ind w:left="0" w:leftChars="0" w:firstLine="400" w:firstLineChars="0"/>
        <w:rPr>
          <w:rFonts w:hint="eastAsia" w:ascii="宋体" w:hAnsi="宋体" w:eastAsia="宋体" w:cs="宋体"/>
          <w:color w:val="auto"/>
          <w:highlight w:val="none"/>
        </w:rPr>
      </w:pPr>
      <w:r>
        <w:rPr>
          <w:rFonts w:hint="eastAsia" w:ascii="宋体" w:hAnsi="宋体" w:eastAsia="宋体" w:cs="宋体"/>
          <w:color w:val="auto"/>
          <w:highlight w:val="none"/>
        </w:rPr>
        <w:t>开标后投标方不得撤回投标，投标文件不予退还。</w:t>
      </w:r>
    </w:p>
    <w:p>
      <w:pPr>
        <w:pStyle w:val="10"/>
        <w:rPr>
          <w:rFonts w:hint="eastAsia" w:ascii="宋体" w:hAnsi="宋体" w:eastAsia="宋体" w:cs="宋体"/>
          <w:color w:val="auto"/>
          <w:highlight w:val="none"/>
        </w:rPr>
      </w:pPr>
    </w:p>
    <w:p>
      <w:pPr>
        <w:pStyle w:val="3"/>
        <w:bidi w:val="0"/>
        <w:ind w:left="0" w:leftChars="0" w:right="0" w:rightChars="0" w:firstLine="0" w:firstLineChars="0"/>
        <w:jc w:val="center"/>
        <w:rPr>
          <w:rFonts w:hint="eastAsia" w:ascii="宋体" w:hAnsi="宋体" w:eastAsia="宋体" w:cs="宋体"/>
          <w:color w:val="auto"/>
          <w:highlight w:val="none"/>
        </w:rPr>
      </w:pPr>
      <w:bookmarkStart w:id="94" w:name="_Toc23575"/>
      <w:bookmarkStart w:id="95" w:name="_Toc11276"/>
      <w:r>
        <w:rPr>
          <w:rFonts w:hint="eastAsia" w:ascii="宋体" w:hAnsi="宋体" w:eastAsia="宋体" w:cs="宋体"/>
          <w:color w:val="auto"/>
          <w:highlight w:val="none"/>
        </w:rPr>
        <w:t>第五节 开标</w:t>
      </w:r>
      <w:bookmarkEnd w:id="92"/>
      <w:bookmarkEnd w:id="93"/>
      <w:bookmarkEnd w:id="94"/>
      <w:bookmarkEnd w:id="95"/>
    </w:p>
    <w:p>
      <w:pPr>
        <w:pStyle w:val="4"/>
        <w:bidi w:val="0"/>
        <w:rPr>
          <w:rFonts w:hint="eastAsia" w:ascii="宋体" w:hAnsi="宋体" w:eastAsia="宋体" w:cs="宋体"/>
          <w:color w:val="auto"/>
          <w:sz w:val="24"/>
          <w:szCs w:val="24"/>
          <w:highlight w:val="none"/>
        </w:rPr>
      </w:pPr>
      <w:bookmarkStart w:id="96" w:name="_Toc13980"/>
      <w:bookmarkStart w:id="97" w:name="_Toc13687"/>
      <w:bookmarkStart w:id="98" w:name="_Toc13357"/>
      <w:r>
        <w:rPr>
          <w:rFonts w:hint="eastAsia" w:ascii="宋体" w:hAnsi="宋体" w:eastAsia="宋体" w:cs="宋体"/>
          <w:color w:val="auto"/>
          <w:highlight w:val="none"/>
        </w:rPr>
        <w:t>一、开标流程</w:t>
      </w:r>
      <w:bookmarkEnd w:id="96"/>
    </w:p>
    <w:p>
      <w:pPr>
        <w:bidi w:val="0"/>
        <w:rPr>
          <w:rFonts w:hint="eastAsia" w:ascii="宋体" w:hAnsi="宋体" w:eastAsia="宋体" w:cs="宋体"/>
          <w:color w:val="auto"/>
          <w:highlight w:val="none"/>
        </w:rPr>
      </w:pPr>
      <w:r>
        <w:rPr>
          <w:rFonts w:hint="eastAsia" w:ascii="宋体" w:hAnsi="宋体" w:eastAsia="宋体" w:cs="宋体"/>
          <w:color w:val="auto"/>
          <w:highlight w:val="none"/>
        </w:rPr>
        <w:t>1.采购代理机构将按照采购公告规定的时间、地点组织开标，开标原则上采取先拆封商务和技术文件、商务技术评审后拆封报价文件的顺序进行。具体按以下程序进行。</w:t>
      </w:r>
    </w:p>
    <w:p>
      <w:pPr>
        <w:bidi w:val="0"/>
        <w:rPr>
          <w:rFonts w:hint="eastAsia" w:ascii="宋体" w:hAnsi="宋体" w:eastAsia="宋体" w:cs="宋体"/>
          <w:color w:val="auto"/>
          <w:highlight w:val="none"/>
        </w:rPr>
      </w:pPr>
      <w:r>
        <w:rPr>
          <w:rFonts w:hint="eastAsia" w:ascii="宋体" w:hAnsi="宋体" w:eastAsia="宋体" w:cs="宋体"/>
          <w:color w:val="auto"/>
          <w:highlight w:val="none"/>
        </w:rPr>
        <w:t>（1）采购代理机构开启开标场地的录音录像采集设备，并确保其正常运行。接着将核验出席开标活动现场的各投标人法定代表人或其授权代表及相关单位人员身份，并组织其分别登记、签到，无关人员不得进入现场。各投标人法定代表人或其授权代表应准时参加，携带本人身份证原件，投标文件中按要求提供法定代表人授权书。投标人如不派代表参加开标大会的，</w:t>
      </w:r>
      <w:r>
        <w:rPr>
          <w:rFonts w:hint="eastAsia" w:ascii="宋体" w:hAnsi="宋体" w:eastAsia="宋体" w:cs="宋体"/>
          <w:color w:val="auto"/>
          <w:sz w:val="24"/>
          <w:szCs w:val="24"/>
          <w:highlight w:val="none"/>
        </w:rPr>
        <w:t>视为自动放弃开标监督权利，认可开标结果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highlight w:val="none"/>
        </w:rPr>
        <w:t>事后不得对采购相关人员、开标过程和开标结果提出异议。</w:t>
      </w:r>
    </w:p>
    <w:p>
      <w:pPr>
        <w:bidi w:val="0"/>
        <w:rPr>
          <w:rFonts w:hint="eastAsia" w:ascii="宋体" w:hAnsi="宋体" w:eastAsia="宋体" w:cs="宋体"/>
          <w:color w:val="auto"/>
          <w:highlight w:val="none"/>
        </w:rPr>
      </w:pPr>
      <w:r>
        <w:rPr>
          <w:rFonts w:hint="eastAsia" w:ascii="宋体" w:hAnsi="宋体" w:eastAsia="宋体" w:cs="宋体"/>
          <w:color w:val="auto"/>
          <w:highlight w:val="none"/>
        </w:rPr>
        <w:t>（2）采购代理机构接收投标文件并登记，各投标人法定代表人或其授权代表对投标文件的递交记录情况进行签字确认。没有整体密封包装的投标文件，将被当场拒绝。</w:t>
      </w:r>
    </w:p>
    <w:p>
      <w:pPr>
        <w:bidi w:val="0"/>
        <w:rPr>
          <w:rFonts w:hint="eastAsia" w:ascii="宋体" w:hAnsi="宋体" w:eastAsia="宋体" w:cs="宋体"/>
          <w:color w:val="auto"/>
          <w:highlight w:val="none"/>
        </w:rPr>
      </w:pPr>
      <w:r>
        <w:rPr>
          <w:rFonts w:hint="eastAsia" w:ascii="宋体" w:hAnsi="宋体" w:eastAsia="宋体" w:cs="宋体"/>
          <w:color w:val="auto"/>
          <w:highlight w:val="none"/>
        </w:rPr>
        <w:t>（3）采购代理机构宣布开标，介绍开标现场的人员情况，宣读递交投标文件的投标人名单、开标纪律、应当回避的情形等注意事项，组织各投标人法定代表人或其授权代表签署不存在影响公平竞争的《采购活动现场确认声明书》。</w:t>
      </w:r>
    </w:p>
    <w:p>
      <w:pPr>
        <w:bidi w:val="0"/>
        <w:rPr>
          <w:rFonts w:hint="eastAsia" w:ascii="宋体" w:hAnsi="宋体" w:eastAsia="宋体" w:cs="宋体"/>
          <w:color w:val="auto"/>
          <w:highlight w:val="none"/>
        </w:rPr>
      </w:pPr>
      <w:r>
        <w:rPr>
          <w:rFonts w:hint="eastAsia" w:ascii="宋体" w:hAnsi="宋体" w:eastAsia="宋体" w:cs="宋体"/>
          <w:color w:val="auto"/>
          <w:highlight w:val="none"/>
        </w:rPr>
        <w:t>（4）请投标人或者其推选的代表查验投标文件密封情况。</w:t>
      </w:r>
    </w:p>
    <w:p>
      <w:pPr>
        <w:bidi w:val="0"/>
        <w:rPr>
          <w:rFonts w:hint="eastAsia" w:ascii="宋体" w:hAnsi="宋体" w:eastAsia="宋体" w:cs="宋体"/>
          <w:color w:val="auto"/>
          <w:highlight w:val="none"/>
        </w:rPr>
      </w:pPr>
      <w:r>
        <w:rPr>
          <w:rFonts w:hint="eastAsia" w:ascii="宋体" w:hAnsi="宋体" w:eastAsia="宋体" w:cs="宋体"/>
          <w:color w:val="auto"/>
          <w:highlight w:val="none"/>
        </w:rPr>
        <w:t>（5）开标时，按投标人提交投标文件的登记顺序当众拆封、清点投标文件（包括正本、副本）数量，将其中密封的报价文件集中等候拆封。采购代理机构对供应商资格证明文件进行查验、核实，应当由投标人或者其推选的代表检查投标文件的密封情况。资格证明文件审查不通过的，不再进行商务技术文件、报价文件的评审。并退还其他投标文件。</w:t>
      </w:r>
    </w:p>
    <w:p>
      <w:pPr>
        <w:bidi w:val="0"/>
        <w:rPr>
          <w:rFonts w:hint="eastAsia" w:ascii="宋体" w:hAnsi="宋体" w:eastAsia="宋体" w:cs="宋体"/>
          <w:color w:val="auto"/>
          <w:highlight w:val="none"/>
        </w:rPr>
      </w:pPr>
      <w:r>
        <w:rPr>
          <w:rFonts w:hint="eastAsia" w:ascii="宋体" w:hAnsi="宋体" w:eastAsia="宋体" w:cs="宋体"/>
          <w:color w:val="auto"/>
          <w:highlight w:val="none"/>
        </w:rPr>
        <w:t>（6）对资格审查通过的商务和技术文件由现场工作人员护送至指定的评审地点。对不符合装订要求的采购响应文件，由现场工作人员退还供应商代表。</w:t>
      </w:r>
    </w:p>
    <w:p>
      <w:pPr>
        <w:bidi w:val="0"/>
        <w:rPr>
          <w:rFonts w:hint="eastAsia" w:ascii="宋体" w:hAnsi="宋体" w:eastAsia="宋体" w:cs="宋体"/>
          <w:color w:val="auto"/>
          <w:highlight w:val="none"/>
        </w:rPr>
      </w:pPr>
      <w:r>
        <w:rPr>
          <w:rFonts w:hint="eastAsia" w:ascii="宋体" w:hAnsi="宋体" w:eastAsia="宋体" w:cs="宋体"/>
          <w:color w:val="auto"/>
          <w:highlight w:val="none"/>
        </w:rPr>
        <w:t>（7）商务和技术评审结束后，采购代理机构宣布商务和技术评审无效投标人名单及理由，无效投标人可收回未拆封的报价文件并签字确认；公布经商务和技术评审符合采购需求的投标人名单，采用综合评分法的，公布其商务和技术得分之和的情况。</w:t>
      </w:r>
    </w:p>
    <w:p>
      <w:pPr>
        <w:bidi w:val="0"/>
        <w:rPr>
          <w:rFonts w:hint="eastAsia" w:ascii="宋体" w:hAnsi="宋体" w:eastAsia="宋体" w:cs="宋体"/>
          <w:color w:val="auto"/>
          <w:highlight w:val="none"/>
        </w:rPr>
      </w:pPr>
      <w:r>
        <w:rPr>
          <w:rFonts w:hint="eastAsia" w:ascii="宋体" w:hAnsi="宋体" w:eastAsia="宋体" w:cs="宋体"/>
          <w:color w:val="auto"/>
          <w:highlight w:val="none"/>
        </w:rPr>
        <w:t>（8）采购代理机构拆封投标人报价文件，宣读《投标（开标）一览表》有关内容，同时当场制作并打印开标记录表，由各投标人法定代表人或其授权代表在开标记录表上签字确认（不予确认的应说明理由，否则视为无异议）。唱标结束后，采购代理机构将报价文件及开标记录表送至评审地点，由评标委员会对报价的合理性、准确性、有效性等进行审查核实。</w:t>
      </w:r>
    </w:p>
    <w:p>
      <w:pPr>
        <w:bidi w:val="0"/>
        <w:rPr>
          <w:rFonts w:hint="eastAsia" w:ascii="宋体" w:hAnsi="宋体" w:eastAsia="宋体" w:cs="宋体"/>
          <w:color w:val="auto"/>
          <w:highlight w:val="none"/>
        </w:rPr>
      </w:pPr>
      <w:r>
        <w:rPr>
          <w:rFonts w:hint="eastAsia" w:ascii="宋体" w:hAnsi="宋体" w:eastAsia="宋体" w:cs="宋体"/>
          <w:color w:val="auto"/>
          <w:highlight w:val="none"/>
        </w:rPr>
        <w:t>（9）评审结束后，采购代理机构公布中标候选人名单，及采购人最终确定中标人名单的时间和公告方式等。</w:t>
      </w:r>
    </w:p>
    <w:p>
      <w:pPr>
        <w:pStyle w:val="4"/>
        <w:rPr>
          <w:rFonts w:hint="eastAsia" w:ascii="宋体" w:hAnsi="宋体" w:eastAsia="宋体" w:cs="宋体"/>
          <w:color w:val="auto"/>
          <w:sz w:val="24"/>
          <w:szCs w:val="24"/>
          <w:highlight w:val="none"/>
        </w:rPr>
      </w:pPr>
      <w:bookmarkStart w:id="99" w:name="_Toc32572"/>
      <w:r>
        <w:rPr>
          <w:rFonts w:hint="eastAsia" w:ascii="宋体" w:hAnsi="宋体" w:eastAsia="宋体" w:cs="宋体"/>
          <w:color w:val="auto"/>
          <w:sz w:val="24"/>
          <w:szCs w:val="24"/>
          <w:highlight w:val="none"/>
        </w:rPr>
        <w:t>二、投标文件鉴定</w:t>
      </w:r>
      <w:bookmarkEnd w:id="99"/>
    </w:p>
    <w:p>
      <w:pPr>
        <w:numPr>
          <w:ilvl w:val="0"/>
          <w:numId w:val="2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开标时，采购代理机构将对投标文件进行初步审查，检查投标书内容是否完整、文件签署是否规范以及投标人资格是否符合要求等。如投标文件被确认为无效，采购代理机构将及时通知该投标人。</w:t>
      </w:r>
    </w:p>
    <w:p>
      <w:pPr>
        <w:numPr>
          <w:ilvl w:val="0"/>
          <w:numId w:val="2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如果投标文件实质上不响应招标文件的要求，采购代理机构及评标委员会将予以拒绝，并且不允许通过修正或撤消不符合要求的差异或保留，使之成为具有响应性的投标。</w:t>
      </w:r>
    </w:p>
    <w:p>
      <w:pPr>
        <w:numPr>
          <w:ilvl w:val="0"/>
          <w:numId w:val="2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经开标后递交至评标委员会的投标文件，仍需接受相关符合性的检查，并有可能在评标过程中被判断为无效。</w:t>
      </w:r>
    </w:p>
    <w:p>
      <w:pPr>
        <w:bidi w:val="0"/>
        <w:rPr>
          <w:rFonts w:hint="eastAsia" w:ascii="宋体" w:hAnsi="宋体" w:eastAsia="宋体" w:cs="宋体"/>
          <w:color w:val="auto"/>
          <w:highlight w:val="none"/>
        </w:rPr>
      </w:pPr>
    </w:p>
    <w:p>
      <w:pPr>
        <w:pStyle w:val="3"/>
        <w:bidi w:val="0"/>
        <w:ind w:left="0" w:leftChars="0" w:right="0" w:rightChars="0" w:firstLine="0" w:firstLineChars="0"/>
        <w:jc w:val="center"/>
        <w:rPr>
          <w:rFonts w:hint="eastAsia" w:ascii="宋体" w:hAnsi="宋体" w:eastAsia="宋体" w:cs="宋体"/>
          <w:color w:val="auto"/>
          <w:highlight w:val="none"/>
        </w:rPr>
      </w:pPr>
      <w:bookmarkStart w:id="100" w:name="_Toc5955"/>
      <w:bookmarkStart w:id="101" w:name="_Toc21559"/>
      <w:r>
        <w:rPr>
          <w:rFonts w:hint="eastAsia" w:ascii="宋体" w:hAnsi="宋体" w:eastAsia="宋体" w:cs="宋体"/>
          <w:color w:val="auto"/>
          <w:highlight w:val="none"/>
        </w:rPr>
        <w:t>第六节 评标</w:t>
      </w:r>
      <w:bookmarkEnd w:id="97"/>
      <w:bookmarkEnd w:id="98"/>
      <w:bookmarkEnd w:id="100"/>
      <w:bookmarkEnd w:id="101"/>
    </w:p>
    <w:p>
      <w:pPr>
        <w:pStyle w:val="4"/>
        <w:bidi w:val="0"/>
        <w:rPr>
          <w:rFonts w:hint="eastAsia" w:ascii="宋体" w:hAnsi="宋体" w:eastAsia="宋体" w:cs="宋体"/>
          <w:color w:val="auto"/>
          <w:highlight w:val="none"/>
        </w:rPr>
      </w:pPr>
      <w:bookmarkStart w:id="102" w:name="_Toc19136"/>
      <w:r>
        <w:rPr>
          <w:rFonts w:hint="eastAsia" w:ascii="宋体" w:hAnsi="宋体" w:eastAsia="宋体" w:cs="宋体"/>
          <w:color w:val="auto"/>
          <w:highlight w:val="none"/>
        </w:rPr>
        <w:t>一、组建评标委员会</w:t>
      </w:r>
      <w:bookmarkEnd w:id="102"/>
    </w:p>
    <w:p>
      <w:pPr>
        <w:bidi w:val="0"/>
        <w:rPr>
          <w:rFonts w:hint="eastAsia" w:ascii="宋体" w:hAnsi="宋体" w:eastAsia="宋体" w:cs="宋体"/>
          <w:color w:val="auto"/>
          <w:highlight w:val="none"/>
        </w:rPr>
      </w:pPr>
      <w:r>
        <w:rPr>
          <w:rFonts w:hint="eastAsia" w:ascii="宋体" w:hAnsi="宋体" w:eastAsia="宋体" w:cs="宋体"/>
          <w:color w:val="auto"/>
          <w:highlight w:val="none"/>
        </w:rPr>
        <w:t>采购代理机构依法组建由5人及以上奇数的人员组成的评标委员会，负责对投标文件进行审查、质询、评审和比较等。评标委员会由采购人代表和政府采购咨询专家组成，其中政府采购咨询专家人数不少于成员总数的三分之二。评标委员会成员名单在招标结果确定之前依法保密。</w:t>
      </w:r>
    </w:p>
    <w:p>
      <w:pPr>
        <w:pStyle w:val="4"/>
        <w:rPr>
          <w:rFonts w:hint="eastAsia" w:ascii="宋体" w:hAnsi="宋体" w:eastAsia="宋体" w:cs="宋体"/>
          <w:color w:val="auto"/>
          <w:sz w:val="24"/>
          <w:szCs w:val="24"/>
          <w:highlight w:val="none"/>
        </w:rPr>
      </w:pPr>
      <w:bookmarkStart w:id="103" w:name="_Toc26177"/>
      <w:r>
        <w:rPr>
          <w:rFonts w:hint="eastAsia" w:ascii="宋体" w:hAnsi="宋体" w:eastAsia="宋体" w:cs="宋体"/>
          <w:color w:val="auto"/>
          <w:sz w:val="24"/>
          <w:szCs w:val="24"/>
          <w:highlight w:val="none"/>
        </w:rPr>
        <w:t>二、评标的方式</w:t>
      </w:r>
      <w:bookmarkEnd w:id="103"/>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本项目采用不公开方式评标，评标的依据为招标文件和投标文件。不考虑投标人在开标后提交的任何的补充声明、修正方案。</w:t>
      </w:r>
    </w:p>
    <w:p>
      <w:pPr>
        <w:pStyle w:val="4"/>
        <w:rPr>
          <w:rFonts w:hint="eastAsia" w:ascii="宋体" w:hAnsi="宋体" w:eastAsia="宋体" w:cs="宋体"/>
          <w:color w:val="auto"/>
          <w:sz w:val="24"/>
          <w:szCs w:val="24"/>
          <w:highlight w:val="none"/>
        </w:rPr>
      </w:pPr>
      <w:bookmarkStart w:id="104" w:name="_Toc14276"/>
      <w:r>
        <w:rPr>
          <w:rFonts w:hint="eastAsia" w:ascii="宋体" w:hAnsi="宋体" w:eastAsia="宋体" w:cs="宋体"/>
          <w:color w:val="auto"/>
          <w:sz w:val="24"/>
          <w:szCs w:val="24"/>
          <w:highlight w:val="none"/>
        </w:rPr>
        <w:t>三、评标原则</w:t>
      </w:r>
      <w:bookmarkEnd w:id="104"/>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评标严格按照招标文件的要求和条件，只依据投标内容本身，不依靠开标后的任何外来证明。以公开、公正、公平、效益的原则进行；比较报价，同时考虑以下因素；</w:t>
      </w:r>
    </w:p>
    <w:p>
      <w:pPr>
        <w:numPr>
          <w:ilvl w:val="0"/>
          <w:numId w:val="2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价格合理，方案、产品先进、可靠。</w:t>
      </w:r>
    </w:p>
    <w:p>
      <w:pPr>
        <w:numPr>
          <w:ilvl w:val="0"/>
          <w:numId w:val="2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经营信誉。</w:t>
      </w:r>
    </w:p>
    <w:p>
      <w:pPr>
        <w:numPr>
          <w:ilvl w:val="0"/>
          <w:numId w:val="2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反对不正当竞争。</w:t>
      </w:r>
    </w:p>
    <w:p>
      <w:pPr>
        <w:pStyle w:val="4"/>
        <w:rPr>
          <w:rFonts w:hint="eastAsia" w:ascii="宋体" w:hAnsi="宋体" w:eastAsia="宋体" w:cs="宋体"/>
          <w:color w:val="auto"/>
          <w:sz w:val="24"/>
          <w:szCs w:val="24"/>
          <w:highlight w:val="none"/>
        </w:rPr>
      </w:pPr>
      <w:bookmarkStart w:id="105" w:name="_Toc17753"/>
      <w:r>
        <w:rPr>
          <w:rFonts w:hint="eastAsia" w:ascii="宋体" w:hAnsi="宋体" w:eastAsia="宋体" w:cs="宋体"/>
          <w:color w:val="auto"/>
          <w:sz w:val="24"/>
          <w:szCs w:val="24"/>
          <w:highlight w:val="none"/>
        </w:rPr>
        <w:t>四、评标程序</w:t>
      </w:r>
      <w:bookmarkEnd w:id="105"/>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采购代理机构按照招标文件规定的时间、地点及程序组织评审。评审活动一般应按以下程序组织开展：</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开启评审场地的录音录像采集设备，并确保其正常运行。</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核验出席评审活动现场的评标委员会各成员身份，并要求其分别登记、签到，按规定统一收缴、保存其通讯工具，无关人员一律拒绝其进入评审现场。</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介绍评审现场的人员情况，宣布评审工作纪律，告知评标委员会应当回避情形；组织推选评标委员会组长。</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通报报名参加本项目的投标人名单及资格预审情况（如有），宣读最终提交投标文件且通过资格审查的投标人名单，组织评标委员会各位成员签订《政府采购评审人员廉洁自律承诺书》。</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标委员会提出的有关招标文件、投标文件的问题进行必要的说明、解释或讨论。</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组长组织评标委员会独立评审。评标委员会依据招标文件的规定，从投标文件的有效性、完整性和对招标文件的响应程度进行审查，以确定是否对招标文件的实质性要求作出响应。评标委员会对拟认定为投标文件无效的，应组织相关供应商代表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做好评审现场相关记录，协助评标委员会组长做好评审报告起草、有关内容电脑文字录入等工作，并要求评标委员会各成员签字确认。</w:t>
      </w:r>
    </w:p>
    <w:p>
      <w:pPr>
        <w:numPr>
          <w:ilvl w:val="0"/>
          <w:numId w:val="27"/>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评审结束后，采购代理机构交还评审人员及其他现场相关人员的通讯工具。</w:t>
      </w:r>
    </w:p>
    <w:p>
      <w:pPr>
        <w:pStyle w:val="4"/>
        <w:rPr>
          <w:rFonts w:hint="eastAsia" w:ascii="宋体" w:hAnsi="宋体" w:eastAsia="宋体" w:cs="宋体"/>
          <w:color w:val="auto"/>
          <w:sz w:val="24"/>
          <w:szCs w:val="24"/>
          <w:highlight w:val="none"/>
        </w:rPr>
      </w:pPr>
      <w:bookmarkStart w:id="106" w:name="_Toc2991"/>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投标文件的澄清</w:t>
      </w:r>
      <w:bookmarkEnd w:id="106"/>
    </w:p>
    <w:p>
      <w:pPr>
        <w:numPr>
          <w:ilvl w:val="0"/>
          <w:numId w:val="2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可要求供应商对投标文件中含义不明确、同类问题表述不一致、有明显的文字和计算错误的内容等进行澄清并做出书面答复。投标人必须按照采购代理机构通知的时间、地点派技术和商务人员进行答疑和澄清。</w:t>
      </w:r>
    </w:p>
    <w:p>
      <w:pPr>
        <w:numPr>
          <w:ilvl w:val="0"/>
          <w:numId w:val="28"/>
        </w:numPr>
        <w:ind w:left="0" w:leftChars="0"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投标人应对需要澄清的问题作书面回答，该书面回答应有投标人全权代表（或法定代表人）的签字（或盖章），书面澄清将作为投标内容的一部分</w:t>
      </w:r>
      <w:r>
        <w:rPr>
          <w:rFonts w:hint="eastAsia" w:ascii="宋体" w:hAnsi="宋体" w:eastAsia="宋体" w:cs="宋体"/>
          <w:color w:val="auto"/>
          <w:highlight w:val="none"/>
          <w:lang w:eastAsia="zh-CN"/>
        </w:rPr>
        <w:t>。</w:t>
      </w:r>
    </w:p>
    <w:p>
      <w:pPr>
        <w:numPr>
          <w:ilvl w:val="0"/>
          <w:numId w:val="28"/>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rPr>
        <w:t>对投标文件的澄清不得超出投标文件的范围或者改变投标文件的实质性内容。否则，不予接受。</w:t>
      </w:r>
    </w:p>
    <w:p>
      <w:pPr>
        <w:numPr>
          <w:ilvl w:val="0"/>
          <w:numId w:val="28"/>
        </w:numPr>
        <w:ind w:left="0" w:leftChars="0"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标委员会认为供应商的报价明显低于其他通过符合性审查供应商的报价，有可能影响产品质量或者不能诚信履约的，应当要求其在30分钟内提供书面说明，必要时提交相关证明材料；供应商不能证明其报价合理性的，评标委员会应当将其作为无效投标处理。</w:t>
      </w:r>
    </w:p>
    <w:p>
      <w:pPr>
        <w:pStyle w:val="21"/>
        <w:rPr>
          <w:rFonts w:hint="eastAsia" w:ascii="宋体" w:hAnsi="宋体" w:eastAsia="宋体" w:cs="宋体"/>
          <w:color w:val="auto"/>
          <w:highlight w:val="none"/>
          <w:lang w:val="en-US" w:eastAsia="zh-CN"/>
        </w:rPr>
      </w:pPr>
    </w:p>
    <w:p>
      <w:pPr>
        <w:pStyle w:val="4"/>
        <w:rPr>
          <w:rFonts w:hint="eastAsia" w:ascii="宋体" w:hAnsi="宋体" w:eastAsia="宋体" w:cs="宋体"/>
          <w:color w:val="auto"/>
          <w:sz w:val="24"/>
          <w:szCs w:val="24"/>
          <w:highlight w:val="none"/>
          <w:lang w:val="en-US" w:eastAsia="zh-CN"/>
        </w:rPr>
      </w:pPr>
      <w:bookmarkStart w:id="107" w:name="_Toc19231"/>
      <w:r>
        <w:rPr>
          <w:rFonts w:hint="eastAsia" w:ascii="宋体" w:hAnsi="宋体" w:eastAsia="宋体" w:cs="宋体"/>
          <w:color w:val="auto"/>
          <w:sz w:val="24"/>
          <w:szCs w:val="24"/>
          <w:highlight w:val="none"/>
          <w:lang w:val="en-US" w:eastAsia="zh-CN"/>
        </w:rPr>
        <w:t>六、错误修正</w:t>
      </w:r>
      <w:bookmarkEnd w:id="107"/>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评标委员会将对确定为实质上响应采购文件要求的投标文件进行校核，看其在投标报价方面是否有计算、累计或表达上的错误，修正错误的原则及顺序如下：</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投标文件中开标一览表（报价表）内容与投标文件中相应内容不一致的，以开标一览表（报价表）为准；</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大写金额和小写金额不一致的，以大写金额为准；</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单价金额小数点或者百分比有明显错位的，以开标一览表的总价为准，并修改单价；</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总价金额与按单价汇总金额不一致的，以单价金额计算结果为准。</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pPr>
        <w:numPr>
          <w:ilvl w:val="0"/>
          <w:numId w:val="29"/>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同时出现两种以上不一致的，按照前款规定的顺序修正。修正后的报价以澄清方式经供应商确认后产生约束力，供应商不确认的，其投标无效。</w:t>
      </w:r>
    </w:p>
    <w:p>
      <w:pPr>
        <w:pStyle w:val="4"/>
        <w:rPr>
          <w:rFonts w:hint="eastAsia" w:ascii="宋体" w:hAnsi="宋体" w:eastAsia="宋体" w:cs="宋体"/>
          <w:color w:val="auto"/>
          <w:sz w:val="24"/>
          <w:szCs w:val="24"/>
          <w:highlight w:val="none"/>
        </w:rPr>
      </w:pPr>
      <w:bookmarkStart w:id="108" w:name="_Toc30310"/>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、投标无效的情形</w:t>
      </w:r>
      <w:bookmarkEnd w:id="108"/>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（一）在符合性审查、商务和技术评审时，如发现下列情形之一的，投标文件将被视为无效：</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供应商提交两份或两份以上内容不同的投标方案，未声明哪一份有效的；</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投标文件非供应商法定代表人签署的，未提供或提供无效的法定代表人授权书；</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投标文件内容不全或内容字迹模糊辨认不清的等而导致评标活动无法正常进行；</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供应商未按采购文件变更通知更改投标文件的；</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未实质性响应采购文件中带“▲”条款要求的投标文件；</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投标有效期、交货期、质保期等商务条款不能满足招标文件要求的；</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投标文件附有采购人不能接受的条款；</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投标文件中提供了与采购无关的赠品、回扣或者其他商品、服务；</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供应商串通投标，妨碍其他供应商的竞争行为，损害采购人或者其他供应商的合法权益；</w:t>
      </w:r>
    </w:p>
    <w:p>
      <w:pPr>
        <w:numPr>
          <w:ilvl w:val="0"/>
          <w:numId w:val="30"/>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违反国家及政府部门相关法律、法规、文件规定或经评标委员会认定的其他属于重大偏离。</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（二）报价文件评审阶段：</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供应商提交两份或两份以上内容不同的投标报价，未声明哪一份有效的；</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《开标一览表》和《投标价格组成明细表》内容不完整且不接受修正意见或字迹不能辨认的或未提供；</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所投标项的投标报价超过采购文件规定的预算金额或最高限价；</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《开标一览表》投标报价为零的，或其报价（大写）无法按正常书写方式进行报价唱标的或无投标报价的；</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投标报价</w:t>
      </w:r>
      <w:r>
        <w:rPr>
          <w:rFonts w:hint="eastAsia" w:ascii="宋体" w:hAnsi="宋体" w:eastAsia="宋体" w:cs="宋体"/>
          <w:color w:val="333333"/>
          <w:sz w:val="24"/>
          <w:szCs w:val="24"/>
          <w:highlight w:val="none"/>
        </w:rPr>
        <w:t>明显低于其他通过符合性审查投标人的报价，有可能影响产品质量或者不能诚信履约的</w:t>
      </w:r>
      <w:r>
        <w:rPr>
          <w:rFonts w:hint="eastAsia" w:ascii="宋体" w:hAnsi="宋体" w:eastAsia="宋体" w:cs="宋体"/>
          <w:color w:val="auto"/>
          <w:highlight w:val="none"/>
        </w:rPr>
        <w:t>，且在规定时间内不能合理说明原因并提供证明材料的；</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投标文件内容不全或内容字迹模糊辨认不清的等而导致评标活动无法正常进行；</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采购人拟采购的产品属于政府强制采购的节能产品品目清单范围的，投标人未按招标文件要求提供国家确定的认证机构出具的、处于有效期之内的节能产品认证证书的；</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投标有效期、交货期、质保期等商务条款不能满足招标文件要求的；</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投标文件附有采购人不能接受的条款；</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投标文件中提供了与采购无关的赠品、回扣或者其他商品、服务；</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供应商串通投标，妨碍其他供应商的竞争行为，损害采购人或者其他供应商的合法权益；</w:t>
      </w:r>
    </w:p>
    <w:p>
      <w:pPr>
        <w:numPr>
          <w:ilvl w:val="0"/>
          <w:numId w:val="31"/>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违反国家及政府部门相关法律、法规、文件规定或经评标委员会认定的其他属于重大偏离。</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（三）有下列情形之一的，视为投标人串通投标，其投标无效，由采购人或采购代理机构上报政府采购监督管理部门，视情列入不良行为记录名单，在一至三年内禁止参加政府采购活动：</w:t>
      </w:r>
    </w:p>
    <w:p>
      <w:pPr>
        <w:numPr>
          <w:ilvl w:val="0"/>
          <w:numId w:val="3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不同投标人的投标文件由同一单位或者个人编制；</w:t>
      </w:r>
    </w:p>
    <w:p>
      <w:pPr>
        <w:numPr>
          <w:ilvl w:val="0"/>
          <w:numId w:val="3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不同投标人委托同一单位或者个人办理投标事宜；</w:t>
      </w:r>
    </w:p>
    <w:p>
      <w:pPr>
        <w:numPr>
          <w:ilvl w:val="0"/>
          <w:numId w:val="3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不同投标人的投标文件载明的项目管理成员或者联系人员为同一人；</w:t>
      </w:r>
    </w:p>
    <w:p>
      <w:pPr>
        <w:numPr>
          <w:ilvl w:val="0"/>
          <w:numId w:val="3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不同投标人的投标文件异常一致或者投标报价呈规律性差异；</w:t>
      </w:r>
    </w:p>
    <w:p>
      <w:pPr>
        <w:numPr>
          <w:ilvl w:val="0"/>
          <w:numId w:val="32"/>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不同投标人的投标文件相互混装；</w:t>
      </w:r>
    </w:p>
    <w:p>
      <w:pPr>
        <w:keepNext w:val="0"/>
        <w:keepLines w:val="0"/>
        <w:pageBreakBefore w:val="0"/>
        <w:widowControl/>
        <w:numPr>
          <w:ilvl w:val="0"/>
          <w:numId w:val="32"/>
        </w:numPr>
        <w:shd w:val="clear" w:color="auto" w:fill="FFFFFF"/>
        <w:kinsoku/>
        <w:wordWrap/>
        <w:overflowPunct/>
        <w:topLinePunct w:val="0"/>
        <w:autoSpaceDE/>
        <w:autoSpaceDN/>
        <w:bidi w:val="0"/>
        <w:adjustRightInd/>
        <w:snapToGrid/>
        <w:spacing w:before="0" w:beforeAutospacing="0" w:after="0" w:afterAutospacing="0" w:line="24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不同投标人的投标保证金从同一单位或者个人的账户转出。</w:t>
      </w:r>
    </w:p>
    <w:p>
      <w:pPr>
        <w:pStyle w:val="4"/>
        <w:rPr>
          <w:rFonts w:hint="eastAsia" w:ascii="宋体" w:hAnsi="宋体" w:eastAsia="宋体" w:cs="宋体"/>
          <w:color w:val="auto"/>
          <w:sz w:val="24"/>
          <w:szCs w:val="24"/>
          <w:highlight w:val="none"/>
        </w:rPr>
      </w:pPr>
      <w:bookmarkStart w:id="109" w:name="_Toc5376"/>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、投标品牌认定（依据《财政部令第87号》）（本项目不适用）</w:t>
      </w:r>
      <w:bookmarkEnd w:id="109"/>
    </w:p>
    <w:p>
      <w:pPr>
        <w:numPr>
          <w:ilvl w:val="0"/>
          <w:numId w:val="3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numPr>
          <w:ilvl w:val="0"/>
          <w:numId w:val="3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使用综合评分法的采购项目，提供相同品牌产品且通过资格审查、符合性审查的不同投标人参加同一合同项下投标的，按一家投标人计算，评审后得分最高的同品牌投标人获得中标人推荐资格</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评审得分相同的，由采购人或者采购人委托评标委员会按照招标文件规定的方式确定一个投标人获得中标人推荐资格，招标文件未规定的采取随机抽取方式确定，其他同品牌投标人不作为中标候选人。</w:t>
      </w:r>
    </w:p>
    <w:p>
      <w:pPr>
        <w:numPr>
          <w:ilvl w:val="0"/>
          <w:numId w:val="33"/>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非单一产品采购项目，采购人应当根据采购项目技术构成、产品价格比重等合理确定核心产品，并在招标文件中载明。多家投标人提供的核心产品品牌相同的，按前两款规定处理。</w:t>
      </w:r>
    </w:p>
    <w:p>
      <w:pPr>
        <w:pStyle w:val="4"/>
        <w:rPr>
          <w:rFonts w:hint="eastAsia" w:ascii="宋体" w:hAnsi="宋体" w:eastAsia="宋体" w:cs="宋体"/>
          <w:color w:val="auto"/>
          <w:sz w:val="24"/>
          <w:szCs w:val="24"/>
          <w:highlight w:val="none"/>
        </w:rPr>
      </w:pPr>
      <w:bookmarkStart w:id="110" w:name="_Toc85"/>
      <w:r>
        <w:rPr>
          <w:rFonts w:hint="eastAsia" w:ascii="宋体" w:hAnsi="宋体" w:eastAsia="宋体" w:cs="宋体"/>
          <w:color w:val="auto"/>
          <w:sz w:val="24"/>
          <w:szCs w:val="24"/>
          <w:highlight w:val="none"/>
        </w:rPr>
        <w:t>九、评标办法</w:t>
      </w:r>
      <w:bookmarkEnd w:id="110"/>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本项目评标办法是综合评分法，具体评标内容及评分标准等详见《第四部分：评标办法及评</w:t>
      </w:r>
      <w:r>
        <w:rPr>
          <w:rFonts w:hint="eastAsia" w:ascii="宋体" w:hAnsi="宋体" w:eastAsia="宋体" w:cs="宋体"/>
          <w:color w:val="auto"/>
          <w:highlight w:val="none"/>
          <w:lang w:val="en-US" w:eastAsia="zh-CN"/>
        </w:rPr>
        <w:t>分</w:t>
      </w:r>
      <w:r>
        <w:rPr>
          <w:rFonts w:hint="eastAsia" w:ascii="宋体" w:hAnsi="宋体" w:eastAsia="宋体" w:cs="宋体"/>
          <w:color w:val="auto"/>
          <w:highlight w:val="none"/>
        </w:rPr>
        <w:t>标准》。</w:t>
      </w:r>
    </w:p>
    <w:p>
      <w:pPr>
        <w:bidi w:val="0"/>
        <w:rPr>
          <w:rFonts w:hint="eastAsia" w:ascii="宋体" w:hAnsi="宋体" w:eastAsia="宋体" w:cs="宋体"/>
          <w:color w:val="auto"/>
          <w:highlight w:val="none"/>
        </w:rPr>
      </w:pPr>
    </w:p>
    <w:p>
      <w:pPr>
        <w:pStyle w:val="3"/>
        <w:jc w:val="center"/>
        <w:rPr>
          <w:rFonts w:hint="eastAsia" w:ascii="宋体" w:hAnsi="宋体" w:eastAsia="宋体" w:cs="宋体"/>
          <w:color w:val="auto"/>
          <w:highlight w:val="none"/>
        </w:rPr>
      </w:pPr>
      <w:bookmarkStart w:id="111" w:name="_Toc15663"/>
      <w:bookmarkStart w:id="112" w:name="_Toc12192"/>
      <w:bookmarkStart w:id="113" w:name="_Toc31535"/>
      <w:bookmarkStart w:id="114" w:name="_Toc24239"/>
      <w:r>
        <w:rPr>
          <w:rFonts w:hint="eastAsia" w:ascii="宋体" w:hAnsi="宋体" w:eastAsia="宋体" w:cs="宋体"/>
          <w:color w:val="auto"/>
          <w:highlight w:val="none"/>
        </w:rPr>
        <w:t>第七节 授予合同</w:t>
      </w:r>
      <w:bookmarkEnd w:id="111"/>
      <w:bookmarkEnd w:id="112"/>
      <w:bookmarkEnd w:id="113"/>
      <w:bookmarkEnd w:id="114"/>
    </w:p>
    <w:p>
      <w:pPr>
        <w:pStyle w:val="4"/>
        <w:rPr>
          <w:rFonts w:hint="eastAsia" w:ascii="宋体" w:hAnsi="宋体" w:eastAsia="宋体" w:cs="宋体"/>
          <w:color w:val="auto"/>
          <w:sz w:val="24"/>
          <w:szCs w:val="24"/>
          <w:highlight w:val="none"/>
        </w:rPr>
      </w:pPr>
      <w:bookmarkStart w:id="115" w:name="_Toc14799"/>
      <w:r>
        <w:rPr>
          <w:rFonts w:hint="eastAsia" w:ascii="宋体" w:hAnsi="宋体" w:eastAsia="宋体" w:cs="宋体"/>
          <w:color w:val="auto"/>
          <w:sz w:val="24"/>
          <w:szCs w:val="24"/>
          <w:highlight w:val="none"/>
        </w:rPr>
        <w:t>一、公告及定标</w:t>
      </w:r>
      <w:bookmarkEnd w:id="115"/>
    </w:p>
    <w:p>
      <w:pPr>
        <w:numPr>
          <w:ilvl w:val="0"/>
          <w:numId w:val="34"/>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采购代理机构自评审结束之日起2个工作日内将评审报告送交采购人。采购人收到评审报告之日起5个工作日内在评审报告推荐的中标候选人中按顺序确定中标供应商。</w:t>
      </w:r>
    </w:p>
    <w:p>
      <w:pPr>
        <w:numPr>
          <w:ilvl w:val="0"/>
          <w:numId w:val="34"/>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采购代理机构自中标供应商确定之日起2个工作日内，发出中标通知书，并在浙江政府采购网等相关网站或媒体上公告中标结果。中标公告期限为1个工作日。</w:t>
      </w:r>
    </w:p>
    <w:p>
      <w:pPr>
        <w:pStyle w:val="4"/>
        <w:rPr>
          <w:rFonts w:hint="eastAsia" w:ascii="宋体" w:hAnsi="宋体" w:eastAsia="宋体" w:cs="宋体"/>
          <w:color w:val="auto"/>
          <w:sz w:val="24"/>
          <w:szCs w:val="24"/>
          <w:highlight w:val="none"/>
        </w:rPr>
      </w:pPr>
      <w:bookmarkStart w:id="116" w:name="_Toc20286"/>
      <w:r>
        <w:rPr>
          <w:rFonts w:hint="eastAsia" w:ascii="宋体" w:hAnsi="宋体" w:eastAsia="宋体" w:cs="宋体"/>
          <w:color w:val="auto"/>
          <w:sz w:val="24"/>
          <w:szCs w:val="24"/>
          <w:highlight w:val="none"/>
        </w:rPr>
        <w:t>二、签订合同</w:t>
      </w:r>
      <w:bookmarkEnd w:id="116"/>
    </w:p>
    <w:p>
      <w:pPr>
        <w:numPr>
          <w:ilvl w:val="0"/>
          <w:numId w:val="3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numPr>
          <w:ilvl w:val="0"/>
          <w:numId w:val="3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招标文件，中标人的投标文件及评标过程中有关澄清文件均应作为合同附件。</w:t>
      </w:r>
    </w:p>
    <w:p>
      <w:pPr>
        <w:numPr>
          <w:ilvl w:val="0"/>
          <w:numId w:val="35"/>
        </w:numPr>
        <w:bidi w:val="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中标人拖延、拒签合同的,将被取消中标资格。</w:t>
      </w:r>
    </w:p>
    <w:p>
      <w:pPr>
        <w:pStyle w:val="3"/>
        <w:bidi w:val="0"/>
        <w:ind w:left="0" w:leftChars="0" w:right="0" w:rightChars="0" w:firstLine="0" w:firstLineChars="0"/>
        <w:jc w:val="center"/>
        <w:rPr>
          <w:rFonts w:hint="eastAsia" w:ascii="宋体" w:hAnsi="宋体" w:eastAsia="宋体" w:cs="宋体"/>
          <w:color w:val="auto"/>
          <w:highlight w:val="none"/>
        </w:rPr>
      </w:pPr>
      <w:bookmarkStart w:id="117" w:name="_Toc14481"/>
      <w:bookmarkStart w:id="118" w:name="_Toc15982"/>
      <w:bookmarkStart w:id="119" w:name="_Toc15220"/>
      <w:bookmarkStart w:id="120" w:name="_Toc12481"/>
      <w:r>
        <w:rPr>
          <w:rFonts w:hint="eastAsia" w:ascii="宋体" w:hAnsi="宋体" w:eastAsia="宋体" w:cs="宋体"/>
          <w:color w:val="auto"/>
          <w:highlight w:val="none"/>
        </w:rPr>
        <w:t>第八节 例外处理</w:t>
      </w:r>
      <w:bookmarkEnd w:id="117"/>
      <w:bookmarkEnd w:id="118"/>
      <w:bookmarkEnd w:id="119"/>
      <w:bookmarkEnd w:id="120"/>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投标截止时间结束后或评审过程中参加标项投标的供应商不足三家的，除采购任务取消情形外，采购人可选择以下方式之一处理：</w:t>
      </w:r>
    </w:p>
    <w:p>
      <w:pPr>
        <w:numPr>
          <w:ilvl w:val="0"/>
          <w:numId w:val="3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可将本标项作废标处理，重新组织采购；</w:t>
      </w:r>
    </w:p>
    <w:p>
      <w:pPr>
        <w:numPr>
          <w:ilvl w:val="0"/>
          <w:numId w:val="36"/>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可按财政部门的审批意见采用其他采购方式组织采购。</w:t>
      </w:r>
    </w:p>
    <w:p>
      <w:pPr>
        <w:pStyle w:val="10"/>
        <w:rPr>
          <w:rFonts w:hint="eastAsia" w:ascii="宋体" w:hAnsi="宋体" w:eastAsia="宋体" w:cs="宋体"/>
          <w:color w:val="auto"/>
          <w:highlight w:val="none"/>
        </w:rPr>
      </w:pPr>
    </w:p>
    <w:p>
      <w:pPr>
        <w:pStyle w:val="10"/>
        <w:rPr>
          <w:rFonts w:hint="eastAsia" w:ascii="宋体" w:hAnsi="宋体" w:eastAsia="宋体" w:cs="宋体"/>
          <w:color w:val="auto"/>
          <w:highlight w:val="none"/>
        </w:rPr>
        <w:sectPr>
          <w:pgSz w:w="11906" w:h="16838"/>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381" w:charSpace="0"/>
        </w:sectPr>
      </w:pPr>
    </w:p>
    <w:p>
      <w:pPr>
        <w:pStyle w:val="2"/>
        <w:bidi w:val="0"/>
        <w:rPr>
          <w:rFonts w:hint="eastAsia" w:ascii="宋体" w:hAnsi="宋体" w:eastAsia="宋体" w:cs="宋体"/>
          <w:color w:val="auto"/>
          <w:highlight w:val="none"/>
        </w:rPr>
      </w:pPr>
      <w:bookmarkStart w:id="121" w:name="_Toc450840079"/>
      <w:bookmarkStart w:id="122" w:name="_Toc82873316"/>
      <w:bookmarkStart w:id="123" w:name="_Toc82338233"/>
      <w:bookmarkStart w:id="124" w:name="_Toc16410"/>
      <w:bookmarkStart w:id="125" w:name="_Toc21368"/>
      <w:r>
        <w:rPr>
          <w:rFonts w:hint="eastAsia" w:ascii="宋体" w:hAnsi="宋体" w:eastAsia="宋体" w:cs="宋体"/>
          <w:color w:val="auto"/>
          <w:highlight w:val="none"/>
        </w:rPr>
        <w:t xml:space="preserve">第四章 </w:t>
      </w:r>
      <w:bookmarkEnd w:id="121"/>
      <w:bookmarkEnd w:id="122"/>
      <w:bookmarkEnd w:id="123"/>
      <w:r>
        <w:rPr>
          <w:rFonts w:hint="eastAsia" w:ascii="宋体" w:hAnsi="宋体" w:eastAsia="宋体" w:cs="宋体"/>
          <w:color w:val="auto"/>
          <w:highlight w:val="none"/>
        </w:rPr>
        <w:t>评标办法及评分标准</w:t>
      </w:r>
      <w:bookmarkEnd w:id="124"/>
      <w:bookmarkEnd w:id="125"/>
    </w:p>
    <w:p>
      <w:pPr>
        <w:pStyle w:val="3"/>
        <w:bidi w:val="0"/>
        <w:rPr>
          <w:rFonts w:hint="eastAsia" w:ascii="宋体" w:hAnsi="宋体" w:eastAsia="宋体" w:cs="宋体"/>
          <w:color w:val="auto"/>
          <w:highlight w:val="none"/>
        </w:rPr>
      </w:pPr>
      <w:bookmarkStart w:id="126" w:name="_Toc3017"/>
      <w:bookmarkStart w:id="127" w:name="_Toc29775"/>
      <w:bookmarkStart w:id="128" w:name="_Toc3110"/>
      <w:bookmarkStart w:id="129" w:name="OLE_LINK3"/>
      <w:bookmarkStart w:id="130" w:name="_Toc3811"/>
      <w:bookmarkStart w:id="131" w:name="_Toc11391"/>
      <w:r>
        <w:rPr>
          <w:rFonts w:hint="eastAsia" w:ascii="宋体" w:hAnsi="宋体" w:eastAsia="宋体" w:cs="宋体"/>
          <w:color w:val="auto"/>
          <w:highlight w:val="none"/>
        </w:rPr>
        <w:t>一、评分总则</w:t>
      </w:r>
      <w:bookmarkEnd w:id="126"/>
      <w:bookmarkEnd w:id="127"/>
      <w:r>
        <w:rPr>
          <w:rFonts w:hint="eastAsia" w:ascii="宋体" w:hAnsi="宋体" w:eastAsia="宋体" w:cs="宋体"/>
          <w:color w:val="auto"/>
          <w:highlight w:val="none"/>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以招标文件要求为基础，考虑各项相关因素的影响，将相关因素以定量计算的办法转换成分数表示形式，以最高“评标分数”确定评标结果顺序。</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本次招标的评标采用</w:t>
      </w:r>
      <w:r>
        <w:rPr>
          <w:rFonts w:hint="eastAsia" w:ascii="宋体" w:hAnsi="宋体" w:eastAsia="宋体" w:cs="宋体"/>
          <w:b/>
          <w:bCs/>
          <w:color w:val="auto"/>
          <w:highlight w:val="none"/>
        </w:rPr>
        <w:t>综合评分法</w:t>
      </w:r>
      <w:r>
        <w:rPr>
          <w:rFonts w:hint="eastAsia" w:ascii="宋体" w:hAnsi="宋体" w:eastAsia="宋体" w:cs="宋体"/>
          <w:color w:val="auto"/>
          <w:highlight w:val="none"/>
        </w:rPr>
        <w:t>。</w:t>
      </w:r>
    </w:p>
    <w:bookmarkEnd w:id="128"/>
    <w:bookmarkEnd w:id="129"/>
    <w:bookmarkEnd w:id="130"/>
    <w:bookmarkEnd w:id="131"/>
    <w:p>
      <w:pPr>
        <w:bidi w:val="0"/>
        <w:rPr>
          <w:rFonts w:hint="eastAsia" w:ascii="宋体" w:hAnsi="宋体" w:eastAsia="宋体" w:cs="宋体"/>
          <w:color w:val="auto"/>
          <w:highlight w:val="none"/>
        </w:rPr>
      </w:pPr>
      <w:bookmarkStart w:id="132" w:name="_Toc82338234"/>
      <w:bookmarkStart w:id="133" w:name="_Toc82873317"/>
      <w:bookmarkStart w:id="134" w:name="_Toc450840083"/>
      <w:r>
        <w:rPr>
          <w:rFonts w:hint="eastAsia" w:ascii="宋体" w:hAnsi="宋体" w:eastAsia="宋体" w:cs="宋体"/>
          <w:color w:val="auto"/>
          <w:highlight w:val="none"/>
        </w:rPr>
        <w:t>评标总分为100分，合格投标人的评标得分为各项目汇总得分，中标候选资格按评标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评分过程中采用四舍五入法，并保留小数2位</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投标人评标综合得分=商务分+技术分+价格分</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商务技术分按照评标委员会成员的独立评分结果的算术平均分计算，计算公式为：商务技术分=（评标委员会所有成员评分合计数）/（评标委员会组成人员数）</w:t>
      </w:r>
    </w:p>
    <w:p>
      <w:pPr>
        <w:pStyle w:val="3"/>
        <w:rPr>
          <w:rFonts w:hint="eastAsia" w:ascii="宋体" w:hAnsi="宋体" w:eastAsia="宋体" w:cs="宋体"/>
          <w:sz w:val="24"/>
          <w:szCs w:val="24"/>
          <w:highlight w:val="none"/>
        </w:rPr>
      </w:pPr>
      <w:bookmarkStart w:id="135" w:name="_Toc7047"/>
      <w:bookmarkStart w:id="136" w:name="_Toc23140"/>
      <w:bookmarkStart w:id="137" w:name="_Toc7789"/>
      <w:bookmarkStart w:id="138" w:name="_Toc30517"/>
      <w:bookmarkStart w:id="139" w:name="_Toc30520"/>
      <w:r>
        <w:rPr>
          <w:rFonts w:hint="eastAsia" w:ascii="宋体" w:hAnsi="宋体" w:eastAsia="宋体" w:cs="宋体"/>
          <w:sz w:val="24"/>
          <w:szCs w:val="24"/>
          <w:highlight w:val="none"/>
        </w:rPr>
        <w:t>二、评标程序：</w:t>
      </w:r>
      <w:bookmarkEnd w:id="135"/>
      <w:bookmarkEnd w:id="136"/>
    </w:p>
    <w:p>
      <w:pPr>
        <w:ind w:firstLine="482"/>
        <w:rPr>
          <w:rFonts w:hint="eastAsia" w:ascii="宋体" w:hAnsi="宋体" w:eastAsia="宋体" w:cs="宋体"/>
          <w:b/>
          <w:highlight w:val="none"/>
        </w:rPr>
      </w:pPr>
      <w:r>
        <w:rPr>
          <w:rFonts w:hint="eastAsia" w:ascii="宋体" w:hAnsi="宋体" w:eastAsia="宋体" w:cs="宋体"/>
          <w:b/>
          <w:highlight w:val="none"/>
        </w:rPr>
        <w:t>2.1第一阶段评审</w:t>
      </w:r>
    </w:p>
    <w:p>
      <w:pPr>
        <w:ind w:firstLine="480"/>
        <w:rPr>
          <w:rFonts w:hint="eastAsia" w:ascii="宋体" w:hAnsi="宋体" w:eastAsia="宋体" w:cs="宋体"/>
          <w:b/>
          <w:highlight w:val="none"/>
        </w:rPr>
      </w:pPr>
      <w:r>
        <w:rPr>
          <w:rFonts w:hint="eastAsia" w:ascii="宋体" w:hAnsi="宋体" w:eastAsia="宋体" w:cs="宋体"/>
          <w:highlight w:val="none"/>
        </w:rPr>
        <w:t>★2.1.1商务和技术文件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eastAsia="宋体" w:cs="宋体"/>
          <w:b/>
          <w:highlight w:val="none"/>
        </w:rPr>
        <w:t>资格性审查和符合性审查中，有任意一项审查结论不合格的，作无效标处理。</w:t>
      </w:r>
    </w:p>
    <w:p>
      <w:pPr>
        <w:ind w:firstLine="480"/>
        <w:rPr>
          <w:rFonts w:hint="eastAsia" w:ascii="宋体" w:hAnsi="宋体" w:eastAsia="宋体" w:cs="宋体"/>
          <w:highlight w:val="none"/>
        </w:rPr>
      </w:pPr>
      <w:r>
        <w:rPr>
          <w:rFonts w:hint="eastAsia" w:ascii="宋体" w:hAnsi="宋体" w:eastAsia="宋体" w:cs="宋体"/>
          <w:highlight w:val="none"/>
        </w:rPr>
        <w:t>2.1.2</w:t>
      </w:r>
      <w:r>
        <w:rPr>
          <w:rFonts w:hint="eastAsia" w:ascii="宋体" w:hAnsi="宋体" w:eastAsia="宋体" w:cs="宋体"/>
          <w:highlight w:val="none"/>
          <w:lang w:val="zh-CN"/>
        </w:rPr>
        <w:t>比较与评价：</w:t>
      </w:r>
      <w:r>
        <w:rPr>
          <w:rFonts w:hint="eastAsia" w:ascii="宋体" w:hAnsi="宋体" w:eastAsia="宋体" w:cs="宋体"/>
          <w:highlight w:val="none"/>
        </w:rPr>
        <w:t>评标委员会根据“附表3评分表（兼评委打分表）”的要求，</w:t>
      </w:r>
      <w:r>
        <w:rPr>
          <w:rFonts w:hint="eastAsia" w:ascii="宋体" w:hAnsi="宋体" w:eastAsia="宋体" w:cs="宋体"/>
          <w:highlight w:val="none"/>
          <w:lang w:val="zh-CN"/>
        </w:rPr>
        <w:t>对照投标文件的应答进行比较，判定其偏差性质和程度，</w:t>
      </w:r>
      <w:r>
        <w:rPr>
          <w:rFonts w:hint="eastAsia" w:ascii="宋体" w:hAnsi="宋体" w:eastAsia="宋体" w:cs="宋体"/>
          <w:highlight w:val="none"/>
        </w:rPr>
        <w:t>由评标委员会成员在分值范围内自行评分。供应商商务和技术得分为各评标委员会成员有效评分的算术平均值（小数点后保留二位数）。</w:t>
      </w:r>
    </w:p>
    <w:p>
      <w:pPr>
        <w:ind w:firstLine="482"/>
        <w:rPr>
          <w:rFonts w:hint="eastAsia" w:ascii="宋体" w:hAnsi="宋体" w:eastAsia="宋体" w:cs="宋体"/>
          <w:b/>
          <w:highlight w:val="none"/>
        </w:rPr>
      </w:pPr>
      <w:r>
        <w:rPr>
          <w:rFonts w:hint="eastAsia" w:ascii="宋体" w:hAnsi="宋体" w:eastAsia="宋体" w:cs="宋体"/>
          <w:b/>
          <w:highlight w:val="none"/>
        </w:rPr>
        <w:t>2.2第二阶段评审</w:t>
      </w:r>
    </w:p>
    <w:p>
      <w:pPr>
        <w:ind w:firstLine="480"/>
        <w:rPr>
          <w:rFonts w:hint="eastAsia" w:ascii="宋体" w:hAnsi="宋体" w:eastAsia="宋体" w:cs="宋体"/>
          <w:b/>
          <w:highlight w:val="none"/>
        </w:rPr>
      </w:pPr>
      <w:r>
        <w:rPr>
          <w:rFonts w:hint="eastAsia" w:ascii="宋体" w:hAnsi="宋体" w:eastAsia="宋体" w:cs="宋体"/>
          <w:highlight w:val="none"/>
        </w:rPr>
        <w:t>★2.2.1报价文件审查：投标报价超出最高限价或预算金额的</w:t>
      </w:r>
      <w:r>
        <w:rPr>
          <w:rFonts w:hint="eastAsia" w:ascii="宋体" w:hAnsi="宋体" w:eastAsia="宋体" w:cs="宋体"/>
          <w:b/>
          <w:highlight w:val="none"/>
        </w:rPr>
        <w:t>，审查结论不合格的，作无效标处理。</w:t>
      </w:r>
    </w:p>
    <w:p>
      <w:pPr>
        <w:ind w:firstLine="480"/>
        <w:rPr>
          <w:rFonts w:hint="eastAsia" w:ascii="宋体" w:hAnsi="宋体" w:eastAsia="宋体" w:cs="宋体"/>
          <w:highlight w:val="none"/>
        </w:rPr>
      </w:pPr>
      <w:r>
        <w:rPr>
          <w:rFonts w:hint="eastAsia" w:ascii="宋体" w:hAnsi="宋体" w:eastAsia="宋体" w:cs="宋体"/>
          <w:highlight w:val="none"/>
        </w:rPr>
        <w:t>2.2.2综合评估：供应商的综合得分为商务和技术得分与报价得分之和。</w:t>
      </w:r>
    </w:p>
    <w:p>
      <w:pPr>
        <w:ind w:firstLine="480"/>
        <w:rPr>
          <w:rFonts w:hint="eastAsia" w:ascii="宋体" w:hAnsi="宋体" w:eastAsia="宋体" w:cs="宋体"/>
          <w:highlight w:val="none"/>
        </w:rPr>
      </w:pPr>
      <w:r>
        <w:rPr>
          <w:rFonts w:hint="eastAsia" w:ascii="宋体" w:hAnsi="宋体" w:eastAsia="宋体" w:cs="宋体"/>
          <w:highlight w:val="none"/>
        </w:rPr>
        <w:t>2.2.3推荐中标候选人：按综合得分由高到低进行排序，推荐综合得分排序第1的供应商为中标候选人。若供应商的综合得分相等，则投标报价低者列前；若投标报价也相同时，采取随机抽签的方式确定排序。</w:t>
      </w:r>
    </w:p>
    <w:p>
      <w:pPr>
        <w:ind w:firstLine="482"/>
        <w:rPr>
          <w:rFonts w:hint="eastAsia" w:ascii="宋体" w:hAnsi="宋体" w:eastAsia="宋体" w:cs="宋体"/>
          <w:b/>
          <w:highlight w:val="none"/>
        </w:rPr>
      </w:pPr>
      <w:r>
        <w:rPr>
          <w:rFonts w:hint="eastAsia" w:ascii="宋体" w:hAnsi="宋体" w:eastAsia="宋体" w:cs="宋体"/>
          <w:b/>
          <w:highlight w:val="none"/>
        </w:rPr>
        <w:t>2.3确定中标供应商</w:t>
      </w:r>
    </w:p>
    <w:p>
      <w:pPr>
        <w:ind w:firstLine="480"/>
        <w:rPr>
          <w:rFonts w:hint="eastAsia" w:ascii="宋体" w:hAnsi="宋体" w:eastAsia="宋体" w:cs="宋体"/>
          <w:highlight w:val="none"/>
        </w:rPr>
      </w:pPr>
      <w:r>
        <w:rPr>
          <w:rFonts w:hint="eastAsia" w:ascii="宋体" w:hAnsi="宋体" w:eastAsia="宋体" w:cs="宋体"/>
          <w:highlight w:val="none"/>
        </w:rPr>
        <w:t>评标委员会按综合得分由高到低排序，依次依序向采购人推荐两位中标候选人。代理机构应当自评审结束之日起2个工作日内将评审报告送交采购人。采购人应当自收到评审报告之日起5个工作日内在评审报告推荐的中标候选人中按顺序确定中标供应商。</w:t>
      </w:r>
      <w:r>
        <w:rPr>
          <w:rFonts w:hint="eastAsia" w:ascii="宋体" w:hAnsi="宋体" w:eastAsia="宋体" w:cs="宋体"/>
          <w:highlight w:val="none"/>
          <w:lang w:eastAsia="zh-CN"/>
        </w:rPr>
        <w:t>第一</w:t>
      </w:r>
      <w:r>
        <w:rPr>
          <w:rFonts w:hint="eastAsia" w:ascii="宋体" w:hAnsi="宋体" w:eastAsia="宋体" w:cs="宋体"/>
          <w:highlight w:val="none"/>
        </w:rPr>
        <w:t>中标候选人因不可抗力或者自身原因不能履行政府采购合同的，采购人</w:t>
      </w:r>
      <w:r>
        <w:rPr>
          <w:rFonts w:hint="eastAsia" w:ascii="宋体" w:hAnsi="宋体" w:eastAsia="宋体" w:cs="宋体"/>
          <w:highlight w:val="none"/>
          <w:lang w:eastAsia="zh-CN"/>
        </w:rPr>
        <w:t>可确定第二</w:t>
      </w:r>
      <w:r>
        <w:rPr>
          <w:rFonts w:hint="eastAsia" w:ascii="宋体" w:hAnsi="宋体" w:eastAsia="宋体" w:cs="宋体"/>
          <w:highlight w:val="none"/>
        </w:rPr>
        <w:t>中标候选人</w:t>
      </w:r>
      <w:r>
        <w:rPr>
          <w:rFonts w:hint="eastAsia" w:ascii="宋体" w:hAnsi="宋体" w:eastAsia="宋体" w:cs="宋体"/>
          <w:highlight w:val="none"/>
          <w:lang w:eastAsia="zh-CN"/>
        </w:rPr>
        <w:t>为</w:t>
      </w:r>
      <w:r>
        <w:rPr>
          <w:rFonts w:hint="eastAsia" w:ascii="宋体" w:hAnsi="宋体" w:eastAsia="宋体" w:cs="宋体"/>
          <w:highlight w:val="none"/>
        </w:rPr>
        <w:t>中标供应商</w:t>
      </w:r>
      <w:r>
        <w:rPr>
          <w:rFonts w:hint="eastAsia" w:ascii="宋体" w:hAnsi="宋体" w:eastAsia="宋体" w:cs="宋体"/>
          <w:highlight w:val="none"/>
          <w:lang w:eastAsia="zh-CN"/>
        </w:rPr>
        <w:t>，以此类推，也可以重新招标</w:t>
      </w:r>
      <w:r>
        <w:rPr>
          <w:rFonts w:hint="eastAsia" w:ascii="宋体" w:hAnsi="宋体" w:eastAsia="宋体" w:cs="宋体"/>
          <w:highlight w:val="none"/>
        </w:rPr>
        <w:t>。</w:t>
      </w:r>
    </w:p>
    <w:p>
      <w:pPr>
        <w:ind w:firstLine="482"/>
        <w:rPr>
          <w:rFonts w:hint="eastAsia" w:ascii="宋体" w:hAnsi="宋体" w:eastAsia="宋体" w:cs="宋体"/>
          <w:b/>
          <w:highlight w:val="none"/>
        </w:rPr>
      </w:pPr>
      <w:r>
        <w:rPr>
          <w:rFonts w:hint="eastAsia" w:ascii="宋体" w:hAnsi="宋体" w:eastAsia="宋体" w:cs="宋体"/>
          <w:b/>
          <w:highlight w:val="none"/>
        </w:rPr>
        <w:t>三、投标的澄清</w:t>
      </w:r>
    </w:p>
    <w:p>
      <w:pPr>
        <w:ind w:firstLine="480"/>
        <w:rPr>
          <w:rFonts w:hint="eastAsia" w:ascii="宋体" w:hAnsi="宋体" w:eastAsia="宋体" w:cs="宋体"/>
          <w:highlight w:val="none"/>
        </w:rPr>
      </w:pPr>
      <w:r>
        <w:rPr>
          <w:rFonts w:hint="eastAsia" w:ascii="宋体" w:hAnsi="宋体" w:eastAsia="宋体" w:cs="宋体"/>
          <w:highlight w:val="none"/>
        </w:rPr>
        <w:t>3.1对投标文件审查中发现的投标文件表达含义不明确、同类问题表述不一致或者有明显文字和计算错误的内容，评标委员会可通过询标，要求供应商做出澄清。供应商必须按照代理机构通知的时间、方式派技术和商务人员进行答疑和澄清。</w:t>
      </w:r>
    </w:p>
    <w:p>
      <w:pPr>
        <w:ind w:firstLine="480"/>
        <w:rPr>
          <w:rFonts w:hint="eastAsia" w:ascii="宋体" w:hAnsi="宋体" w:eastAsia="宋体" w:cs="宋体"/>
          <w:highlight w:val="none"/>
        </w:rPr>
      </w:pPr>
      <w:r>
        <w:rPr>
          <w:rFonts w:hint="eastAsia" w:ascii="宋体" w:hAnsi="宋体" w:eastAsia="宋体" w:cs="宋体"/>
          <w:highlight w:val="none"/>
        </w:rPr>
        <w:t>3.2供应商应对需要澄清的问题作书面回答，该书面回答应有盖章，书面澄清将作为投标内容的一部分。</w:t>
      </w:r>
    </w:p>
    <w:p>
      <w:pPr>
        <w:ind w:firstLine="480"/>
        <w:rPr>
          <w:rFonts w:hint="eastAsia" w:ascii="宋体" w:hAnsi="宋体" w:eastAsia="宋体" w:cs="宋体"/>
          <w:highlight w:val="none"/>
        </w:rPr>
      </w:pPr>
      <w:r>
        <w:rPr>
          <w:rFonts w:hint="eastAsia" w:ascii="宋体" w:hAnsi="宋体" w:eastAsia="宋体" w:cs="宋体"/>
          <w:highlight w:val="none"/>
        </w:rPr>
        <w:t>3.3供应商对投标文件的澄清不得超出投标文件的范围或改变投标价格等投标文件的实质性内容。</w:t>
      </w:r>
    </w:p>
    <w:p>
      <w:pPr>
        <w:ind w:firstLine="480"/>
        <w:rPr>
          <w:rFonts w:hint="eastAsia" w:ascii="宋体" w:hAnsi="宋体" w:eastAsia="宋体" w:cs="宋体"/>
          <w:highlight w:val="none"/>
        </w:rPr>
      </w:pPr>
      <w:r>
        <w:rPr>
          <w:rFonts w:hint="eastAsia" w:ascii="宋体" w:hAnsi="宋体" w:eastAsia="宋体" w:cs="宋体"/>
          <w:highlight w:val="none"/>
        </w:rPr>
        <w:t>3.4若供应商未响应澄清安排的通知进行答疑和澄清，将被视作自动放弃。</w:t>
      </w:r>
    </w:p>
    <w:p>
      <w:pPr>
        <w:spacing w:line="400" w:lineRule="exact"/>
        <w:ind w:firstLine="482"/>
        <w:rPr>
          <w:rFonts w:hint="eastAsia" w:ascii="宋体" w:hAnsi="宋体" w:eastAsia="宋体" w:cs="宋体"/>
          <w:b/>
          <w:szCs w:val="21"/>
          <w:highlight w:val="none"/>
        </w:rPr>
      </w:pPr>
      <w:r>
        <w:rPr>
          <w:rFonts w:hint="eastAsia" w:ascii="宋体" w:hAnsi="宋体" w:eastAsia="宋体" w:cs="宋体"/>
          <w:b/>
          <w:szCs w:val="21"/>
          <w:highlight w:val="none"/>
        </w:rPr>
        <w:t>附表1：</w:t>
      </w:r>
    </w:p>
    <w:p>
      <w:pPr>
        <w:spacing w:line="400" w:lineRule="exact"/>
        <w:ind w:firstLine="482"/>
        <w:jc w:val="center"/>
        <w:rPr>
          <w:rFonts w:hint="eastAsia" w:ascii="宋体" w:hAnsi="宋体" w:eastAsia="宋体" w:cs="宋体"/>
          <w:b/>
          <w:szCs w:val="21"/>
          <w:highlight w:val="none"/>
        </w:rPr>
      </w:pPr>
      <w:r>
        <w:rPr>
          <w:rFonts w:hint="eastAsia" w:ascii="宋体" w:hAnsi="宋体" w:eastAsia="宋体" w:cs="宋体"/>
          <w:b/>
          <w:szCs w:val="21"/>
          <w:highlight w:val="none"/>
        </w:rPr>
        <w:t>资格审查表</w:t>
      </w:r>
    </w:p>
    <w:tbl>
      <w:tblPr>
        <w:tblStyle w:val="46"/>
        <w:tblW w:w="92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1867"/>
        <w:gridCol w:w="1717"/>
        <w:gridCol w:w="5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b/>
                <w:highlight w:val="none"/>
              </w:rPr>
            </w:pPr>
            <w:r>
              <w:rPr>
                <w:rFonts w:hint="eastAsia" w:ascii="宋体" w:hAnsi="宋体" w:eastAsia="宋体" w:cs="宋体"/>
                <w:b/>
                <w:highlight w:val="none"/>
              </w:rPr>
              <w:t>序号</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b/>
                <w:highlight w:val="none"/>
              </w:rPr>
            </w:pPr>
            <w:r>
              <w:rPr>
                <w:rFonts w:hint="eastAsia" w:ascii="宋体" w:hAnsi="宋体" w:eastAsia="宋体" w:cs="宋体"/>
                <w:b/>
                <w:highlight w:val="none"/>
              </w:rPr>
              <w:t>审查因素</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b/>
                <w:highlight w:val="none"/>
              </w:rPr>
            </w:pPr>
            <w:r>
              <w:rPr>
                <w:rFonts w:hint="eastAsia" w:ascii="宋体" w:hAnsi="宋体" w:eastAsia="宋体" w:cs="宋体"/>
                <w:b/>
                <w:highlight w:val="none"/>
              </w:rPr>
              <w:t>审查内容</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b/>
                <w:highlight w:val="none"/>
              </w:rPr>
            </w:pPr>
            <w:r>
              <w:rPr>
                <w:rFonts w:hint="eastAsia" w:ascii="宋体" w:hAnsi="宋体" w:eastAsia="宋体" w:cs="宋体"/>
                <w:b/>
                <w:highlight w:val="none"/>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1</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具有独立承担民事责任的能力</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 xml:space="preserve">营业执照（副本）复印件 </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（1）如投标人是企业（包括合伙企业），提供在工商部门注册的有效“企业法人营业执照”或“营业执照”；</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（2）如投标人是事业单位，提供有效的“事业单位法人证书”；</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（3）如投标人是非企业专业服务机构的，提供执业许可证等证明文件；</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（4）如投标人是个体工商户，提供有效的“个体工商户营业执照”；</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（5）如投标人是自然人，提供有效的自然人身份证明。</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注：以上材料需要复印件加盖公章（自然人则签字）。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7"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2</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具有良好的商业信誉和健全的财务会计制度</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上一年度财务报告</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szCs w:val="21"/>
                <w:highlight w:val="none"/>
              </w:rPr>
              <w:t>提供</w:t>
            </w:r>
            <w:r>
              <w:rPr>
                <w:rFonts w:hint="eastAsia" w:ascii="宋体" w:hAnsi="宋体" w:eastAsia="宋体" w:cs="宋体"/>
                <w:szCs w:val="21"/>
                <w:highlight w:val="none"/>
                <w:lang w:eastAsia="zh-CN"/>
              </w:rPr>
              <w:t>202</w:t>
            </w:r>
            <w:r>
              <w:rPr>
                <w:rFonts w:hint="eastAsia" w:cs="宋体"/>
                <w:szCs w:val="21"/>
                <w:highlight w:val="none"/>
                <w:lang w:val="en-US" w:eastAsia="zh-CN"/>
              </w:rPr>
              <w:t>0</w:t>
            </w:r>
            <w:r>
              <w:rPr>
                <w:rFonts w:hint="eastAsia" w:ascii="宋体" w:hAnsi="宋体" w:eastAsia="宋体" w:cs="宋体"/>
                <w:szCs w:val="21"/>
                <w:highlight w:val="none"/>
              </w:rPr>
              <w:t>年度财务会计报表复印件加盖供应商公章（供应商注册成立不足一年的，应提供投标截止时间前一个月的财务会计报表）</w:t>
            </w:r>
            <w:r>
              <w:rPr>
                <w:rFonts w:hint="eastAsia" w:ascii="宋体" w:hAnsi="宋体" w:eastAsia="宋体" w:cs="宋体"/>
                <w:color w:val="auto"/>
                <w:highlight w:val="none"/>
                <w:lang w:val="en-US" w:eastAsia="zh-CN"/>
              </w:rPr>
              <w:t>或开标前三个月内出具的银行资信证明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5"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3</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具有履行合同所必需的设备和专业技术能力</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承诺函</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提供承诺函，格式附后。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2"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4</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有依法缴纳税收和社会保障资金的良好记录</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纳税证明复印件、社保缴纳证明复印件</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（1）最近六个月任意一月依法缴纳税收的证明材料指投标人参加政府采购活动前最近六个月任意一月内依法缴纳税收的凭据（完税证明或纳税证明或银行电子缴税付款凭证等）；</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（2）依法免税的投标人，应提供相应文件证明其依法免税；</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（3）最近六个月任意一月依法缴纳社会保障资金的证明材料指投标人参加政府采购活动前最近六个月任意一月内依法缴纳社会保险的凭据（社保缴费专用收据或银行电子缴税付款凭证或社会保险缴纳清单等）；</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（4）依法不需要缴纳社会保障资金的投标人，应提供相应文件证明其依法不需要缴纳社会保障资金；</w:t>
            </w:r>
          </w:p>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投标人因新注册成立等原因无法提供相关材料的，应在投标文件中提交如实的情况说明。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5</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参加政府采购活动前三年内，在经营活动中没有重大违法记录</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投标人在《无重大违法记录声明函》中承诺参加政府采购活动前三年内，在经营活动中无重大违法记录书面声明</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提供《无重大违法记录声明函》，格式以采购文件附件为准。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6</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诚信记录</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投标人“信用中国”网站（www.creditchina.gov.cn）、中国政府采购网（www.ccgp.gov.cn）信用记录情况无不良记录。</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开标当日为准对投标人“信用中国”网站（www.creditchina.gov.cn）、中国政府采购网（www.ccgp.gov.cn）信用记录情况进行核实，未被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rPr>
            </w:pPr>
            <w:r>
              <w:rPr>
                <w:rFonts w:hint="eastAsia" w:ascii="宋体" w:hAnsi="宋体" w:eastAsia="宋体" w:cs="宋体"/>
                <w:highlight w:val="none"/>
              </w:rPr>
              <w:t>7</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lang w:val="en-US" w:eastAsia="zh-CN"/>
              </w:rPr>
            </w:pPr>
            <w:r>
              <w:rPr>
                <w:rFonts w:hint="eastAsia" w:cs="宋体"/>
                <w:highlight w:val="none"/>
                <w:lang w:val="en-US" w:eastAsia="zh-CN"/>
              </w:rPr>
              <w:t>联合体投标</w:t>
            </w:r>
          </w:p>
        </w:tc>
        <w:tc>
          <w:tcPr>
            <w:tcW w:w="171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ascii="宋体" w:hAnsi="宋体" w:eastAsia="宋体" w:cs="宋体"/>
                <w:highlight w:val="none"/>
                <w:lang w:eastAsia="zh-CN"/>
              </w:rPr>
            </w:pPr>
            <w:r>
              <w:rPr>
                <w:rFonts w:hint="eastAsia" w:cs="宋体"/>
                <w:highlight w:val="none"/>
                <w:lang w:eastAsia="zh-CN"/>
              </w:rPr>
              <w:t>是否为联合体投标</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left"/>
              <w:rPr>
                <w:rFonts w:hint="eastAsia" w:ascii="宋体" w:hAnsi="宋体" w:eastAsia="宋体" w:cs="宋体"/>
                <w:highlight w:val="none"/>
                <w:lang w:eastAsia="zh-CN"/>
              </w:rPr>
            </w:pPr>
            <w:r>
              <w:rPr>
                <w:rFonts w:hint="eastAsia" w:cs="宋体"/>
                <w:highlight w:val="none"/>
                <w:lang w:eastAsia="zh-CN"/>
              </w:rPr>
              <w:t>本项目不接受联合体投标</w:t>
            </w:r>
          </w:p>
        </w:tc>
      </w:tr>
    </w:tbl>
    <w:p>
      <w:pPr>
        <w:spacing w:line="400" w:lineRule="exact"/>
        <w:ind w:firstLine="482"/>
        <w:rPr>
          <w:rFonts w:hint="eastAsia" w:ascii="宋体" w:hAnsi="宋体" w:eastAsia="宋体" w:cs="宋体"/>
          <w:b/>
          <w:bCs/>
          <w:highlight w:val="none"/>
        </w:rPr>
      </w:pPr>
      <w:r>
        <w:rPr>
          <w:rFonts w:hint="eastAsia" w:ascii="宋体" w:hAnsi="宋体" w:eastAsia="宋体" w:cs="宋体"/>
          <w:b/>
          <w:highlight w:val="none"/>
        </w:rPr>
        <w:t>注：</w:t>
      </w:r>
      <w:r>
        <w:rPr>
          <w:rFonts w:hint="eastAsia" w:ascii="宋体" w:hAnsi="宋体" w:eastAsia="宋体" w:cs="宋体"/>
          <w:b/>
          <w:bCs/>
          <w:highlight w:val="none"/>
        </w:rPr>
        <w:t>1、上述资格证明文件未按招标文件要求附入投标文件中的，资格性审查不合格。</w:t>
      </w:r>
    </w:p>
    <w:p>
      <w:pPr>
        <w:spacing w:line="400" w:lineRule="exact"/>
        <w:ind w:firstLine="482"/>
        <w:rPr>
          <w:rFonts w:hint="eastAsia" w:ascii="宋体" w:hAnsi="宋体" w:eastAsia="宋体" w:cs="宋体"/>
          <w:b/>
          <w:bCs/>
          <w:highlight w:val="none"/>
        </w:rPr>
      </w:pPr>
      <w:r>
        <w:rPr>
          <w:rFonts w:hint="eastAsia" w:ascii="宋体" w:hAnsi="宋体" w:eastAsia="宋体" w:cs="宋体"/>
          <w:b/>
          <w:bCs/>
          <w:highlight w:val="none"/>
        </w:rPr>
        <w:t>2、上述审查项目中，任意一项不符合的，资格性审查不合格。</w:t>
      </w:r>
    </w:p>
    <w:p>
      <w:pPr>
        <w:spacing w:line="400" w:lineRule="exact"/>
        <w:ind w:firstLine="482"/>
        <w:rPr>
          <w:rFonts w:hint="eastAsia" w:ascii="宋体" w:hAnsi="宋体" w:eastAsia="宋体" w:cs="宋体"/>
          <w:b/>
          <w:bCs/>
          <w:highlight w:val="none"/>
        </w:rPr>
      </w:pPr>
      <w:r>
        <w:rPr>
          <w:rFonts w:hint="eastAsia" w:ascii="宋体" w:hAnsi="宋体" w:eastAsia="宋体" w:cs="宋体"/>
          <w:b/>
          <w:bCs/>
          <w:highlight w:val="none"/>
        </w:rPr>
        <w:t>3、供应商注册成立不足一年的，应提供供应商单位成立至今的财务会计报表、缴纳税收的证明资料、缴纳社保的证明资料复印件加盖供应商公章。</w:t>
      </w:r>
    </w:p>
    <w:p>
      <w:pPr>
        <w:spacing w:line="400" w:lineRule="exact"/>
        <w:ind w:firstLine="482"/>
        <w:rPr>
          <w:rFonts w:hint="eastAsia" w:ascii="宋体" w:hAnsi="宋体" w:eastAsia="宋体" w:cs="宋体"/>
          <w:b/>
          <w:highlight w:val="none"/>
        </w:rPr>
      </w:pPr>
      <w:r>
        <w:rPr>
          <w:rFonts w:hint="eastAsia" w:ascii="宋体" w:hAnsi="宋体" w:eastAsia="宋体" w:cs="宋体"/>
          <w:b/>
          <w:bCs/>
          <w:highlight w:val="none"/>
        </w:rPr>
        <w:t>4、依法免税或不需要缴纳社保的供应商，应提供相应文件证明其依法免税或不需要缴纳社保。</w:t>
      </w:r>
    </w:p>
    <w:p>
      <w:pPr>
        <w:spacing w:line="400" w:lineRule="exact"/>
        <w:ind w:firstLine="482"/>
        <w:rPr>
          <w:rFonts w:hint="eastAsia" w:ascii="宋体" w:hAnsi="宋体" w:eastAsia="宋体" w:cs="宋体"/>
          <w:b/>
          <w:szCs w:val="21"/>
          <w:highlight w:val="none"/>
        </w:rPr>
      </w:pPr>
      <w:r>
        <w:rPr>
          <w:rFonts w:hint="eastAsia" w:ascii="宋体" w:hAnsi="宋体" w:eastAsia="宋体" w:cs="宋体"/>
          <w:b/>
          <w:szCs w:val="21"/>
          <w:highlight w:val="none"/>
        </w:rPr>
        <w:t>附表2：</w:t>
      </w:r>
    </w:p>
    <w:p>
      <w:pPr>
        <w:spacing w:line="400" w:lineRule="exact"/>
        <w:ind w:firstLine="482"/>
        <w:jc w:val="center"/>
        <w:rPr>
          <w:rFonts w:hint="eastAsia" w:ascii="宋体" w:hAnsi="宋体" w:eastAsia="宋体" w:cs="宋体"/>
          <w:b/>
          <w:szCs w:val="21"/>
          <w:highlight w:val="none"/>
        </w:rPr>
      </w:pPr>
      <w:r>
        <w:rPr>
          <w:rFonts w:hint="eastAsia" w:ascii="宋体" w:hAnsi="宋体" w:eastAsia="宋体" w:cs="宋体"/>
          <w:b/>
          <w:szCs w:val="21"/>
          <w:highlight w:val="none"/>
        </w:rPr>
        <w:t>符合性审查表</w:t>
      </w:r>
    </w:p>
    <w:tbl>
      <w:tblPr>
        <w:tblStyle w:val="46"/>
        <w:tblW w:w="94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174"/>
        <w:gridCol w:w="6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top"/>
          </w:tcPr>
          <w:p>
            <w:pPr>
              <w:spacing w:line="400" w:lineRule="exact"/>
              <w:ind w:firstLine="0" w:firstLineChars="0"/>
              <w:jc w:val="center"/>
              <w:rPr>
                <w:rFonts w:hint="eastAsia" w:ascii="宋体" w:hAnsi="宋体" w:eastAsia="宋体" w:cs="宋体"/>
                <w:b/>
                <w:szCs w:val="21"/>
                <w:highlight w:val="none"/>
              </w:rPr>
            </w:pPr>
            <w:r>
              <w:rPr>
                <w:rFonts w:hint="eastAsia" w:ascii="宋体" w:hAnsi="宋体" w:eastAsia="宋体" w:cs="宋体"/>
                <w:b/>
                <w:szCs w:val="21"/>
                <w:highlight w:val="none"/>
              </w:rPr>
              <w:t>序号</w:t>
            </w:r>
          </w:p>
        </w:tc>
        <w:tc>
          <w:tcPr>
            <w:tcW w:w="2174" w:type="dxa"/>
            <w:vAlign w:val="top"/>
          </w:tcPr>
          <w:p>
            <w:pPr>
              <w:spacing w:line="400" w:lineRule="exact"/>
              <w:ind w:firstLine="0" w:firstLineChars="0"/>
              <w:jc w:val="center"/>
              <w:rPr>
                <w:rFonts w:hint="eastAsia" w:ascii="宋体" w:hAnsi="宋体" w:eastAsia="宋体" w:cs="宋体"/>
                <w:b/>
                <w:szCs w:val="21"/>
                <w:highlight w:val="none"/>
              </w:rPr>
            </w:pPr>
            <w:r>
              <w:rPr>
                <w:rFonts w:hint="eastAsia" w:ascii="宋体" w:hAnsi="宋体" w:eastAsia="宋体" w:cs="宋体"/>
                <w:b/>
                <w:szCs w:val="21"/>
                <w:highlight w:val="none"/>
              </w:rPr>
              <w:t>审查项目</w:t>
            </w:r>
          </w:p>
        </w:tc>
        <w:tc>
          <w:tcPr>
            <w:tcW w:w="6521" w:type="dxa"/>
            <w:vAlign w:val="top"/>
          </w:tcPr>
          <w:p>
            <w:pPr>
              <w:spacing w:line="400" w:lineRule="exact"/>
              <w:ind w:firstLine="0" w:firstLineChars="0"/>
              <w:jc w:val="center"/>
              <w:rPr>
                <w:rFonts w:hint="eastAsia" w:ascii="宋体" w:hAnsi="宋体" w:eastAsia="宋体" w:cs="宋体"/>
                <w:b/>
                <w:szCs w:val="21"/>
                <w:highlight w:val="none"/>
              </w:rPr>
            </w:pPr>
            <w:r>
              <w:rPr>
                <w:rFonts w:hint="eastAsia" w:ascii="宋体" w:hAnsi="宋体" w:eastAsia="宋体" w:cs="宋体"/>
                <w:b/>
                <w:szCs w:val="21"/>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1</w:t>
            </w:r>
          </w:p>
        </w:tc>
        <w:tc>
          <w:tcPr>
            <w:tcW w:w="2174" w:type="dxa"/>
            <w:vAlign w:val="center"/>
          </w:tcPr>
          <w:p>
            <w:pPr>
              <w:spacing w:line="400" w:lineRule="exact"/>
              <w:ind w:firstLine="0" w:firstLineChars="0"/>
              <w:jc w:val="center"/>
              <w:rPr>
                <w:rFonts w:hint="eastAsia" w:ascii="宋体" w:hAnsi="宋体" w:eastAsia="宋体" w:cs="宋体"/>
                <w:szCs w:val="21"/>
                <w:highlight w:val="none"/>
              </w:rPr>
            </w:pPr>
            <w:r>
              <w:rPr>
                <w:rFonts w:hint="eastAsia" w:ascii="宋体" w:hAnsi="宋体" w:eastAsia="宋体" w:cs="宋体"/>
                <w:szCs w:val="21"/>
                <w:highlight w:val="none"/>
              </w:rPr>
              <w:t>投标文件的签署盖章</w:t>
            </w:r>
          </w:p>
        </w:tc>
        <w:tc>
          <w:tcPr>
            <w:tcW w:w="6521" w:type="dxa"/>
            <w:vAlign w:val="center"/>
          </w:tcPr>
          <w:p>
            <w:pPr>
              <w:spacing w:line="400" w:lineRule="exact"/>
              <w:ind w:firstLine="0" w:firstLineChars="0"/>
              <w:jc w:val="left"/>
              <w:rPr>
                <w:rFonts w:hint="eastAsia" w:ascii="宋体" w:hAnsi="宋体" w:eastAsia="宋体" w:cs="宋体"/>
                <w:szCs w:val="21"/>
                <w:highlight w:val="none"/>
              </w:rPr>
            </w:pPr>
            <w:r>
              <w:rPr>
                <w:rFonts w:hint="eastAsia" w:ascii="宋体" w:hAnsi="宋体" w:eastAsia="宋体" w:cs="宋体"/>
                <w:highlight w:val="none"/>
              </w:rPr>
              <w:t>按采购文件规定签字或盖章的</w:t>
            </w:r>
            <w:r>
              <w:rPr>
                <w:rFonts w:hint="eastAsia" w:ascii="宋体" w:hAnsi="宋体" w:eastAsia="宋体" w:cs="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2</w:t>
            </w:r>
          </w:p>
        </w:tc>
        <w:tc>
          <w:tcPr>
            <w:tcW w:w="2174" w:type="dxa"/>
            <w:vAlign w:val="center"/>
          </w:tcPr>
          <w:p>
            <w:pPr>
              <w:spacing w:line="400" w:lineRule="exact"/>
              <w:ind w:firstLine="0" w:firstLineChars="0"/>
              <w:jc w:val="center"/>
              <w:rPr>
                <w:rFonts w:hint="eastAsia" w:ascii="宋体" w:hAnsi="宋体" w:eastAsia="宋体" w:cs="宋体"/>
                <w:szCs w:val="21"/>
                <w:highlight w:val="none"/>
              </w:rPr>
            </w:pPr>
            <w:r>
              <w:rPr>
                <w:rFonts w:hint="eastAsia" w:ascii="宋体" w:hAnsi="宋体" w:cs="宋体"/>
                <w:color w:val="auto"/>
                <w:szCs w:val="24"/>
                <w:highlight w:val="none"/>
                <w:lang w:bidi="ar"/>
              </w:rPr>
              <w:t>实质性条款</w:t>
            </w:r>
            <w:r>
              <w:rPr>
                <w:rFonts w:hint="eastAsia" w:cs="宋体"/>
                <w:color w:val="auto"/>
                <w:szCs w:val="24"/>
                <w:highlight w:val="none"/>
                <w:lang w:eastAsia="zh-CN" w:bidi="ar"/>
              </w:rPr>
              <w:t>响应</w:t>
            </w:r>
          </w:p>
        </w:tc>
        <w:tc>
          <w:tcPr>
            <w:tcW w:w="6521" w:type="dxa"/>
            <w:vAlign w:val="center"/>
          </w:tcPr>
          <w:p>
            <w:pPr>
              <w:ind w:left="0" w:leftChars="0" w:firstLine="0" w:firstLineChars="0"/>
              <w:rPr>
                <w:rFonts w:hint="eastAsia" w:ascii="宋体" w:hAnsi="宋体" w:eastAsia="宋体" w:cs="宋体"/>
                <w:szCs w:val="21"/>
                <w:highlight w:val="none"/>
              </w:rPr>
            </w:pPr>
            <w:r>
              <w:rPr>
                <w:rFonts w:hint="eastAsia" w:ascii="宋体" w:hAnsi="宋体" w:cs="宋体"/>
                <w:color w:val="auto"/>
                <w:szCs w:val="24"/>
                <w:highlight w:val="none"/>
                <w:lang w:bidi="ar"/>
              </w:rPr>
              <w:t>投标文件完全满足招标文件的实质性条款（即标注</w:t>
            </w:r>
            <w:r>
              <w:rPr>
                <w:rFonts w:hint="eastAsia" w:ascii="宋体" w:hAnsi="宋体" w:cs="宋体"/>
                <w:color w:val="auto"/>
                <w:szCs w:val="21"/>
                <w:highlight w:val="none"/>
                <w:lang w:bidi="ar"/>
              </w:rPr>
              <w:t>▲</w:t>
            </w:r>
            <w:r>
              <w:rPr>
                <w:rFonts w:hint="eastAsia" w:ascii="宋体" w:hAnsi="宋体" w:cs="宋体"/>
                <w:color w:val="auto"/>
                <w:szCs w:val="24"/>
                <w:highlight w:val="none"/>
                <w:lang w:bidi="ar"/>
              </w:rPr>
              <w:t>号条款）无负偏离的</w:t>
            </w:r>
            <w:r>
              <w:rPr>
                <w:rFonts w:hint="eastAsia" w:cs="宋体"/>
                <w:color w:val="auto"/>
                <w:szCs w:val="24"/>
                <w:highlight w:val="none"/>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3</w:t>
            </w:r>
          </w:p>
        </w:tc>
        <w:tc>
          <w:tcPr>
            <w:tcW w:w="2174"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cs="宋体"/>
                <w:color w:val="auto"/>
                <w:szCs w:val="24"/>
                <w:highlight w:val="none"/>
                <w:lang w:bidi="ar"/>
              </w:rPr>
              <w:t>法定代表人</w:t>
            </w:r>
            <w:r>
              <w:rPr>
                <w:rFonts w:hint="eastAsia" w:cs="宋体"/>
                <w:szCs w:val="21"/>
                <w:highlight w:val="none"/>
                <w:lang w:eastAsia="zh-CN"/>
              </w:rPr>
              <w:t>授权书</w:t>
            </w:r>
          </w:p>
        </w:tc>
        <w:tc>
          <w:tcPr>
            <w:tcW w:w="6521" w:type="dxa"/>
            <w:vAlign w:val="center"/>
          </w:tcPr>
          <w:p>
            <w:pPr>
              <w:ind w:left="0" w:leftChars="0" w:firstLine="0" w:firstLineChars="0"/>
              <w:rPr>
                <w:rFonts w:hint="eastAsia" w:ascii="宋体" w:hAnsi="宋体" w:eastAsia="宋体" w:cs="宋体"/>
                <w:szCs w:val="21"/>
                <w:highlight w:val="none"/>
              </w:rPr>
            </w:pPr>
            <w:r>
              <w:rPr>
                <w:rFonts w:hint="eastAsia" w:cs="宋体"/>
                <w:color w:val="auto"/>
                <w:szCs w:val="24"/>
                <w:highlight w:val="none"/>
                <w:lang w:eastAsia="zh-CN" w:bidi="ar"/>
              </w:rPr>
              <w:t>提供有效的</w:t>
            </w:r>
            <w:r>
              <w:rPr>
                <w:rFonts w:hint="eastAsia" w:ascii="宋体" w:hAnsi="宋体" w:cs="宋体"/>
                <w:color w:val="auto"/>
                <w:szCs w:val="24"/>
                <w:highlight w:val="none"/>
                <w:lang w:bidi="ar"/>
              </w:rPr>
              <w:t>法定代表人证明书/法定代表人授权委托书</w:t>
            </w:r>
            <w:r>
              <w:rPr>
                <w:rFonts w:hint="eastAsia" w:cs="宋体"/>
                <w:color w:val="auto"/>
                <w:szCs w:val="24"/>
                <w:highlight w:val="none"/>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6"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4</w:t>
            </w:r>
          </w:p>
        </w:tc>
        <w:tc>
          <w:tcPr>
            <w:tcW w:w="2174" w:type="dxa"/>
            <w:vAlign w:val="center"/>
          </w:tcPr>
          <w:p>
            <w:pPr>
              <w:spacing w:line="400" w:lineRule="exact"/>
              <w:ind w:firstLine="0" w:firstLineChars="0"/>
              <w:jc w:val="center"/>
              <w:rPr>
                <w:rFonts w:hint="eastAsia" w:ascii="宋体" w:hAnsi="宋体" w:eastAsia="宋体" w:cs="宋体"/>
                <w:szCs w:val="21"/>
                <w:highlight w:val="none"/>
              </w:rPr>
            </w:pPr>
            <w:r>
              <w:rPr>
                <w:rFonts w:hint="eastAsia" w:cs="宋体"/>
                <w:szCs w:val="21"/>
                <w:highlight w:val="none"/>
                <w:lang w:eastAsia="zh-CN"/>
              </w:rPr>
              <w:t>无效条款</w:t>
            </w:r>
          </w:p>
        </w:tc>
        <w:tc>
          <w:tcPr>
            <w:tcW w:w="6521" w:type="dxa"/>
            <w:vAlign w:val="center"/>
          </w:tcPr>
          <w:p>
            <w:pPr>
              <w:ind w:left="0" w:leftChars="0" w:firstLine="0" w:firstLineChars="0"/>
              <w:rPr>
                <w:rFonts w:hint="eastAsia" w:ascii="宋体" w:hAnsi="宋体" w:eastAsia="宋体" w:cs="宋体"/>
                <w:szCs w:val="21"/>
                <w:highlight w:val="none"/>
              </w:rPr>
            </w:pPr>
            <w:r>
              <w:rPr>
                <w:rFonts w:hint="eastAsia" w:ascii="宋体" w:hAnsi="宋体" w:cs="宋体"/>
                <w:color w:val="auto"/>
                <w:szCs w:val="24"/>
                <w:highlight w:val="none"/>
                <w:lang w:bidi="ar"/>
              </w:rPr>
              <w:t>投标文件没有招标文件中规定的其它无效投标条款的</w:t>
            </w:r>
            <w:r>
              <w:rPr>
                <w:rFonts w:hint="eastAsia" w:cs="宋体"/>
                <w:color w:val="auto"/>
                <w:szCs w:val="24"/>
                <w:highlight w:val="none"/>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5</w:t>
            </w:r>
          </w:p>
        </w:tc>
        <w:tc>
          <w:tcPr>
            <w:tcW w:w="2174"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cs="宋体"/>
                <w:szCs w:val="21"/>
                <w:highlight w:val="none"/>
                <w:lang w:eastAsia="zh-CN"/>
              </w:rPr>
              <w:t>其他</w:t>
            </w:r>
          </w:p>
        </w:tc>
        <w:tc>
          <w:tcPr>
            <w:tcW w:w="6521" w:type="dxa"/>
            <w:vAlign w:val="center"/>
          </w:tcPr>
          <w:p>
            <w:pPr>
              <w:ind w:left="0" w:leftChars="0" w:firstLine="0" w:firstLineChars="0"/>
              <w:rPr>
                <w:rFonts w:hint="eastAsia" w:ascii="宋体" w:hAnsi="宋体" w:eastAsia="宋体" w:cs="宋体"/>
                <w:highlight w:val="none"/>
                <w:lang w:eastAsia="zh-CN"/>
              </w:rPr>
            </w:pPr>
            <w:r>
              <w:rPr>
                <w:rFonts w:hint="eastAsia" w:cs="宋体"/>
                <w:highlight w:val="none"/>
                <w:lang w:eastAsia="zh-CN"/>
              </w:rPr>
              <w:t>投标供应商无虚假应标、串通投标的情形。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val="en-US" w:eastAsia="zh-CN"/>
              </w:rPr>
              <w:t>6</w:t>
            </w:r>
          </w:p>
        </w:tc>
        <w:tc>
          <w:tcPr>
            <w:tcW w:w="2174" w:type="dxa"/>
            <w:vAlign w:val="center"/>
          </w:tcPr>
          <w:p>
            <w:pPr>
              <w:spacing w:line="400" w:lineRule="exact"/>
              <w:ind w:firstLine="0" w:firstLineChars="0"/>
              <w:jc w:val="center"/>
              <w:rPr>
                <w:rFonts w:hint="eastAsia" w:ascii="宋体" w:hAnsi="宋体" w:eastAsia="宋体" w:cs="宋体"/>
                <w:szCs w:val="21"/>
                <w:highlight w:val="none"/>
                <w:lang w:eastAsia="zh-CN"/>
              </w:rPr>
            </w:pPr>
            <w:r>
              <w:rPr>
                <w:rFonts w:hint="eastAsia" w:cs="宋体"/>
                <w:szCs w:val="21"/>
                <w:highlight w:val="none"/>
                <w:lang w:eastAsia="zh-CN"/>
              </w:rPr>
              <w:t>其他</w:t>
            </w:r>
          </w:p>
        </w:tc>
        <w:tc>
          <w:tcPr>
            <w:tcW w:w="6521" w:type="dxa"/>
            <w:vAlign w:val="center"/>
          </w:tcPr>
          <w:p>
            <w:pPr>
              <w:ind w:left="0" w:leftChars="0" w:firstLine="0" w:firstLineChars="0"/>
              <w:rPr>
                <w:rFonts w:hint="eastAsia" w:ascii="宋体" w:hAnsi="宋体" w:eastAsia="宋体" w:cs="宋体"/>
                <w:szCs w:val="21"/>
                <w:highlight w:val="none"/>
              </w:rPr>
            </w:pPr>
            <w:r>
              <w:rPr>
                <w:rFonts w:hint="eastAsia" w:ascii="宋体" w:hAnsi="宋体" w:cs="宋体"/>
                <w:color w:val="auto"/>
                <w:szCs w:val="24"/>
                <w:highlight w:val="none"/>
                <w:lang w:bidi="ar"/>
              </w:rPr>
              <w:t>按有关法律、法规、规章不属于投标无效的。</w:t>
            </w:r>
          </w:p>
        </w:tc>
      </w:tr>
    </w:tbl>
    <w:p>
      <w:pPr>
        <w:pStyle w:val="27"/>
        <w:tabs>
          <w:tab w:val="left" w:pos="0"/>
          <w:tab w:val="left" w:pos="1260"/>
          <w:tab w:val="left" w:pos="1365"/>
        </w:tabs>
        <w:ind w:firstLine="482"/>
        <w:rPr>
          <w:rFonts w:hint="eastAsia" w:ascii="宋体" w:hAnsi="宋体" w:eastAsia="宋体" w:cs="宋体"/>
          <w:highlight w:val="none"/>
        </w:rPr>
      </w:pPr>
      <w:r>
        <w:rPr>
          <w:rFonts w:hint="eastAsia" w:ascii="宋体" w:hAnsi="宋体" w:eastAsia="宋体" w:cs="宋体"/>
          <w:b/>
          <w:highlight w:val="none"/>
        </w:rPr>
        <w:t>注：1、上述审查项目中，任意一项不符合的，符合性审查不合格。</w:t>
      </w:r>
    </w:p>
    <w:p>
      <w:pPr>
        <w:spacing w:line="500" w:lineRule="exact"/>
        <w:ind w:firstLine="482"/>
        <w:rPr>
          <w:rFonts w:hint="eastAsia" w:ascii="宋体" w:hAnsi="宋体" w:eastAsia="宋体" w:cs="宋体"/>
          <w:b/>
          <w:highlight w:val="none"/>
        </w:rPr>
      </w:pPr>
      <w:r>
        <w:rPr>
          <w:rFonts w:hint="eastAsia" w:ascii="宋体" w:hAnsi="宋体" w:eastAsia="宋体" w:cs="宋体"/>
          <w:b/>
          <w:highlight w:val="none"/>
        </w:rPr>
        <w:t>附表3：</w:t>
      </w:r>
    </w:p>
    <w:p>
      <w:pPr>
        <w:ind w:firstLine="482"/>
        <w:rPr>
          <w:rFonts w:hint="eastAsia" w:cs="宋体"/>
          <w:b/>
          <w:bCs/>
          <w:highlight w:val="none"/>
        </w:rPr>
      </w:pPr>
      <w:r>
        <w:rPr>
          <w:rFonts w:hint="eastAsia" w:cs="宋体"/>
          <w:b/>
          <w:bCs/>
          <w:highlight w:val="none"/>
        </w:rPr>
        <w:t>1.投标人如为小型或微型企业并提交相关证明材料且所投产品为小型或微型企业制造的，其小型或微型企业部分的投标报价扣除6%后参与评审；</w:t>
      </w:r>
    </w:p>
    <w:p>
      <w:pPr>
        <w:ind w:firstLine="482"/>
        <w:rPr>
          <w:rFonts w:hint="eastAsia" w:cs="宋体"/>
          <w:b/>
          <w:bCs/>
          <w:highlight w:val="none"/>
        </w:rPr>
      </w:pPr>
      <w:r>
        <w:rPr>
          <w:rFonts w:hint="eastAsia" w:cs="宋体"/>
          <w:b/>
          <w:bCs/>
          <w:highlight w:val="none"/>
        </w:rPr>
        <w:t>2.投标人如为监狱企业并提交相关证明材料且所投产品为小型或微型企业制造的，其小型或微型企业部分的投标报价扣除6%后参与评审；</w:t>
      </w:r>
    </w:p>
    <w:p>
      <w:pPr>
        <w:ind w:firstLine="482"/>
        <w:rPr>
          <w:rFonts w:hint="eastAsia" w:cs="宋体"/>
          <w:b/>
          <w:bCs/>
          <w:highlight w:val="none"/>
        </w:rPr>
      </w:pPr>
      <w:r>
        <w:rPr>
          <w:rFonts w:hint="eastAsia" w:cs="宋体"/>
          <w:b/>
          <w:bCs/>
          <w:highlight w:val="none"/>
        </w:rPr>
        <w:t>3.投标人如为残疾人福利性单位并提交《残疾人福利性单位声明函》且所投产品为本企业或其他残疾人福利性单位制造的，其残疾人福利性单位部分的投标报价扣除6%后参与评审；</w:t>
      </w:r>
    </w:p>
    <w:p>
      <w:pPr>
        <w:ind w:firstLine="482"/>
        <w:rPr>
          <w:rFonts w:hint="eastAsia" w:cs="宋体"/>
          <w:b/>
          <w:bCs/>
          <w:highlight w:val="none"/>
        </w:rPr>
      </w:pPr>
      <w:r>
        <w:rPr>
          <w:rFonts w:hint="eastAsia" w:cs="宋体"/>
          <w:b/>
          <w:bCs/>
          <w:highlight w:val="none"/>
        </w:rPr>
        <w:t>4.残疾人福利性单位属于小型、微型企业的，不重复享受政策。</w:t>
      </w:r>
    </w:p>
    <w:bookmarkEnd w:id="137"/>
    <w:bookmarkEnd w:id="138"/>
    <w:bookmarkEnd w:id="139"/>
    <w:p>
      <w:pPr>
        <w:spacing w:before="156" w:beforeLines="50" w:after="156" w:afterLines="50" w:line="360" w:lineRule="auto"/>
        <w:ind w:firstLine="472" w:firstLineChars="196"/>
        <w:rPr>
          <w:rFonts w:hint="eastAsia" w:ascii="宋体" w:hAnsi="宋体" w:cs="宋体"/>
          <w:b/>
          <w:bCs/>
          <w:sz w:val="24"/>
          <w:highlight w:val="none"/>
        </w:rPr>
      </w:pPr>
      <w:r>
        <w:rPr>
          <w:rFonts w:hint="eastAsia" w:ascii="宋体" w:hAnsi="宋体" w:cs="宋体"/>
          <w:b/>
          <w:sz w:val="24"/>
          <w:highlight w:val="none"/>
        </w:rPr>
        <w:t>（一）资信及商务部分（</w:t>
      </w:r>
      <w:r>
        <w:rPr>
          <w:rFonts w:hint="eastAsia" w:cs="宋体"/>
          <w:b/>
          <w:sz w:val="24"/>
          <w:highlight w:val="none"/>
          <w:u w:val="single"/>
          <w:lang w:val="en-US" w:eastAsia="zh-CN"/>
        </w:rPr>
        <w:t>6</w:t>
      </w:r>
      <w:r>
        <w:rPr>
          <w:rFonts w:hint="eastAsia" w:ascii="宋体" w:hAnsi="宋体" w:cs="宋体"/>
          <w:b/>
          <w:sz w:val="24"/>
          <w:highlight w:val="none"/>
        </w:rPr>
        <w:t>分）</w:t>
      </w:r>
    </w:p>
    <w:tbl>
      <w:tblPr>
        <w:tblStyle w:val="46"/>
        <w:tblW w:w="9288" w:type="dxa"/>
        <w:tblInd w:w="3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7572"/>
        <w:gridCol w:w="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trPr>
        <w:tc>
          <w:tcPr>
            <w:tcW w:w="889"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序号</w:t>
            </w:r>
          </w:p>
        </w:tc>
        <w:tc>
          <w:tcPr>
            <w:tcW w:w="7572"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评审项目和评审标准</w:t>
            </w: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89"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w:t>
            </w:r>
          </w:p>
        </w:tc>
        <w:tc>
          <w:tcPr>
            <w:tcW w:w="7572"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left"/>
              <w:rPr>
                <w:rFonts w:hint="eastAsia" w:ascii="宋体" w:hAnsi="宋体" w:cs="宋体"/>
                <w:b w:val="0"/>
                <w:bCs/>
                <w:spacing w:val="-6"/>
                <w:sz w:val="24"/>
                <w:highlight w:val="none"/>
              </w:rPr>
            </w:pPr>
            <w:r>
              <w:rPr>
                <w:rFonts w:hint="eastAsia" w:ascii="宋体" w:hAnsi="宋体" w:cs="宋体"/>
                <w:b w:val="0"/>
                <w:bCs/>
                <w:spacing w:val="-6"/>
                <w:sz w:val="24"/>
                <w:highlight w:val="none"/>
              </w:rPr>
              <w:t>2018年1月1日（以合同签订日期为准）以来，投标人具有核心产品或同类设备销售业绩的：每提供1个得1分，最高得6分。</w:t>
            </w:r>
          </w:p>
          <w:p>
            <w:pPr>
              <w:spacing w:line="360" w:lineRule="auto"/>
              <w:ind w:left="0" w:leftChars="0" w:firstLine="0" w:firstLineChars="0"/>
              <w:jc w:val="left"/>
              <w:rPr>
                <w:rFonts w:hint="eastAsia" w:ascii="宋体" w:hAnsi="宋体" w:cs="宋体"/>
                <w:b w:val="0"/>
                <w:bCs/>
                <w:spacing w:val="-6"/>
                <w:sz w:val="24"/>
                <w:highlight w:val="none"/>
              </w:rPr>
            </w:pPr>
            <w:r>
              <w:rPr>
                <w:rFonts w:hint="eastAsia" w:ascii="宋体" w:hAnsi="宋体" w:cs="宋体"/>
                <w:b w:val="0"/>
                <w:bCs/>
                <w:spacing w:val="-6"/>
                <w:sz w:val="24"/>
                <w:highlight w:val="none"/>
              </w:rPr>
              <w:t>开标提供合同原件备查。</w:t>
            </w:r>
          </w:p>
        </w:tc>
        <w:tc>
          <w:tcPr>
            <w:tcW w:w="827" w:type="dxa"/>
            <w:tcBorders>
              <w:top w:val="single" w:color="auto" w:sz="4" w:space="0"/>
              <w:left w:val="single" w:color="auto" w:sz="4" w:space="0"/>
              <w:bottom w:val="single" w:color="auto" w:sz="4" w:space="0"/>
              <w:right w:val="single" w:color="auto" w:sz="4" w:space="0"/>
            </w:tcBorders>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6</w:t>
            </w:r>
          </w:p>
        </w:tc>
      </w:tr>
    </w:tbl>
    <w:p>
      <w:pPr>
        <w:spacing w:before="156" w:beforeLines="50" w:after="156" w:afterLines="50" w:line="360" w:lineRule="auto"/>
        <w:ind w:firstLine="472" w:firstLineChars="196"/>
        <w:rPr>
          <w:rFonts w:hint="eastAsia" w:ascii="宋体" w:hAnsi="宋体" w:cs="宋体"/>
          <w:b/>
          <w:sz w:val="24"/>
          <w:highlight w:val="none"/>
        </w:rPr>
      </w:pPr>
      <w:r>
        <w:rPr>
          <w:rFonts w:hint="eastAsia" w:ascii="宋体" w:hAnsi="宋体" w:cs="宋体"/>
          <w:b/>
          <w:bCs/>
          <w:sz w:val="24"/>
          <w:highlight w:val="none"/>
        </w:rPr>
        <w:t>（二）</w:t>
      </w:r>
      <w:r>
        <w:rPr>
          <w:rFonts w:hint="eastAsia" w:ascii="宋体" w:hAnsi="宋体" w:cs="宋体"/>
          <w:b/>
          <w:sz w:val="24"/>
          <w:highlight w:val="none"/>
        </w:rPr>
        <w:t>技术部分（</w:t>
      </w:r>
      <w:r>
        <w:rPr>
          <w:rFonts w:hint="eastAsia" w:ascii="宋体" w:hAnsi="宋体" w:cs="宋体"/>
          <w:b/>
          <w:sz w:val="24"/>
          <w:highlight w:val="none"/>
          <w:u w:val="single"/>
        </w:rPr>
        <w:t xml:space="preserve"> 6</w:t>
      </w:r>
      <w:r>
        <w:rPr>
          <w:rFonts w:hint="eastAsia" w:cs="宋体"/>
          <w:b/>
          <w:sz w:val="24"/>
          <w:highlight w:val="none"/>
          <w:u w:val="single"/>
          <w:lang w:val="en-US" w:eastAsia="zh-CN"/>
        </w:rPr>
        <w:t>4</w:t>
      </w:r>
      <w:r>
        <w:rPr>
          <w:rFonts w:hint="eastAsia" w:ascii="宋体" w:hAnsi="宋体" w:cs="宋体"/>
          <w:b/>
          <w:sz w:val="24"/>
          <w:highlight w:val="none"/>
          <w:u w:val="single"/>
        </w:rPr>
        <w:t xml:space="preserve"> </w:t>
      </w:r>
      <w:r>
        <w:rPr>
          <w:rFonts w:hint="eastAsia" w:ascii="宋体" w:hAnsi="宋体" w:cs="宋体"/>
          <w:b/>
          <w:sz w:val="24"/>
          <w:highlight w:val="none"/>
        </w:rPr>
        <w:t xml:space="preserve">分） </w:t>
      </w:r>
    </w:p>
    <w:tbl>
      <w:tblPr>
        <w:tblStyle w:val="46"/>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389"/>
        <w:gridCol w:w="6232"/>
        <w:gridCol w:w="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序号</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评审因素</w:t>
            </w:r>
          </w:p>
        </w:tc>
        <w:tc>
          <w:tcPr>
            <w:tcW w:w="6232"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评分细则</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产品总体性能及质量水平</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根据所供产品总体性能及质量水平进行评析：</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所提供产品的主要技术、结构、性能、特点、操作说明和质量水平的描述详细，技术支持资料或证明文件完整、有效，能较好地反映产品的性能特点和质量状况，得</w:t>
            </w:r>
            <w:r>
              <w:rPr>
                <w:rFonts w:hint="eastAsia" w:cs="宋体"/>
                <w:b w:val="0"/>
                <w:bCs/>
                <w:spacing w:val="-6"/>
                <w:sz w:val="24"/>
                <w:highlight w:val="none"/>
                <w:lang w:val="en-US" w:eastAsia="zh-CN"/>
              </w:rPr>
              <w:t>7</w:t>
            </w:r>
            <w:r>
              <w:rPr>
                <w:rFonts w:hint="eastAsia" w:ascii="宋体" w:hAnsi="宋体" w:cs="宋体"/>
                <w:b w:val="0"/>
                <w:bCs/>
                <w:spacing w:val="-6"/>
                <w:sz w:val="24"/>
                <w:highlight w:val="none"/>
              </w:rPr>
              <w:t>-</w:t>
            </w:r>
            <w:r>
              <w:rPr>
                <w:rFonts w:hint="eastAsia" w:cs="宋体"/>
                <w:b w:val="0"/>
                <w:bCs/>
                <w:spacing w:val="-6"/>
                <w:sz w:val="24"/>
                <w:highlight w:val="none"/>
                <w:lang w:val="en-US" w:eastAsia="zh-CN"/>
              </w:rPr>
              <w:t>10</w:t>
            </w:r>
            <w:r>
              <w:rPr>
                <w:rFonts w:hint="eastAsia" w:ascii="宋体" w:hAnsi="宋体" w:cs="宋体"/>
                <w:b w:val="0"/>
                <w:bCs/>
                <w:spacing w:val="-6"/>
                <w:sz w:val="24"/>
                <w:highlight w:val="none"/>
              </w:rPr>
              <w:t>分；所提供产品的性能特点、质量水平等描述基本完整，得</w:t>
            </w:r>
            <w:r>
              <w:rPr>
                <w:rFonts w:hint="eastAsia" w:cs="宋体"/>
                <w:b w:val="0"/>
                <w:bCs/>
                <w:spacing w:val="-6"/>
                <w:sz w:val="24"/>
                <w:highlight w:val="none"/>
                <w:lang w:val="en-US" w:eastAsia="zh-CN"/>
              </w:rPr>
              <w:t>4</w:t>
            </w:r>
            <w:r>
              <w:rPr>
                <w:rFonts w:hint="eastAsia" w:ascii="宋体" w:hAnsi="宋体" w:cs="宋体"/>
                <w:b w:val="0"/>
                <w:bCs/>
                <w:spacing w:val="-6"/>
                <w:sz w:val="24"/>
                <w:highlight w:val="none"/>
              </w:rPr>
              <w:t>-</w:t>
            </w:r>
            <w:r>
              <w:rPr>
                <w:rFonts w:hint="eastAsia" w:cs="宋体"/>
                <w:b w:val="0"/>
                <w:bCs/>
                <w:spacing w:val="-6"/>
                <w:sz w:val="24"/>
                <w:highlight w:val="none"/>
                <w:lang w:val="en-US" w:eastAsia="zh-CN"/>
              </w:rPr>
              <w:t>6</w:t>
            </w:r>
            <w:r>
              <w:rPr>
                <w:rFonts w:hint="eastAsia" w:ascii="宋体" w:hAnsi="宋体" w:cs="宋体"/>
                <w:b w:val="0"/>
                <w:bCs/>
                <w:spacing w:val="-6"/>
                <w:sz w:val="24"/>
                <w:highlight w:val="none"/>
              </w:rPr>
              <w:t>分；所提供产品的性能特点、质量水平等完整性较差或未描述完整,得0-</w:t>
            </w:r>
            <w:r>
              <w:rPr>
                <w:rFonts w:hint="eastAsia" w:cs="宋体"/>
                <w:b w:val="0"/>
                <w:bCs/>
                <w:spacing w:val="-6"/>
                <w:sz w:val="24"/>
                <w:highlight w:val="none"/>
                <w:lang w:val="en-US" w:eastAsia="zh-CN"/>
              </w:rPr>
              <w:t>3</w:t>
            </w:r>
            <w:r>
              <w:rPr>
                <w:rFonts w:hint="eastAsia" w:ascii="宋体" w:hAnsi="宋体" w:cs="宋体"/>
                <w:b w:val="0"/>
                <w:bCs/>
                <w:spacing w:val="-6"/>
                <w:sz w:val="24"/>
                <w:highlight w:val="none"/>
              </w:rPr>
              <w:t>分。</w:t>
            </w:r>
          </w:p>
        </w:tc>
        <w:tc>
          <w:tcPr>
            <w:tcW w:w="776" w:type="dxa"/>
            <w:vAlign w:val="center"/>
          </w:tcPr>
          <w:p>
            <w:pPr>
              <w:spacing w:line="360" w:lineRule="auto"/>
              <w:ind w:left="0" w:leftChars="0" w:firstLine="0" w:firstLineChars="0"/>
              <w:jc w:val="center"/>
              <w:rPr>
                <w:rFonts w:hint="eastAsia" w:ascii="宋体" w:hAnsi="宋体" w:eastAsia="宋体" w:cs="宋体"/>
                <w:b w:val="0"/>
                <w:bCs/>
                <w:spacing w:val="-6"/>
                <w:sz w:val="24"/>
                <w:highlight w:val="none"/>
                <w:lang w:eastAsia="zh-CN"/>
              </w:rPr>
            </w:pPr>
            <w:r>
              <w:rPr>
                <w:rFonts w:hint="eastAsia" w:cs="宋体"/>
                <w:b w:val="0"/>
                <w:bCs/>
                <w:spacing w:val="-6"/>
                <w:sz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2</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产品技术指标及功能响应（满足）程度</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根据所供产品的技术指标及功能描述的详细程度及响应（满足）程度进行评析：</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全部满足招标文件要求：得2</w:t>
            </w:r>
            <w:r>
              <w:rPr>
                <w:rFonts w:hint="eastAsia" w:cs="宋体"/>
                <w:b w:val="0"/>
                <w:bCs/>
                <w:spacing w:val="-6"/>
                <w:sz w:val="24"/>
                <w:highlight w:val="none"/>
                <w:lang w:val="en-US" w:eastAsia="zh-CN"/>
              </w:rPr>
              <w:t>5</w:t>
            </w:r>
            <w:r>
              <w:rPr>
                <w:rFonts w:hint="eastAsia" w:ascii="宋体" w:hAnsi="宋体" w:cs="宋体"/>
                <w:b w:val="0"/>
                <w:bCs/>
                <w:spacing w:val="-6"/>
                <w:sz w:val="24"/>
                <w:highlight w:val="none"/>
              </w:rPr>
              <w:t>分，正偏离不加分；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标注 “★”的重要技术指标（条款、参数）有偏离的，负偏离（功能、性能和技术指标低于招标内容及需求）项每项扣4分；扣完为止。</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未标注“★”或“▲”的一般技术指标（条款、参数）有偏离的，负偏离（功能、性能和技术指标低于招标内容及需求）项每项扣1分；扣完为止。</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注：(1)未满足招标文件标注“▲”的实质性要求（条款、参数）的，该供应商的投标文件将被视为无效。</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(2)若技术偏离表技术要求中响应规格与技术资料不一致的，评审专家有权对其按技术资料中的参数进行评分。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2</w:t>
            </w:r>
            <w:r>
              <w:rPr>
                <w:rFonts w:hint="eastAsia" w:cs="宋体"/>
                <w:b w:val="0"/>
                <w:bCs/>
                <w:spacing w:val="-6"/>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3</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产品配置的先进性、完整性和适用性</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根据所提供产品配置的先进性、完整性和适用性进行评析优：</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所提供产品配置完整、技术先进，且完全能满足采购人的使用要求的，得5分；所提供产品配置基本完整、基本能满足采购人的使用要求的，得3-4分；所提供产品配置的完整性较差或未描述完整的，得0-2分。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4</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产品的稳定性、可操作性和可维护性</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根据所提供产品的稳定性、可操作性和可维护性进行评析：</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所提供产品的稳定性好，可操作性强，维护简便，得5分；所提供产品的稳定性一般，可操作性一般，维护相对简便的，得3-4分；所提供产品的稳定性、可操作性和可维护性较差的，得0-2分。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5</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安装、调试、验收计划及人员安排情况</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根据供应商安装、调试、验收计划的完整性和合理性，以及拟派人员的经验能力情况进行评析：</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供货、安装、调试计划科学、合理，拟派人员经验丰富、技术能力强得4-5分；供货、安装、调试计划基本合理，拟派人员具有一定的技术能力，得3-4分；供货、安装、调试计划及人员安排情况较差或未描述完整，得0-3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restart"/>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6</w:t>
            </w:r>
          </w:p>
        </w:tc>
        <w:tc>
          <w:tcPr>
            <w:tcW w:w="1389" w:type="dxa"/>
            <w:vMerge w:val="restart"/>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售后服务</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bookmarkStart w:id="140" w:name="OLE_LINK5"/>
            <w:r>
              <w:rPr>
                <w:rFonts w:hint="eastAsia" w:ascii="宋体" w:hAnsi="宋体" w:cs="宋体"/>
                <w:b w:val="0"/>
                <w:bCs/>
                <w:spacing w:val="-6"/>
                <w:sz w:val="24"/>
                <w:highlight w:val="none"/>
              </w:rPr>
              <w:t>根据供应商及制造厂商提供的技术支持和售后服务方案（包括售后服务承诺和履约保证、售后服务范围、维修保养具体内容、具体服务标准等）的优劣评价。</w:t>
            </w:r>
            <w:bookmarkEnd w:id="140"/>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技术支持和售后服务方案合理，承诺和保证措施完整，服务范围广，维修保养和服务标准阐述详细的，得2分；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技术支持和售后服务方案比较合理，有承诺和保证措施，服务范围较广，有关于维修保养和服务标准的阐述的，得1分；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技术支持和售后服务方案简单，或缺少和保证措施，或服务范围极少，或缺少关于维修保养和服务标准的阐述的，0.5分；未提供技术支持和售后服务方案的，或未描述的，得0分。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continue"/>
            <w:vAlign w:val="center"/>
          </w:tcPr>
          <w:p>
            <w:pPr>
              <w:spacing w:line="360" w:lineRule="auto"/>
              <w:ind w:left="0" w:leftChars="0" w:firstLine="0" w:firstLineChars="0"/>
              <w:jc w:val="center"/>
              <w:rPr>
                <w:rFonts w:hint="eastAsia" w:ascii="宋体" w:hAnsi="宋体" w:cs="宋体"/>
                <w:b w:val="0"/>
                <w:bCs/>
                <w:spacing w:val="-6"/>
                <w:sz w:val="24"/>
                <w:highlight w:val="none"/>
              </w:rPr>
            </w:pPr>
          </w:p>
        </w:tc>
        <w:tc>
          <w:tcPr>
            <w:tcW w:w="1389" w:type="dxa"/>
            <w:vMerge w:val="continue"/>
            <w:vAlign w:val="center"/>
          </w:tcPr>
          <w:p>
            <w:pPr>
              <w:spacing w:line="360" w:lineRule="auto"/>
              <w:ind w:left="0" w:leftChars="0" w:firstLine="0" w:firstLineChars="0"/>
              <w:jc w:val="center"/>
              <w:rPr>
                <w:rFonts w:hint="eastAsia" w:ascii="宋体" w:hAnsi="宋体" w:cs="宋体"/>
                <w:b w:val="0"/>
                <w:bCs/>
                <w:spacing w:val="-6"/>
                <w:sz w:val="24"/>
                <w:highlight w:val="none"/>
              </w:rPr>
            </w:pP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根据售后服务机构的技术力量配备情况、培训计划、培训人员情况等的优劣评价。</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售后服务机构的技术力量配备强，培训计划及人员安排详细合理的，得</w:t>
            </w:r>
            <w:r>
              <w:rPr>
                <w:rFonts w:hint="eastAsia" w:cs="宋体"/>
                <w:b w:val="0"/>
                <w:bCs/>
                <w:spacing w:val="-6"/>
                <w:sz w:val="24"/>
                <w:highlight w:val="none"/>
                <w:lang w:val="en-US" w:eastAsia="zh-CN"/>
              </w:rPr>
              <w:t>3</w:t>
            </w:r>
            <w:r>
              <w:rPr>
                <w:rFonts w:hint="eastAsia" w:ascii="宋体" w:hAnsi="宋体" w:cs="宋体"/>
                <w:b w:val="0"/>
                <w:bCs/>
                <w:spacing w:val="-6"/>
                <w:sz w:val="24"/>
                <w:highlight w:val="none"/>
              </w:rPr>
              <w:t>分；售后服务机构的技术力量配备较好，有培训计划及人员安排的，得</w:t>
            </w:r>
            <w:r>
              <w:rPr>
                <w:rFonts w:hint="eastAsia" w:cs="宋体"/>
                <w:b w:val="0"/>
                <w:bCs/>
                <w:spacing w:val="-6"/>
                <w:sz w:val="24"/>
                <w:highlight w:val="none"/>
                <w:lang w:val="en-US" w:eastAsia="zh-CN"/>
              </w:rPr>
              <w:t>2</w:t>
            </w:r>
            <w:r>
              <w:rPr>
                <w:rFonts w:hint="eastAsia" w:ascii="宋体" w:hAnsi="宋体" w:cs="宋体"/>
                <w:b w:val="0"/>
                <w:bCs/>
                <w:spacing w:val="-6"/>
                <w:sz w:val="24"/>
                <w:highlight w:val="none"/>
              </w:rPr>
              <w:t>分；售后服务机构的技术力量配备一般，或培训计划及人员安排简单的，得</w:t>
            </w:r>
            <w:r>
              <w:rPr>
                <w:rFonts w:hint="eastAsia" w:cs="宋体"/>
                <w:b w:val="0"/>
                <w:bCs/>
                <w:spacing w:val="-6"/>
                <w:sz w:val="24"/>
                <w:highlight w:val="none"/>
                <w:lang w:val="en-US" w:eastAsia="zh-CN"/>
              </w:rPr>
              <w:t>1</w:t>
            </w:r>
            <w:r>
              <w:rPr>
                <w:rFonts w:hint="eastAsia" w:ascii="宋体" w:hAnsi="宋体" w:cs="宋体"/>
                <w:b w:val="0"/>
                <w:bCs/>
                <w:spacing w:val="-6"/>
                <w:sz w:val="24"/>
                <w:highlight w:val="none"/>
              </w:rPr>
              <w:t>分；无售后服务机构的技术力量配备，或无培训计划的，或未描述的，得0分。</w:t>
            </w:r>
          </w:p>
        </w:tc>
        <w:tc>
          <w:tcPr>
            <w:tcW w:w="776" w:type="dxa"/>
            <w:vAlign w:val="center"/>
          </w:tcPr>
          <w:p>
            <w:pPr>
              <w:spacing w:line="360" w:lineRule="auto"/>
              <w:ind w:left="0" w:leftChars="0" w:firstLine="0" w:firstLineChars="0"/>
              <w:jc w:val="center"/>
              <w:rPr>
                <w:rFonts w:hint="eastAsia" w:ascii="宋体" w:hAnsi="宋体" w:eastAsia="宋体" w:cs="宋体"/>
                <w:b w:val="0"/>
                <w:bCs/>
                <w:spacing w:val="-6"/>
                <w:sz w:val="24"/>
                <w:highlight w:val="none"/>
                <w:lang w:eastAsia="zh-CN"/>
              </w:rPr>
            </w:pPr>
            <w:r>
              <w:rPr>
                <w:rFonts w:hint="eastAsia" w:cs="宋体"/>
                <w:b w:val="0"/>
                <w:bCs/>
                <w:spacing w:val="-6"/>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continue"/>
            <w:vAlign w:val="center"/>
          </w:tcPr>
          <w:p>
            <w:pPr>
              <w:spacing w:line="360" w:lineRule="auto"/>
              <w:ind w:left="0" w:leftChars="0" w:firstLine="0" w:firstLineChars="0"/>
              <w:jc w:val="center"/>
              <w:rPr>
                <w:rFonts w:hint="eastAsia" w:ascii="宋体" w:hAnsi="宋体" w:cs="宋体"/>
                <w:b w:val="0"/>
                <w:bCs/>
                <w:spacing w:val="-6"/>
                <w:sz w:val="24"/>
                <w:highlight w:val="none"/>
              </w:rPr>
            </w:pPr>
          </w:p>
        </w:tc>
        <w:tc>
          <w:tcPr>
            <w:tcW w:w="1389" w:type="dxa"/>
            <w:vMerge w:val="continue"/>
            <w:vAlign w:val="center"/>
          </w:tcPr>
          <w:p>
            <w:pPr>
              <w:spacing w:line="360" w:lineRule="auto"/>
              <w:ind w:left="0" w:leftChars="0" w:firstLine="0" w:firstLineChars="0"/>
              <w:jc w:val="center"/>
              <w:rPr>
                <w:rFonts w:hint="eastAsia" w:ascii="宋体" w:hAnsi="宋体" w:cs="宋体"/>
                <w:b w:val="0"/>
                <w:bCs/>
                <w:spacing w:val="-6"/>
                <w:sz w:val="24"/>
                <w:highlight w:val="none"/>
              </w:rPr>
            </w:pP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售后服务响应时间、故障修复时间，优劣比较评价。</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优于采购文件要求的，得</w:t>
            </w:r>
            <w:r>
              <w:rPr>
                <w:rFonts w:hint="eastAsia" w:cs="宋体"/>
                <w:b w:val="0"/>
                <w:bCs/>
                <w:spacing w:val="-6"/>
                <w:sz w:val="24"/>
                <w:highlight w:val="none"/>
                <w:lang w:val="en-US" w:eastAsia="zh-CN"/>
              </w:rPr>
              <w:t>3</w:t>
            </w:r>
            <w:r>
              <w:rPr>
                <w:rFonts w:hint="eastAsia" w:ascii="宋体" w:hAnsi="宋体" w:cs="宋体"/>
                <w:b w:val="0"/>
                <w:bCs/>
                <w:spacing w:val="-6"/>
                <w:sz w:val="24"/>
                <w:highlight w:val="none"/>
              </w:rPr>
              <w:t>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满足采购文件要求的，得</w:t>
            </w:r>
            <w:r>
              <w:rPr>
                <w:rFonts w:hint="eastAsia" w:cs="宋体"/>
                <w:b w:val="0"/>
                <w:bCs/>
                <w:spacing w:val="-6"/>
                <w:sz w:val="24"/>
                <w:highlight w:val="none"/>
                <w:lang w:val="en-US" w:eastAsia="zh-CN"/>
              </w:rPr>
              <w:t>2</w:t>
            </w:r>
            <w:r>
              <w:rPr>
                <w:rFonts w:hint="eastAsia" w:ascii="宋体" w:hAnsi="宋体" w:cs="宋体"/>
                <w:b w:val="0"/>
                <w:bCs/>
                <w:spacing w:val="-6"/>
                <w:sz w:val="24"/>
                <w:highlight w:val="none"/>
              </w:rPr>
              <w:t>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部分偏离采购文件要求的，得1分；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完全偏离采购文件要求，或未进行相关承诺的，得0分。</w:t>
            </w:r>
          </w:p>
        </w:tc>
        <w:tc>
          <w:tcPr>
            <w:tcW w:w="776" w:type="dxa"/>
            <w:vAlign w:val="center"/>
          </w:tcPr>
          <w:p>
            <w:pPr>
              <w:spacing w:line="360" w:lineRule="auto"/>
              <w:ind w:left="0" w:leftChars="0" w:firstLine="0" w:firstLineChars="0"/>
              <w:jc w:val="center"/>
              <w:rPr>
                <w:rFonts w:hint="eastAsia" w:ascii="宋体" w:hAnsi="宋体" w:eastAsia="宋体" w:cs="宋体"/>
                <w:b w:val="0"/>
                <w:bCs/>
                <w:spacing w:val="-6"/>
                <w:sz w:val="24"/>
                <w:highlight w:val="none"/>
                <w:lang w:eastAsia="zh-CN"/>
              </w:rPr>
            </w:pPr>
            <w:r>
              <w:rPr>
                <w:rFonts w:hint="eastAsia" w:cs="宋体"/>
                <w:b w:val="0"/>
                <w:bCs/>
                <w:spacing w:val="-6"/>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7</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优惠条件</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其他优惠条件（包括增加产品功能、配置，质保期外重要部件维修、更换及易耗件价格等）：横向比较各种价格优惠情况、折扣率力度等，综合评析。</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增加了产品的使用功能或大大提高产品配置、利于采购人日常使用的，且维修、更换及易耗件价格优惠程度高的，得3分；增加产品的使用功能或提高产品配置、比较利于采购人日常使用的，或维修、更换及易耗件价格比较优惠的，得2-2.5分；增加产品使用功能或有提高产品配置，但对采购人日常使用益处不大的，或维修、更换及易耗件价格优惠程度不高的，得1；未提供优惠条件的，得0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8</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政策分</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（1）</w:t>
            </w:r>
            <w:r>
              <w:rPr>
                <w:rFonts w:hint="eastAsia" w:cs="宋体"/>
                <w:b w:val="0"/>
                <w:bCs/>
                <w:spacing w:val="-6"/>
                <w:sz w:val="24"/>
                <w:highlight w:val="none"/>
                <w:lang w:eastAsia="zh-CN"/>
              </w:rPr>
              <w:t>投标产品</w:t>
            </w:r>
            <w:r>
              <w:rPr>
                <w:rFonts w:hint="eastAsia" w:ascii="宋体" w:hAnsi="宋体" w:cs="宋体"/>
                <w:b w:val="0"/>
                <w:bCs/>
                <w:spacing w:val="-6"/>
                <w:sz w:val="24"/>
                <w:highlight w:val="none"/>
              </w:rPr>
              <w:t>列入财政部、发展改革委发布的节能产品品目清单的，提供国家市场监督管理总局公布的《参与实施政府采购节能产品认证机构名录》内的认证机构出具的、处于有效期之内的节能标志产品认证证书的，得0.5分。</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（2）</w:t>
            </w:r>
            <w:r>
              <w:rPr>
                <w:rFonts w:hint="eastAsia" w:cs="宋体"/>
                <w:b w:val="0"/>
                <w:bCs/>
                <w:spacing w:val="-6"/>
                <w:sz w:val="24"/>
                <w:highlight w:val="none"/>
                <w:lang w:eastAsia="zh-CN"/>
              </w:rPr>
              <w:t>投标产品</w:t>
            </w:r>
            <w:r>
              <w:rPr>
                <w:rFonts w:hint="eastAsia" w:ascii="宋体" w:hAnsi="宋体" w:cs="宋体"/>
                <w:b w:val="0"/>
                <w:bCs/>
                <w:spacing w:val="-6"/>
                <w:sz w:val="24"/>
                <w:highlight w:val="none"/>
              </w:rPr>
              <w:t>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9</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交货时间</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rPr>
              <w:t>交货时间满足或优于招标文件要求的得1分，不满足的得0分。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10</w:t>
            </w:r>
          </w:p>
        </w:tc>
        <w:tc>
          <w:tcPr>
            <w:tcW w:w="1389"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投标文件质量</w:t>
            </w:r>
          </w:p>
        </w:tc>
        <w:tc>
          <w:tcPr>
            <w:tcW w:w="6232" w:type="dxa"/>
            <w:vAlign w:val="center"/>
          </w:tcPr>
          <w:p>
            <w:pPr>
              <w:spacing w:line="360" w:lineRule="auto"/>
              <w:ind w:left="0" w:leftChars="0" w:firstLine="0" w:firstLineChars="0"/>
              <w:jc w:val="both"/>
              <w:rPr>
                <w:rFonts w:hint="eastAsia" w:ascii="宋体" w:hAnsi="宋体" w:cs="宋体"/>
                <w:b w:val="0"/>
                <w:bCs/>
                <w:spacing w:val="-6"/>
                <w:sz w:val="24"/>
                <w:highlight w:val="none"/>
                <w:lang w:val="en"/>
              </w:rPr>
            </w:pPr>
            <w:r>
              <w:rPr>
                <w:rFonts w:hint="eastAsia" w:ascii="宋体" w:hAnsi="宋体" w:cs="宋体"/>
                <w:b w:val="0"/>
                <w:bCs/>
                <w:spacing w:val="-6"/>
                <w:sz w:val="24"/>
                <w:highlight w:val="none"/>
                <w:lang w:val="en"/>
              </w:rPr>
              <w:t>投标文件编制质量：</w:t>
            </w:r>
          </w:p>
          <w:p>
            <w:pPr>
              <w:spacing w:line="360" w:lineRule="auto"/>
              <w:ind w:left="0" w:leftChars="0" w:firstLine="0" w:firstLineChars="0"/>
              <w:jc w:val="both"/>
              <w:rPr>
                <w:rFonts w:hint="eastAsia" w:ascii="宋体" w:hAnsi="宋体" w:cs="宋体"/>
                <w:b w:val="0"/>
                <w:bCs/>
                <w:spacing w:val="-6"/>
                <w:sz w:val="24"/>
                <w:highlight w:val="none"/>
              </w:rPr>
            </w:pPr>
            <w:r>
              <w:rPr>
                <w:rFonts w:hint="eastAsia" w:ascii="宋体" w:hAnsi="宋体" w:cs="宋体"/>
                <w:b w:val="0"/>
                <w:bCs/>
                <w:spacing w:val="-6"/>
                <w:sz w:val="24"/>
                <w:highlight w:val="none"/>
                <w:lang w:val="en"/>
              </w:rPr>
              <w:t>投标文件编制完整、简洁、有效，且格式规范、装订整齐的得1分；投标文件编制完整、格式规范、装订整齐的得0.5分；投标文件编制较完整但冗杂，装订整齐但格式无序，或投标文件编制不完整，格式不规范的得0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1</w:t>
            </w:r>
          </w:p>
        </w:tc>
      </w:tr>
    </w:tbl>
    <w:p>
      <w:pPr>
        <w:pStyle w:val="16"/>
        <w:spacing w:before="156" w:beforeLines="50" w:after="156" w:afterLines="50" w:line="360" w:lineRule="auto"/>
        <w:ind w:firstLine="482" w:firstLineChars="200"/>
        <w:rPr>
          <w:rFonts w:hint="eastAsia" w:hAnsi="宋体" w:cs="宋体"/>
          <w:b/>
          <w:bCs/>
          <w:sz w:val="24"/>
          <w:highlight w:val="none"/>
        </w:rPr>
      </w:pPr>
      <w:r>
        <w:rPr>
          <w:rFonts w:hint="eastAsia" w:hAnsi="宋体" w:cs="宋体"/>
          <w:b/>
          <w:sz w:val="24"/>
          <w:highlight w:val="none"/>
        </w:rPr>
        <w:t>（三</w:t>
      </w:r>
      <w:r>
        <w:rPr>
          <w:rFonts w:hint="eastAsia" w:hAnsi="宋体" w:cs="宋体"/>
          <w:b/>
          <w:bCs/>
          <w:sz w:val="24"/>
          <w:highlight w:val="none"/>
        </w:rPr>
        <w:t>）价格部分（ 30分）</w:t>
      </w:r>
    </w:p>
    <w:p>
      <w:pPr>
        <w:rPr>
          <w:rFonts w:hint="eastAsia"/>
          <w:highlight w:val="none"/>
        </w:rPr>
      </w:pPr>
    </w:p>
    <w:tbl>
      <w:tblPr>
        <w:tblStyle w:val="46"/>
        <w:tblW w:w="94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
        <w:gridCol w:w="7660"/>
        <w:gridCol w:w="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72" w:type="dxa"/>
            <w:vAlign w:val="center"/>
          </w:tcPr>
          <w:p>
            <w:pPr>
              <w:spacing w:line="360" w:lineRule="auto"/>
              <w:ind w:left="0" w:leftChars="0" w:firstLine="0" w:firstLineChars="0"/>
              <w:jc w:val="center"/>
              <w:rPr>
                <w:rFonts w:hint="eastAsia" w:ascii="宋体" w:hAnsi="宋体" w:eastAsia="宋体" w:cs="宋体"/>
                <w:b w:val="0"/>
                <w:bCs/>
                <w:spacing w:val="-6"/>
                <w:sz w:val="24"/>
                <w:highlight w:val="none"/>
                <w:lang w:eastAsia="zh-CN"/>
              </w:rPr>
            </w:pPr>
            <w:r>
              <w:rPr>
                <w:rFonts w:hint="eastAsia" w:ascii="宋体" w:hAnsi="宋体" w:cs="宋体"/>
                <w:b w:val="0"/>
                <w:bCs/>
                <w:spacing w:val="-6"/>
                <w:sz w:val="24"/>
                <w:highlight w:val="none"/>
              </w:rPr>
              <w:t>序号</w:t>
            </w:r>
          </w:p>
        </w:tc>
        <w:tc>
          <w:tcPr>
            <w:tcW w:w="7660"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评审项目和评审标准</w:t>
            </w:r>
          </w:p>
        </w:tc>
        <w:tc>
          <w:tcPr>
            <w:tcW w:w="776" w:type="dxa"/>
            <w:vAlign w:val="center"/>
          </w:tcPr>
          <w:p>
            <w:pPr>
              <w:spacing w:line="360" w:lineRule="auto"/>
              <w:ind w:left="0" w:leftChars="0" w:firstLine="0" w:firstLineChars="0"/>
              <w:jc w:val="center"/>
              <w:rPr>
                <w:rFonts w:hint="eastAsia" w:ascii="宋体" w:hAnsi="宋体" w:cs="宋体"/>
                <w:b w:val="0"/>
                <w:bCs/>
                <w:spacing w:val="-6"/>
                <w:sz w:val="24"/>
                <w:highlight w:val="none"/>
              </w:rPr>
            </w:pPr>
            <w:r>
              <w:rPr>
                <w:rFonts w:hint="eastAsia" w:ascii="宋体" w:hAnsi="宋体" w:cs="宋体"/>
                <w:b w:val="0"/>
                <w:bCs/>
                <w:spacing w:val="-6"/>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72" w:type="dxa"/>
            <w:vAlign w:val="center"/>
          </w:tcPr>
          <w:p>
            <w:pPr>
              <w:spacing w:line="360" w:lineRule="auto"/>
              <w:ind w:left="0" w:leftChars="0" w:firstLine="0" w:firstLineChars="0"/>
              <w:jc w:val="center"/>
              <w:rPr>
                <w:rFonts w:hint="eastAsia" w:cs="宋体"/>
                <w:b w:val="0"/>
                <w:bCs/>
                <w:spacing w:val="-6"/>
                <w:sz w:val="24"/>
                <w:highlight w:val="none"/>
                <w:lang w:val="en-US" w:eastAsia="zh-CN"/>
              </w:rPr>
            </w:pPr>
            <w:r>
              <w:rPr>
                <w:rFonts w:hint="eastAsia" w:cs="宋体"/>
                <w:b w:val="0"/>
                <w:bCs/>
                <w:spacing w:val="-6"/>
                <w:sz w:val="24"/>
                <w:highlight w:val="none"/>
                <w:lang w:val="en-US" w:eastAsia="zh-CN"/>
              </w:rPr>
              <w:t>1</w:t>
            </w:r>
          </w:p>
        </w:tc>
        <w:tc>
          <w:tcPr>
            <w:tcW w:w="7660" w:type="dxa"/>
            <w:vAlign w:val="center"/>
          </w:tcPr>
          <w:p>
            <w:pPr>
              <w:spacing w:line="360" w:lineRule="auto"/>
              <w:ind w:left="0" w:leftChars="0" w:firstLine="0" w:firstLineChars="0"/>
              <w:jc w:val="both"/>
              <w:rPr>
                <w:rFonts w:hint="eastAsia" w:ascii="宋体" w:hAnsi="宋体" w:cs="宋体"/>
                <w:b w:val="0"/>
                <w:bCs/>
                <w:spacing w:val="-6"/>
                <w:sz w:val="24"/>
                <w:highlight w:val="none"/>
                <w:lang w:val="en"/>
              </w:rPr>
            </w:pPr>
            <w:r>
              <w:rPr>
                <w:rFonts w:hint="eastAsia" w:ascii="宋体" w:hAnsi="宋体" w:cs="宋体"/>
                <w:b w:val="0"/>
                <w:bCs/>
                <w:spacing w:val="-6"/>
                <w:sz w:val="24"/>
                <w:highlight w:val="none"/>
                <w:lang w:val="en"/>
              </w:rPr>
              <w:t>有效投标报价的最低价作为评标基准价，其最低报价为满分；</w:t>
            </w:r>
          </w:p>
          <w:p>
            <w:pPr>
              <w:spacing w:line="360" w:lineRule="auto"/>
              <w:ind w:left="0" w:leftChars="0" w:firstLine="0" w:firstLineChars="0"/>
              <w:jc w:val="both"/>
              <w:rPr>
                <w:rFonts w:hint="eastAsia" w:ascii="宋体" w:hAnsi="宋体" w:cs="宋体"/>
                <w:b w:val="0"/>
                <w:bCs/>
                <w:spacing w:val="-6"/>
                <w:sz w:val="24"/>
                <w:highlight w:val="none"/>
                <w:lang w:val="en"/>
              </w:rPr>
            </w:pPr>
            <w:r>
              <w:rPr>
                <w:rFonts w:hint="eastAsia" w:cs="宋体"/>
                <w:b w:val="0"/>
                <w:bCs/>
                <w:spacing w:val="-6"/>
                <w:sz w:val="24"/>
                <w:highlight w:val="none"/>
                <w:lang w:val="en" w:eastAsia="zh-CN"/>
              </w:rPr>
              <w:t>其他供应商报价得分</w:t>
            </w:r>
            <w:r>
              <w:rPr>
                <w:rFonts w:hint="eastAsia" w:ascii="宋体" w:hAnsi="宋体" w:cs="宋体"/>
                <w:b w:val="0"/>
                <w:bCs/>
                <w:spacing w:val="-6"/>
                <w:sz w:val="24"/>
                <w:highlight w:val="none"/>
                <w:lang w:val="en"/>
              </w:rPr>
              <w:t>按照［投标报价得分=（评标基准价/投标报价）*价格权值*100］的计算公式计算；</w:t>
            </w:r>
          </w:p>
        </w:tc>
        <w:tc>
          <w:tcPr>
            <w:tcW w:w="776" w:type="dxa"/>
            <w:vAlign w:val="center"/>
          </w:tcPr>
          <w:p>
            <w:pPr>
              <w:spacing w:line="360" w:lineRule="auto"/>
              <w:ind w:left="0" w:leftChars="0" w:firstLine="0" w:firstLineChars="0"/>
              <w:jc w:val="center"/>
              <w:rPr>
                <w:rFonts w:hint="eastAsia" w:ascii="宋体" w:hAnsi="宋体" w:eastAsia="宋体" w:cs="宋体"/>
                <w:b w:val="0"/>
                <w:bCs/>
                <w:spacing w:val="-6"/>
                <w:sz w:val="24"/>
                <w:highlight w:val="none"/>
                <w:lang w:val="en-US" w:eastAsia="zh-CN"/>
              </w:rPr>
            </w:pPr>
            <w:r>
              <w:rPr>
                <w:rFonts w:hint="eastAsia" w:cs="宋体"/>
                <w:b w:val="0"/>
                <w:bCs/>
                <w:spacing w:val="-6"/>
                <w:sz w:val="24"/>
                <w:highlight w:val="none"/>
                <w:lang w:val="en-US" w:eastAsia="zh-CN"/>
              </w:rPr>
              <w:t>30</w:t>
            </w:r>
          </w:p>
        </w:tc>
      </w:tr>
    </w:tbl>
    <w:p>
      <w:pPr>
        <w:pStyle w:val="2"/>
        <w:rPr>
          <w:rFonts w:hint="eastAsia"/>
          <w:highlight w:val="none"/>
        </w:rPr>
        <w:sectPr>
          <w:footerReference r:id="rId14" w:type="default"/>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bookmarkEnd w:id="132"/>
    <w:bookmarkEnd w:id="133"/>
    <w:bookmarkEnd w:id="134"/>
    <w:p>
      <w:pPr>
        <w:pStyle w:val="2"/>
        <w:bidi w:val="0"/>
        <w:rPr>
          <w:rFonts w:hint="eastAsia" w:ascii="宋体" w:hAnsi="宋体" w:eastAsia="宋体" w:cs="宋体"/>
          <w:color w:val="auto"/>
          <w:highlight w:val="none"/>
        </w:rPr>
      </w:pPr>
      <w:bookmarkStart w:id="141" w:name="_Toc28261"/>
      <w:bookmarkStart w:id="142" w:name="_Toc10616"/>
      <w:r>
        <w:rPr>
          <w:rFonts w:hint="eastAsia" w:ascii="宋体" w:hAnsi="宋体" w:eastAsia="宋体" w:cs="宋体"/>
          <w:color w:val="auto"/>
          <w:highlight w:val="none"/>
        </w:rPr>
        <w:t>第五章 合同格式</w:t>
      </w:r>
      <w:bookmarkEnd w:id="141"/>
      <w:bookmarkEnd w:id="142"/>
    </w:p>
    <w:p>
      <w:pPr>
        <w:pStyle w:val="21"/>
        <w:snapToGrid w:val="0"/>
        <w:spacing w:line="360" w:lineRule="auto"/>
        <w:jc w:val="center"/>
        <w:rPr>
          <w:rFonts w:hint="eastAsia" w:ascii="宋体" w:hAnsi="宋体" w:eastAsia="宋体" w:cs="宋体"/>
          <w:b/>
          <w:color w:val="auto"/>
          <w:sz w:val="24"/>
          <w:szCs w:val="24"/>
          <w:highlight w:val="none"/>
        </w:rPr>
      </w:pPr>
      <w:bookmarkStart w:id="143" w:name="_Toc450840088"/>
      <w:r>
        <w:rPr>
          <w:rFonts w:hint="eastAsia" w:ascii="宋体" w:hAnsi="宋体" w:eastAsia="宋体" w:cs="宋体"/>
          <w:b/>
          <w:color w:val="auto"/>
          <w:sz w:val="24"/>
          <w:szCs w:val="24"/>
          <w:highlight w:val="none"/>
        </w:rPr>
        <w:t>（本合同为合同样稿，最终稿由甲乙双方协商后确定）</w:t>
      </w:r>
    </w:p>
    <w:p>
      <w:pPr>
        <w:pStyle w:val="21"/>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编号：</w:t>
      </w:r>
    </w:p>
    <w:p>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b/>
          <w:bCs/>
          <w:color w:val="auto"/>
          <w:sz w:val="24"/>
          <w:szCs w:val="24"/>
          <w:highlight w:val="none"/>
        </w:rPr>
        <w:t>甲方</w:t>
      </w: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u w:val="single"/>
        </w:rPr>
        <w:t xml:space="preserve">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乙方</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u w:val="single"/>
        </w:rPr>
        <w:t xml:space="preserve">                      </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i/>
          <w:color w:val="auto"/>
          <w:sz w:val="24"/>
          <w:szCs w:val="24"/>
          <w:highlight w:val="none"/>
          <w:u w:val="single"/>
        </w:rPr>
        <w:t>（采购人）</w:t>
      </w:r>
      <w:r>
        <w:rPr>
          <w:rFonts w:hint="eastAsia" w:ascii="宋体" w:hAnsi="宋体" w:eastAsia="宋体" w:cs="宋体"/>
          <w:color w:val="auto"/>
          <w:sz w:val="24"/>
          <w:szCs w:val="24"/>
          <w:highlight w:val="none"/>
        </w:rPr>
        <w:t>经过公开招标，确定</w:t>
      </w:r>
      <w:r>
        <w:rPr>
          <w:rFonts w:hint="eastAsia" w:ascii="宋体" w:hAnsi="宋体" w:eastAsia="宋体" w:cs="宋体"/>
          <w:i/>
          <w:color w:val="auto"/>
          <w:sz w:val="24"/>
          <w:szCs w:val="24"/>
          <w:highlight w:val="none"/>
          <w:u w:val="single"/>
        </w:rPr>
        <w:t>（中标供应商）</w:t>
      </w:r>
      <w:r>
        <w:rPr>
          <w:rFonts w:hint="eastAsia" w:ascii="宋体" w:hAnsi="宋体" w:eastAsia="宋体" w:cs="宋体"/>
          <w:color w:val="auto"/>
          <w:sz w:val="24"/>
          <w:szCs w:val="24"/>
          <w:highlight w:val="none"/>
        </w:rPr>
        <w:t>为供货单位，经甲乙双方协商，达成以下条款。具体如下：</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第一条</w:t>
      </w:r>
      <w:r>
        <w:rPr>
          <w:rFonts w:hint="eastAsia" w:ascii="宋体" w:hAnsi="宋体" w:eastAsia="宋体" w:cs="宋体"/>
          <w:color w:val="auto"/>
          <w:sz w:val="24"/>
          <w:szCs w:val="24"/>
          <w:highlight w:val="none"/>
        </w:rPr>
        <w:t xml:space="preserve">  采购商品清单及合同价格  </w:t>
      </w:r>
    </w:p>
    <w:tbl>
      <w:tblPr>
        <w:tblStyle w:val="46"/>
        <w:tblW w:w="879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440"/>
        <w:gridCol w:w="2509"/>
        <w:gridCol w:w="900"/>
        <w:gridCol w:w="2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4" w:hRule="atLeast"/>
        </w:trPr>
        <w:tc>
          <w:tcPr>
            <w:tcW w:w="1440" w:type="dxa"/>
            <w:vAlign w:val="center"/>
          </w:tcPr>
          <w:p>
            <w:pPr>
              <w:pStyle w:val="21"/>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使用单位</w:t>
            </w:r>
          </w:p>
        </w:tc>
        <w:tc>
          <w:tcPr>
            <w:tcW w:w="1440" w:type="dxa"/>
            <w:vAlign w:val="center"/>
          </w:tcPr>
          <w:p>
            <w:pPr>
              <w:pStyle w:val="21"/>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商品名称</w:t>
            </w:r>
          </w:p>
        </w:tc>
        <w:tc>
          <w:tcPr>
            <w:tcW w:w="2509" w:type="dxa"/>
            <w:vAlign w:val="center"/>
          </w:tcPr>
          <w:p>
            <w:pPr>
              <w:pStyle w:val="21"/>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配置要求</w:t>
            </w:r>
          </w:p>
        </w:tc>
        <w:tc>
          <w:tcPr>
            <w:tcW w:w="900" w:type="dxa"/>
            <w:vAlign w:val="center"/>
          </w:tcPr>
          <w:p>
            <w:pPr>
              <w:pStyle w:val="21"/>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2502" w:type="dxa"/>
            <w:vAlign w:val="center"/>
          </w:tcPr>
          <w:p>
            <w:pPr>
              <w:pStyle w:val="21"/>
              <w:snapToGrid w:val="0"/>
              <w:spacing w:line="360" w:lineRule="auto"/>
              <w:jc w:val="center"/>
              <w:rPr>
                <w:rFonts w:hint="eastAsia" w:ascii="宋体" w:hAnsi="宋体" w:eastAsia="宋体" w:cs="宋体"/>
                <w:color w:val="auto"/>
                <w:sz w:val="24"/>
                <w:szCs w:val="24"/>
                <w:highlight w:val="none"/>
              </w:rPr>
            </w:pPr>
            <w:r>
              <w:rPr>
                <w:rFonts w:hint="eastAsia" w:hAnsi="宋体" w:cs="宋体"/>
                <w:color w:val="auto"/>
                <w:sz w:val="24"/>
                <w:szCs w:val="24"/>
                <w:highlight w:val="none"/>
                <w:lang w:eastAsia="zh-CN"/>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6" w:hRule="atLeast"/>
        </w:trPr>
        <w:tc>
          <w:tcPr>
            <w:tcW w:w="1440" w:type="dxa"/>
            <w:vAlign w:val="center"/>
          </w:tcPr>
          <w:p>
            <w:pPr>
              <w:pStyle w:val="150"/>
              <w:jc w:val="center"/>
              <w:rPr>
                <w:rFonts w:hint="eastAsia" w:ascii="宋体" w:hAnsi="宋体" w:eastAsia="宋体" w:cs="宋体"/>
                <w:color w:val="auto"/>
                <w:szCs w:val="24"/>
                <w:highlight w:val="none"/>
              </w:rPr>
            </w:pPr>
          </w:p>
        </w:tc>
        <w:tc>
          <w:tcPr>
            <w:tcW w:w="1440" w:type="dxa"/>
            <w:vAlign w:val="center"/>
          </w:tcPr>
          <w:p>
            <w:pPr>
              <w:spacing w:line="360" w:lineRule="auto"/>
              <w:jc w:val="center"/>
              <w:rPr>
                <w:rFonts w:hint="eastAsia" w:ascii="宋体" w:hAnsi="宋体" w:eastAsia="宋体" w:cs="宋体"/>
                <w:color w:val="auto"/>
                <w:sz w:val="24"/>
                <w:szCs w:val="24"/>
                <w:highlight w:val="none"/>
              </w:rPr>
            </w:pPr>
          </w:p>
        </w:tc>
        <w:tc>
          <w:tcPr>
            <w:tcW w:w="2509" w:type="dxa"/>
            <w:vAlign w:val="center"/>
          </w:tcPr>
          <w:p>
            <w:pPr>
              <w:spacing w:line="360" w:lineRule="auto"/>
              <w:jc w:val="center"/>
              <w:rPr>
                <w:rFonts w:hint="eastAsia" w:ascii="宋体" w:hAnsi="宋体" w:eastAsia="宋体" w:cs="宋体"/>
                <w:color w:val="auto"/>
                <w:sz w:val="24"/>
                <w:szCs w:val="24"/>
                <w:highlight w:val="none"/>
              </w:rPr>
            </w:pPr>
          </w:p>
        </w:tc>
        <w:tc>
          <w:tcPr>
            <w:tcW w:w="900" w:type="dxa"/>
            <w:vAlign w:val="center"/>
          </w:tcPr>
          <w:p>
            <w:pPr>
              <w:spacing w:line="360" w:lineRule="auto"/>
              <w:ind w:firstLine="240" w:firstLineChars="100"/>
              <w:jc w:val="center"/>
              <w:rPr>
                <w:rFonts w:hint="eastAsia" w:ascii="宋体" w:hAnsi="宋体" w:eastAsia="宋体" w:cs="宋体"/>
                <w:color w:val="auto"/>
                <w:sz w:val="24"/>
                <w:szCs w:val="24"/>
                <w:highlight w:val="none"/>
              </w:rPr>
            </w:pPr>
          </w:p>
        </w:tc>
        <w:tc>
          <w:tcPr>
            <w:tcW w:w="2502" w:type="dxa"/>
            <w:vAlign w:val="center"/>
          </w:tcPr>
          <w:p>
            <w:pPr>
              <w:pStyle w:val="15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5389" w:type="dxa"/>
            <w:gridSpan w:val="3"/>
            <w:vAlign w:val="top"/>
          </w:tcPr>
          <w:p>
            <w:pPr>
              <w:pStyle w:val="21"/>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    计</w:t>
            </w:r>
          </w:p>
        </w:tc>
        <w:tc>
          <w:tcPr>
            <w:tcW w:w="900" w:type="dxa"/>
            <w:vAlign w:val="top"/>
          </w:tcPr>
          <w:p>
            <w:pPr>
              <w:pStyle w:val="21"/>
              <w:snapToGrid w:val="0"/>
              <w:spacing w:line="360" w:lineRule="auto"/>
              <w:jc w:val="center"/>
              <w:rPr>
                <w:rFonts w:hint="eastAsia" w:ascii="宋体" w:hAnsi="宋体" w:eastAsia="宋体" w:cs="宋体"/>
                <w:color w:val="auto"/>
                <w:sz w:val="24"/>
                <w:szCs w:val="24"/>
                <w:highlight w:val="none"/>
              </w:rPr>
            </w:pPr>
          </w:p>
        </w:tc>
        <w:tc>
          <w:tcPr>
            <w:tcW w:w="2502" w:type="dxa"/>
            <w:vAlign w:val="top"/>
          </w:tcPr>
          <w:p>
            <w:pPr>
              <w:pStyle w:val="150"/>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8791" w:type="dxa"/>
            <w:gridSpan w:val="5"/>
            <w:vAlign w:val="top"/>
          </w:tcPr>
          <w:p>
            <w:pPr>
              <w:pStyle w:val="21"/>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合同总价：（人民币）元整</w:t>
            </w:r>
          </w:p>
        </w:tc>
      </w:tr>
    </w:tbl>
    <w:p>
      <w:pPr>
        <w:pStyle w:val="21"/>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注：1、商品型号、数量、配置要求及使用单位地址等详后附清单</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2、以上合同总价包括运抵各使用单位的运费及安装调试费等。</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第二条</w:t>
      </w:r>
      <w:r>
        <w:rPr>
          <w:rFonts w:hint="eastAsia" w:ascii="宋体" w:hAnsi="宋体" w:eastAsia="宋体" w:cs="宋体"/>
          <w:color w:val="auto"/>
          <w:sz w:val="24"/>
          <w:szCs w:val="24"/>
          <w:highlight w:val="none"/>
        </w:rPr>
        <w:t xml:space="preserve">  质量保证</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乙方保证本合同中所供应的国产商品是</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以后生产的符合国家技术规格和质量标准的出厂原装合格产品；进口商品是获得国家商检局颁布安全许可证的出厂原装合格产品。如发生所供商品与合同不符，甲方有权拒收或退货，由此产生的一切责任和后果由乙方承担。</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第三条</w:t>
      </w:r>
      <w:r>
        <w:rPr>
          <w:rFonts w:hint="eastAsia" w:ascii="宋体" w:hAnsi="宋体" w:eastAsia="宋体" w:cs="宋体"/>
          <w:color w:val="auto"/>
          <w:sz w:val="24"/>
          <w:szCs w:val="24"/>
          <w:highlight w:val="none"/>
        </w:rPr>
        <w:t xml:space="preserve">  交货时间、地点</w:t>
      </w:r>
    </w:p>
    <w:p>
      <w:pPr>
        <w:pStyle w:val="21"/>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1、乙方在合同签订后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个工作日内按照其与甲方事先直接联系约定（使用单位地址、联系人等见清单）将所供商品运至甲方指定地点拆箱，并负责安装调试完毕后交使用方验收。</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2、在所供商品交付使用时，乙方必须向甲方提供产品说明书、质量保证书、保修卡等必须具备的相关资料和必备的附件。</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第四条</w:t>
      </w:r>
      <w:r>
        <w:rPr>
          <w:rFonts w:hint="eastAsia" w:ascii="宋体" w:hAnsi="宋体" w:eastAsia="宋体" w:cs="宋体"/>
          <w:color w:val="auto"/>
          <w:sz w:val="24"/>
          <w:szCs w:val="24"/>
          <w:highlight w:val="none"/>
        </w:rPr>
        <w:t xml:space="preserve">  售后服务</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质量保修期(质保期从合同商品验收合格之日算起)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保质期内因不能排除的故障而影响工作的情况每发生一次，其质保期相应延长60天，保质期内因合同商品本身缺陷造成各种故障应由卖方免费技术服务和维修；质保期满后，仅收取零配件成本费用，免人工费用。合同商品出现故障后，中标人接到需方通知后,最迟于4小时内做出响应，2个工作日内解决故障。合同商品到达后,中标人提供安装调试，培训服务，帮助需方用户尽快熟悉使用。</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第五条</w:t>
      </w:r>
      <w:r>
        <w:rPr>
          <w:rFonts w:hint="eastAsia" w:ascii="宋体" w:hAnsi="宋体" w:eastAsia="宋体" w:cs="宋体"/>
          <w:color w:val="auto"/>
          <w:sz w:val="24"/>
          <w:szCs w:val="24"/>
          <w:highlight w:val="none"/>
        </w:rPr>
        <w:t xml:space="preserve">  验收</w:t>
      </w:r>
    </w:p>
    <w:p>
      <w:pPr>
        <w:pStyle w:val="21"/>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乙方将所供商品运至交货地点拆箱并安装调试完毕后，由各使用单位及时负责验收。</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合同商品从验收合格次日起7天内，出现非使用方人为因素造成的无法排除的故障，由乙方予以整机调换。</w:t>
      </w:r>
    </w:p>
    <w:p>
      <w:pPr>
        <w:spacing w:line="360" w:lineRule="auto"/>
        <w:ind w:firstLine="472" w:firstLineChars="196"/>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第六条</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履约保证金及</w:t>
      </w:r>
      <w:r>
        <w:rPr>
          <w:rFonts w:hint="eastAsia" w:ascii="宋体" w:hAnsi="宋体" w:eastAsia="宋体" w:cs="宋体"/>
          <w:color w:val="auto"/>
          <w:sz w:val="24"/>
          <w:szCs w:val="24"/>
          <w:highlight w:val="none"/>
        </w:rPr>
        <w:t>货款的支付</w:t>
      </w:r>
    </w:p>
    <w:p>
      <w:pPr>
        <w:spacing w:line="360" w:lineRule="auto"/>
        <w:ind w:firstLine="482" w:firstLineChars="200"/>
        <w:rPr>
          <w:rFonts w:hint="eastAsia" w:ascii="宋体" w:hAnsi="宋体" w:eastAsia="宋体" w:cs="宋体"/>
          <w:b/>
          <w:color w:val="auto"/>
          <w:sz w:val="24"/>
          <w:szCs w:val="24"/>
          <w:highlight w:val="none"/>
        </w:rPr>
      </w:pP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第七条</w:t>
      </w:r>
      <w:r>
        <w:rPr>
          <w:rFonts w:hint="eastAsia" w:ascii="宋体" w:hAnsi="宋体" w:eastAsia="宋体" w:cs="宋体"/>
          <w:color w:val="auto"/>
          <w:sz w:val="24"/>
          <w:szCs w:val="24"/>
          <w:highlight w:val="none"/>
        </w:rPr>
        <w:t xml:space="preserve">  其它约定</w:t>
      </w:r>
    </w:p>
    <w:p>
      <w:pPr>
        <w:spacing w:line="360" w:lineRule="auto"/>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第八条</w:t>
      </w:r>
      <w:r>
        <w:rPr>
          <w:rFonts w:hint="eastAsia" w:ascii="宋体" w:hAnsi="宋体" w:eastAsia="宋体" w:cs="宋体"/>
          <w:color w:val="auto"/>
          <w:sz w:val="24"/>
          <w:szCs w:val="24"/>
          <w:highlight w:val="none"/>
        </w:rPr>
        <w:t xml:space="preserve">  违约责任</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乙方逾期履行合同的，甲方有权没收履约保证金，并自逾期之日起，向甲方每日偿付合同总价千分之二的滞纳金；乙方逾期20日不能交货的，视为乙方不能交货，甲方有权解除合同，乙方应承担违约责任，应向甲方支付合同总价百分之五的违约金。</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若乙方存在撤销响应文件和无正当理由放弃成交、不与甲方签订书面合同等情形或被行政部门查实存在违法违规行为，导致甲方重新采购的，除乙方按预算金额的2%向甲方偿付违约金（赔偿金额不足以弥补采购人损失的，乙方应继续承担超过部分的损失）外，甲方将拒绝该乙方再次响应本项目。</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3.乙方在采购过程中或合同履行过程中存在其他违法行为的，且违法行为严重的，乙方在承担相应的民事责任以外，甲方将有权向相关行政管理部门建议给予乙方限制本项目内容所涉及的市场响应采购的处罚。</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4.甲方逾期支付货款的（因财政原因除外），应向乙方每日偿付合同总价千分之二的滞纳金。甲方无正当理由拒收货物、拒付货款的，应向乙方偿付合同总价百分之五的违约金。</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5.甲方无故拖延支付货款超过合同规定支付时间的，乙方可按照有关规定向甲方直接发起支付申请，并要求当地有关部门对其违规情况予以处理。</w:t>
      </w:r>
    </w:p>
    <w:p>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6.乙方在合同履约期间未完全履行投标文件的承诺内容的，采购人将视其情节严重程度给予相应处罚，甲方保留终止合同的权利。</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第九条</w:t>
      </w:r>
      <w:r>
        <w:rPr>
          <w:rFonts w:hint="eastAsia" w:ascii="宋体" w:hAnsi="宋体" w:eastAsia="宋体" w:cs="宋体"/>
          <w:color w:val="auto"/>
          <w:sz w:val="24"/>
          <w:szCs w:val="24"/>
          <w:highlight w:val="none"/>
        </w:rPr>
        <w:t xml:space="preserve">  争议的解决</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本合同为政府采购之合同，在发生所供商品的质量、售后服务等问题时，甲方有权直接向乙方索赔，签订必要的书面处理协议。如协商不成，在甲方所在地选择诉讼的途径解决。</w:t>
      </w:r>
    </w:p>
    <w:p>
      <w:pPr>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第十条</w:t>
      </w:r>
      <w:r>
        <w:rPr>
          <w:rFonts w:hint="eastAsia" w:ascii="宋体" w:hAnsi="宋体" w:eastAsia="宋体" w:cs="宋体"/>
          <w:color w:val="auto"/>
          <w:sz w:val="24"/>
          <w:szCs w:val="24"/>
          <w:highlight w:val="none"/>
        </w:rPr>
        <w:t xml:space="preserve">  合同的生效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1、本合同经甲乙双方法定代表人或其委托人签字并加盖公章后生效。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2、本合同一式</w:t>
      </w:r>
      <w:r>
        <w:rPr>
          <w:rFonts w:hint="eastAsia" w:ascii="宋体" w:hAnsi="宋体" w:eastAsia="宋体" w:cs="宋体"/>
          <w:i/>
          <w:color w:val="auto"/>
          <w:sz w:val="24"/>
          <w:szCs w:val="24"/>
          <w:highlight w:val="none"/>
          <w:u w:val="single"/>
        </w:rPr>
        <w:t xml:space="preserve">五 </w:t>
      </w:r>
      <w:r>
        <w:rPr>
          <w:rFonts w:hint="eastAsia" w:ascii="宋体" w:hAnsi="宋体" w:eastAsia="宋体" w:cs="宋体"/>
          <w:color w:val="auto"/>
          <w:sz w:val="24"/>
          <w:szCs w:val="24"/>
          <w:highlight w:val="none"/>
        </w:rPr>
        <w:t>份，甲乙双方执</w:t>
      </w:r>
      <w:r>
        <w:rPr>
          <w:rFonts w:hint="eastAsia" w:ascii="宋体" w:hAnsi="宋体" w:eastAsia="宋体" w:cs="宋体"/>
          <w:i/>
          <w:color w:val="auto"/>
          <w:sz w:val="24"/>
          <w:szCs w:val="24"/>
          <w:highlight w:val="none"/>
          <w:u w:val="single"/>
        </w:rPr>
        <w:t xml:space="preserve">二 </w:t>
      </w:r>
      <w:r>
        <w:rPr>
          <w:rFonts w:hint="eastAsia" w:ascii="宋体" w:hAnsi="宋体" w:eastAsia="宋体" w:cs="宋体"/>
          <w:color w:val="auto"/>
          <w:sz w:val="24"/>
          <w:szCs w:val="24"/>
          <w:highlight w:val="none"/>
        </w:rPr>
        <w:t>份，代理机构执一份。</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3、相关招标文件、投标文件与本合同具有同等法律效力。</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甲  方（盖章）：                乙  方（盖章）：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法定代表人或受委托人（签字）：  法定代表人或受委托人（签字）：</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                       地 址：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  话：                       电  话：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  真：                       传  真：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pacing w:val="-20"/>
          <w:sz w:val="24"/>
          <w:szCs w:val="24"/>
          <w:highlight w:val="none"/>
        </w:rPr>
        <w:t>开户银行</w:t>
      </w:r>
      <w:r>
        <w:rPr>
          <w:rFonts w:hint="eastAsia" w:ascii="宋体" w:hAnsi="宋体" w:eastAsia="宋体" w:cs="宋体"/>
          <w:color w:val="auto"/>
          <w:sz w:val="24"/>
          <w:szCs w:val="24"/>
          <w:highlight w:val="none"/>
        </w:rPr>
        <w:t xml:space="preserve">：                      </w:t>
      </w:r>
      <w:r>
        <w:rPr>
          <w:rFonts w:hint="eastAsia" w:ascii="宋体" w:hAnsi="宋体" w:eastAsia="宋体" w:cs="宋体"/>
          <w:color w:val="auto"/>
          <w:spacing w:val="-20"/>
          <w:sz w:val="24"/>
          <w:szCs w:val="24"/>
          <w:highlight w:val="none"/>
        </w:rPr>
        <w:t>开户银行</w:t>
      </w:r>
      <w:r>
        <w:rPr>
          <w:rFonts w:hint="eastAsia" w:ascii="宋体" w:hAnsi="宋体" w:eastAsia="宋体" w:cs="宋体"/>
          <w:color w:val="auto"/>
          <w:sz w:val="24"/>
          <w:szCs w:val="24"/>
          <w:highlight w:val="none"/>
        </w:rPr>
        <w:t>：</w:t>
      </w:r>
    </w:p>
    <w:p>
      <w:pPr>
        <w:spacing w:line="360" w:lineRule="auto"/>
        <w:rPr>
          <w:rFonts w:hint="eastAsia" w:ascii="宋体" w:hAnsi="宋体" w:eastAsia="宋体" w:cs="宋体"/>
          <w:color w:val="auto"/>
          <w:spacing w:val="-16"/>
          <w:sz w:val="24"/>
          <w:szCs w:val="24"/>
          <w:highlight w:val="none"/>
        </w:rPr>
      </w:pPr>
      <w:r>
        <w:rPr>
          <w:rFonts w:hint="eastAsia" w:ascii="宋体" w:hAnsi="宋体" w:eastAsia="宋体" w:cs="宋体"/>
          <w:color w:val="auto"/>
          <w:spacing w:val="-16"/>
          <w:sz w:val="24"/>
          <w:szCs w:val="24"/>
          <w:highlight w:val="none"/>
        </w:rPr>
        <w:t>帐  号：                               帐  号：</w:t>
      </w:r>
    </w:p>
    <w:p>
      <w:pPr>
        <w:spacing w:line="360" w:lineRule="auto"/>
        <w:rPr>
          <w:rFonts w:hint="eastAsia" w:ascii="宋体" w:hAnsi="宋体" w:eastAsia="宋体" w:cs="宋体"/>
          <w:color w:val="auto"/>
          <w:spacing w:val="-16"/>
          <w:sz w:val="24"/>
          <w:szCs w:val="24"/>
          <w:highlight w:val="none"/>
        </w:rPr>
      </w:pPr>
    </w:p>
    <w:p>
      <w:pPr>
        <w:spacing w:line="360" w:lineRule="auto"/>
        <w:jc w:val="right"/>
        <w:rPr>
          <w:rFonts w:hint="eastAsia" w:ascii="宋体" w:hAnsi="宋体" w:eastAsia="宋体" w:cs="宋体"/>
          <w:color w:val="auto"/>
          <w:spacing w:val="-16"/>
          <w:sz w:val="24"/>
          <w:szCs w:val="24"/>
          <w:highlight w:val="none"/>
        </w:rPr>
      </w:pPr>
      <w:r>
        <w:rPr>
          <w:rFonts w:hint="eastAsia" w:ascii="宋体" w:hAnsi="宋体" w:eastAsia="宋体" w:cs="宋体"/>
          <w:color w:val="auto"/>
          <w:spacing w:val="-16"/>
          <w:sz w:val="24"/>
          <w:szCs w:val="24"/>
          <w:highlight w:val="none"/>
        </w:rPr>
        <w:t>签约时间：</w:t>
      </w:r>
      <w:r>
        <w:rPr>
          <w:rFonts w:hint="eastAsia" w:ascii="宋体" w:hAnsi="宋体" w:eastAsia="宋体" w:cs="宋体"/>
          <w:color w:val="auto"/>
          <w:spacing w:val="-16"/>
          <w:sz w:val="24"/>
          <w:szCs w:val="24"/>
          <w:highlight w:val="none"/>
          <w:u w:val="single"/>
        </w:rPr>
        <w:t xml:space="preserve">      </w:t>
      </w:r>
      <w:r>
        <w:rPr>
          <w:rFonts w:hint="eastAsia" w:ascii="宋体" w:hAnsi="宋体" w:eastAsia="宋体" w:cs="宋体"/>
          <w:color w:val="auto"/>
          <w:spacing w:val="-16"/>
          <w:sz w:val="24"/>
          <w:szCs w:val="24"/>
          <w:highlight w:val="none"/>
        </w:rPr>
        <w:t>年</w:t>
      </w:r>
      <w:r>
        <w:rPr>
          <w:rFonts w:hint="eastAsia" w:ascii="宋体" w:hAnsi="宋体" w:eastAsia="宋体" w:cs="宋体"/>
          <w:color w:val="auto"/>
          <w:spacing w:val="-16"/>
          <w:sz w:val="24"/>
          <w:szCs w:val="24"/>
          <w:highlight w:val="none"/>
          <w:u w:val="single"/>
        </w:rPr>
        <w:t xml:space="preserve">    </w:t>
      </w:r>
      <w:r>
        <w:rPr>
          <w:rFonts w:hint="eastAsia" w:ascii="宋体" w:hAnsi="宋体" w:eastAsia="宋体" w:cs="宋体"/>
          <w:color w:val="auto"/>
          <w:spacing w:val="-16"/>
          <w:sz w:val="24"/>
          <w:szCs w:val="24"/>
          <w:highlight w:val="none"/>
        </w:rPr>
        <w:t>月</w:t>
      </w:r>
      <w:r>
        <w:rPr>
          <w:rFonts w:hint="eastAsia" w:ascii="宋体" w:hAnsi="宋体" w:eastAsia="宋体" w:cs="宋体"/>
          <w:color w:val="auto"/>
          <w:spacing w:val="-16"/>
          <w:sz w:val="24"/>
          <w:szCs w:val="24"/>
          <w:highlight w:val="none"/>
          <w:u w:val="single"/>
        </w:rPr>
        <w:t xml:space="preserve">    </w:t>
      </w:r>
      <w:r>
        <w:rPr>
          <w:rFonts w:hint="eastAsia" w:ascii="宋体" w:hAnsi="宋体" w:eastAsia="宋体" w:cs="宋体"/>
          <w:color w:val="auto"/>
          <w:spacing w:val="-16"/>
          <w:sz w:val="24"/>
          <w:szCs w:val="24"/>
          <w:highlight w:val="none"/>
        </w:rPr>
        <w:t>日</w:t>
      </w:r>
    </w:p>
    <w:p>
      <w:pPr>
        <w:spacing w:line="400" w:lineRule="atLeast"/>
        <w:ind w:left="688" w:leftChars="200" w:hanging="208" w:hangingChars="100"/>
        <w:jc w:val="left"/>
        <w:rPr>
          <w:rFonts w:hint="eastAsia" w:ascii="宋体" w:hAnsi="宋体" w:eastAsia="宋体" w:cs="宋体"/>
          <w:b/>
          <w:color w:val="auto"/>
          <w:highlight w:val="none"/>
        </w:rPr>
      </w:pPr>
      <w:r>
        <w:rPr>
          <w:rFonts w:hint="eastAsia" w:ascii="宋体" w:hAnsi="宋体" w:eastAsia="宋体" w:cs="宋体"/>
          <w:color w:val="auto"/>
          <w:spacing w:val="-16"/>
          <w:sz w:val="24"/>
          <w:szCs w:val="24"/>
          <w:highlight w:val="none"/>
          <w:lang w:val="en-US" w:eastAsia="zh-CN"/>
        </w:rPr>
        <w:t xml:space="preserve">                                                                        </w:t>
      </w:r>
      <w:r>
        <w:rPr>
          <w:rFonts w:hint="eastAsia" w:ascii="宋体" w:hAnsi="宋体" w:eastAsia="宋体" w:cs="宋体"/>
          <w:color w:val="auto"/>
          <w:spacing w:val="-16"/>
          <w:sz w:val="24"/>
          <w:szCs w:val="24"/>
          <w:highlight w:val="none"/>
        </w:rPr>
        <w:t>签约地点：</w:t>
      </w:r>
    </w:p>
    <w:p>
      <w:pPr>
        <w:pStyle w:val="48"/>
        <w:rPr>
          <w:rFonts w:hint="eastAsia" w:ascii="宋体" w:hAnsi="宋体" w:eastAsia="宋体" w:cs="宋体"/>
          <w:color w:val="auto"/>
          <w:highlight w:val="none"/>
        </w:rPr>
        <w:sectPr>
          <w:footerReference r:id="rId15" w:type="default"/>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2"/>
        <w:bidi w:val="0"/>
        <w:rPr>
          <w:rFonts w:hint="eastAsia" w:ascii="宋体" w:hAnsi="宋体" w:eastAsia="宋体" w:cs="宋体"/>
          <w:color w:val="auto"/>
          <w:highlight w:val="none"/>
        </w:rPr>
      </w:pPr>
      <w:bookmarkStart w:id="144" w:name="_Toc24575"/>
      <w:bookmarkStart w:id="145" w:name="_Toc11745"/>
      <w:r>
        <w:rPr>
          <w:rFonts w:hint="eastAsia" w:ascii="宋体" w:hAnsi="宋体" w:eastAsia="宋体" w:cs="宋体"/>
          <w:color w:val="auto"/>
          <w:highlight w:val="none"/>
        </w:rPr>
        <w:t>第六章 投标文件格式</w:t>
      </w:r>
      <w:bookmarkEnd w:id="143"/>
      <w:bookmarkEnd w:id="144"/>
      <w:bookmarkEnd w:id="145"/>
    </w:p>
    <w:p>
      <w:pPr>
        <w:pStyle w:val="21"/>
        <w:spacing w:line="360" w:lineRule="auto"/>
        <w:ind w:firstLine="420"/>
        <w:jc w:val="center"/>
        <w:rPr>
          <w:rFonts w:hint="eastAsia" w:ascii="宋体" w:hAnsi="宋体" w:eastAsia="宋体" w:cs="宋体"/>
          <w:color w:val="auto"/>
          <w:szCs w:val="22"/>
          <w:highlight w:val="none"/>
        </w:rPr>
      </w:pPr>
      <w:r>
        <w:rPr>
          <w:rFonts w:hint="eastAsia" w:ascii="宋体" w:hAnsi="宋体" w:eastAsia="宋体" w:cs="宋体"/>
          <w:color w:val="auto"/>
          <w:szCs w:val="22"/>
          <w:highlight w:val="none"/>
        </w:rPr>
        <w:t>（要求提供但未提供格式的文件由投标人自行编制）</w:t>
      </w:r>
    </w:p>
    <w:p>
      <w:pPr>
        <w:pStyle w:val="3"/>
        <w:bidi w:val="0"/>
        <w:rPr>
          <w:rFonts w:hint="eastAsia" w:ascii="宋体" w:hAnsi="宋体" w:eastAsia="宋体" w:cs="宋体"/>
          <w:color w:val="auto"/>
          <w:highlight w:val="none"/>
        </w:rPr>
      </w:pPr>
      <w:bookmarkStart w:id="146" w:name="_Toc21050"/>
      <w:bookmarkStart w:id="147" w:name="_Toc5063"/>
      <w:r>
        <w:rPr>
          <w:rFonts w:hint="eastAsia" w:ascii="宋体" w:hAnsi="宋体" w:eastAsia="宋体" w:cs="宋体"/>
          <w:color w:val="auto"/>
          <w:highlight w:val="none"/>
        </w:rPr>
        <w:t>外层包装</w:t>
      </w:r>
      <w:bookmarkEnd w:id="146"/>
      <w:bookmarkEnd w:id="147"/>
    </w:p>
    <w:p>
      <w:pPr>
        <w:ind w:firstLine="456"/>
        <w:rPr>
          <w:rFonts w:hint="eastAsia" w:ascii="宋体" w:hAnsi="宋体" w:eastAsia="宋体" w:cs="宋体"/>
          <w:color w:val="auto"/>
          <w:spacing w:val="-6"/>
          <w:highlight w:val="none"/>
        </w:rPr>
      </w:pPr>
    </w:p>
    <w:p>
      <w:pPr>
        <w:spacing w:line="600" w:lineRule="auto"/>
        <w:ind w:firstLine="0" w:firstLineChars="0"/>
        <w:jc w:val="center"/>
        <w:rPr>
          <w:rFonts w:hint="eastAsia" w:ascii="宋体" w:hAnsi="宋体" w:eastAsia="宋体" w:cs="宋体"/>
          <w:b/>
          <w:bCs/>
          <w:color w:val="auto"/>
          <w:sz w:val="48"/>
          <w:szCs w:val="48"/>
          <w:highlight w:val="none"/>
        </w:rPr>
      </w:pPr>
      <w:r>
        <w:rPr>
          <w:rFonts w:hint="eastAsia" w:cs="宋体"/>
          <w:b/>
          <w:bCs/>
          <w:color w:val="auto"/>
          <w:sz w:val="48"/>
          <w:szCs w:val="48"/>
          <w:highlight w:val="none"/>
          <w:lang w:eastAsia="zh-CN"/>
        </w:rPr>
        <w:t>浙江海洋大学</w:t>
      </w:r>
    </w:p>
    <w:p>
      <w:pPr>
        <w:spacing w:line="600" w:lineRule="auto"/>
        <w:ind w:firstLine="0" w:firstLineChars="0"/>
        <w:jc w:val="center"/>
        <w:rPr>
          <w:rFonts w:hint="eastAsia" w:ascii="宋体" w:hAnsi="宋体" w:eastAsia="宋体" w:cs="宋体"/>
          <w:b/>
          <w:bCs/>
          <w:color w:val="auto"/>
          <w:sz w:val="48"/>
          <w:szCs w:val="48"/>
          <w:highlight w:val="none"/>
          <w:lang w:eastAsia="zh-CN"/>
        </w:rPr>
      </w:pPr>
      <w:r>
        <w:rPr>
          <w:rFonts w:hint="eastAsia" w:cs="宋体"/>
          <w:b/>
          <w:bCs/>
          <w:color w:val="auto"/>
          <w:sz w:val="48"/>
          <w:szCs w:val="48"/>
          <w:highlight w:val="none"/>
          <w:lang w:eastAsia="zh-CN"/>
        </w:rPr>
        <w:t>实验教学设备采购项目</w:t>
      </w:r>
    </w:p>
    <w:p>
      <w:pPr>
        <w:ind w:firstLine="456"/>
        <w:rPr>
          <w:rFonts w:hint="eastAsia" w:ascii="宋体" w:hAnsi="宋体" w:eastAsia="宋体" w:cs="宋体"/>
          <w:color w:val="auto"/>
          <w:spacing w:val="-6"/>
          <w:highlight w:val="none"/>
        </w:rPr>
      </w:pPr>
    </w:p>
    <w:p>
      <w:pPr>
        <w:ind w:firstLine="458"/>
        <w:jc w:val="center"/>
        <w:rPr>
          <w:rFonts w:hint="eastAsia" w:ascii="宋体" w:hAnsi="宋体" w:eastAsia="宋体" w:cs="宋体"/>
          <w:b/>
          <w:bCs/>
          <w:color w:val="auto"/>
          <w:spacing w:val="-6"/>
          <w:highlight w:val="none"/>
        </w:rPr>
      </w:pPr>
      <w:r>
        <w:rPr>
          <w:rFonts w:hint="eastAsia" w:ascii="宋体" w:hAnsi="宋体" w:eastAsia="宋体" w:cs="宋体"/>
          <w:b/>
          <w:bCs/>
          <w:color w:val="auto"/>
          <w:spacing w:val="-6"/>
          <w:highlight w:val="none"/>
        </w:rPr>
        <w:t>投 标 文 件</w:t>
      </w:r>
    </w:p>
    <w:p>
      <w:pPr>
        <w:ind w:firstLine="0" w:firstLineChars="0"/>
        <w:rPr>
          <w:rFonts w:hint="eastAsia" w:ascii="宋体" w:hAnsi="宋体" w:eastAsia="宋体" w:cs="宋体"/>
          <w:bCs/>
          <w:color w:val="auto"/>
          <w:spacing w:val="-6"/>
          <w:highlight w:val="none"/>
        </w:rPr>
      </w:pPr>
    </w:p>
    <w:p>
      <w:pPr>
        <w:pStyle w:val="11"/>
        <w:rPr>
          <w:rFonts w:hint="eastAsia" w:ascii="宋体" w:hAnsi="宋体" w:eastAsia="宋体" w:cs="宋体"/>
          <w:bCs/>
          <w:color w:val="auto"/>
          <w:spacing w:val="-6"/>
          <w:highlight w:val="none"/>
        </w:rPr>
      </w:pPr>
    </w:p>
    <w:p>
      <w:pPr>
        <w:pStyle w:val="11"/>
        <w:rPr>
          <w:rFonts w:hint="eastAsia" w:ascii="宋体" w:hAnsi="宋体" w:eastAsia="宋体" w:cs="宋体"/>
          <w:bCs/>
          <w:color w:val="auto"/>
          <w:spacing w:val="-6"/>
          <w:highlight w:val="none"/>
        </w:rPr>
      </w:pP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采 购 人：</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项目名称：</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项目编号：</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投标人名称（盖章）：</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投标人地址：</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在    年  月  日  时  分之前不得启封</w:t>
      </w:r>
    </w:p>
    <w:p>
      <w:pPr>
        <w:ind w:firstLine="576"/>
        <w:rPr>
          <w:rFonts w:hint="eastAsia" w:ascii="宋体" w:hAnsi="宋体" w:eastAsia="宋体" w:cs="宋体"/>
          <w:bCs/>
          <w:color w:val="auto"/>
          <w:spacing w:val="-6"/>
          <w:sz w:val="30"/>
          <w:szCs w:val="30"/>
          <w:highlight w:val="none"/>
        </w:rPr>
      </w:pP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授权代表姓名：       手机号：</w:t>
      </w:r>
    </w:p>
    <w:p>
      <w:pPr>
        <w:pStyle w:val="11"/>
        <w:rPr>
          <w:rFonts w:hint="eastAsia" w:ascii="宋体" w:hAnsi="宋体" w:eastAsia="宋体" w:cs="宋体"/>
          <w:color w:val="auto"/>
          <w:highlight w:val="none"/>
        </w:rPr>
      </w:pPr>
    </w:p>
    <w:p>
      <w:pPr>
        <w:ind w:firstLine="576"/>
        <w:rPr>
          <w:rFonts w:hint="eastAsia" w:ascii="宋体" w:hAnsi="宋体" w:eastAsia="宋体" w:cs="宋体"/>
          <w:bCs/>
          <w:color w:val="auto"/>
          <w:spacing w:val="-6"/>
          <w:sz w:val="30"/>
          <w:szCs w:val="30"/>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r>
        <w:rPr>
          <w:rFonts w:hint="eastAsia" w:ascii="宋体" w:hAnsi="宋体" w:eastAsia="宋体" w:cs="宋体"/>
          <w:bCs/>
          <w:color w:val="auto"/>
          <w:spacing w:val="-6"/>
          <w:sz w:val="30"/>
          <w:szCs w:val="30"/>
          <w:highlight w:val="none"/>
        </w:rPr>
        <w:t>日期：    年  月  日</w:t>
      </w:r>
    </w:p>
    <w:p>
      <w:pPr>
        <w:ind w:firstLine="576"/>
        <w:rPr>
          <w:rFonts w:hint="eastAsia" w:ascii="宋体" w:hAnsi="宋体" w:eastAsia="宋体" w:cs="宋体"/>
          <w:color w:val="auto"/>
          <w:szCs w:val="22"/>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2336" behindDoc="1" locked="0" layoutInCell="1" allowOverlap="1">
                <wp:simplePos x="0" y="0"/>
                <wp:positionH relativeFrom="column">
                  <wp:posOffset>4622800</wp:posOffset>
                </wp:positionH>
                <wp:positionV relativeFrom="paragraph">
                  <wp:posOffset>243205</wp:posOffset>
                </wp:positionV>
                <wp:extent cx="1403350" cy="507365"/>
                <wp:effectExtent l="5080" t="4445" r="20320" b="21590"/>
                <wp:wrapNone/>
                <wp:docPr id="1" name="文本框 2"/>
                <wp:cNvGraphicFramePr/>
                <a:graphic xmlns:a="http://schemas.openxmlformats.org/drawingml/2006/main">
                  <a:graphicData uri="http://schemas.microsoft.com/office/word/2010/wordprocessingShape">
                    <wps:wsp>
                      <wps:cNvSpPr txBox="1"/>
                      <wps:spPr>
                        <a:xfrm>
                          <a:off x="0" y="0"/>
                          <a:ext cx="1403350" cy="5073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2" o:spid="_x0000_s1026" o:spt="202" type="#_x0000_t202" style="position:absolute;left:0pt;margin-left:364pt;margin-top:19.15pt;height:39.95pt;width:110.5pt;z-index:-251654144;mso-width-relative:page;mso-height-relative:page;" fillcolor="#FFFFFF" filled="t" stroked="t" coordsize="21600,21600" o:gfxdata="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Kba99kAAAAKAQAADwAAAAAAAAABACAAAAAiAAAAZHJzL2Rvd25yZXYueG1sUEsBAhQAFAAA&#10;AAgAh07iQOdLzMbuAQAA6AMAAA4AAAAAAAAAAQAgAAAAKAEAAGRycy9lMm9Eb2MueG1sUEsFBgAA&#10;AAAGAAYAWQEAAIgFA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ascii="宋体" w:hAnsi="宋体" w:eastAsia="宋体" w:cs="宋体"/>
          <w:bCs/>
          <w:color w:val="auto"/>
          <w:spacing w:val="-6"/>
          <w:highlight w:val="none"/>
        </w:rPr>
        <w:t xml:space="preserve"> </w:t>
      </w:r>
    </w:p>
    <w:p>
      <w:pPr>
        <w:pStyle w:val="3"/>
        <w:bidi w:val="0"/>
        <w:rPr>
          <w:rFonts w:hint="eastAsia" w:ascii="宋体" w:hAnsi="宋体" w:eastAsia="宋体" w:cs="宋体"/>
          <w:color w:val="auto"/>
          <w:highlight w:val="none"/>
        </w:rPr>
      </w:pPr>
      <w:bookmarkStart w:id="148" w:name="_Toc29893"/>
      <w:bookmarkStart w:id="149" w:name="_Toc1784"/>
      <w:r>
        <w:rPr>
          <w:rFonts w:hint="eastAsia" w:ascii="宋体" w:hAnsi="宋体" w:eastAsia="宋体" w:cs="宋体"/>
          <w:color w:val="auto"/>
          <w:highlight w:val="none"/>
        </w:rPr>
        <w:t>资格证明文件封面</w:t>
      </w:r>
      <w:bookmarkEnd w:id="148"/>
      <w:bookmarkEnd w:id="149"/>
    </w:p>
    <w:p>
      <w:pPr>
        <w:ind w:firstLine="880"/>
        <w:rPr>
          <w:rFonts w:hint="eastAsia" w:ascii="宋体" w:hAnsi="宋体" w:eastAsia="宋体" w:cs="宋体"/>
          <w:color w:val="auto"/>
          <w:sz w:val="44"/>
          <w:szCs w:val="32"/>
          <w:highlight w:val="none"/>
        </w:rPr>
      </w:pPr>
    </w:p>
    <w:p>
      <w:pPr>
        <w:spacing w:line="600" w:lineRule="auto"/>
        <w:ind w:firstLine="0" w:firstLineChars="0"/>
        <w:jc w:val="center"/>
        <w:rPr>
          <w:rFonts w:hint="eastAsia" w:ascii="宋体" w:hAnsi="宋体" w:eastAsia="宋体" w:cs="宋体"/>
          <w:b/>
          <w:bCs/>
          <w:color w:val="auto"/>
          <w:sz w:val="48"/>
          <w:szCs w:val="48"/>
          <w:highlight w:val="none"/>
        </w:rPr>
      </w:pPr>
      <w:r>
        <w:rPr>
          <w:rFonts w:hint="eastAsia" w:cs="宋体"/>
          <w:b/>
          <w:bCs/>
          <w:color w:val="auto"/>
          <w:sz w:val="48"/>
          <w:szCs w:val="48"/>
          <w:highlight w:val="none"/>
          <w:lang w:eastAsia="zh-CN"/>
        </w:rPr>
        <w:t>浙江海洋大学</w:t>
      </w:r>
    </w:p>
    <w:p>
      <w:pPr>
        <w:spacing w:line="600" w:lineRule="auto"/>
        <w:ind w:firstLine="0" w:firstLineChars="0"/>
        <w:jc w:val="center"/>
        <w:rPr>
          <w:rFonts w:hint="eastAsia" w:ascii="宋体" w:hAnsi="宋体" w:eastAsia="宋体" w:cs="宋体"/>
          <w:b/>
          <w:bCs/>
          <w:color w:val="auto"/>
          <w:sz w:val="48"/>
          <w:szCs w:val="48"/>
          <w:highlight w:val="none"/>
          <w:lang w:eastAsia="zh-CN"/>
        </w:rPr>
      </w:pPr>
      <w:r>
        <w:rPr>
          <w:rFonts w:hint="eastAsia" w:cs="宋体"/>
          <w:b/>
          <w:bCs/>
          <w:color w:val="auto"/>
          <w:sz w:val="48"/>
          <w:szCs w:val="48"/>
          <w:highlight w:val="none"/>
          <w:lang w:eastAsia="zh-CN"/>
        </w:rPr>
        <w:t>实验教学设备采购项目</w:t>
      </w:r>
    </w:p>
    <w:p>
      <w:pPr>
        <w:ind w:left="0" w:leftChars="0" w:right="0" w:rightChars="0" w:firstLine="0" w:firstLineChars="0"/>
        <w:jc w:val="center"/>
        <w:rPr>
          <w:rFonts w:hint="eastAsia" w:ascii="宋体" w:hAnsi="宋体" w:eastAsia="宋体" w:cs="宋体"/>
          <w:b/>
          <w:bCs/>
          <w:color w:val="auto"/>
          <w:sz w:val="30"/>
          <w:szCs w:val="30"/>
          <w:highlight w:val="none"/>
        </w:rPr>
      </w:pPr>
    </w:p>
    <w:p>
      <w:pPr>
        <w:ind w:left="0" w:leftChars="0" w:right="0" w:rightChars="0" w:firstLine="0" w:firstLineChars="0"/>
        <w:jc w:val="center"/>
        <w:rPr>
          <w:rFonts w:hint="eastAsia" w:ascii="宋体" w:hAnsi="宋体" w:eastAsia="宋体" w:cs="宋体"/>
          <w:color w:val="auto"/>
          <w:sz w:val="30"/>
          <w:szCs w:val="30"/>
          <w:highlight w:val="none"/>
        </w:rPr>
      </w:pPr>
      <w:r>
        <w:rPr>
          <w:rFonts w:hint="eastAsia" w:ascii="宋体" w:hAnsi="宋体" w:eastAsia="宋体" w:cs="宋体"/>
          <w:b/>
          <w:bCs/>
          <w:color w:val="auto"/>
          <w:sz w:val="30"/>
          <w:szCs w:val="30"/>
          <w:highlight w:val="none"/>
        </w:rPr>
        <w:t>资格证明文件</w:t>
      </w: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采 购 人：</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项目名称：</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项目编号：</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投标人名称（盖章）：</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投标人地址：</w:t>
      </w: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授权代表签字或盖章：</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日期：    年  月  日</w:t>
      </w:r>
    </w:p>
    <w:p>
      <w:pPr>
        <w:ind w:firstLine="576"/>
        <w:rPr>
          <w:rFonts w:hint="eastAsia" w:ascii="宋体" w:hAnsi="宋体" w:eastAsia="宋体" w:cs="宋体"/>
          <w:bCs/>
          <w:color w:val="auto"/>
          <w:spacing w:val="-6"/>
          <w:sz w:val="30"/>
          <w:szCs w:val="30"/>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r>
        <w:rPr>
          <w:rFonts w:hint="eastAsia" w:ascii="宋体" w:hAnsi="宋体" w:eastAsia="宋体" w:cs="宋体"/>
          <w:bCs/>
          <w:color w:val="auto"/>
          <w:spacing w:val="-6"/>
          <w:sz w:val="30"/>
          <w:szCs w:val="30"/>
          <w:highlight w:val="none"/>
        </w:rPr>
        <w:t>授权代表姓名：       手机号：</w:t>
      </w:r>
    </w:p>
    <w:p>
      <w:pPr>
        <w:pStyle w:val="3"/>
        <w:bidi w:val="0"/>
        <w:ind w:left="0" w:leftChars="0" w:right="0" w:rightChars="0" w:firstLine="0" w:firstLineChars="0"/>
        <w:jc w:val="center"/>
        <w:rPr>
          <w:rFonts w:hint="eastAsia" w:ascii="宋体" w:hAnsi="宋体" w:eastAsia="宋体" w:cs="宋体"/>
          <w:color w:val="auto"/>
          <w:highlight w:val="none"/>
        </w:rPr>
      </w:pPr>
      <w:bookmarkStart w:id="150" w:name="_Toc5498"/>
      <w:r>
        <w:rPr>
          <w:rFonts w:hint="eastAsia" w:ascii="宋体" w:hAnsi="宋体" w:eastAsia="宋体" w:cs="宋体"/>
          <w:color w:val="auto"/>
          <w:highlight w:val="none"/>
        </w:rPr>
        <w:t>资格证明文件目录</w:t>
      </w:r>
      <w:bookmarkEnd w:id="150"/>
    </w:p>
    <w:p>
      <w:pPr>
        <w:bidi w:val="0"/>
        <w:rPr>
          <w:rFonts w:hint="eastAsia" w:ascii="宋体" w:hAnsi="宋体" w:eastAsia="宋体" w:cs="宋体"/>
          <w:color w:val="auto"/>
          <w:highlight w:val="none"/>
        </w:rPr>
      </w:pP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有效的经营执照复印件；事业单位的，则提供有效的《事业单位法人证书》副本复印件章；</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r>
        <w:rPr>
          <w:rFonts w:hint="eastAsia" w:cs="宋体"/>
          <w:color w:val="auto"/>
          <w:highlight w:val="none"/>
          <w:lang w:val="en-US" w:eastAsia="zh-CN"/>
        </w:rPr>
        <w:t>2020</w:t>
      </w:r>
      <w:r>
        <w:rPr>
          <w:rFonts w:hint="eastAsia" w:ascii="宋体" w:hAnsi="宋体" w:eastAsia="宋体" w:cs="宋体"/>
          <w:color w:val="auto"/>
          <w:highlight w:val="none"/>
          <w:lang w:val="en-US" w:eastAsia="zh-CN"/>
        </w:rPr>
        <w:t>年度财务报告</w:t>
      </w:r>
      <w:r>
        <w:rPr>
          <w:rFonts w:hint="eastAsia" w:ascii="宋体" w:hAnsi="宋体" w:eastAsia="宋体" w:cs="宋体"/>
          <w:color w:val="auto"/>
          <w:highlight w:val="none"/>
        </w:rPr>
        <w:t>…………………………………………………………………（页码）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近一年任意一个月依法缴纳税收证明</w:t>
      </w:r>
      <w:r>
        <w:rPr>
          <w:rFonts w:hint="eastAsia" w:ascii="宋体" w:hAnsi="宋体" w:eastAsia="宋体" w:cs="宋体"/>
          <w:color w:val="auto"/>
          <w:highlight w:val="none"/>
        </w:rPr>
        <w:t>……………………………………………（页码）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近一年任意一个月依法缴纳社会保障资金证明</w:t>
      </w:r>
      <w:r>
        <w:rPr>
          <w:rFonts w:hint="eastAsia" w:ascii="宋体" w:hAnsi="宋体" w:eastAsia="宋体" w:cs="宋体"/>
          <w:color w:val="auto"/>
          <w:highlight w:val="none"/>
        </w:rPr>
        <w:t>…………………………………（页码）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具有履行合同所必需的设备和专业技术能力的承诺函</w:t>
      </w:r>
      <w:r>
        <w:rPr>
          <w:rFonts w:hint="eastAsia" w:ascii="宋体" w:hAnsi="宋体" w:eastAsia="宋体" w:cs="宋体"/>
          <w:color w:val="auto"/>
          <w:highlight w:val="none"/>
        </w:rPr>
        <w:t>…………………………（页码）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参加政府采购活动</w:t>
      </w:r>
      <w:r>
        <w:rPr>
          <w:rFonts w:hint="eastAsia" w:ascii="宋体" w:hAnsi="宋体" w:eastAsia="宋体" w:cs="宋体"/>
          <w:color w:val="auto"/>
          <w:highlight w:val="none"/>
        </w:rPr>
        <w:t>前3年内在经营活动中没有重大违法记录的书面声明……（页码）</w:t>
      </w:r>
    </w:p>
    <w:p>
      <w:pPr>
        <w:keepNext w:val="0"/>
        <w:keepLines w:val="0"/>
        <w:pageBreakBefore w:val="0"/>
        <w:widowControl w:val="0"/>
        <w:numPr>
          <w:ilvl w:val="0"/>
          <w:numId w:val="37"/>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信用记录查询网站截图</w:t>
      </w:r>
      <w:r>
        <w:rPr>
          <w:rFonts w:hint="eastAsia" w:ascii="宋体" w:hAnsi="宋体" w:eastAsia="宋体" w:cs="宋体"/>
          <w:color w:val="auto"/>
          <w:highlight w:val="none"/>
        </w:rPr>
        <w:t>……………………………………………………………（页码）</w:t>
      </w: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rPr>
      </w:pPr>
    </w:p>
    <w:p>
      <w:pPr>
        <w:pStyle w:val="10"/>
        <w:outlineLvl w:val="2"/>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bookmarkStart w:id="151" w:name="_Toc25810"/>
    </w:p>
    <w:p>
      <w:pPr>
        <w:pStyle w:val="4"/>
        <w:numPr>
          <w:ilvl w:val="0"/>
          <w:numId w:val="38"/>
        </w:numPr>
        <w:bidi w:val="0"/>
        <w:ind w:left="0" w:leftChars="0" w:firstLine="482" w:firstLineChars="200"/>
        <w:rPr>
          <w:rFonts w:hint="eastAsia" w:ascii="宋体" w:hAnsi="宋体" w:eastAsia="宋体" w:cs="宋体"/>
          <w:color w:val="auto"/>
          <w:highlight w:val="none"/>
        </w:rPr>
      </w:pPr>
      <w:r>
        <w:rPr>
          <w:rFonts w:hint="eastAsia" w:ascii="宋体" w:hAnsi="宋体" w:eastAsia="宋体" w:cs="宋体"/>
          <w:color w:val="auto"/>
          <w:highlight w:val="none"/>
        </w:rPr>
        <w:t>提供有效的经营执照复印件；事业单位的，则提供有效的《事业单位法人证书》副本复印件章；自然人的，则提供有效的身份证复印件并签字；</w:t>
      </w:r>
      <w:bookmarkEnd w:id="151"/>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lang w:val="en-US" w:eastAsia="zh-CN"/>
        </w:rPr>
      </w:pPr>
    </w:p>
    <w:p>
      <w:pPr>
        <w:bidi w:val="0"/>
        <w:rPr>
          <w:rFonts w:hint="eastAsia" w:ascii="宋体" w:hAnsi="宋体" w:eastAsia="宋体" w:cs="宋体"/>
          <w:color w:val="auto"/>
          <w:highlight w:val="none"/>
          <w:lang w:val="en-US" w:eastAsia="zh-CN"/>
        </w:rPr>
      </w:pPr>
    </w:p>
    <w:p>
      <w:pPr>
        <w:pStyle w:val="4"/>
        <w:numPr>
          <w:ilvl w:val="0"/>
          <w:numId w:val="38"/>
        </w:numPr>
        <w:bidi w:val="0"/>
        <w:ind w:left="0" w:leftChars="0" w:firstLine="482" w:firstLineChars="200"/>
        <w:rPr>
          <w:rFonts w:hint="eastAsia" w:ascii="宋体" w:hAnsi="宋体" w:eastAsia="宋体" w:cs="宋体"/>
          <w:color w:val="auto"/>
          <w:highlight w:val="none"/>
          <w:lang w:val="en-US" w:eastAsia="zh-CN"/>
        </w:rPr>
      </w:pPr>
      <w:bookmarkStart w:id="152" w:name="_Toc29370"/>
      <w:r>
        <w:rPr>
          <w:rFonts w:hint="eastAsia" w:ascii="宋体" w:hAnsi="宋体" w:eastAsia="宋体" w:cs="宋体"/>
          <w:color w:val="auto"/>
          <w:highlight w:val="none"/>
          <w:lang w:val="en-US" w:eastAsia="zh-CN"/>
        </w:rPr>
        <w:t>提供</w:t>
      </w:r>
      <w:r>
        <w:rPr>
          <w:rFonts w:hint="eastAsia" w:cs="宋体"/>
          <w:color w:val="auto"/>
          <w:highlight w:val="none"/>
          <w:lang w:val="en-US" w:eastAsia="zh-CN"/>
        </w:rPr>
        <w:t>2020</w:t>
      </w:r>
      <w:r>
        <w:rPr>
          <w:rFonts w:hint="eastAsia" w:ascii="宋体" w:hAnsi="宋体" w:eastAsia="宋体" w:cs="宋体"/>
          <w:color w:val="auto"/>
          <w:highlight w:val="none"/>
          <w:lang w:val="en-US" w:eastAsia="zh-CN"/>
        </w:rPr>
        <w:t>年度财务报告</w:t>
      </w:r>
      <w:bookmarkEnd w:id="152"/>
    </w:p>
    <w:p>
      <w:pPr>
        <w:bidi w:val="0"/>
        <w:rPr>
          <w:rFonts w:hint="eastAsia" w:ascii="宋体" w:hAnsi="宋体" w:eastAsia="宋体" w:cs="宋体"/>
          <w:color w:val="auto"/>
          <w:highlight w:val="none"/>
          <w:lang w:val="en-US" w:eastAsia="zh-CN"/>
        </w:rPr>
      </w:pPr>
    </w:p>
    <w:p>
      <w:pPr>
        <w:bidi w:val="0"/>
        <w:rPr>
          <w:rFonts w:hint="eastAsia" w:ascii="宋体" w:hAnsi="宋体" w:eastAsia="宋体" w:cs="宋体"/>
          <w:color w:val="auto"/>
          <w:highlight w:val="none"/>
          <w:lang w:val="en-US" w:eastAsia="zh-CN"/>
        </w:rPr>
      </w:pPr>
    </w:p>
    <w:p>
      <w:pPr>
        <w:bidi w:val="0"/>
        <w:rPr>
          <w:rFonts w:hint="eastAsia" w:ascii="宋体" w:hAnsi="宋体" w:eastAsia="宋体" w:cs="宋体"/>
          <w:color w:val="auto"/>
          <w:highlight w:val="none"/>
          <w:lang w:val="en-US" w:eastAsia="zh-CN"/>
        </w:rPr>
      </w:pPr>
    </w:p>
    <w:p>
      <w:pPr>
        <w:pStyle w:val="4"/>
        <w:numPr>
          <w:ilvl w:val="0"/>
          <w:numId w:val="38"/>
        </w:numPr>
        <w:bidi w:val="0"/>
        <w:ind w:left="0" w:leftChars="0" w:firstLine="482" w:firstLineChars="200"/>
        <w:rPr>
          <w:rFonts w:hint="eastAsia" w:ascii="宋体" w:hAnsi="宋体" w:eastAsia="宋体" w:cs="宋体"/>
          <w:color w:val="auto"/>
          <w:highlight w:val="none"/>
          <w:lang w:val="en-US" w:eastAsia="zh-CN"/>
        </w:rPr>
      </w:pPr>
      <w:bookmarkStart w:id="153" w:name="_Toc16270"/>
      <w:r>
        <w:rPr>
          <w:rFonts w:hint="eastAsia" w:ascii="宋体" w:hAnsi="宋体" w:eastAsia="宋体" w:cs="宋体"/>
          <w:color w:val="auto"/>
          <w:highlight w:val="none"/>
          <w:lang w:val="en-US" w:eastAsia="zh-CN"/>
        </w:rPr>
        <w:t>提供近一年任意一个月依法缴纳税收证明（完税凭证或税务部门出具的证明）；</w:t>
      </w:r>
      <w:bookmarkEnd w:id="153"/>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rPr>
      </w:pPr>
      <w:r>
        <w:rPr>
          <w:rFonts w:hint="eastAsia" w:ascii="宋体" w:hAnsi="宋体" w:eastAsia="宋体" w:cs="宋体"/>
          <w:color w:val="auto"/>
          <w:highlight w:val="none"/>
        </w:rPr>
        <w:t>依法免税的投标人，应提供相应文件证明其依法免税；</w:t>
      </w:r>
    </w:p>
    <w:p>
      <w:pPr>
        <w:numPr>
          <w:ilvl w:val="0"/>
          <w:numId w:val="0"/>
        </w:numPr>
        <w:tabs>
          <w:tab w:val="clear" w:pos="360"/>
          <w:tab w:val="clear" w:pos="420"/>
        </w:tabs>
        <w:ind w:left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投标人因新注册成立等原因无法提供相关材料的，应在投标文件中提交如实的情况说明。</w:t>
      </w:r>
    </w:p>
    <w:p>
      <w:pPr>
        <w:bidi w:val="0"/>
        <w:rPr>
          <w:rFonts w:hint="eastAsia" w:ascii="宋体" w:hAnsi="宋体" w:eastAsia="宋体" w:cs="宋体"/>
          <w:color w:val="auto"/>
          <w:highlight w:val="none"/>
        </w:rPr>
      </w:pPr>
    </w:p>
    <w:p>
      <w:pPr>
        <w:bidi w:val="0"/>
        <w:rPr>
          <w:rFonts w:hint="eastAsia" w:ascii="宋体" w:hAnsi="宋体" w:eastAsia="宋体" w:cs="宋体"/>
          <w:color w:val="auto"/>
          <w:highlight w:val="none"/>
          <w:lang w:val="en-US" w:eastAsia="zh-CN"/>
        </w:rPr>
      </w:pPr>
    </w:p>
    <w:p>
      <w:pPr>
        <w:bidi w:val="0"/>
        <w:rPr>
          <w:rFonts w:hint="eastAsia" w:ascii="宋体" w:hAnsi="宋体" w:eastAsia="宋体" w:cs="宋体"/>
          <w:color w:val="auto"/>
          <w:highlight w:val="none"/>
          <w:lang w:val="en-US" w:eastAsia="zh-CN"/>
        </w:rPr>
      </w:pPr>
    </w:p>
    <w:p>
      <w:pPr>
        <w:pStyle w:val="4"/>
        <w:numPr>
          <w:ilvl w:val="0"/>
          <w:numId w:val="38"/>
        </w:numPr>
        <w:bidi w:val="0"/>
        <w:ind w:left="0" w:leftChars="0" w:firstLine="482" w:firstLineChars="200"/>
        <w:rPr>
          <w:rFonts w:hint="eastAsia" w:ascii="宋体" w:hAnsi="宋体" w:eastAsia="宋体" w:cs="宋体"/>
          <w:color w:val="auto"/>
          <w:highlight w:val="none"/>
        </w:rPr>
      </w:pPr>
      <w:bookmarkStart w:id="154" w:name="_Toc28317"/>
      <w:r>
        <w:rPr>
          <w:rFonts w:hint="eastAsia" w:ascii="宋体" w:hAnsi="宋体" w:eastAsia="宋体" w:cs="宋体"/>
          <w:color w:val="auto"/>
          <w:highlight w:val="none"/>
        </w:rPr>
        <w:t>提供</w:t>
      </w:r>
      <w:r>
        <w:rPr>
          <w:rFonts w:hint="eastAsia" w:ascii="宋体" w:hAnsi="宋体" w:eastAsia="宋体" w:cs="宋体"/>
          <w:color w:val="auto"/>
          <w:highlight w:val="none"/>
          <w:lang w:val="en-US" w:eastAsia="zh-CN"/>
        </w:rPr>
        <w:t>近一年任意一个月</w:t>
      </w:r>
      <w:r>
        <w:rPr>
          <w:rFonts w:hint="eastAsia" w:ascii="宋体" w:hAnsi="宋体" w:eastAsia="宋体" w:cs="宋体"/>
          <w:color w:val="auto"/>
          <w:highlight w:val="none"/>
        </w:rPr>
        <w:t>依法缴纳社会保障资金证明（缴纳凭证或人社部门出具的证明）；</w:t>
      </w:r>
      <w:bookmarkEnd w:id="154"/>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依法不需要缴纳社会保障资金的投标人，应提供相应文件证明其依法不需要缴纳社会保障资金</w:t>
      </w:r>
      <w:r>
        <w:rPr>
          <w:rFonts w:hint="eastAsia" w:ascii="宋体" w:hAnsi="宋体" w:eastAsia="宋体" w:cs="宋体"/>
          <w:color w:val="auto"/>
          <w:highlight w:val="none"/>
          <w:lang w:eastAsia="zh-CN"/>
        </w:rPr>
        <w:t>。</w:t>
      </w:r>
    </w:p>
    <w:p>
      <w:pPr>
        <w:numPr>
          <w:ilvl w:val="0"/>
          <w:numId w:val="0"/>
        </w:numPr>
        <w:tabs>
          <w:tab w:val="clear" w:pos="360"/>
          <w:tab w:val="clear" w:pos="420"/>
        </w:tabs>
        <w:ind w:left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投标人因新注册成立等原因无法提供相关材料的，应在投标文件中提交如实的情况说明。</w:t>
      </w:r>
    </w:p>
    <w:p>
      <w:pPr>
        <w:widowControl w:val="0"/>
        <w:numPr>
          <w:ilvl w:val="0"/>
          <w:numId w:val="0"/>
        </w:numPr>
        <w:tabs>
          <w:tab w:val="clear" w:pos="360"/>
          <w:tab w:val="clear" w:pos="420"/>
        </w:tabs>
        <w:spacing w:line="360" w:lineRule="auto"/>
        <w:jc w:val="both"/>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38"/>
        </w:numPr>
        <w:bidi w:val="0"/>
        <w:ind w:left="0" w:leftChars="0" w:firstLine="482" w:firstLineChars="200"/>
        <w:rPr>
          <w:rFonts w:hint="eastAsia" w:ascii="宋体" w:hAnsi="宋体" w:eastAsia="宋体" w:cs="宋体"/>
          <w:color w:val="auto"/>
          <w:highlight w:val="none"/>
        </w:rPr>
      </w:pPr>
      <w:bookmarkStart w:id="155" w:name="_Toc30017"/>
      <w:r>
        <w:rPr>
          <w:rFonts w:hint="eastAsia" w:ascii="宋体" w:hAnsi="宋体" w:eastAsia="宋体" w:cs="宋体"/>
          <w:color w:val="auto"/>
          <w:highlight w:val="none"/>
        </w:rPr>
        <w:t>具有履行合同所必需的设备和专业技术能力的承诺函</w:t>
      </w:r>
      <w:bookmarkEnd w:id="155"/>
    </w:p>
    <w:p>
      <w:pPr>
        <w:bidi w:val="0"/>
        <w:rPr>
          <w:rFonts w:hint="eastAsia" w:ascii="宋体" w:hAnsi="宋体" w:eastAsia="宋体" w:cs="宋体"/>
          <w:color w:val="auto"/>
          <w:highlight w:val="none"/>
        </w:rPr>
      </w:pPr>
    </w:p>
    <w:p>
      <w:pPr>
        <w:snapToGrid w:val="0"/>
        <w:ind w:firstLine="0" w:firstLineChars="0"/>
        <w:rPr>
          <w:rFonts w:hint="eastAsia" w:ascii="宋体" w:hAnsi="宋体" w:eastAsia="宋体" w:cs="宋体"/>
          <w:color w:val="auto"/>
          <w:highlight w:val="none"/>
        </w:rPr>
      </w:pPr>
      <w:r>
        <w:rPr>
          <w:rFonts w:hint="eastAsia" w:cs="宋体"/>
          <w:color w:val="auto"/>
          <w:highlight w:val="none"/>
          <w:lang w:val="en-US" w:eastAsia="zh-CN"/>
        </w:rPr>
        <w:t>浙江海洋大学</w:t>
      </w:r>
      <w:r>
        <w:rPr>
          <w:rFonts w:hint="eastAsia" w:ascii="宋体" w:hAnsi="宋体" w:eastAsia="宋体" w:cs="宋体"/>
          <w:color w:val="auto"/>
          <w:highlight w:val="none"/>
        </w:rPr>
        <w:t>、浙江五石工程咨询有限公司：</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我方郑重承诺，我方具有履行</w:t>
      </w:r>
      <w:r>
        <w:rPr>
          <w:rFonts w:hint="eastAsia" w:ascii="宋体" w:hAnsi="宋体" w:eastAsia="宋体" w:cs="宋体"/>
          <w:color w:val="auto"/>
          <w:highlight w:val="none"/>
          <w:u w:val="single"/>
        </w:rPr>
        <w:t>（项目名称：           ）（项目编号：            ）</w:t>
      </w:r>
      <w:r>
        <w:rPr>
          <w:rFonts w:hint="eastAsia" w:ascii="宋体" w:hAnsi="宋体" w:eastAsia="宋体" w:cs="宋体"/>
          <w:color w:val="auto"/>
          <w:highlight w:val="none"/>
        </w:rPr>
        <w:t>合同所必需的设备和专业技术能力。如中标，我方将保证合同顺利履行。</w:t>
      </w:r>
    </w:p>
    <w:p>
      <w:pPr>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 xml:space="preserve"> </w:t>
      </w:r>
    </w:p>
    <w:p>
      <w:pPr>
        <w:snapToGrid w:val="0"/>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投标人名称(公章)：</w:t>
      </w:r>
    </w:p>
    <w:p>
      <w:pPr>
        <w:snapToGrid w:val="0"/>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法定代表人或其授权代表(签字或盖章)：</w:t>
      </w:r>
    </w:p>
    <w:p>
      <w:pPr>
        <w:snapToGrid w:val="0"/>
        <w:ind w:firstLine="480"/>
        <w:rPr>
          <w:rFonts w:hint="eastAsia" w:ascii="宋体" w:hAnsi="宋体" w:eastAsia="宋体" w:cs="宋体"/>
          <w:b/>
          <w:color w:val="auto"/>
          <w:kern w:val="0"/>
          <w:sz w:val="32"/>
          <w:szCs w:val="32"/>
          <w:highlight w:val="none"/>
        </w:rPr>
      </w:pPr>
      <w:r>
        <w:rPr>
          <w:rFonts w:hint="eastAsia" w:ascii="宋体" w:hAnsi="宋体" w:eastAsia="宋体" w:cs="宋体"/>
          <w:color w:val="auto"/>
          <w:highlight w:val="none"/>
          <w:lang w:val="zh-CN"/>
        </w:rPr>
        <w:t>日期</w:t>
      </w:r>
      <w:r>
        <w:rPr>
          <w:rFonts w:hint="eastAsia" w:ascii="宋体" w:hAnsi="宋体" w:eastAsia="宋体" w:cs="宋体"/>
          <w:color w:val="auto"/>
          <w:highlight w:val="none"/>
        </w:rPr>
        <w:t xml:space="preserve">：  年  </w:t>
      </w:r>
      <w:r>
        <w:rPr>
          <w:rFonts w:hint="eastAsia" w:ascii="宋体" w:hAnsi="宋体" w:eastAsia="宋体" w:cs="宋体"/>
          <w:color w:val="auto"/>
          <w:highlight w:val="none"/>
          <w:lang w:val="zh-CN"/>
        </w:rPr>
        <w:t>月</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日</w:t>
      </w:r>
    </w:p>
    <w:p>
      <w:pPr>
        <w:rPr>
          <w:rFonts w:hint="eastAsia" w:ascii="宋体" w:hAnsi="宋体" w:eastAsia="宋体" w:cs="宋体"/>
          <w:color w:val="auto"/>
          <w:highlight w:val="none"/>
          <w:lang w:val="en-US" w:eastAsia="zh-CN"/>
        </w:rPr>
      </w:pPr>
    </w:p>
    <w:p>
      <w:pPr>
        <w:rPr>
          <w:rFonts w:hint="eastAsia" w:ascii="宋体" w:hAnsi="宋体" w:eastAsia="宋体" w:cs="宋体"/>
          <w:color w:val="auto"/>
          <w:highlight w:val="none"/>
          <w:lang w:val="en-US" w:eastAsia="zh-CN"/>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38"/>
        </w:numPr>
        <w:bidi w:val="0"/>
        <w:ind w:left="0" w:leftChars="0" w:firstLine="482" w:firstLineChars="200"/>
        <w:rPr>
          <w:rFonts w:hint="eastAsia" w:ascii="宋体" w:hAnsi="宋体" w:eastAsia="宋体" w:cs="宋体"/>
          <w:color w:val="auto"/>
          <w:highlight w:val="none"/>
        </w:rPr>
      </w:pPr>
      <w:bookmarkStart w:id="156" w:name="_Toc26770"/>
      <w:r>
        <w:rPr>
          <w:rFonts w:hint="eastAsia" w:ascii="宋体" w:hAnsi="宋体" w:eastAsia="宋体" w:cs="宋体"/>
          <w:color w:val="auto"/>
          <w:highlight w:val="none"/>
          <w:lang w:val="en-US" w:eastAsia="zh-CN"/>
        </w:rPr>
        <w:t>参加政府采购活动</w:t>
      </w:r>
      <w:r>
        <w:rPr>
          <w:rFonts w:hint="eastAsia" w:ascii="宋体" w:hAnsi="宋体" w:eastAsia="宋体" w:cs="宋体"/>
          <w:color w:val="auto"/>
          <w:highlight w:val="none"/>
        </w:rPr>
        <w:t>前3年内在经营活动中没有重大违法记录的书面声明；</w:t>
      </w:r>
      <w:bookmarkEnd w:id="156"/>
    </w:p>
    <w:p>
      <w:pPr>
        <w:snapToGrid w:val="0"/>
        <w:ind w:firstLine="0" w:firstLineChars="0"/>
        <w:rPr>
          <w:rFonts w:hint="eastAsia" w:ascii="宋体" w:hAnsi="宋体" w:eastAsia="宋体" w:cs="宋体"/>
          <w:color w:val="auto"/>
          <w:highlight w:val="none"/>
          <w:lang w:val="en-US" w:eastAsia="zh-CN"/>
        </w:rPr>
      </w:pPr>
    </w:p>
    <w:p>
      <w:pPr>
        <w:snapToGrid w:val="0"/>
        <w:ind w:firstLine="0" w:firstLineChars="0"/>
        <w:rPr>
          <w:rFonts w:hint="eastAsia" w:ascii="宋体" w:hAnsi="宋体" w:eastAsia="宋体" w:cs="宋体"/>
          <w:color w:val="auto"/>
          <w:highlight w:val="none"/>
        </w:rPr>
      </w:pPr>
      <w:r>
        <w:rPr>
          <w:rFonts w:hint="eastAsia" w:cs="宋体"/>
          <w:color w:val="auto"/>
          <w:highlight w:val="none"/>
          <w:lang w:val="en-US" w:eastAsia="zh-CN"/>
        </w:rPr>
        <w:t>浙江海洋大学</w:t>
      </w:r>
      <w:r>
        <w:rPr>
          <w:rFonts w:hint="eastAsia" w:ascii="宋体" w:hAnsi="宋体" w:eastAsia="宋体" w:cs="宋体"/>
          <w:color w:val="auto"/>
          <w:highlight w:val="none"/>
        </w:rPr>
        <w:t>、浙江五石工程咨询有限公司：</w:t>
      </w:r>
    </w:p>
    <w:p>
      <w:pPr>
        <w:snapToGrid w:val="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我公司</w:t>
      </w:r>
      <w:r>
        <w:rPr>
          <w:rFonts w:hint="eastAsia" w:ascii="宋体" w:hAnsi="宋体" w:eastAsia="宋体" w:cs="宋体"/>
          <w:color w:val="auto"/>
          <w:highlight w:val="none"/>
        </w:rPr>
        <w:t>声明截止投标时间近三年以来，在政府采购领域中，在项目招标、投标和合同履约期间无任何不良行为记录和违法、违规行为</w:t>
      </w:r>
      <w:r>
        <w:rPr>
          <w:rFonts w:hint="eastAsia" w:ascii="宋体" w:hAnsi="宋体" w:eastAsia="宋体" w:cs="宋体"/>
          <w:color w:val="auto"/>
          <w:highlight w:val="none"/>
          <w:lang w:val="zh-CN"/>
        </w:rPr>
        <w:t>。</w:t>
      </w:r>
    </w:p>
    <w:p>
      <w:pPr>
        <w:snapToGrid w:val="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我公司自愿参加（</w:t>
      </w:r>
      <w:r>
        <w:rPr>
          <w:rFonts w:hint="eastAsia" w:ascii="宋体" w:hAnsi="宋体" w:eastAsia="宋体" w:cs="宋体"/>
          <w:color w:val="auto"/>
          <w:highlight w:val="none"/>
        </w:rPr>
        <w:t>项目名称：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的投标，并保证投标文件中所列举的投标报价文件及相关资料和公司基本情况资料是真实的、合法的。</w:t>
      </w:r>
    </w:p>
    <w:p>
      <w:pPr>
        <w:snapToGrid w:val="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我公司已详细阅读全部“招标文件”，包括修改文件（如果有）以及全部招标资料和相关附件，并已了解我公司在招投标过程中的权利和义务。</w:t>
      </w:r>
    </w:p>
    <w:p>
      <w:pPr>
        <w:snapToGrid w:val="0"/>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我公司理解并接受招标文件的各项规定和要求，同意此次招标文件中的各项内容，</w:t>
      </w:r>
      <w:r>
        <w:rPr>
          <w:rFonts w:hint="eastAsia" w:ascii="宋体" w:hAnsi="宋体" w:eastAsia="宋体" w:cs="宋体"/>
          <w:color w:val="auto"/>
          <w:highlight w:val="none"/>
        </w:rPr>
        <w:t>并</w:t>
      </w:r>
      <w:r>
        <w:rPr>
          <w:rFonts w:hint="eastAsia" w:ascii="宋体" w:hAnsi="宋体" w:eastAsia="宋体" w:cs="宋体"/>
          <w:color w:val="auto"/>
          <w:highlight w:val="none"/>
          <w:lang w:val="zh-CN"/>
        </w:rPr>
        <w:t>同意提供按照贵方可能要求的与投标有关的一切数据或资料等。</w:t>
      </w:r>
    </w:p>
    <w:p>
      <w:pPr>
        <w:snapToGrid w:val="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本公司如中标，保证按照投标文件的承诺与贵方签订合同，保证履行合同条款并缴纳履约保证金。</w:t>
      </w:r>
    </w:p>
    <w:p>
      <w:pPr>
        <w:snapToGrid w:val="0"/>
        <w:ind w:firstLine="480"/>
        <w:rPr>
          <w:rFonts w:hint="eastAsia" w:ascii="宋体" w:hAnsi="宋体" w:eastAsia="宋体" w:cs="宋体"/>
          <w:color w:val="auto"/>
          <w:highlight w:val="none"/>
        </w:rPr>
      </w:pPr>
    </w:p>
    <w:p>
      <w:pPr>
        <w:snapToGrid w:val="0"/>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投标人名称(公章)：</w:t>
      </w:r>
    </w:p>
    <w:p>
      <w:pPr>
        <w:snapToGrid w:val="0"/>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法定代表人或其授权代表(签字或盖章)：</w:t>
      </w:r>
    </w:p>
    <w:p>
      <w:pPr>
        <w:snapToGrid w:val="0"/>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日期</w:t>
      </w:r>
      <w:r>
        <w:rPr>
          <w:rFonts w:hint="eastAsia" w:ascii="宋体" w:hAnsi="宋体" w:eastAsia="宋体" w:cs="宋体"/>
          <w:color w:val="auto"/>
          <w:highlight w:val="none"/>
        </w:rPr>
        <w:t xml:space="preserve">：  年  </w:t>
      </w:r>
      <w:r>
        <w:rPr>
          <w:rFonts w:hint="eastAsia" w:ascii="宋体" w:hAnsi="宋体" w:eastAsia="宋体" w:cs="宋体"/>
          <w:color w:val="auto"/>
          <w:highlight w:val="none"/>
          <w:lang w:val="zh-CN"/>
        </w:rPr>
        <w:t>月</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日</w:t>
      </w:r>
    </w:p>
    <w:p>
      <w:pPr>
        <w:rPr>
          <w:rFonts w:hint="eastAsia" w:ascii="宋体" w:hAnsi="宋体" w:eastAsia="宋体" w:cs="宋体"/>
          <w:color w:val="auto"/>
          <w:highlight w:val="none"/>
          <w:lang w:val="en-US" w:eastAsia="zh-CN"/>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38"/>
        </w:numPr>
        <w:bidi w:val="0"/>
        <w:ind w:left="0" w:leftChars="0" w:firstLine="482" w:firstLineChars="200"/>
        <w:rPr>
          <w:rFonts w:hint="eastAsia" w:ascii="宋体" w:hAnsi="宋体" w:eastAsia="宋体" w:cs="宋体"/>
          <w:color w:val="auto"/>
          <w:highlight w:val="none"/>
          <w:lang w:eastAsia="zh-CN"/>
        </w:rPr>
      </w:pPr>
      <w:bookmarkStart w:id="157" w:name="_Toc28885"/>
      <w:r>
        <w:rPr>
          <w:rFonts w:hint="eastAsia" w:ascii="宋体" w:hAnsi="宋体" w:eastAsia="宋体" w:cs="宋体"/>
          <w:color w:val="auto"/>
          <w:highlight w:val="none"/>
        </w:rPr>
        <w:t>信用记录：查询渠道：“信用中国”（www.creditchina.gov.cn）、“中国政府采购网”（www.ccgp.gov.cn），最终审查以代理机构在</w:t>
      </w:r>
      <w:r>
        <w:rPr>
          <w:rFonts w:hint="eastAsia" w:ascii="宋体" w:hAnsi="宋体" w:eastAsia="宋体" w:cs="宋体"/>
          <w:color w:val="auto"/>
          <w:highlight w:val="none"/>
          <w:lang w:eastAsia="zh-CN"/>
        </w:rPr>
        <w:t>投标</w:t>
      </w:r>
      <w:r>
        <w:rPr>
          <w:rFonts w:hint="eastAsia" w:ascii="宋体" w:hAnsi="宋体" w:eastAsia="宋体" w:cs="宋体"/>
          <w:color w:val="auto"/>
          <w:highlight w:val="none"/>
        </w:rPr>
        <w:t>截止</w:t>
      </w:r>
      <w:r>
        <w:rPr>
          <w:rFonts w:hint="eastAsia" w:ascii="宋体" w:hAnsi="宋体" w:eastAsia="宋体" w:cs="宋体"/>
          <w:color w:val="auto"/>
          <w:highlight w:val="none"/>
          <w:lang w:eastAsia="zh-CN"/>
        </w:rPr>
        <w:t>时间</w:t>
      </w:r>
      <w:r>
        <w:rPr>
          <w:rFonts w:hint="eastAsia" w:ascii="宋体" w:hAnsi="宋体" w:eastAsia="宋体" w:cs="宋体"/>
          <w:color w:val="auto"/>
          <w:highlight w:val="none"/>
        </w:rPr>
        <w:t>查询的最新信息为准</w:t>
      </w:r>
      <w:r>
        <w:rPr>
          <w:rFonts w:hint="eastAsia" w:ascii="宋体" w:hAnsi="宋体" w:eastAsia="宋体" w:cs="宋体"/>
          <w:color w:val="auto"/>
          <w:highlight w:val="none"/>
          <w:lang w:eastAsia="zh-CN"/>
        </w:rPr>
        <w:t>。</w:t>
      </w:r>
      <w:bookmarkEnd w:id="157"/>
    </w:p>
    <w:p>
      <w:pPr>
        <w:pStyle w:val="38"/>
        <w:rPr>
          <w:rFonts w:hint="eastAsia" w:ascii="宋体" w:hAnsi="宋体" w:eastAsia="宋体" w:cs="宋体"/>
          <w:color w:val="auto"/>
          <w:kern w:val="2"/>
          <w:highlight w:val="none"/>
        </w:rPr>
      </w:pPr>
    </w:p>
    <w:p>
      <w:pPr>
        <w:pStyle w:val="38"/>
        <w:rPr>
          <w:rFonts w:hint="eastAsia" w:ascii="宋体" w:hAnsi="宋体" w:eastAsia="宋体" w:cs="宋体"/>
          <w:color w:val="auto"/>
          <w:kern w:val="2"/>
          <w:highlight w:val="none"/>
        </w:rPr>
      </w:pPr>
      <w:r>
        <w:rPr>
          <w:rFonts w:hint="eastAsia" w:ascii="宋体" w:hAnsi="宋体" w:eastAsia="宋体" w:cs="宋体"/>
          <w:color w:val="auto"/>
          <w:kern w:val="2"/>
          <w:highlight w:val="none"/>
        </w:rPr>
        <w:t>对列入失信被执行人、重大税收违法案件当事人名单、政府采购严重违法失信行为记录名单及其他不符合《中华人民共和国政府采购法》第二十二条规定条件的投标人，将拒绝其参与政府采购活动；</w:t>
      </w:r>
    </w:p>
    <w:p>
      <w:pPr>
        <w:pStyle w:val="21"/>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行政处罚较大数额罚款标准认定：按照处罚机关所在地较大金额罚款标准进行认定。</w:t>
      </w:r>
    </w:p>
    <w:p>
      <w:pPr>
        <w:pStyle w:val="21"/>
        <w:rPr>
          <w:rFonts w:hint="eastAsia" w:ascii="宋体" w:hAnsi="宋体" w:eastAsia="宋体" w:cs="宋体"/>
          <w:color w:val="auto"/>
          <w:kern w:val="2"/>
          <w:sz w:val="24"/>
          <w:szCs w:val="24"/>
          <w:highlight w:val="none"/>
          <w:lang w:val="en-US" w:eastAsia="zh-CN" w:bidi="ar-SA"/>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21"/>
        <w:rPr>
          <w:rFonts w:hint="eastAsia" w:ascii="宋体" w:hAnsi="宋体" w:eastAsia="宋体" w:cs="宋体"/>
          <w:color w:val="auto"/>
          <w:highlight w:val="none"/>
        </w:rPr>
      </w:pPr>
    </w:p>
    <w:p>
      <w:pPr>
        <w:pStyle w:val="48"/>
        <w:rPr>
          <w:rFonts w:hint="eastAsia" w:ascii="宋体" w:hAnsi="宋体" w:eastAsia="宋体" w:cs="宋体"/>
          <w:color w:val="auto"/>
          <w:sz w:val="30"/>
          <w:szCs w:val="30"/>
          <w:highlight w:val="none"/>
        </w:rPr>
      </w:pPr>
    </w:p>
    <w:p>
      <w:pPr>
        <w:pStyle w:val="48"/>
        <w:rPr>
          <w:rFonts w:hint="eastAsia" w:ascii="宋体" w:hAnsi="宋体" w:eastAsia="宋体" w:cs="宋体"/>
          <w:color w:val="auto"/>
          <w:sz w:val="30"/>
          <w:szCs w:val="30"/>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3"/>
        <w:bidi w:val="0"/>
        <w:rPr>
          <w:rFonts w:hint="eastAsia" w:ascii="宋体" w:hAnsi="宋体" w:eastAsia="宋体" w:cs="宋体"/>
          <w:color w:val="auto"/>
          <w:highlight w:val="none"/>
        </w:rPr>
      </w:pPr>
      <w:bookmarkStart w:id="158" w:name="_Toc2451"/>
      <w:bookmarkStart w:id="159" w:name="_Toc32324"/>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4608830</wp:posOffset>
                </wp:positionH>
                <wp:positionV relativeFrom="paragraph">
                  <wp:posOffset>-50800</wp:posOffset>
                </wp:positionV>
                <wp:extent cx="1346200" cy="401955"/>
                <wp:effectExtent l="4445" t="4445" r="20955" b="12700"/>
                <wp:wrapNone/>
                <wp:docPr id="2" name="文本框 7"/>
                <wp:cNvGraphicFramePr/>
                <a:graphic xmlns:a="http://schemas.openxmlformats.org/drawingml/2006/main">
                  <a:graphicData uri="http://schemas.microsoft.com/office/word/2010/wordprocessingShape">
                    <wps:wsp>
                      <wps:cNvSpPr txBox="1"/>
                      <wps:spPr>
                        <a:xfrm>
                          <a:off x="0" y="0"/>
                          <a:ext cx="1346200" cy="4019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7" o:spid="_x0000_s1026" o:spt="202" type="#_x0000_t202" style="position:absolute;left:0pt;margin-left:362.9pt;margin-top:-4pt;height:31.65pt;width:106pt;z-index:251663360;mso-width-relative:page;mso-height-relative:page;" fillcolor="#FFFFFF" filled="t" stroked="t" coordsize="21600,21600" o:gfxdata="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177LDZAAAACQEAAA8AAAAAAAAAAQAgAAAAIgAAAGRycy9kb3ducmV2LnhtbFBLAQIUABQA&#10;AAAIAIdO4kA33eJz7wEAAOgDAAAOAAAAAAAAAAEAIAAAACgBAABkcnMvZTJvRG9jLnhtbFBLBQYA&#10;AAAABgAGAFkBAACJBQ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ascii="宋体" w:hAnsi="宋体" w:eastAsia="宋体" w:cs="宋体"/>
          <w:color w:val="auto"/>
          <w:szCs w:val="40"/>
          <w:highlight w:val="none"/>
        </w:rPr>
        <w:t>报价</w:t>
      </w:r>
      <w:r>
        <w:rPr>
          <w:rFonts w:hint="eastAsia" w:ascii="宋体" w:hAnsi="宋体" w:eastAsia="宋体" w:cs="宋体"/>
          <w:color w:val="auto"/>
          <w:highlight w:val="none"/>
        </w:rPr>
        <w:t>文件封面</w:t>
      </w:r>
      <w:bookmarkEnd w:id="158"/>
      <w:bookmarkEnd w:id="159"/>
    </w:p>
    <w:p>
      <w:pPr>
        <w:ind w:firstLine="880"/>
        <w:rPr>
          <w:rFonts w:hint="eastAsia" w:ascii="宋体" w:hAnsi="宋体" w:eastAsia="宋体" w:cs="宋体"/>
          <w:color w:val="auto"/>
          <w:sz w:val="44"/>
          <w:szCs w:val="32"/>
          <w:highlight w:val="none"/>
        </w:rPr>
      </w:pPr>
    </w:p>
    <w:p>
      <w:pPr>
        <w:spacing w:line="600" w:lineRule="auto"/>
        <w:ind w:firstLine="0" w:firstLineChars="0"/>
        <w:jc w:val="center"/>
        <w:rPr>
          <w:rFonts w:hint="eastAsia" w:ascii="宋体" w:hAnsi="宋体" w:eastAsia="宋体" w:cs="宋体"/>
          <w:b/>
          <w:bCs/>
          <w:color w:val="auto"/>
          <w:sz w:val="48"/>
          <w:szCs w:val="48"/>
          <w:highlight w:val="none"/>
        </w:rPr>
      </w:pPr>
      <w:r>
        <w:rPr>
          <w:rFonts w:hint="eastAsia" w:cs="宋体"/>
          <w:b/>
          <w:bCs/>
          <w:color w:val="auto"/>
          <w:sz w:val="48"/>
          <w:szCs w:val="48"/>
          <w:highlight w:val="none"/>
          <w:lang w:eastAsia="zh-CN"/>
        </w:rPr>
        <w:t>浙江海洋大学</w:t>
      </w:r>
    </w:p>
    <w:p>
      <w:pPr>
        <w:spacing w:line="600" w:lineRule="auto"/>
        <w:ind w:firstLine="0" w:firstLineChars="0"/>
        <w:jc w:val="center"/>
        <w:rPr>
          <w:rFonts w:hint="eastAsia" w:ascii="宋体" w:hAnsi="宋体" w:eastAsia="宋体" w:cs="宋体"/>
          <w:b/>
          <w:bCs/>
          <w:color w:val="auto"/>
          <w:sz w:val="48"/>
          <w:szCs w:val="48"/>
          <w:highlight w:val="none"/>
          <w:lang w:eastAsia="zh-CN"/>
        </w:rPr>
      </w:pPr>
      <w:r>
        <w:rPr>
          <w:rFonts w:hint="eastAsia" w:cs="宋体"/>
          <w:b/>
          <w:bCs/>
          <w:color w:val="auto"/>
          <w:sz w:val="48"/>
          <w:szCs w:val="48"/>
          <w:highlight w:val="none"/>
          <w:lang w:eastAsia="zh-CN"/>
        </w:rPr>
        <w:t>实验教学设备采购项目</w:t>
      </w:r>
    </w:p>
    <w:p>
      <w:pPr>
        <w:ind w:firstLine="880"/>
        <w:rPr>
          <w:rFonts w:hint="eastAsia" w:ascii="宋体" w:hAnsi="宋体" w:eastAsia="宋体" w:cs="宋体"/>
          <w:color w:val="auto"/>
          <w:sz w:val="44"/>
          <w:szCs w:val="32"/>
          <w:highlight w:val="none"/>
        </w:rPr>
      </w:pPr>
    </w:p>
    <w:p>
      <w:pPr>
        <w:ind w:firstLine="602"/>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报价文件</w:t>
      </w: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采 购 人：</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项目名称：</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项目编号：</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投标人名称（盖章）：</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投标人地址：</w:t>
      </w: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授权代表签字或盖章：</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日期：    年  月  日</w:t>
      </w:r>
    </w:p>
    <w:p>
      <w:pPr>
        <w:ind w:firstLine="576"/>
        <w:rPr>
          <w:rFonts w:hint="eastAsia" w:ascii="宋体" w:hAnsi="宋体" w:eastAsia="宋体" w:cs="宋体"/>
          <w:bCs/>
          <w:color w:val="auto"/>
          <w:spacing w:val="-6"/>
          <w:sz w:val="30"/>
          <w:szCs w:val="30"/>
          <w:highlight w:val="none"/>
        </w:rPr>
      </w:pPr>
      <w:r>
        <w:rPr>
          <w:rFonts w:hint="eastAsia" w:ascii="宋体" w:hAnsi="宋体" w:eastAsia="宋体" w:cs="宋体"/>
          <w:bCs/>
          <w:color w:val="auto"/>
          <w:spacing w:val="-6"/>
          <w:sz w:val="30"/>
          <w:szCs w:val="30"/>
          <w:highlight w:val="none"/>
        </w:rPr>
        <w:t>授权代表姓名：               手机号：</w:t>
      </w:r>
    </w:p>
    <w:p>
      <w:pPr>
        <w:pStyle w:val="48"/>
        <w:rPr>
          <w:rFonts w:hint="eastAsia" w:ascii="宋体" w:hAnsi="宋体" w:eastAsia="宋体" w:cs="宋体"/>
          <w:color w:val="auto"/>
          <w:highlight w:val="none"/>
        </w:rPr>
      </w:pPr>
    </w:p>
    <w:p>
      <w:pPr>
        <w:pStyle w:val="48"/>
        <w:rPr>
          <w:rFonts w:hint="eastAsia" w:ascii="宋体" w:hAnsi="宋体" w:eastAsia="宋体" w:cs="宋体"/>
          <w:color w:val="auto"/>
          <w:sz w:val="30"/>
          <w:szCs w:val="30"/>
          <w:highlight w:val="none"/>
        </w:rPr>
      </w:pPr>
    </w:p>
    <w:p>
      <w:pPr>
        <w:pStyle w:val="168"/>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3"/>
        <w:bidi w:val="0"/>
        <w:ind w:left="0" w:leftChars="0" w:right="0" w:rightChars="0" w:firstLine="0" w:firstLineChars="0"/>
        <w:jc w:val="center"/>
        <w:rPr>
          <w:rFonts w:hint="eastAsia" w:ascii="宋体" w:hAnsi="宋体" w:eastAsia="宋体" w:cs="宋体"/>
          <w:color w:val="auto"/>
          <w:highlight w:val="none"/>
        </w:rPr>
      </w:pPr>
      <w:bookmarkStart w:id="160" w:name="_Toc24920"/>
      <w:bookmarkStart w:id="161" w:name="_Toc6136"/>
      <w:r>
        <w:rPr>
          <w:rFonts w:hint="eastAsia" w:ascii="宋体" w:hAnsi="宋体" w:eastAsia="宋体" w:cs="宋体"/>
          <w:color w:val="auto"/>
          <w:highlight w:val="none"/>
        </w:rPr>
        <w:t>报价文件目录</w:t>
      </w:r>
      <w:bookmarkEnd w:id="160"/>
      <w:bookmarkEnd w:id="161"/>
    </w:p>
    <w:p>
      <w:pPr>
        <w:bidi w:val="0"/>
        <w:rPr>
          <w:rFonts w:hint="eastAsia" w:ascii="宋体" w:hAnsi="宋体" w:eastAsia="宋体" w:cs="宋体"/>
          <w:color w:val="auto"/>
          <w:highlight w:val="none"/>
        </w:rPr>
      </w:pPr>
    </w:p>
    <w:p>
      <w:pPr>
        <w:keepNext w:val="0"/>
        <w:keepLines w:val="0"/>
        <w:pageBreakBefore w:val="0"/>
        <w:widowControl w:val="0"/>
        <w:numPr>
          <w:ilvl w:val="0"/>
          <w:numId w:val="39"/>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bookmarkStart w:id="162" w:name="_Toc16666"/>
      <w:r>
        <w:rPr>
          <w:rFonts w:hint="eastAsia" w:ascii="宋体" w:hAnsi="宋体" w:eastAsia="宋体" w:cs="宋体"/>
          <w:color w:val="auto"/>
          <w:highlight w:val="none"/>
        </w:rPr>
        <w:t>投标响应函………………………………………………………………………（页码）</w:t>
      </w:r>
      <w:bookmarkEnd w:id="162"/>
    </w:p>
    <w:p>
      <w:pPr>
        <w:keepNext w:val="0"/>
        <w:keepLines w:val="0"/>
        <w:pageBreakBefore w:val="0"/>
        <w:widowControl w:val="0"/>
        <w:numPr>
          <w:ilvl w:val="0"/>
          <w:numId w:val="39"/>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bookmarkStart w:id="163" w:name="_Toc9814"/>
      <w:r>
        <w:rPr>
          <w:rFonts w:hint="eastAsia" w:ascii="宋体" w:hAnsi="宋体" w:eastAsia="宋体" w:cs="宋体"/>
          <w:color w:val="auto"/>
          <w:highlight w:val="none"/>
        </w:rPr>
        <w:t>开标一览表………………………………………………………………………（页码）</w:t>
      </w:r>
      <w:bookmarkEnd w:id="163"/>
    </w:p>
    <w:p>
      <w:pPr>
        <w:keepNext w:val="0"/>
        <w:keepLines w:val="0"/>
        <w:pageBreakBefore w:val="0"/>
        <w:widowControl w:val="0"/>
        <w:numPr>
          <w:ilvl w:val="0"/>
          <w:numId w:val="39"/>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投标分项报价表…………………………………………………………………（页码）</w:t>
      </w:r>
    </w:p>
    <w:p>
      <w:pPr>
        <w:keepNext w:val="0"/>
        <w:keepLines w:val="0"/>
        <w:pageBreakBefore w:val="0"/>
        <w:widowControl w:val="0"/>
        <w:numPr>
          <w:ilvl w:val="0"/>
          <w:numId w:val="39"/>
        </w:numPr>
        <w:kinsoku/>
        <w:wordWrap/>
        <w:overflowPunct/>
        <w:topLinePunct w:val="0"/>
        <w:autoSpaceDE/>
        <w:autoSpaceDN/>
        <w:bidi w:val="0"/>
        <w:adjustRightInd w:val="0"/>
        <w:snapToGrid w:val="0"/>
        <w:ind w:left="0" w:leftChars="0" w:firstLine="480" w:firstLineChars="200"/>
        <w:textAlignment w:val="auto"/>
        <w:rPr>
          <w:rFonts w:hint="eastAsia" w:ascii="宋体" w:hAnsi="宋体" w:eastAsia="宋体" w:cs="宋体"/>
          <w:color w:val="auto"/>
          <w:highlight w:val="none"/>
        </w:rPr>
      </w:pPr>
      <w:bookmarkStart w:id="164" w:name="_Toc20916"/>
      <w:r>
        <w:rPr>
          <w:rFonts w:hint="eastAsia" w:ascii="宋体" w:hAnsi="宋体" w:eastAsia="宋体" w:cs="宋体"/>
          <w:color w:val="auto"/>
          <w:highlight w:val="none"/>
          <w:lang w:val="en-US" w:eastAsia="zh-CN"/>
        </w:rPr>
        <w:t>其他</w:t>
      </w:r>
      <w:r>
        <w:rPr>
          <w:rFonts w:hint="eastAsia" w:ascii="宋体" w:hAnsi="宋体" w:eastAsia="宋体" w:cs="宋体"/>
          <w:color w:val="auto"/>
          <w:highlight w:val="none"/>
        </w:rPr>
        <w:t>………………………………………………………………………………（页码）</w:t>
      </w:r>
      <w:bookmarkEnd w:id="164"/>
    </w:p>
    <w:p>
      <w:pPr>
        <w:pStyle w:val="10"/>
        <w:rPr>
          <w:rFonts w:hint="eastAsia" w:ascii="宋体" w:hAnsi="宋体" w:eastAsia="宋体" w:cs="宋体"/>
          <w:color w:val="auto"/>
          <w:highlight w:val="none"/>
        </w:rPr>
      </w:pPr>
    </w:p>
    <w:p>
      <w:pPr>
        <w:pStyle w:val="4"/>
        <w:outlineLvl w:val="9"/>
        <w:rPr>
          <w:rFonts w:hint="eastAsia" w:ascii="宋体" w:hAnsi="宋体" w:eastAsia="宋体" w:cs="宋体"/>
          <w:color w:val="auto"/>
          <w:highlight w:val="none"/>
        </w:rPr>
        <w:sectPr>
          <w:footerReference r:id="rId16" w:type="default"/>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0"/>
        </w:numPr>
        <w:bidi w:val="0"/>
        <w:rPr>
          <w:rFonts w:hint="eastAsia" w:ascii="宋体" w:hAnsi="宋体" w:eastAsia="宋体" w:cs="宋体"/>
          <w:color w:val="auto"/>
          <w:highlight w:val="none"/>
        </w:rPr>
      </w:pPr>
      <w:bookmarkStart w:id="165" w:name="_Toc25141"/>
      <w:r>
        <w:rPr>
          <w:rFonts w:hint="eastAsia" w:ascii="宋体" w:hAnsi="宋体" w:eastAsia="宋体" w:cs="宋体"/>
          <w:color w:val="auto"/>
          <w:highlight w:val="none"/>
        </w:rPr>
        <w:t>投标响应函</w:t>
      </w:r>
      <w:bookmarkEnd w:id="165"/>
    </w:p>
    <w:p>
      <w:pPr>
        <w:snapToGrid w:val="0"/>
        <w:ind w:left="0" w:leftChars="0" w:right="0" w:rightChars="0" w:firstLine="0" w:firstLineChars="0"/>
        <w:jc w:val="center"/>
        <w:rPr>
          <w:rFonts w:hint="eastAsia" w:ascii="宋体" w:hAnsi="宋体" w:eastAsia="宋体" w:cs="宋体"/>
          <w:color w:val="auto"/>
          <w:highlight w:val="none"/>
        </w:rPr>
      </w:pPr>
      <w:r>
        <w:rPr>
          <w:rFonts w:hint="eastAsia" w:ascii="宋体" w:hAnsi="宋体" w:eastAsia="宋体" w:cs="宋体"/>
          <w:b/>
          <w:color w:val="auto"/>
          <w:kern w:val="0"/>
          <w:sz w:val="32"/>
          <w:highlight w:val="none"/>
        </w:rPr>
        <w:t>投标响应</w:t>
      </w:r>
      <w:r>
        <w:rPr>
          <w:rFonts w:hint="eastAsia" w:ascii="宋体" w:hAnsi="宋体" w:eastAsia="宋体" w:cs="宋体"/>
          <w:b/>
          <w:color w:val="auto"/>
          <w:sz w:val="32"/>
          <w:highlight w:val="none"/>
        </w:rPr>
        <w:t>函</w:t>
      </w:r>
    </w:p>
    <w:p>
      <w:pPr>
        <w:ind w:firstLine="0" w:firstLineChars="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cs="宋体"/>
          <w:bCs/>
          <w:color w:val="auto"/>
          <w:spacing w:val="-6"/>
          <w:highlight w:val="none"/>
          <w:lang w:eastAsia="zh-CN"/>
        </w:rPr>
        <w:t>浙江海洋大学</w:t>
      </w:r>
      <w:r>
        <w:rPr>
          <w:rFonts w:hint="eastAsia" w:ascii="宋体" w:hAnsi="宋体" w:eastAsia="宋体" w:cs="宋体"/>
          <w:bCs/>
          <w:color w:val="auto"/>
          <w:spacing w:val="-6"/>
          <w:highlight w:val="none"/>
        </w:rPr>
        <w:t>、浙江五石工程咨询有限公司</w:t>
      </w:r>
      <w:r>
        <w:rPr>
          <w:rFonts w:hint="eastAsia" w:ascii="宋体" w:hAnsi="宋体" w:eastAsia="宋体" w:cs="宋体"/>
          <w:color w:val="auto"/>
          <w:spacing w:val="-6"/>
          <w:highlight w:val="none"/>
        </w:rPr>
        <w:t>：</w:t>
      </w:r>
      <w:r>
        <w:rPr>
          <w:rFonts w:hint="eastAsia" w:ascii="宋体" w:hAnsi="宋体" w:eastAsia="宋体" w:cs="宋体"/>
          <w:color w:val="auto"/>
          <w:highlight w:val="none"/>
        </w:rPr>
        <w:t xml:space="preserve"> </w:t>
      </w:r>
    </w:p>
    <w:p>
      <w:pPr>
        <w:bidi w:val="0"/>
        <w:rPr>
          <w:rFonts w:hint="eastAsia" w:ascii="宋体" w:hAnsi="宋体" w:eastAsia="宋体" w:cs="宋体"/>
          <w:color w:val="auto"/>
          <w:highlight w:val="none"/>
        </w:rPr>
      </w:pPr>
      <w:r>
        <w:rPr>
          <w:rFonts w:hint="eastAsia" w:ascii="宋体" w:hAnsi="宋体" w:eastAsia="宋体" w:cs="宋体"/>
          <w:color w:val="auto"/>
          <w:kern w:val="0"/>
          <w:highlight w:val="none"/>
          <w:u w:val="single"/>
          <w:lang w:val="zh-CN"/>
        </w:rPr>
        <w:t xml:space="preserve">                         </w:t>
      </w:r>
      <w:r>
        <w:rPr>
          <w:rFonts w:hint="eastAsia" w:ascii="宋体" w:hAnsi="宋体" w:eastAsia="宋体" w:cs="宋体"/>
          <w:color w:val="auto"/>
          <w:highlight w:val="none"/>
        </w:rPr>
        <w:t>(投标人全称)授权</w:t>
      </w:r>
      <w:r>
        <w:rPr>
          <w:rFonts w:hint="eastAsia" w:ascii="宋体" w:hAnsi="宋体" w:eastAsia="宋体" w:cs="宋体"/>
          <w:color w:val="auto"/>
          <w:kern w:val="0"/>
          <w:highlight w:val="none"/>
          <w:u w:val="single"/>
          <w:lang w:val="zh-CN"/>
        </w:rPr>
        <w:t xml:space="preserve">                    </w:t>
      </w:r>
      <w:r>
        <w:rPr>
          <w:rFonts w:hint="eastAsia" w:ascii="宋体" w:hAnsi="宋体" w:eastAsia="宋体" w:cs="宋体"/>
          <w:color w:val="auto"/>
          <w:highlight w:val="none"/>
        </w:rPr>
        <w:t>(全权代表姓名)</w:t>
      </w:r>
      <w:r>
        <w:rPr>
          <w:rFonts w:hint="eastAsia" w:ascii="宋体" w:hAnsi="宋体" w:eastAsia="宋体" w:cs="宋体"/>
          <w:color w:val="auto"/>
          <w:kern w:val="0"/>
          <w:highlight w:val="none"/>
          <w:u w:val="single"/>
          <w:lang w:val="zh-CN"/>
        </w:rPr>
        <w:t xml:space="preserve">              </w:t>
      </w:r>
      <w:r>
        <w:rPr>
          <w:rFonts w:hint="eastAsia" w:ascii="宋体" w:hAnsi="宋体" w:eastAsia="宋体" w:cs="宋体"/>
          <w:color w:val="auto"/>
          <w:highlight w:val="none"/>
        </w:rPr>
        <w:t>(职务、职称)为全权代表，参加贵方组织的</w:t>
      </w:r>
      <w:r>
        <w:rPr>
          <w:rFonts w:hint="eastAsia" w:ascii="宋体" w:hAnsi="宋体" w:eastAsia="宋体" w:cs="宋体"/>
          <w:color w:val="auto"/>
          <w:highlight w:val="none"/>
          <w:u w:val="single"/>
        </w:rPr>
        <w:t>（项目名称）（项目编号）</w:t>
      </w:r>
      <w:r>
        <w:rPr>
          <w:rFonts w:hint="eastAsia" w:ascii="宋体" w:hAnsi="宋体" w:eastAsia="宋体" w:cs="宋体"/>
          <w:color w:val="auto"/>
          <w:highlight w:val="none"/>
        </w:rPr>
        <w:t>招标的有关活动，并对此项目进行投标。为此：</w:t>
      </w:r>
    </w:p>
    <w:p>
      <w:pPr>
        <w:bidi w:val="0"/>
        <w:rPr>
          <w:rFonts w:hint="eastAsia" w:ascii="宋体" w:hAnsi="宋体" w:eastAsia="宋体" w:cs="宋体"/>
          <w:color w:val="auto"/>
          <w:highlight w:val="none"/>
        </w:rPr>
      </w:pPr>
      <w:r>
        <w:rPr>
          <w:rFonts w:hint="eastAsia" w:ascii="宋体" w:hAnsi="宋体" w:eastAsia="宋体" w:cs="宋体"/>
          <w:color w:val="auto"/>
          <w:highlight w:val="none"/>
        </w:rPr>
        <w:t>1、我方同意在投标人编制和提交采购响应文件须知规定的开标日期起遵守本投标文件中的承诺且在投标有效期满之前均具有约束力。</w:t>
      </w:r>
    </w:p>
    <w:p>
      <w:pPr>
        <w:bidi w:val="0"/>
        <w:rPr>
          <w:rFonts w:hint="eastAsia" w:ascii="宋体" w:hAnsi="宋体" w:eastAsia="宋体" w:cs="宋体"/>
          <w:color w:val="auto"/>
          <w:highlight w:val="none"/>
        </w:rPr>
      </w:pPr>
      <w:r>
        <w:rPr>
          <w:rFonts w:hint="eastAsia" w:ascii="宋体" w:hAnsi="宋体" w:eastAsia="宋体" w:cs="宋体"/>
          <w:color w:val="auto"/>
          <w:highlight w:val="none"/>
        </w:rPr>
        <w:t>2、我方承诺已经具备《中华人民共和国政府采购法》中规定的参加政府采购活动的供应商应当具备的条件：</w:t>
      </w:r>
    </w:p>
    <w:p>
      <w:pPr>
        <w:bidi w:val="0"/>
        <w:rPr>
          <w:rFonts w:hint="eastAsia" w:ascii="宋体" w:hAnsi="宋体" w:eastAsia="宋体" w:cs="宋体"/>
          <w:color w:val="auto"/>
          <w:highlight w:val="none"/>
        </w:rPr>
      </w:pPr>
      <w:r>
        <w:rPr>
          <w:rFonts w:hint="eastAsia" w:ascii="宋体" w:hAnsi="宋体" w:eastAsia="宋体" w:cs="宋体"/>
          <w:color w:val="auto"/>
          <w:highlight w:val="none"/>
        </w:rPr>
        <w:t>(1)具有独立承担民事责任的能力；</w:t>
      </w:r>
    </w:p>
    <w:p>
      <w:pPr>
        <w:bidi w:val="0"/>
        <w:rPr>
          <w:rFonts w:hint="eastAsia" w:ascii="宋体" w:hAnsi="宋体" w:eastAsia="宋体" w:cs="宋体"/>
          <w:color w:val="auto"/>
          <w:highlight w:val="none"/>
        </w:rPr>
      </w:pPr>
      <w:r>
        <w:rPr>
          <w:rFonts w:hint="eastAsia" w:ascii="宋体" w:hAnsi="宋体" w:eastAsia="宋体" w:cs="宋体"/>
          <w:color w:val="auto"/>
          <w:highlight w:val="none"/>
        </w:rPr>
        <w:t>(2)遵守国家法律、行政法规，具有良好的信誉和商业道德；</w:t>
      </w:r>
    </w:p>
    <w:p>
      <w:pPr>
        <w:bidi w:val="0"/>
        <w:rPr>
          <w:rFonts w:hint="eastAsia" w:ascii="宋体" w:hAnsi="宋体" w:eastAsia="宋体" w:cs="宋体"/>
          <w:color w:val="auto"/>
          <w:highlight w:val="none"/>
        </w:rPr>
      </w:pPr>
      <w:r>
        <w:rPr>
          <w:rFonts w:hint="eastAsia" w:ascii="宋体" w:hAnsi="宋体" w:eastAsia="宋体" w:cs="宋体"/>
          <w:color w:val="auto"/>
          <w:highlight w:val="none"/>
        </w:rPr>
        <w:t>(3)具有履行合同的能力和良好的履行合同记录；</w:t>
      </w:r>
    </w:p>
    <w:p>
      <w:pPr>
        <w:bidi w:val="0"/>
        <w:rPr>
          <w:rFonts w:hint="eastAsia" w:ascii="宋体" w:hAnsi="宋体" w:eastAsia="宋体" w:cs="宋体"/>
          <w:color w:val="auto"/>
          <w:highlight w:val="none"/>
        </w:rPr>
      </w:pPr>
      <w:r>
        <w:rPr>
          <w:rFonts w:hint="eastAsia" w:ascii="宋体" w:hAnsi="宋体" w:eastAsia="宋体" w:cs="宋体"/>
          <w:color w:val="auto"/>
          <w:highlight w:val="none"/>
        </w:rPr>
        <w:t>(4)良好的资金、财务状况；</w:t>
      </w:r>
    </w:p>
    <w:p>
      <w:pPr>
        <w:bidi w:val="0"/>
        <w:rPr>
          <w:rFonts w:hint="eastAsia" w:ascii="宋体" w:hAnsi="宋体" w:eastAsia="宋体" w:cs="宋体"/>
          <w:color w:val="auto"/>
          <w:highlight w:val="none"/>
        </w:rPr>
      </w:pPr>
      <w:r>
        <w:rPr>
          <w:rFonts w:hint="eastAsia" w:ascii="宋体" w:hAnsi="宋体" w:eastAsia="宋体" w:cs="宋体"/>
          <w:color w:val="auto"/>
          <w:highlight w:val="none"/>
        </w:rPr>
        <w:t>(5)产品及生产所需装备符合中国政府规定的相应技术标准和环保标准；</w:t>
      </w:r>
    </w:p>
    <w:p>
      <w:pPr>
        <w:bidi w:val="0"/>
        <w:rPr>
          <w:rFonts w:hint="eastAsia" w:ascii="宋体" w:hAnsi="宋体" w:eastAsia="宋体" w:cs="宋体"/>
          <w:color w:val="auto"/>
          <w:highlight w:val="none"/>
        </w:rPr>
      </w:pPr>
      <w:r>
        <w:rPr>
          <w:rFonts w:hint="eastAsia" w:ascii="宋体" w:hAnsi="宋体" w:eastAsia="宋体" w:cs="宋体"/>
          <w:color w:val="auto"/>
          <w:highlight w:val="none"/>
        </w:rPr>
        <w:t>(6)没有违反政府采购法规、政策的记录；</w:t>
      </w:r>
    </w:p>
    <w:p>
      <w:pPr>
        <w:bidi w:val="0"/>
        <w:rPr>
          <w:rFonts w:hint="eastAsia" w:ascii="宋体" w:hAnsi="宋体" w:eastAsia="宋体" w:cs="宋体"/>
          <w:color w:val="auto"/>
          <w:highlight w:val="none"/>
        </w:rPr>
      </w:pPr>
      <w:r>
        <w:rPr>
          <w:rFonts w:hint="eastAsia" w:ascii="宋体" w:hAnsi="宋体" w:eastAsia="宋体" w:cs="宋体"/>
          <w:color w:val="auto"/>
          <w:highlight w:val="none"/>
        </w:rPr>
        <w:t>(7)没有发生重大经济纠纷和走私犯罪记录。</w:t>
      </w:r>
    </w:p>
    <w:p>
      <w:pPr>
        <w:bidi w:val="0"/>
        <w:rPr>
          <w:rFonts w:hint="eastAsia" w:ascii="宋体" w:hAnsi="宋体" w:eastAsia="宋体" w:cs="宋体"/>
          <w:color w:val="auto"/>
          <w:highlight w:val="none"/>
        </w:rPr>
      </w:pPr>
      <w:r>
        <w:rPr>
          <w:rFonts w:hint="eastAsia" w:ascii="宋体" w:hAnsi="宋体" w:eastAsia="宋体" w:cs="宋体"/>
          <w:color w:val="auto"/>
          <w:highlight w:val="none"/>
        </w:rPr>
        <w:t>3、提供编制和提交采购响应文件须知规定的全部投标文件。具体内容为：</w:t>
      </w:r>
    </w:p>
    <w:p>
      <w:pPr>
        <w:bidi w:val="0"/>
        <w:rPr>
          <w:rFonts w:hint="eastAsia" w:ascii="宋体" w:hAnsi="宋体" w:eastAsia="宋体" w:cs="宋体"/>
          <w:color w:val="auto"/>
          <w:highlight w:val="none"/>
        </w:rPr>
      </w:pPr>
      <w:r>
        <w:rPr>
          <w:rFonts w:hint="eastAsia" w:ascii="宋体" w:hAnsi="宋体" w:eastAsia="宋体" w:cs="宋体"/>
          <w:color w:val="auto"/>
          <w:highlight w:val="none"/>
        </w:rPr>
        <w:t>(1)开标一览表及投标报价明细清单；</w:t>
      </w:r>
    </w:p>
    <w:p>
      <w:pPr>
        <w:bidi w:val="0"/>
        <w:rPr>
          <w:rFonts w:hint="eastAsia" w:ascii="宋体" w:hAnsi="宋体" w:eastAsia="宋体" w:cs="宋体"/>
          <w:color w:val="auto"/>
          <w:highlight w:val="none"/>
        </w:rPr>
      </w:pPr>
      <w:r>
        <w:rPr>
          <w:rFonts w:hint="eastAsia" w:ascii="宋体" w:hAnsi="宋体" w:eastAsia="宋体" w:cs="宋体"/>
          <w:color w:val="auto"/>
          <w:highlight w:val="none"/>
        </w:rPr>
        <w:t>(2)投标商务</w:t>
      </w:r>
      <w:r>
        <w:rPr>
          <w:rFonts w:hint="eastAsia" w:ascii="宋体" w:hAnsi="宋体" w:eastAsia="宋体" w:cs="宋体"/>
          <w:color w:val="auto"/>
          <w:highlight w:val="none"/>
          <w:lang w:val="zh-CN"/>
        </w:rPr>
        <w:t>技术文件和资格文件</w:t>
      </w:r>
      <w:r>
        <w:rPr>
          <w:rFonts w:hint="eastAsia" w:ascii="宋体" w:hAnsi="宋体" w:eastAsia="宋体" w:cs="宋体"/>
          <w:color w:val="auto"/>
          <w:highlight w:val="none"/>
        </w:rPr>
        <w:t>；</w:t>
      </w:r>
    </w:p>
    <w:p>
      <w:pPr>
        <w:bidi w:val="0"/>
        <w:rPr>
          <w:rFonts w:hint="eastAsia" w:ascii="宋体" w:hAnsi="宋体" w:eastAsia="宋体" w:cs="宋体"/>
          <w:color w:val="auto"/>
          <w:highlight w:val="none"/>
        </w:rPr>
      </w:pPr>
      <w:r>
        <w:rPr>
          <w:rFonts w:hint="eastAsia" w:ascii="宋体" w:hAnsi="宋体" w:eastAsia="宋体" w:cs="宋体"/>
          <w:color w:val="auto"/>
          <w:highlight w:val="none"/>
        </w:rPr>
        <w:t>(3)编制和提交采购响应文件须知要求投标人提交的全部文件；</w:t>
      </w:r>
    </w:p>
    <w:p>
      <w:pPr>
        <w:bidi w:val="0"/>
        <w:rPr>
          <w:rFonts w:hint="eastAsia" w:ascii="宋体" w:hAnsi="宋体" w:eastAsia="宋体" w:cs="宋体"/>
          <w:color w:val="auto"/>
          <w:highlight w:val="none"/>
        </w:rPr>
      </w:pPr>
      <w:r>
        <w:rPr>
          <w:rFonts w:hint="eastAsia" w:ascii="宋体" w:hAnsi="宋体" w:eastAsia="宋体" w:cs="宋体"/>
          <w:color w:val="auto"/>
          <w:highlight w:val="none"/>
        </w:rPr>
        <w:t>(4)按招标文件要求提供和交付的货物和服务的投标报价详见投标(开标)一览表；</w:t>
      </w:r>
    </w:p>
    <w:p>
      <w:pPr>
        <w:bidi w:val="0"/>
        <w:rPr>
          <w:rFonts w:hint="eastAsia" w:ascii="宋体" w:hAnsi="宋体" w:eastAsia="宋体" w:cs="宋体"/>
          <w:color w:val="auto"/>
          <w:highlight w:val="none"/>
        </w:rPr>
      </w:pPr>
      <w:r>
        <w:rPr>
          <w:rFonts w:hint="eastAsia" w:ascii="宋体" w:hAnsi="宋体" w:eastAsia="宋体" w:cs="宋体"/>
          <w:color w:val="auto"/>
          <w:highlight w:val="none"/>
        </w:rPr>
        <w:t>(5)保证忠实地执行双方所签订的合同，并承担合同规定的责任和义务；</w:t>
      </w:r>
    </w:p>
    <w:p>
      <w:pPr>
        <w:bidi w:val="0"/>
        <w:rPr>
          <w:rFonts w:hint="eastAsia" w:ascii="宋体" w:hAnsi="宋体" w:eastAsia="宋体" w:cs="宋体"/>
          <w:color w:val="auto"/>
          <w:highlight w:val="none"/>
        </w:rPr>
      </w:pPr>
      <w:r>
        <w:rPr>
          <w:rFonts w:hint="eastAsia" w:ascii="宋体" w:hAnsi="宋体" w:eastAsia="宋体" w:cs="宋体"/>
          <w:color w:val="auto"/>
          <w:highlight w:val="none"/>
        </w:rPr>
        <w:t>(6)保证遵守招标文件中的其他有关规定。</w:t>
      </w:r>
    </w:p>
    <w:p>
      <w:pPr>
        <w:bidi w:val="0"/>
        <w:rPr>
          <w:rFonts w:hint="eastAsia" w:ascii="宋体" w:hAnsi="宋体" w:eastAsia="宋体" w:cs="宋体"/>
          <w:color w:val="auto"/>
          <w:highlight w:val="none"/>
        </w:rPr>
      </w:pPr>
      <w:r>
        <w:rPr>
          <w:rFonts w:hint="eastAsia" w:ascii="宋体" w:hAnsi="宋体" w:eastAsia="宋体" w:cs="宋体"/>
          <w:color w:val="auto"/>
          <w:highlight w:val="none"/>
        </w:rPr>
        <w:t>4、我方承诺投标有效期从提交投标文件的截止之日起 90 天，不少于招标文件中载明的投标有效期（从提交投标文件的截止之日起90天）。</w:t>
      </w:r>
    </w:p>
    <w:p>
      <w:pPr>
        <w:bidi w:val="0"/>
        <w:rPr>
          <w:rFonts w:hint="eastAsia" w:ascii="宋体" w:hAnsi="宋体" w:eastAsia="宋体" w:cs="宋体"/>
          <w:color w:val="auto"/>
          <w:highlight w:val="none"/>
        </w:rPr>
      </w:pPr>
      <w:r>
        <w:rPr>
          <w:rFonts w:hint="eastAsia" w:ascii="宋体" w:hAnsi="宋体" w:eastAsia="宋体" w:cs="宋体"/>
          <w:color w:val="auto"/>
          <w:highlight w:val="none"/>
        </w:rPr>
        <w:t>5、我方完全理解贵方不一定要接受最低价的投标。</w:t>
      </w:r>
    </w:p>
    <w:p>
      <w:pPr>
        <w:bidi w:val="0"/>
        <w:rPr>
          <w:rFonts w:hint="eastAsia" w:ascii="宋体" w:hAnsi="宋体" w:eastAsia="宋体" w:cs="宋体"/>
          <w:color w:val="auto"/>
          <w:highlight w:val="none"/>
        </w:rPr>
      </w:pPr>
      <w:r>
        <w:rPr>
          <w:rFonts w:hint="eastAsia" w:ascii="宋体" w:hAnsi="宋体" w:eastAsia="宋体" w:cs="宋体"/>
          <w:color w:val="auto"/>
          <w:highlight w:val="none"/>
        </w:rPr>
        <w:t>6、我方愿意向贵方提供任何与该项投标有关的数据、情况和技术资料。若贵方需要，我方愿意提供我方作出的一切承诺的证明材料。</w:t>
      </w:r>
    </w:p>
    <w:p>
      <w:pPr>
        <w:bidi w:val="0"/>
        <w:rPr>
          <w:rFonts w:hint="eastAsia" w:ascii="宋体" w:hAnsi="宋体" w:eastAsia="宋体" w:cs="宋体"/>
          <w:color w:val="auto"/>
          <w:highlight w:val="none"/>
        </w:rPr>
      </w:pPr>
      <w:r>
        <w:rPr>
          <w:rFonts w:hint="eastAsia" w:ascii="宋体" w:hAnsi="宋体" w:eastAsia="宋体" w:cs="宋体"/>
          <w:color w:val="auto"/>
          <w:highlight w:val="none"/>
        </w:rPr>
        <w:t>7、我方已详细审核全部招标文件，包括招标文件修改书(如果有)、参考资料及有关附件，确认无误。</w:t>
      </w:r>
    </w:p>
    <w:p>
      <w:pPr>
        <w:bidi w:val="0"/>
        <w:rPr>
          <w:rFonts w:hint="eastAsia" w:ascii="宋体" w:hAnsi="宋体" w:eastAsia="宋体" w:cs="宋体"/>
          <w:color w:val="auto"/>
          <w:highlight w:val="none"/>
        </w:rPr>
      </w:pPr>
      <w:r>
        <w:rPr>
          <w:rFonts w:hint="eastAsia" w:ascii="宋体" w:hAnsi="宋体" w:eastAsia="宋体" w:cs="宋体"/>
          <w:color w:val="auto"/>
          <w:highlight w:val="none"/>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bidi w:val="0"/>
        <w:rPr>
          <w:rFonts w:hint="eastAsia" w:ascii="宋体" w:hAnsi="宋体" w:eastAsia="宋体" w:cs="宋体"/>
          <w:color w:val="auto"/>
          <w:highlight w:val="none"/>
        </w:rPr>
      </w:pPr>
      <w:r>
        <w:rPr>
          <w:rFonts w:hint="eastAsia" w:ascii="宋体" w:hAnsi="宋体" w:eastAsia="宋体" w:cs="宋体"/>
          <w:color w:val="auto"/>
          <w:highlight w:val="none"/>
        </w:rPr>
        <w:t>a)提供虚假材料谋取中标、成交的；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b)采取不正当手段诋毁、排挤其他供应商的；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c)与采购人、其它供应商或者采购代理机构恶意串通的；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d)向采购人、采购代理机构行贿或者提供其他不正当利益的；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e)在招标采购过程中与采购人进行协商谈判的；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f)拒绝有关部门监督检查或提供虚假情况的。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供应商有前款第a)至e)项情形之一的，中标、成交无效。</w:t>
      </w:r>
    </w:p>
    <w:p>
      <w:pPr>
        <w:ind w:firstLine="3600" w:firstLineChars="1500"/>
        <w:rPr>
          <w:rFonts w:hint="eastAsia" w:ascii="宋体" w:hAnsi="宋体" w:eastAsia="宋体" w:cs="宋体"/>
          <w:color w:val="auto"/>
          <w:highlight w:val="none"/>
        </w:rPr>
      </w:pPr>
    </w:p>
    <w:p>
      <w:pPr>
        <w:pStyle w:val="48"/>
        <w:rPr>
          <w:rFonts w:hint="eastAsia" w:ascii="宋体" w:hAnsi="宋体" w:eastAsia="宋体" w:cs="宋体"/>
          <w:color w:val="auto"/>
          <w:highlight w:val="none"/>
        </w:rPr>
      </w:pPr>
    </w:p>
    <w:p>
      <w:pPr>
        <w:bidi w:val="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法定代表人或其授权代表（签字或盖章）：</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snapToGrid w:val="0"/>
        <w:ind w:left="480" w:leftChars="200" w:firstLine="4200" w:firstLineChars="1750"/>
        <w:rPr>
          <w:rFonts w:hint="eastAsia" w:ascii="宋体" w:hAnsi="宋体" w:eastAsia="宋体" w:cs="宋体"/>
          <w:color w:val="auto"/>
          <w:kern w:val="0"/>
          <w:highlight w:val="none"/>
          <w:u w:val="single"/>
          <w:lang w:val="zh-CN"/>
        </w:rPr>
      </w:pPr>
    </w:p>
    <w:p>
      <w:pPr>
        <w:bidi w:val="0"/>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联系人：                           联系电话：                 </w:t>
      </w:r>
    </w:p>
    <w:p>
      <w:pPr>
        <w:bidi w:val="0"/>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联系地址：                                                    </w:t>
      </w:r>
    </w:p>
    <w:p>
      <w:pPr>
        <w:bidi w:val="0"/>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邮政编码：                     传真号码：                     </w:t>
      </w:r>
    </w:p>
    <w:p>
      <w:pPr>
        <w:ind w:firstLine="482"/>
        <w:rPr>
          <w:rFonts w:hint="eastAsia" w:ascii="宋体" w:hAnsi="宋体" w:eastAsia="宋体" w:cs="宋体"/>
          <w:b/>
          <w:bCs/>
          <w:color w:val="auto"/>
          <w:highlight w:val="none"/>
          <w:lang w:val="zh-CN"/>
        </w:rPr>
      </w:pPr>
    </w:p>
    <w:p>
      <w:pPr>
        <w:bidi w:val="0"/>
        <w:rPr>
          <w:rFonts w:hint="eastAsia" w:ascii="宋体" w:hAnsi="宋体" w:eastAsia="宋体" w:cs="宋体"/>
          <w:color w:val="auto"/>
          <w:highlight w:val="none"/>
          <w:lang w:val="zh-CN"/>
        </w:rPr>
      </w:pPr>
      <w:r>
        <w:rPr>
          <w:rFonts w:hint="eastAsia" w:ascii="宋体" w:hAnsi="宋体" w:eastAsia="宋体" w:cs="宋体"/>
          <w:b/>
          <w:bCs/>
          <w:color w:val="auto"/>
          <w:highlight w:val="none"/>
          <w:lang w:val="zh-CN"/>
        </w:rPr>
        <w:t>注：未按照本投标响应函要求填报的将被视为非实质性响应投标，从而可能导致该投标被拒绝。</w:t>
      </w:r>
    </w:p>
    <w:p>
      <w:pPr>
        <w:bidi w:val="0"/>
        <w:rPr>
          <w:rFonts w:hint="eastAsia" w:ascii="宋体" w:hAnsi="宋体" w:eastAsia="宋体" w:cs="宋体"/>
          <w:color w:val="auto"/>
          <w:highlight w:val="none"/>
        </w:rPr>
        <w:sectPr>
          <w:footerReference r:id="rId17" w:type="default"/>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bookmarkStart w:id="166" w:name="_Toc2416"/>
    </w:p>
    <w:p>
      <w:pPr>
        <w:pStyle w:val="4"/>
        <w:numPr>
          <w:ilvl w:val="0"/>
          <w:numId w:val="40"/>
        </w:numPr>
        <w:bidi w:val="0"/>
        <w:rPr>
          <w:rFonts w:hint="eastAsia" w:ascii="宋体" w:hAnsi="宋体" w:eastAsia="宋体" w:cs="宋体"/>
          <w:color w:val="auto"/>
          <w:highlight w:val="none"/>
        </w:rPr>
      </w:pPr>
      <w:r>
        <w:rPr>
          <w:rFonts w:hint="eastAsia" w:ascii="宋体" w:hAnsi="宋体" w:eastAsia="宋体" w:cs="宋体"/>
          <w:color w:val="auto"/>
          <w:highlight w:val="none"/>
        </w:rPr>
        <w:t>开标一览表</w:t>
      </w:r>
      <w:bookmarkEnd w:id="166"/>
    </w:p>
    <w:p>
      <w:pPr>
        <w:snapToGrid w:val="0"/>
        <w:ind w:left="0" w:leftChars="0" w:right="0" w:rightChars="0" w:firstLine="0" w:firstLineChars="0"/>
        <w:jc w:val="center"/>
        <w:rPr>
          <w:rFonts w:hint="eastAsia" w:ascii="宋体" w:hAnsi="宋体" w:eastAsia="宋体" w:cs="宋体"/>
          <w:b/>
          <w:color w:val="auto"/>
          <w:kern w:val="0"/>
          <w:sz w:val="32"/>
          <w:highlight w:val="none"/>
        </w:rPr>
      </w:pPr>
      <w:bookmarkStart w:id="167" w:name="_Toc29517"/>
      <w:bookmarkStart w:id="168" w:name="_Toc14446"/>
      <w:r>
        <w:rPr>
          <w:rFonts w:hint="eastAsia" w:ascii="宋体" w:hAnsi="宋体" w:eastAsia="宋体" w:cs="宋体"/>
          <w:b/>
          <w:color w:val="auto"/>
          <w:kern w:val="0"/>
          <w:sz w:val="32"/>
          <w:highlight w:val="none"/>
        </w:rPr>
        <w:t>开标一览表</w:t>
      </w:r>
      <w:bookmarkEnd w:id="167"/>
      <w:bookmarkEnd w:id="168"/>
    </w:p>
    <w:p>
      <w:pPr>
        <w:bidi w:val="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cs="宋体"/>
          <w:bCs/>
          <w:color w:val="auto"/>
          <w:spacing w:val="-6"/>
          <w:highlight w:val="none"/>
          <w:lang w:eastAsia="zh-CN"/>
        </w:rPr>
        <w:t>浙江海洋大学</w:t>
      </w:r>
      <w:r>
        <w:rPr>
          <w:rFonts w:hint="eastAsia" w:ascii="宋体" w:hAnsi="宋体" w:eastAsia="宋体" w:cs="宋体"/>
          <w:bCs/>
          <w:color w:val="auto"/>
          <w:spacing w:val="-6"/>
          <w:highlight w:val="none"/>
        </w:rPr>
        <w:t>、浙江五石工程咨询有限公司</w:t>
      </w:r>
      <w:r>
        <w:rPr>
          <w:rFonts w:hint="eastAsia" w:ascii="宋体" w:hAnsi="宋体" w:eastAsia="宋体" w:cs="宋体"/>
          <w:color w:val="auto"/>
          <w:spacing w:val="-6"/>
          <w:highlight w:val="none"/>
        </w:rPr>
        <w:t>：</w:t>
      </w:r>
    </w:p>
    <w:p>
      <w:pPr>
        <w:ind w:firstLine="480" w:firstLineChars="200"/>
        <w:rPr>
          <w:rFonts w:hint="eastAsia" w:ascii="宋体" w:hAnsi="宋体" w:eastAsia="宋体" w:cs="宋体"/>
          <w:b w:val="0"/>
          <w:color w:val="auto"/>
          <w:kern w:val="0"/>
          <w:sz w:val="24"/>
          <w:highlight w:val="none"/>
          <w:lang w:val="zh-CN"/>
        </w:rPr>
      </w:pPr>
      <w:bookmarkStart w:id="169" w:name="_Toc32310"/>
      <w:bookmarkStart w:id="170" w:name="_Toc18686"/>
      <w:r>
        <w:rPr>
          <w:rFonts w:hint="eastAsia" w:ascii="宋体" w:hAnsi="宋体" w:eastAsia="宋体" w:cs="宋体"/>
          <w:b w:val="0"/>
          <w:color w:val="auto"/>
          <w:kern w:val="0"/>
          <w:sz w:val="24"/>
          <w:highlight w:val="none"/>
          <w:lang w:val="zh-CN"/>
        </w:rPr>
        <w:t>按招标文件要求，我方（</w:t>
      </w:r>
      <w:r>
        <w:rPr>
          <w:rFonts w:hint="eastAsia" w:ascii="宋体" w:hAnsi="宋体" w:eastAsia="宋体" w:cs="宋体"/>
          <w:b w:val="0"/>
          <w:color w:val="auto"/>
          <w:kern w:val="0"/>
          <w:sz w:val="24"/>
          <w:highlight w:val="none"/>
        </w:rPr>
        <w:t>投标人</w:t>
      </w:r>
      <w:r>
        <w:rPr>
          <w:rFonts w:hint="eastAsia" w:ascii="宋体" w:hAnsi="宋体" w:eastAsia="宋体" w:cs="宋体"/>
          <w:b w:val="0"/>
          <w:color w:val="auto"/>
          <w:kern w:val="0"/>
          <w:sz w:val="24"/>
          <w:highlight w:val="none"/>
          <w:lang w:val="zh-CN"/>
        </w:rPr>
        <w:t>）承诺按照如下开标一览表的价格完成[</w:t>
      </w:r>
      <w:r>
        <w:rPr>
          <w:rFonts w:hint="eastAsia" w:ascii="宋体" w:hAnsi="宋体" w:eastAsia="宋体" w:cs="宋体"/>
          <w:b w:val="0"/>
          <w:color w:val="auto"/>
          <w:kern w:val="0"/>
          <w:sz w:val="24"/>
          <w:highlight w:val="none"/>
        </w:rPr>
        <w:t>项目</w:t>
      </w:r>
      <w:r>
        <w:rPr>
          <w:rFonts w:hint="eastAsia" w:ascii="宋体" w:hAnsi="宋体" w:eastAsia="宋体" w:cs="宋体"/>
          <w:b w:val="0"/>
          <w:color w:val="auto"/>
          <w:kern w:val="0"/>
          <w:sz w:val="24"/>
          <w:highlight w:val="none"/>
          <w:lang w:val="zh-CN"/>
        </w:rPr>
        <w:t>编号：</w:t>
      </w:r>
      <w:r>
        <w:rPr>
          <w:rFonts w:hint="eastAsia" w:ascii="宋体" w:hAnsi="宋体" w:eastAsia="宋体" w:cs="宋体"/>
          <w:b w:val="0"/>
          <w:color w:val="auto"/>
          <w:kern w:val="0"/>
          <w:sz w:val="24"/>
          <w:highlight w:val="none"/>
          <w:u w:val="single"/>
        </w:rPr>
        <w:t xml:space="preserve">       </w:t>
      </w:r>
      <w:r>
        <w:rPr>
          <w:rFonts w:hint="eastAsia" w:ascii="宋体" w:hAnsi="宋体" w:eastAsia="宋体" w:cs="宋体"/>
          <w:b w:val="0"/>
          <w:color w:val="auto"/>
          <w:kern w:val="0"/>
          <w:sz w:val="24"/>
          <w:highlight w:val="none"/>
          <w:lang w:val="zh-CN"/>
        </w:rPr>
        <w:t>]项目名称：</w:t>
      </w:r>
      <w:r>
        <w:rPr>
          <w:rFonts w:hint="eastAsia" w:ascii="宋体" w:hAnsi="宋体" w:eastAsia="宋体" w:cs="宋体"/>
          <w:b w:val="0"/>
          <w:color w:val="auto"/>
          <w:sz w:val="24"/>
          <w:highlight w:val="none"/>
          <w:u w:val="single"/>
        </w:rPr>
        <w:t xml:space="preserve">      </w:t>
      </w:r>
      <w:r>
        <w:rPr>
          <w:rFonts w:hint="eastAsia" w:ascii="宋体" w:hAnsi="宋体" w:eastAsia="宋体" w:cs="宋体"/>
          <w:b w:val="0"/>
          <w:color w:val="auto"/>
          <w:kern w:val="0"/>
          <w:sz w:val="24"/>
          <w:highlight w:val="none"/>
          <w:lang w:val="zh-CN"/>
        </w:rPr>
        <w:t>]标项：</w:t>
      </w:r>
      <w:r>
        <w:rPr>
          <w:rFonts w:hint="eastAsia" w:ascii="宋体" w:hAnsi="宋体" w:eastAsia="宋体" w:cs="宋体"/>
          <w:b w:val="0"/>
          <w:color w:val="auto"/>
          <w:kern w:val="0"/>
          <w:sz w:val="24"/>
          <w:highlight w:val="none"/>
          <w:u w:val="single"/>
        </w:rPr>
        <w:t xml:space="preserve">     </w:t>
      </w:r>
      <w:r>
        <w:rPr>
          <w:rFonts w:hint="eastAsia" w:ascii="宋体" w:hAnsi="宋体" w:eastAsia="宋体" w:cs="宋体"/>
          <w:b w:val="0"/>
          <w:color w:val="auto"/>
          <w:kern w:val="0"/>
          <w:sz w:val="24"/>
          <w:highlight w:val="none"/>
          <w:lang w:val="zh-CN"/>
        </w:rPr>
        <w:t>的</w:t>
      </w:r>
      <w:r>
        <w:rPr>
          <w:rFonts w:hint="eastAsia" w:ascii="宋体" w:hAnsi="宋体" w:eastAsia="宋体" w:cs="宋体"/>
          <w:b w:val="0"/>
          <w:color w:val="auto"/>
          <w:kern w:val="0"/>
          <w:sz w:val="24"/>
          <w:highlight w:val="none"/>
        </w:rPr>
        <w:t>内容</w:t>
      </w:r>
      <w:r>
        <w:rPr>
          <w:rFonts w:hint="eastAsia" w:ascii="宋体" w:hAnsi="宋体" w:eastAsia="宋体" w:cs="宋体"/>
          <w:b w:val="0"/>
          <w:color w:val="auto"/>
          <w:kern w:val="0"/>
          <w:sz w:val="24"/>
          <w:highlight w:val="none"/>
          <w:lang w:val="zh-CN"/>
        </w:rPr>
        <w:t>实施。</w:t>
      </w:r>
      <w:bookmarkEnd w:id="169"/>
      <w:bookmarkEnd w:id="170"/>
    </w:p>
    <w:p>
      <w:pPr>
        <w:jc w:val="right"/>
        <w:rPr>
          <w:rFonts w:hint="eastAsia" w:ascii="宋体" w:hAnsi="宋体" w:eastAsia="宋体" w:cs="宋体"/>
          <w:b/>
          <w:bCs/>
          <w:color w:val="auto"/>
          <w:highlight w:val="none"/>
        </w:rPr>
      </w:pPr>
    </w:p>
    <w:p>
      <w:pPr>
        <w:jc w:val="right"/>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rPr>
        <w:t>金额单位：</w:t>
      </w:r>
      <w:r>
        <w:rPr>
          <w:rFonts w:hint="eastAsia" w:cs="宋体"/>
          <w:b/>
          <w:bCs/>
          <w:color w:val="auto"/>
          <w:highlight w:val="none"/>
          <w:lang w:eastAsia="zh-CN"/>
        </w:rPr>
        <w:t>元</w:t>
      </w:r>
    </w:p>
    <w:tbl>
      <w:tblPr>
        <w:tblStyle w:val="46"/>
        <w:tblW w:w="954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3247"/>
        <w:gridCol w:w="5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8" w:hRule="atLeast"/>
        </w:trPr>
        <w:tc>
          <w:tcPr>
            <w:tcW w:w="1080"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标项号</w:t>
            </w:r>
          </w:p>
        </w:tc>
        <w:tc>
          <w:tcPr>
            <w:tcW w:w="3247"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产品名称</w:t>
            </w:r>
          </w:p>
        </w:tc>
        <w:tc>
          <w:tcPr>
            <w:tcW w:w="5213"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cs="宋体"/>
                <w:color w:val="auto"/>
                <w:sz w:val="24"/>
                <w:szCs w:val="24"/>
                <w:highlight w:val="none"/>
                <w:lang w:val="en-US" w:eastAsia="zh-CN"/>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5" w:hRule="atLeast"/>
        </w:trPr>
        <w:tc>
          <w:tcPr>
            <w:tcW w:w="1080"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p>
        </w:tc>
        <w:tc>
          <w:tcPr>
            <w:tcW w:w="3247"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p>
        </w:tc>
        <w:tc>
          <w:tcPr>
            <w:tcW w:w="5213" w:type="dxa"/>
            <w:vAlign w:val="center"/>
          </w:tcPr>
          <w:p>
            <w:pPr>
              <w:spacing w:line="360" w:lineRule="auto"/>
              <w:ind w:left="0" w:leftChars="0" w:firstLine="0" w:firstLineChars="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080" w:type="dxa"/>
            <w:vAlign w:val="top"/>
          </w:tcPr>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w:t>
            </w:r>
          </w:p>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w:t>
            </w:r>
          </w:p>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w:t>
            </w:r>
          </w:p>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申</w:t>
            </w:r>
          </w:p>
          <w:p>
            <w:pPr>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明</w:t>
            </w:r>
          </w:p>
        </w:tc>
        <w:tc>
          <w:tcPr>
            <w:tcW w:w="8460" w:type="dxa"/>
            <w:gridSpan w:val="2"/>
            <w:vAlign w:val="top"/>
          </w:tcPr>
          <w:p>
            <w:pPr>
              <w:spacing w:line="360" w:lineRule="auto"/>
              <w:ind w:left="0" w:leftChars="0" w:firstLine="0" w:firstLineChars="0"/>
              <w:jc w:val="center"/>
              <w:rPr>
                <w:rFonts w:hint="eastAsia" w:ascii="宋体" w:hAnsi="宋体" w:eastAsia="宋体" w:cs="宋体"/>
                <w:color w:val="auto"/>
                <w:sz w:val="24"/>
                <w:szCs w:val="24"/>
                <w:highlight w:val="none"/>
              </w:rPr>
            </w:pPr>
          </w:p>
          <w:p>
            <w:pPr>
              <w:spacing w:line="360" w:lineRule="auto"/>
              <w:ind w:left="0" w:leftChars="0" w:firstLine="0" w:firstLineChars="0"/>
              <w:jc w:val="center"/>
              <w:rPr>
                <w:rFonts w:hint="eastAsia" w:ascii="宋体" w:hAnsi="宋体" w:eastAsia="宋体" w:cs="宋体"/>
                <w:color w:val="auto"/>
                <w:sz w:val="24"/>
                <w:szCs w:val="24"/>
                <w:highlight w:val="none"/>
              </w:rPr>
            </w:pPr>
          </w:p>
          <w:p>
            <w:pPr>
              <w:spacing w:line="360" w:lineRule="auto"/>
              <w:ind w:left="0" w:leftChars="0" w:firstLine="0" w:firstLineChars="0"/>
              <w:jc w:val="center"/>
              <w:rPr>
                <w:rFonts w:hint="eastAsia" w:ascii="宋体" w:hAnsi="宋体" w:eastAsia="宋体" w:cs="宋体"/>
                <w:color w:val="auto"/>
                <w:sz w:val="24"/>
                <w:szCs w:val="24"/>
                <w:highlight w:val="none"/>
              </w:rPr>
            </w:pPr>
          </w:p>
          <w:p>
            <w:pPr>
              <w:spacing w:line="360" w:lineRule="auto"/>
              <w:ind w:left="0" w:leftChars="0" w:firstLine="0" w:firstLineChars="0"/>
              <w:jc w:val="center"/>
              <w:rPr>
                <w:rFonts w:hint="eastAsia" w:ascii="宋体" w:hAnsi="宋体" w:eastAsia="宋体" w:cs="宋体"/>
                <w:color w:val="auto"/>
                <w:sz w:val="24"/>
                <w:szCs w:val="24"/>
                <w:highlight w:val="none"/>
              </w:rPr>
            </w:pPr>
          </w:p>
          <w:p>
            <w:pPr>
              <w:spacing w:line="360" w:lineRule="auto"/>
              <w:ind w:left="0" w:leftChars="0" w:firstLine="0" w:firstLineChars="0"/>
              <w:jc w:val="center"/>
              <w:rPr>
                <w:rFonts w:hint="eastAsia" w:ascii="宋体" w:hAnsi="宋体" w:eastAsia="宋体" w:cs="宋体"/>
                <w:color w:val="auto"/>
                <w:sz w:val="24"/>
                <w:szCs w:val="24"/>
                <w:highlight w:val="none"/>
              </w:rPr>
            </w:pPr>
          </w:p>
        </w:tc>
      </w:tr>
    </w:tbl>
    <w:p>
      <w:pPr>
        <w:rPr>
          <w:rFonts w:hint="eastAsia" w:ascii="宋体" w:hAnsi="宋体" w:eastAsia="宋体" w:cs="宋体"/>
          <w:color w:val="auto"/>
          <w:highlight w:val="none"/>
        </w:rPr>
      </w:pPr>
    </w:p>
    <w:p>
      <w:pPr>
        <w:pStyle w:val="21"/>
        <w:rPr>
          <w:rFonts w:hint="eastAsia" w:ascii="宋体" w:hAnsi="宋体" w:eastAsia="宋体" w:cs="宋体"/>
          <w:color w:val="auto"/>
          <w:highlight w:val="none"/>
          <w:lang w:val="zh-CN"/>
        </w:rPr>
      </w:pPr>
    </w:p>
    <w:p>
      <w:pPr>
        <w:bidi w:val="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法定代表人或其授权代表（签字）：</w:t>
      </w:r>
    </w:p>
    <w:p>
      <w:pPr>
        <w:bidi w:val="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ind w:firstLine="480"/>
        <w:rPr>
          <w:rFonts w:hint="eastAsia" w:ascii="宋体" w:hAnsi="宋体" w:eastAsia="宋体" w:cs="宋体"/>
          <w:color w:val="auto"/>
          <w:highlight w:val="none"/>
          <w:lang w:val="zh-CN"/>
        </w:rPr>
      </w:pPr>
    </w:p>
    <w:p>
      <w:pPr>
        <w:pStyle w:val="21"/>
        <w:rPr>
          <w:rFonts w:hint="eastAsia" w:ascii="宋体" w:hAnsi="宋体" w:eastAsia="宋体" w:cs="宋体"/>
          <w:color w:val="auto"/>
          <w:highlight w:val="none"/>
          <w:lang w:val="zh-CN"/>
        </w:rPr>
      </w:pPr>
    </w:p>
    <w:p>
      <w:pPr>
        <w:pStyle w:val="21"/>
        <w:rPr>
          <w:rFonts w:hint="eastAsia" w:ascii="宋体" w:hAnsi="宋体" w:eastAsia="宋体" w:cs="宋体"/>
          <w:color w:val="auto"/>
          <w:highlight w:val="none"/>
          <w:lang w:val="zh-CN"/>
        </w:rPr>
      </w:pPr>
    </w:p>
    <w:p>
      <w:pPr>
        <w:pStyle w:val="21"/>
        <w:rPr>
          <w:rFonts w:hint="eastAsia" w:ascii="宋体" w:hAnsi="宋体" w:eastAsia="宋体" w:cs="宋体"/>
          <w:color w:val="auto"/>
          <w:highlight w:val="none"/>
          <w:lang w:val="zh-CN"/>
        </w:rPr>
      </w:pPr>
    </w:p>
    <w:p>
      <w:pPr>
        <w:pStyle w:val="21"/>
        <w:rPr>
          <w:rFonts w:hint="eastAsia" w:ascii="宋体" w:hAnsi="宋体" w:eastAsia="宋体" w:cs="宋体"/>
          <w:color w:val="auto"/>
          <w:highlight w:val="none"/>
          <w:lang w:val="zh-CN"/>
        </w:rPr>
      </w:pPr>
    </w:p>
    <w:p>
      <w:pPr>
        <w:pStyle w:val="21"/>
        <w:rPr>
          <w:rFonts w:hint="eastAsia" w:ascii="宋体" w:hAnsi="宋体" w:eastAsia="宋体" w:cs="宋体"/>
          <w:color w:val="auto"/>
          <w:highlight w:val="none"/>
          <w:lang w:val="zh-CN"/>
        </w:rPr>
      </w:pPr>
    </w:p>
    <w:p>
      <w:pPr>
        <w:pStyle w:val="10"/>
        <w:ind w:left="0" w:leftChars="0" w:firstLine="0" w:firstLineChars="0"/>
        <w:rPr>
          <w:rFonts w:hint="eastAsia" w:ascii="宋体" w:hAnsi="宋体" w:eastAsia="宋体" w:cs="宋体"/>
          <w:bCs/>
          <w:color w:val="auto"/>
          <w:spacing w:val="-6"/>
          <w:highlight w:val="none"/>
        </w:rPr>
      </w:pPr>
    </w:p>
    <w:p>
      <w:pPr>
        <w:pStyle w:val="4"/>
        <w:numPr>
          <w:ilvl w:val="0"/>
          <w:numId w:val="40"/>
        </w:numPr>
        <w:bidi w:val="0"/>
        <w:rPr>
          <w:rFonts w:hint="eastAsia" w:ascii="宋体" w:hAnsi="宋体" w:eastAsia="宋体" w:cs="宋体"/>
          <w:color w:val="auto"/>
          <w:highlight w:val="none"/>
          <w:lang w:val="en-US" w:eastAsia="zh-CN"/>
        </w:rPr>
        <w:sectPr>
          <w:footerReference r:id="rId18" w:type="default"/>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0"/>
        </w:numPr>
        <w:bidi w:val="0"/>
        <w:jc w:val="left"/>
        <w:rPr>
          <w:rFonts w:hint="eastAsia" w:ascii="宋体" w:hAnsi="宋体" w:eastAsia="宋体" w:cs="宋体"/>
          <w:color w:val="auto"/>
          <w:highlight w:val="none"/>
          <w:lang w:val="en-US" w:eastAsia="zh-CN"/>
        </w:rPr>
      </w:pPr>
      <w:bookmarkStart w:id="171" w:name="_Toc9524"/>
      <w:bookmarkStart w:id="172" w:name="_Toc8480"/>
      <w:r>
        <w:rPr>
          <w:rFonts w:hint="eastAsia" w:ascii="宋体" w:hAnsi="宋体" w:eastAsia="宋体" w:cs="宋体"/>
          <w:color w:val="auto"/>
          <w:highlight w:val="none"/>
          <w:lang w:val="en-US" w:eastAsia="zh-CN"/>
        </w:rPr>
        <w:t>投标分项报价表</w:t>
      </w:r>
    </w:p>
    <w:p>
      <w:pPr>
        <w:spacing w:line="400" w:lineRule="exact"/>
        <w:ind w:firstLine="482"/>
        <w:jc w:val="center"/>
        <w:rPr>
          <w:rFonts w:hint="eastAsia" w:cs="宋体"/>
          <w:b/>
        </w:rPr>
      </w:pPr>
      <w:r>
        <w:rPr>
          <w:rFonts w:hint="eastAsia" w:cs="宋体"/>
          <w:b/>
        </w:rPr>
        <w:t>投标分项报价表</w:t>
      </w:r>
    </w:p>
    <w:p>
      <w:pPr>
        <w:spacing w:line="460" w:lineRule="exact"/>
        <w:ind w:firstLine="480"/>
        <w:rPr>
          <w:rFonts w:hint="eastAsia"/>
          <w:sz w:val="30"/>
        </w:rPr>
      </w:pPr>
      <w:r>
        <w:rPr>
          <w:rFonts w:hint="eastAsia"/>
        </w:rPr>
        <w:t>招标项目名称：</w:t>
      </w:r>
      <w:r>
        <w:rPr>
          <w:u w:val="single"/>
        </w:rPr>
        <w:t>_______</w:t>
      </w:r>
      <w:r>
        <w:rPr>
          <w:rFonts w:hint="eastAsia"/>
          <w:u w:val="single"/>
        </w:rPr>
        <w:t xml:space="preserve">               </w:t>
      </w:r>
      <w:r>
        <w:rPr>
          <w:rFonts w:hint="eastAsia"/>
          <w:spacing w:val="14"/>
        </w:rPr>
        <w:t>招标编号</w:t>
      </w:r>
      <w:r>
        <w:rPr>
          <w:rFonts w:hint="eastAsia"/>
        </w:rPr>
        <w:t>：</w:t>
      </w:r>
      <w:r>
        <w:rPr>
          <w:u w:val="single"/>
        </w:rPr>
        <w:t>_____</w:t>
      </w:r>
      <w:r>
        <w:rPr>
          <w:rFonts w:hint="eastAsia"/>
          <w:u w:val="single"/>
        </w:rPr>
        <w:t xml:space="preserve">                </w:t>
      </w:r>
      <w:r>
        <w:rPr>
          <w:rFonts w:hint="eastAsia"/>
        </w:rPr>
        <w:t xml:space="preserve">               </w:t>
      </w:r>
      <w:r>
        <w:t>（</w:t>
      </w:r>
      <w:r>
        <w:rPr>
          <w:rFonts w:hint="eastAsia"/>
        </w:rPr>
        <w:t>人民币：元）</w:t>
      </w:r>
    </w:p>
    <w:tbl>
      <w:tblPr>
        <w:tblStyle w:val="46"/>
        <w:tblW w:w="15821" w:type="dxa"/>
        <w:tblInd w:w="-10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2040"/>
        <w:gridCol w:w="1050"/>
        <w:gridCol w:w="840"/>
        <w:gridCol w:w="840"/>
        <w:gridCol w:w="1155"/>
        <w:gridCol w:w="1155"/>
        <w:gridCol w:w="1155"/>
        <w:gridCol w:w="1155"/>
        <w:gridCol w:w="1076"/>
        <w:gridCol w:w="1050"/>
        <w:gridCol w:w="1234"/>
        <w:gridCol w:w="1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5" w:hRule="atLeast"/>
        </w:trPr>
        <w:tc>
          <w:tcPr>
            <w:tcW w:w="735" w:type="dxa"/>
            <w:vMerge w:val="restart"/>
            <w:vAlign w:val="center"/>
          </w:tcPr>
          <w:p>
            <w:pPr>
              <w:spacing w:line="460" w:lineRule="exact"/>
              <w:ind w:firstLine="0" w:firstLineChars="0"/>
              <w:jc w:val="center"/>
              <w:rPr>
                <w:rFonts w:hint="eastAsia"/>
                <w:szCs w:val="21"/>
              </w:rPr>
            </w:pPr>
            <w:r>
              <w:rPr>
                <w:rFonts w:hint="eastAsia"/>
                <w:szCs w:val="21"/>
              </w:rPr>
              <w:t>序号</w:t>
            </w:r>
          </w:p>
        </w:tc>
        <w:tc>
          <w:tcPr>
            <w:tcW w:w="1260" w:type="dxa"/>
            <w:vMerge w:val="restart"/>
            <w:vAlign w:val="center"/>
          </w:tcPr>
          <w:p>
            <w:pPr>
              <w:spacing w:line="460" w:lineRule="exact"/>
              <w:ind w:firstLine="0" w:firstLineChars="0"/>
              <w:jc w:val="center"/>
              <w:rPr>
                <w:rFonts w:hint="eastAsia"/>
                <w:szCs w:val="21"/>
              </w:rPr>
            </w:pPr>
            <w:r>
              <w:rPr>
                <w:rFonts w:hint="eastAsia"/>
                <w:szCs w:val="21"/>
              </w:rPr>
              <w:t>产品名称</w:t>
            </w:r>
          </w:p>
        </w:tc>
        <w:tc>
          <w:tcPr>
            <w:tcW w:w="2040" w:type="dxa"/>
            <w:vMerge w:val="restart"/>
            <w:vAlign w:val="center"/>
          </w:tcPr>
          <w:p>
            <w:pPr>
              <w:spacing w:line="460" w:lineRule="exact"/>
              <w:ind w:firstLine="0" w:firstLineChars="0"/>
              <w:jc w:val="center"/>
              <w:rPr>
                <w:rFonts w:hint="eastAsia"/>
                <w:szCs w:val="21"/>
              </w:rPr>
            </w:pPr>
            <w:r>
              <w:rPr>
                <w:rFonts w:hint="eastAsia"/>
                <w:szCs w:val="21"/>
              </w:rPr>
              <w:t>品牌、规格及型号</w:t>
            </w:r>
          </w:p>
        </w:tc>
        <w:tc>
          <w:tcPr>
            <w:tcW w:w="1050" w:type="dxa"/>
            <w:vMerge w:val="restart"/>
            <w:vAlign w:val="center"/>
          </w:tcPr>
          <w:p>
            <w:pPr>
              <w:spacing w:line="460" w:lineRule="exact"/>
              <w:ind w:firstLine="0" w:firstLineChars="0"/>
              <w:jc w:val="center"/>
              <w:rPr>
                <w:rFonts w:hint="eastAsia"/>
                <w:szCs w:val="21"/>
              </w:rPr>
            </w:pPr>
            <w:r>
              <w:rPr>
                <w:rFonts w:hint="eastAsia"/>
                <w:szCs w:val="21"/>
              </w:rPr>
              <w:t>产地</w:t>
            </w:r>
          </w:p>
        </w:tc>
        <w:tc>
          <w:tcPr>
            <w:tcW w:w="840" w:type="dxa"/>
            <w:vMerge w:val="restart"/>
            <w:vAlign w:val="center"/>
          </w:tcPr>
          <w:p>
            <w:pPr>
              <w:spacing w:line="460" w:lineRule="exact"/>
              <w:ind w:firstLine="0" w:firstLineChars="0"/>
              <w:jc w:val="center"/>
              <w:rPr>
                <w:rFonts w:hint="eastAsia"/>
                <w:szCs w:val="21"/>
              </w:rPr>
            </w:pPr>
            <w:r>
              <w:rPr>
                <w:rFonts w:hint="eastAsia"/>
                <w:szCs w:val="21"/>
              </w:rPr>
              <w:t>数量单位</w:t>
            </w:r>
          </w:p>
        </w:tc>
        <w:tc>
          <w:tcPr>
            <w:tcW w:w="840" w:type="dxa"/>
            <w:vMerge w:val="restart"/>
            <w:vAlign w:val="center"/>
          </w:tcPr>
          <w:p>
            <w:pPr>
              <w:spacing w:line="460" w:lineRule="exact"/>
              <w:ind w:firstLine="0" w:firstLineChars="0"/>
              <w:jc w:val="center"/>
              <w:rPr>
                <w:rFonts w:hint="eastAsia"/>
                <w:szCs w:val="21"/>
              </w:rPr>
            </w:pPr>
            <w:r>
              <w:rPr>
                <w:rFonts w:hint="eastAsia"/>
                <w:szCs w:val="21"/>
              </w:rPr>
              <w:t>数量</w:t>
            </w:r>
          </w:p>
        </w:tc>
        <w:tc>
          <w:tcPr>
            <w:tcW w:w="1155" w:type="dxa"/>
            <w:vMerge w:val="restart"/>
            <w:vAlign w:val="center"/>
          </w:tcPr>
          <w:p>
            <w:pPr>
              <w:spacing w:line="460" w:lineRule="exact"/>
              <w:ind w:firstLine="0" w:firstLineChars="0"/>
              <w:jc w:val="center"/>
              <w:rPr>
                <w:rFonts w:hint="eastAsia"/>
                <w:szCs w:val="21"/>
              </w:rPr>
            </w:pPr>
            <w:r>
              <w:rPr>
                <w:rFonts w:hint="eastAsia"/>
                <w:szCs w:val="21"/>
              </w:rPr>
              <w:t>投标单价</w:t>
            </w:r>
          </w:p>
        </w:tc>
        <w:tc>
          <w:tcPr>
            <w:tcW w:w="1155" w:type="dxa"/>
            <w:vMerge w:val="restart"/>
            <w:vAlign w:val="center"/>
          </w:tcPr>
          <w:p>
            <w:pPr>
              <w:spacing w:line="460" w:lineRule="exact"/>
              <w:ind w:firstLine="0" w:firstLineChars="0"/>
              <w:jc w:val="center"/>
              <w:rPr>
                <w:rFonts w:hint="eastAsia"/>
                <w:szCs w:val="21"/>
              </w:rPr>
            </w:pPr>
            <w:r>
              <w:rPr>
                <w:rFonts w:hint="eastAsia"/>
                <w:szCs w:val="21"/>
              </w:rPr>
              <w:t>投标总价</w:t>
            </w:r>
          </w:p>
        </w:tc>
        <w:tc>
          <w:tcPr>
            <w:tcW w:w="6746" w:type="dxa"/>
            <w:gridSpan w:val="6"/>
            <w:vAlign w:val="center"/>
          </w:tcPr>
          <w:p>
            <w:pPr>
              <w:spacing w:line="460" w:lineRule="exact"/>
              <w:ind w:firstLine="0" w:firstLineChars="0"/>
              <w:jc w:val="center"/>
              <w:rPr>
                <w:rFonts w:hint="eastAsia"/>
                <w:szCs w:val="21"/>
              </w:rPr>
            </w:pPr>
            <w:r>
              <w:rPr>
                <w:rFonts w:hint="eastAsia"/>
                <w:szCs w:val="21"/>
              </w:rPr>
              <w:t>投标总价组成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19" w:hRule="atLeast"/>
        </w:trPr>
        <w:tc>
          <w:tcPr>
            <w:tcW w:w="735" w:type="dxa"/>
            <w:vMerge w:val="continue"/>
            <w:vAlign w:val="center"/>
          </w:tcPr>
          <w:p>
            <w:pPr>
              <w:spacing w:line="460" w:lineRule="exact"/>
              <w:ind w:firstLine="0" w:firstLineChars="0"/>
              <w:jc w:val="center"/>
              <w:rPr>
                <w:rFonts w:hint="eastAsia"/>
                <w:szCs w:val="21"/>
              </w:rPr>
            </w:pPr>
          </w:p>
        </w:tc>
        <w:tc>
          <w:tcPr>
            <w:tcW w:w="1260" w:type="dxa"/>
            <w:vMerge w:val="continue"/>
            <w:vAlign w:val="center"/>
          </w:tcPr>
          <w:p>
            <w:pPr>
              <w:spacing w:line="460" w:lineRule="exact"/>
              <w:ind w:firstLine="0" w:firstLineChars="0"/>
              <w:jc w:val="center"/>
              <w:rPr>
                <w:rFonts w:hint="eastAsia"/>
                <w:szCs w:val="21"/>
              </w:rPr>
            </w:pPr>
          </w:p>
        </w:tc>
        <w:tc>
          <w:tcPr>
            <w:tcW w:w="2040" w:type="dxa"/>
            <w:vMerge w:val="continue"/>
            <w:vAlign w:val="center"/>
          </w:tcPr>
          <w:p>
            <w:pPr>
              <w:spacing w:line="460" w:lineRule="exact"/>
              <w:ind w:firstLine="0" w:firstLineChars="0"/>
              <w:jc w:val="center"/>
              <w:rPr>
                <w:rFonts w:hint="eastAsia"/>
                <w:szCs w:val="21"/>
              </w:rPr>
            </w:pPr>
          </w:p>
        </w:tc>
        <w:tc>
          <w:tcPr>
            <w:tcW w:w="1050" w:type="dxa"/>
            <w:vMerge w:val="continue"/>
            <w:vAlign w:val="top"/>
          </w:tcPr>
          <w:p>
            <w:pPr>
              <w:spacing w:line="460" w:lineRule="exact"/>
              <w:ind w:firstLine="0" w:firstLineChars="0"/>
              <w:jc w:val="center"/>
              <w:rPr>
                <w:rFonts w:hint="eastAsia"/>
                <w:szCs w:val="21"/>
              </w:rPr>
            </w:pPr>
          </w:p>
        </w:tc>
        <w:tc>
          <w:tcPr>
            <w:tcW w:w="840" w:type="dxa"/>
            <w:vMerge w:val="continue"/>
            <w:vAlign w:val="center"/>
          </w:tcPr>
          <w:p>
            <w:pPr>
              <w:spacing w:line="460" w:lineRule="exact"/>
              <w:ind w:firstLine="0" w:firstLineChars="0"/>
              <w:jc w:val="center"/>
              <w:rPr>
                <w:rFonts w:hint="eastAsia"/>
                <w:szCs w:val="21"/>
              </w:rPr>
            </w:pPr>
          </w:p>
        </w:tc>
        <w:tc>
          <w:tcPr>
            <w:tcW w:w="840" w:type="dxa"/>
            <w:vMerge w:val="continue"/>
            <w:vAlign w:val="center"/>
          </w:tcPr>
          <w:p>
            <w:pPr>
              <w:spacing w:line="460" w:lineRule="exact"/>
              <w:ind w:firstLine="0" w:firstLineChars="0"/>
              <w:jc w:val="center"/>
              <w:rPr>
                <w:rFonts w:hint="eastAsia"/>
                <w:szCs w:val="21"/>
              </w:rPr>
            </w:pPr>
          </w:p>
        </w:tc>
        <w:tc>
          <w:tcPr>
            <w:tcW w:w="1155" w:type="dxa"/>
            <w:vMerge w:val="continue"/>
            <w:vAlign w:val="top"/>
          </w:tcPr>
          <w:p>
            <w:pPr>
              <w:spacing w:line="460" w:lineRule="exact"/>
              <w:ind w:firstLine="0" w:firstLineChars="0"/>
              <w:jc w:val="center"/>
              <w:rPr>
                <w:rFonts w:hint="eastAsia"/>
                <w:szCs w:val="21"/>
              </w:rPr>
            </w:pPr>
          </w:p>
        </w:tc>
        <w:tc>
          <w:tcPr>
            <w:tcW w:w="1155" w:type="dxa"/>
            <w:vMerge w:val="continue"/>
            <w:vAlign w:val="center"/>
          </w:tcPr>
          <w:p>
            <w:pPr>
              <w:spacing w:line="460" w:lineRule="exact"/>
              <w:ind w:firstLine="0" w:firstLineChars="0"/>
              <w:jc w:val="center"/>
              <w:rPr>
                <w:rFonts w:hint="eastAsia"/>
                <w:szCs w:val="21"/>
              </w:rPr>
            </w:pPr>
          </w:p>
        </w:tc>
        <w:tc>
          <w:tcPr>
            <w:tcW w:w="1155" w:type="dxa"/>
            <w:vAlign w:val="center"/>
          </w:tcPr>
          <w:p>
            <w:pPr>
              <w:spacing w:line="460" w:lineRule="exact"/>
              <w:ind w:firstLine="0" w:firstLineChars="0"/>
              <w:jc w:val="center"/>
              <w:rPr>
                <w:rFonts w:hint="eastAsia"/>
                <w:szCs w:val="21"/>
              </w:rPr>
            </w:pPr>
            <w:r>
              <w:rPr>
                <w:rFonts w:hint="eastAsia"/>
                <w:szCs w:val="21"/>
              </w:rPr>
              <w:t>产品总价</w:t>
            </w:r>
          </w:p>
        </w:tc>
        <w:tc>
          <w:tcPr>
            <w:tcW w:w="1155" w:type="dxa"/>
            <w:vAlign w:val="top"/>
          </w:tcPr>
          <w:p>
            <w:pPr>
              <w:spacing w:line="460" w:lineRule="exact"/>
              <w:ind w:firstLine="0" w:firstLineChars="0"/>
              <w:jc w:val="center"/>
              <w:rPr>
                <w:rFonts w:hint="eastAsia"/>
                <w:szCs w:val="21"/>
              </w:rPr>
            </w:pPr>
            <w:r>
              <w:rPr>
                <w:rFonts w:hint="eastAsia"/>
                <w:szCs w:val="21"/>
              </w:rPr>
              <w:t>备品备件费</w:t>
            </w:r>
          </w:p>
        </w:tc>
        <w:tc>
          <w:tcPr>
            <w:tcW w:w="1076" w:type="dxa"/>
            <w:vAlign w:val="top"/>
          </w:tcPr>
          <w:p>
            <w:pPr>
              <w:spacing w:line="460" w:lineRule="exact"/>
              <w:ind w:firstLine="0" w:firstLineChars="0"/>
              <w:jc w:val="center"/>
              <w:rPr>
                <w:rFonts w:hint="eastAsia"/>
                <w:szCs w:val="21"/>
              </w:rPr>
            </w:pPr>
            <w:r>
              <w:rPr>
                <w:rFonts w:hint="eastAsia"/>
                <w:szCs w:val="21"/>
              </w:rPr>
              <w:t>专用工具费</w:t>
            </w:r>
          </w:p>
        </w:tc>
        <w:tc>
          <w:tcPr>
            <w:tcW w:w="1050" w:type="dxa"/>
            <w:vAlign w:val="center"/>
          </w:tcPr>
          <w:p>
            <w:pPr>
              <w:spacing w:line="460" w:lineRule="exact"/>
              <w:ind w:firstLine="0" w:firstLineChars="0"/>
              <w:jc w:val="center"/>
              <w:rPr>
                <w:rFonts w:hint="eastAsia"/>
                <w:szCs w:val="21"/>
              </w:rPr>
            </w:pPr>
            <w:r>
              <w:rPr>
                <w:rFonts w:hint="eastAsia"/>
                <w:szCs w:val="21"/>
              </w:rPr>
              <w:t>安装调试费</w:t>
            </w:r>
          </w:p>
        </w:tc>
        <w:tc>
          <w:tcPr>
            <w:tcW w:w="1234" w:type="dxa"/>
            <w:vAlign w:val="center"/>
          </w:tcPr>
          <w:p>
            <w:pPr>
              <w:spacing w:line="460" w:lineRule="exact"/>
              <w:ind w:firstLine="0" w:firstLineChars="0"/>
              <w:jc w:val="center"/>
              <w:rPr>
                <w:rFonts w:hint="eastAsia"/>
                <w:szCs w:val="21"/>
              </w:rPr>
            </w:pPr>
            <w:r>
              <w:rPr>
                <w:rFonts w:hint="eastAsia"/>
                <w:szCs w:val="21"/>
              </w:rPr>
              <w:t>技术服务培训费</w:t>
            </w:r>
          </w:p>
        </w:tc>
        <w:tc>
          <w:tcPr>
            <w:tcW w:w="1076" w:type="dxa"/>
            <w:tcBorders>
              <w:bottom w:val="single" w:color="auto" w:sz="4" w:space="0"/>
            </w:tcBorders>
            <w:vAlign w:val="center"/>
          </w:tcPr>
          <w:p>
            <w:pPr>
              <w:spacing w:line="460" w:lineRule="exact"/>
              <w:ind w:firstLine="0" w:firstLineChars="0"/>
              <w:jc w:val="center"/>
              <w:rPr>
                <w:rFonts w:hint="eastAsia"/>
                <w:szCs w:val="21"/>
              </w:rPr>
            </w:pPr>
            <w:r>
              <w:rPr>
                <w:rFonts w:hint="eastAsia"/>
                <w:szCs w:val="21"/>
              </w:rPr>
              <w:t>运输保险费等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rPr>
        <w:tc>
          <w:tcPr>
            <w:tcW w:w="735" w:type="dxa"/>
            <w:vAlign w:val="center"/>
          </w:tcPr>
          <w:p>
            <w:pPr>
              <w:spacing w:line="460" w:lineRule="exact"/>
              <w:ind w:firstLine="0" w:firstLineChars="0"/>
              <w:jc w:val="center"/>
              <w:rPr>
                <w:rFonts w:hint="eastAsia"/>
                <w:szCs w:val="21"/>
              </w:rPr>
            </w:pPr>
          </w:p>
        </w:tc>
        <w:tc>
          <w:tcPr>
            <w:tcW w:w="1260" w:type="dxa"/>
            <w:vAlign w:val="center"/>
          </w:tcPr>
          <w:p>
            <w:pPr>
              <w:spacing w:line="460" w:lineRule="exact"/>
              <w:ind w:firstLine="0" w:firstLineChars="0"/>
              <w:jc w:val="center"/>
              <w:rPr>
                <w:rFonts w:hint="eastAsia"/>
                <w:szCs w:val="21"/>
              </w:rPr>
            </w:pPr>
            <w:r>
              <w:rPr>
                <w:rFonts w:hint="eastAsia"/>
                <w:szCs w:val="21"/>
              </w:rPr>
              <w:t>1</w:t>
            </w:r>
          </w:p>
        </w:tc>
        <w:tc>
          <w:tcPr>
            <w:tcW w:w="2040" w:type="dxa"/>
            <w:vAlign w:val="center"/>
          </w:tcPr>
          <w:p>
            <w:pPr>
              <w:spacing w:line="460" w:lineRule="exact"/>
              <w:ind w:firstLine="0" w:firstLineChars="0"/>
              <w:jc w:val="center"/>
              <w:rPr>
                <w:rFonts w:hint="eastAsia"/>
                <w:szCs w:val="21"/>
              </w:rPr>
            </w:pPr>
            <w:r>
              <w:rPr>
                <w:rFonts w:hint="eastAsia"/>
                <w:szCs w:val="21"/>
              </w:rPr>
              <w:t>2</w:t>
            </w:r>
          </w:p>
        </w:tc>
        <w:tc>
          <w:tcPr>
            <w:tcW w:w="1050" w:type="dxa"/>
            <w:vAlign w:val="top"/>
          </w:tcPr>
          <w:p>
            <w:pPr>
              <w:spacing w:line="460" w:lineRule="exact"/>
              <w:ind w:firstLine="0" w:firstLineChars="0"/>
              <w:jc w:val="center"/>
              <w:rPr>
                <w:rFonts w:hint="eastAsia"/>
                <w:szCs w:val="21"/>
              </w:rPr>
            </w:pPr>
            <w:r>
              <w:rPr>
                <w:rFonts w:hint="eastAsia"/>
                <w:szCs w:val="21"/>
              </w:rPr>
              <w:t>3</w:t>
            </w:r>
          </w:p>
        </w:tc>
        <w:tc>
          <w:tcPr>
            <w:tcW w:w="840" w:type="dxa"/>
            <w:vAlign w:val="center"/>
          </w:tcPr>
          <w:p>
            <w:pPr>
              <w:spacing w:line="460" w:lineRule="exact"/>
              <w:ind w:firstLine="0" w:firstLineChars="0"/>
              <w:jc w:val="center"/>
              <w:rPr>
                <w:rFonts w:hint="eastAsia"/>
                <w:szCs w:val="21"/>
              </w:rPr>
            </w:pPr>
            <w:r>
              <w:rPr>
                <w:rFonts w:hint="eastAsia"/>
                <w:szCs w:val="21"/>
              </w:rPr>
              <w:t>4</w:t>
            </w:r>
          </w:p>
        </w:tc>
        <w:tc>
          <w:tcPr>
            <w:tcW w:w="840" w:type="dxa"/>
            <w:vAlign w:val="center"/>
          </w:tcPr>
          <w:p>
            <w:pPr>
              <w:spacing w:line="460" w:lineRule="exact"/>
              <w:ind w:firstLine="0" w:firstLineChars="0"/>
              <w:jc w:val="center"/>
              <w:rPr>
                <w:rFonts w:hint="eastAsia"/>
                <w:szCs w:val="21"/>
              </w:rPr>
            </w:pPr>
            <w:r>
              <w:rPr>
                <w:rFonts w:hint="eastAsia"/>
                <w:szCs w:val="21"/>
              </w:rPr>
              <w:t>5</w:t>
            </w:r>
          </w:p>
        </w:tc>
        <w:tc>
          <w:tcPr>
            <w:tcW w:w="1155" w:type="dxa"/>
            <w:vAlign w:val="top"/>
          </w:tcPr>
          <w:p>
            <w:pPr>
              <w:spacing w:line="460" w:lineRule="exact"/>
              <w:ind w:firstLine="0" w:firstLineChars="0"/>
              <w:jc w:val="center"/>
              <w:rPr>
                <w:rFonts w:hint="eastAsia"/>
                <w:szCs w:val="21"/>
              </w:rPr>
            </w:pPr>
            <w:r>
              <w:rPr>
                <w:rFonts w:hint="eastAsia"/>
                <w:szCs w:val="21"/>
              </w:rPr>
              <w:t>6</w:t>
            </w:r>
          </w:p>
        </w:tc>
        <w:tc>
          <w:tcPr>
            <w:tcW w:w="1155" w:type="dxa"/>
            <w:vAlign w:val="center"/>
          </w:tcPr>
          <w:p>
            <w:pPr>
              <w:spacing w:line="460" w:lineRule="exact"/>
              <w:ind w:firstLine="0" w:firstLineChars="0"/>
              <w:jc w:val="center"/>
              <w:rPr>
                <w:rFonts w:hint="eastAsia"/>
                <w:szCs w:val="21"/>
              </w:rPr>
            </w:pPr>
            <w:r>
              <w:rPr>
                <w:rFonts w:hint="eastAsia"/>
                <w:szCs w:val="21"/>
              </w:rPr>
              <w:t>7</w:t>
            </w:r>
          </w:p>
        </w:tc>
        <w:tc>
          <w:tcPr>
            <w:tcW w:w="1155" w:type="dxa"/>
            <w:vAlign w:val="center"/>
          </w:tcPr>
          <w:p>
            <w:pPr>
              <w:spacing w:line="460" w:lineRule="exact"/>
              <w:ind w:firstLine="0" w:firstLineChars="0"/>
              <w:jc w:val="center"/>
              <w:rPr>
                <w:rFonts w:hint="eastAsia"/>
                <w:szCs w:val="21"/>
              </w:rPr>
            </w:pPr>
            <w:r>
              <w:rPr>
                <w:rFonts w:hint="eastAsia"/>
                <w:szCs w:val="21"/>
              </w:rPr>
              <w:t>8</w:t>
            </w:r>
          </w:p>
        </w:tc>
        <w:tc>
          <w:tcPr>
            <w:tcW w:w="1155" w:type="dxa"/>
            <w:vAlign w:val="top"/>
          </w:tcPr>
          <w:p>
            <w:pPr>
              <w:spacing w:line="460" w:lineRule="exact"/>
              <w:ind w:firstLine="0" w:firstLineChars="0"/>
              <w:jc w:val="center"/>
              <w:rPr>
                <w:rFonts w:hint="eastAsia"/>
                <w:szCs w:val="21"/>
              </w:rPr>
            </w:pPr>
            <w:r>
              <w:rPr>
                <w:rFonts w:hint="eastAsia"/>
                <w:szCs w:val="21"/>
              </w:rPr>
              <w:t>9</w:t>
            </w:r>
          </w:p>
        </w:tc>
        <w:tc>
          <w:tcPr>
            <w:tcW w:w="1076" w:type="dxa"/>
            <w:vAlign w:val="top"/>
          </w:tcPr>
          <w:p>
            <w:pPr>
              <w:spacing w:line="460" w:lineRule="exact"/>
              <w:ind w:firstLine="0" w:firstLineChars="0"/>
              <w:jc w:val="center"/>
              <w:rPr>
                <w:rFonts w:hint="eastAsia"/>
                <w:szCs w:val="21"/>
              </w:rPr>
            </w:pPr>
            <w:r>
              <w:rPr>
                <w:rFonts w:hint="eastAsia"/>
                <w:szCs w:val="21"/>
              </w:rPr>
              <w:t>10</w:t>
            </w:r>
          </w:p>
        </w:tc>
        <w:tc>
          <w:tcPr>
            <w:tcW w:w="1050" w:type="dxa"/>
            <w:vAlign w:val="center"/>
          </w:tcPr>
          <w:p>
            <w:pPr>
              <w:spacing w:line="460" w:lineRule="exact"/>
              <w:ind w:firstLine="0" w:firstLineChars="0"/>
              <w:jc w:val="center"/>
              <w:rPr>
                <w:rFonts w:hint="eastAsia"/>
                <w:szCs w:val="21"/>
              </w:rPr>
            </w:pPr>
            <w:r>
              <w:rPr>
                <w:rFonts w:hint="eastAsia"/>
                <w:szCs w:val="21"/>
              </w:rPr>
              <w:t>11</w:t>
            </w:r>
          </w:p>
        </w:tc>
        <w:tc>
          <w:tcPr>
            <w:tcW w:w="1234" w:type="dxa"/>
            <w:vAlign w:val="center"/>
          </w:tcPr>
          <w:p>
            <w:pPr>
              <w:spacing w:line="460" w:lineRule="exact"/>
              <w:ind w:firstLine="0" w:firstLineChars="0"/>
              <w:jc w:val="center"/>
              <w:rPr>
                <w:rFonts w:hint="eastAsia"/>
                <w:szCs w:val="21"/>
              </w:rPr>
            </w:pPr>
            <w:r>
              <w:rPr>
                <w:rFonts w:hint="eastAsia"/>
                <w:szCs w:val="21"/>
              </w:rPr>
              <w:t>12</w:t>
            </w:r>
          </w:p>
        </w:tc>
        <w:tc>
          <w:tcPr>
            <w:tcW w:w="1076" w:type="dxa"/>
            <w:vAlign w:val="center"/>
          </w:tcPr>
          <w:p>
            <w:pPr>
              <w:spacing w:line="460" w:lineRule="exact"/>
              <w:ind w:firstLine="0" w:firstLineChars="0"/>
              <w:jc w:val="center"/>
              <w:rPr>
                <w:rFonts w:hint="eastAsia"/>
                <w:szCs w:val="21"/>
              </w:rPr>
            </w:pPr>
            <w:r>
              <w:rPr>
                <w:rFonts w:hint="eastAsia"/>
                <w:szCs w:val="21"/>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vAlign w:val="top"/>
          </w:tcPr>
          <w:p>
            <w:pPr>
              <w:spacing w:line="460" w:lineRule="exact"/>
              <w:ind w:firstLine="600"/>
              <w:rPr>
                <w:rFonts w:hint="eastAsia"/>
                <w:sz w:val="30"/>
              </w:rPr>
            </w:pPr>
          </w:p>
        </w:tc>
        <w:tc>
          <w:tcPr>
            <w:tcW w:w="1260" w:type="dxa"/>
            <w:vAlign w:val="top"/>
          </w:tcPr>
          <w:p>
            <w:pPr>
              <w:spacing w:line="460" w:lineRule="exact"/>
              <w:ind w:firstLine="600"/>
              <w:rPr>
                <w:rFonts w:hint="eastAsia"/>
                <w:sz w:val="30"/>
              </w:rPr>
            </w:pPr>
          </w:p>
        </w:tc>
        <w:tc>
          <w:tcPr>
            <w:tcW w:w="2040"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1234"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vAlign w:val="top"/>
          </w:tcPr>
          <w:p>
            <w:pPr>
              <w:spacing w:line="460" w:lineRule="exact"/>
              <w:ind w:firstLine="600"/>
              <w:rPr>
                <w:rFonts w:hint="eastAsia"/>
                <w:sz w:val="30"/>
              </w:rPr>
            </w:pPr>
          </w:p>
        </w:tc>
        <w:tc>
          <w:tcPr>
            <w:tcW w:w="1260" w:type="dxa"/>
            <w:vAlign w:val="top"/>
          </w:tcPr>
          <w:p>
            <w:pPr>
              <w:spacing w:line="460" w:lineRule="exact"/>
              <w:ind w:firstLine="600"/>
              <w:rPr>
                <w:rFonts w:hint="eastAsia"/>
                <w:sz w:val="30"/>
              </w:rPr>
            </w:pPr>
          </w:p>
        </w:tc>
        <w:tc>
          <w:tcPr>
            <w:tcW w:w="2040"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1234"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vAlign w:val="top"/>
          </w:tcPr>
          <w:p>
            <w:pPr>
              <w:spacing w:line="460" w:lineRule="exact"/>
              <w:ind w:firstLine="600"/>
              <w:rPr>
                <w:rFonts w:hint="eastAsia"/>
                <w:sz w:val="30"/>
              </w:rPr>
            </w:pPr>
          </w:p>
        </w:tc>
        <w:tc>
          <w:tcPr>
            <w:tcW w:w="1260" w:type="dxa"/>
            <w:vAlign w:val="top"/>
          </w:tcPr>
          <w:p>
            <w:pPr>
              <w:spacing w:line="460" w:lineRule="exact"/>
              <w:ind w:firstLine="600"/>
              <w:rPr>
                <w:rFonts w:hint="eastAsia"/>
                <w:sz w:val="30"/>
              </w:rPr>
            </w:pPr>
          </w:p>
        </w:tc>
        <w:tc>
          <w:tcPr>
            <w:tcW w:w="2040"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1234"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vAlign w:val="top"/>
          </w:tcPr>
          <w:p>
            <w:pPr>
              <w:spacing w:line="460" w:lineRule="exact"/>
              <w:ind w:firstLine="600"/>
              <w:rPr>
                <w:rFonts w:hint="eastAsia"/>
                <w:sz w:val="30"/>
              </w:rPr>
            </w:pPr>
          </w:p>
        </w:tc>
        <w:tc>
          <w:tcPr>
            <w:tcW w:w="1260" w:type="dxa"/>
            <w:vAlign w:val="top"/>
          </w:tcPr>
          <w:p>
            <w:pPr>
              <w:spacing w:line="460" w:lineRule="exact"/>
              <w:ind w:firstLine="600"/>
              <w:rPr>
                <w:rFonts w:hint="eastAsia"/>
                <w:sz w:val="30"/>
              </w:rPr>
            </w:pPr>
          </w:p>
        </w:tc>
        <w:tc>
          <w:tcPr>
            <w:tcW w:w="2040"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1234"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vAlign w:val="top"/>
          </w:tcPr>
          <w:p>
            <w:pPr>
              <w:spacing w:line="460" w:lineRule="exact"/>
              <w:ind w:firstLine="600"/>
              <w:rPr>
                <w:rFonts w:hint="eastAsia"/>
                <w:sz w:val="30"/>
              </w:rPr>
            </w:pPr>
          </w:p>
        </w:tc>
        <w:tc>
          <w:tcPr>
            <w:tcW w:w="1260" w:type="dxa"/>
            <w:vAlign w:val="top"/>
          </w:tcPr>
          <w:p>
            <w:pPr>
              <w:spacing w:line="460" w:lineRule="exact"/>
              <w:ind w:firstLine="600"/>
              <w:rPr>
                <w:rFonts w:hint="eastAsia"/>
                <w:sz w:val="30"/>
              </w:rPr>
            </w:pPr>
          </w:p>
        </w:tc>
        <w:tc>
          <w:tcPr>
            <w:tcW w:w="2040"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840"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155"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c>
          <w:tcPr>
            <w:tcW w:w="1050" w:type="dxa"/>
            <w:vAlign w:val="top"/>
          </w:tcPr>
          <w:p>
            <w:pPr>
              <w:spacing w:line="460" w:lineRule="exact"/>
              <w:ind w:firstLine="600"/>
              <w:rPr>
                <w:rFonts w:hint="eastAsia"/>
                <w:sz w:val="30"/>
              </w:rPr>
            </w:pPr>
          </w:p>
        </w:tc>
        <w:tc>
          <w:tcPr>
            <w:tcW w:w="1234" w:type="dxa"/>
            <w:vAlign w:val="top"/>
          </w:tcPr>
          <w:p>
            <w:pPr>
              <w:spacing w:line="460" w:lineRule="exact"/>
              <w:ind w:firstLine="600"/>
              <w:rPr>
                <w:rFonts w:hint="eastAsia"/>
                <w:sz w:val="30"/>
              </w:rPr>
            </w:pPr>
          </w:p>
        </w:tc>
        <w:tc>
          <w:tcPr>
            <w:tcW w:w="1076" w:type="dxa"/>
            <w:vAlign w:val="top"/>
          </w:tcPr>
          <w:p>
            <w:pPr>
              <w:spacing w:line="460" w:lineRule="exact"/>
              <w:ind w:firstLine="600"/>
              <w:rPr>
                <w:rFonts w:hint="eastAsia"/>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085" w:type="dxa"/>
            <w:gridSpan w:val="4"/>
            <w:vAlign w:val="top"/>
          </w:tcPr>
          <w:p>
            <w:pPr>
              <w:spacing w:line="460" w:lineRule="exact"/>
              <w:ind w:firstLine="480"/>
              <w:rPr>
                <w:rFonts w:hint="eastAsia"/>
                <w:szCs w:val="21"/>
              </w:rPr>
            </w:pPr>
            <w:r>
              <w:rPr>
                <w:rFonts w:hint="eastAsia"/>
                <w:szCs w:val="21"/>
              </w:rPr>
              <w:t>投标总价合计：</w:t>
            </w:r>
          </w:p>
        </w:tc>
        <w:tc>
          <w:tcPr>
            <w:tcW w:w="10736" w:type="dxa"/>
            <w:gridSpan w:val="10"/>
            <w:vAlign w:val="top"/>
          </w:tcPr>
          <w:p>
            <w:pPr>
              <w:spacing w:line="460" w:lineRule="exact"/>
              <w:ind w:firstLine="600"/>
              <w:rPr>
                <w:rFonts w:hint="eastAsia"/>
                <w:sz w:val="30"/>
              </w:rPr>
            </w:pPr>
          </w:p>
        </w:tc>
      </w:tr>
    </w:tbl>
    <w:p>
      <w:pPr>
        <w:spacing w:line="440" w:lineRule="exact"/>
        <w:ind w:firstLine="480"/>
        <w:rPr>
          <w:rFonts w:hint="eastAsia"/>
          <w:i/>
          <w:iCs/>
        </w:rPr>
      </w:pPr>
    </w:p>
    <w:p>
      <w:pPr>
        <w:spacing w:line="440" w:lineRule="exact"/>
        <w:ind w:firstLine="480"/>
        <w:rPr>
          <w:rFonts w:hint="eastAsia"/>
          <w:i/>
          <w:iCs/>
        </w:rPr>
      </w:pPr>
      <w:r>
        <w:rPr>
          <w:rFonts w:hint="eastAsia"/>
          <w:i/>
          <w:iCs/>
        </w:rPr>
        <w:t>说明：  1、项7=项8+项9+项10+项11+项12+项13，项7=项6*项5；</w:t>
      </w:r>
    </w:p>
    <w:p>
      <w:pPr>
        <w:numPr>
          <w:ilvl w:val="0"/>
          <w:numId w:val="41"/>
        </w:numPr>
        <w:tabs>
          <w:tab w:val="left" w:pos="1365"/>
          <w:tab w:val="left" w:pos="1620"/>
        </w:tabs>
        <w:spacing w:line="440" w:lineRule="exact"/>
        <w:ind w:left="1365" w:firstLine="480"/>
        <w:rPr>
          <w:rFonts w:hint="eastAsia"/>
          <w:i/>
          <w:iCs/>
        </w:rPr>
      </w:pPr>
      <w:r>
        <w:rPr>
          <w:rFonts w:hint="eastAsia"/>
          <w:i/>
          <w:iCs/>
        </w:rPr>
        <w:t xml:space="preserve">“投标总价合计”应与“附件一、投标函”中第二项“投标项目的总投标价”一致。 </w:t>
      </w:r>
    </w:p>
    <w:p>
      <w:pPr>
        <w:pStyle w:val="27"/>
        <w:tabs>
          <w:tab w:val="left" w:pos="0"/>
          <w:tab w:val="left" w:pos="1260"/>
          <w:tab w:val="left" w:pos="1365"/>
        </w:tabs>
        <w:ind w:firstLine="480"/>
        <w:rPr>
          <w:rFonts w:hint="eastAsia" w:cs="宋体"/>
        </w:rPr>
      </w:pPr>
      <w:r>
        <w:rPr>
          <w:rFonts w:hint="eastAsia" w:cs="宋体"/>
          <w:szCs w:val="24"/>
        </w:rPr>
        <w:t>投标人（盖章）：                                       日  期：</w:t>
      </w:r>
    </w:p>
    <w:p>
      <w:pPr>
        <w:pStyle w:val="4"/>
        <w:numPr>
          <w:ilvl w:val="0"/>
          <w:numId w:val="40"/>
        </w:numPr>
        <w:bidi w:val="0"/>
        <w:jc w:val="left"/>
        <w:rPr>
          <w:rFonts w:hint="eastAsia" w:ascii="宋体" w:hAnsi="宋体" w:eastAsia="宋体" w:cs="宋体"/>
          <w:color w:val="auto"/>
          <w:highlight w:val="none"/>
          <w:lang w:val="en-US" w:eastAsia="zh-CN"/>
        </w:rPr>
        <w:sectPr>
          <w:pgSz w:w="16838" w:h="11906" w:orient="landscape"/>
          <w:pgMar w:top="1621" w:right="1440" w:bottom="1106" w:left="1440" w:header="851" w:footer="850" w:gutter="0"/>
          <w:pgBorders>
            <w:top w:val="none" w:color="auto" w:sz="0" w:space="0"/>
            <w:left w:val="none" w:color="auto" w:sz="0" w:space="0"/>
            <w:bottom w:val="none" w:color="auto" w:sz="0" w:space="0"/>
            <w:right w:val="none" w:color="auto" w:sz="0" w:space="0"/>
          </w:pgBorders>
          <w:pgNumType w:fmt="decimal"/>
          <w:cols w:space="0" w:num="1"/>
          <w:rtlGutter w:val="0"/>
          <w:docGrid w:linePitch="312" w:charSpace="0"/>
        </w:sectPr>
      </w:pPr>
    </w:p>
    <w:p>
      <w:pPr>
        <w:pStyle w:val="4"/>
        <w:numPr>
          <w:ilvl w:val="0"/>
          <w:numId w:val="40"/>
        </w:numPr>
        <w:bidi w:val="0"/>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中小企业声明函</w:t>
      </w:r>
    </w:p>
    <w:p>
      <w:pPr>
        <w:snapToGrid w:val="0"/>
        <w:ind w:left="0" w:leftChars="0" w:right="0" w:rightChars="0" w:firstLine="0" w:firstLineChars="0"/>
        <w:jc w:val="center"/>
        <w:rPr>
          <w:rFonts w:hint="eastAsia" w:ascii="宋体" w:hAnsi="宋体" w:eastAsia="宋体" w:cs="宋体"/>
          <w:b/>
          <w:color w:val="auto"/>
          <w:kern w:val="0"/>
          <w:sz w:val="32"/>
          <w:highlight w:val="none"/>
          <w:lang w:val="en-US" w:eastAsia="zh-CN"/>
        </w:rPr>
      </w:pPr>
      <w:r>
        <w:rPr>
          <w:rFonts w:hint="eastAsia" w:ascii="宋体" w:hAnsi="宋体" w:eastAsia="宋体" w:cs="宋体"/>
          <w:b/>
          <w:color w:val="auto"/>
          <w:kern w:val="0"/>
          <w:sz w:val="32"/>
          <w:highlight w:val="none"/>
          <w:lang w:val="en-US" w:eastAsia="zh-CN"/>
        </w:rPr>
        <w:t>中小企业声明函</w:t>
      </w:r>
    </w:p>
    <w:p>
      <w:pPr>
        <w:widowControl w:val="0"/>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szCs w:val="24"/>
          <w:highlight w:val="none"/>
          <w:u w:val="single"/>
        </w:rPr>
        <w:t xml:space="preserve"> </w:t>
      </w:r>
      <w:r>
        <w:rPr>
          <w:rFonts w:hint="eastAsia" w:ascii="宋体" w:hAnsi="宋体" w:eastAsia="宋体" w:cs="宋体"/>
          <w:i/>
          <w:iCs/>
          <w:color w:val="auto"/>
          <w:sz w:val="24"/>
          <w:szCs w:val="24"/>
          <w:highlight w:val="none"/>
          <w:u w:val="single"/>
        </w:rPr>
        <w:t xml:space="preserve">（单位名称）  </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 xml:space="preserve"> </w:t>
      </w:r>
      <w:r>
        <w:rPr>
          <w:rFonts w:hint="eastAsia" w:ascii="宋体" w:hAnsi="宋体" w:eastAsia="宋体" w:cs="宋体"/>
          <w:i/>
          <w:iCs/>
          <w:color w:val="auto"/>
          <w:sz w:val="24"/>
          <w:szCs w:val="24"/>
          <w:highlight w:val="none"/>
          <w:u w:val="single"/>
        </w:rPr>
        <w:t xml:space="preserve">（项目名称）   </w:t>
      </w:r>
      <w:r>
        <w:rPr>
          <w:rFonts w:hint="eastAsia" w:ascii="宋体" w:hAnsi="宋体" w:eastAsia="宋体" w:cs="宋体"/>
          <w:color w:val="auto"/>
          <w:sz w:val="24"/>
          <w:szCs w:val="24"/>
          <w:highlight w:val="none"/>
        </w:rPr>
        <w:t xml:space="preserve">采购活动，提供的货物全部由符合政策要求的中小企业制造。相关企业（含联合体中的中小企业、签订分包意向协议的中小企业）的具体情况如下： </w:t>
      </w:r>
    </w:p>
    <w:p>
      <w:pPr>
        <w:widowControl w:val="0"/>
        <w:numPr>
          <w:ilvl w:val="0"/>
          <w:numId w:val="42"/>
        </w:numPr>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i/>
          <w:iCs/>
          <w:color w:val="auto"/>
          <w:sz w:val="24"/>
          <w:szCs w:val="24"/>
          <w:highlight w:val="none"/>
          <w:u w:val="single"/>
        </w:rPr>
        <w:t xml:space="preserve">（标的名称） </w:t>
      </w:r>
      <w:r>
        <w:rPr>
          <w:rFonts w:hint="eastAsia" w:ascii="宋体" w:hAnsi="宋体" w:eastAsia="宋体" w:cs="宋体"/>
          <w:color w:val="auto"/>
          <w:sz w:val="24"/>
          <w:szCs w:val="24"/>
          <w:highlight w:val="none"/>
        </w:rPr>
        <w:t>，属于</w:t>
      </w:r>
      <w:r>
        <w:rPr>
          <w:rFonts w:hint="eastAsia" w:ascii="宋体" w:hAnsi="宋体" w:eastAsia="宋体" w:cs="宋体"/>
          <w:i/>
          <w:iCs/>
          <w:color w:val="auto"/>
          <w:sz w:val="24"/>
          <w:szCs w:val="24"/>
          <w:highlight w:val="none"/>
          <w:u w:val="single"/>
        </w:rPr>
        <w:t>（采购文件中明确的所属行业）行业</w:t>
      </w:r>
      <w:r>
        <w:rPr>
          <w:rFonts w:hint="eastAsia" w:ascii="宋体" w:hAnsi="宋体" w:eastAsia="宋体" w:cs="宋体"/>
          <w:color w:val="auto"/>
          <w:sz w:val="24"/>
          <w:szCs w:val="24"/>
          <w:highlight w:val="none"/>
        </w:rPr>
        <w:t>；制造商为</w:t>
      </w:r>
      <w:r>
        <w:rPr>
          <w:rFonts w:hint="eastAsia" w:ascii="宋体" w:hAnsi="宋体" w:eastAsia="宋体" w:cs="宋体"/>
          <w:i/>
          <w:iCs/>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i/>
          <w:iCs/>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vertAlign w:val="superscript"/>
        </w:rPr>
        <w:t xml:space="preserve"> 1</w:t>
      </w:r>
      <w:r>
        <w:rPr>
          <w:rFonts w:hint="eastAsia" w:ascii="宋体" w:hAnsi="宋体" w:eastAsia="宋体" w:cs="宋体"/>
          <w:color w:val="auto"/>
          <w:sz w:val="24"/>
          <w:szCs w:val="24"/>
          <w:highlight w:val="none"/>
        </w:rPr>
        <w:t>，属于</w:t>
      </w:r>
      <w:r>
        <w:rPr>
          <w:rFonts w:hint="eastAsia" w:ascii="宋体" w:hAnsi="宋体" w:eastAsia="宋体" w:cs="宋体"/>
          <w:i/>
          <w:iCs/>
          <w:color w:val="auto"/>
          <w:sz w:val="24"/>
          <w:szCs w:val="24"/>
          <w:highlight w:val="none"/>
          <w:u w:val="single"/>
        </w:rPr>
        <w:t>（中型企业、小 型企业、微型企业）</w:t>
      </w:r>
      <w:r>
        <w:rPr>
          <w:rFonts w:hint="eastAsia" w:ascii="宋体" w:hAnsi="宋体" w:eastAsia="宋体" w:cs="宋体"/>
          <w:color w:val="auto"/>
          <w:sz w:val="24"/>
          <w:szCs w:val="24"/>
          <w:highlight w:val="none"/>
        </w:rPr>
        <w:t xml:space="preserve"> ；</w:t>
      </w:r>
    </w:p>
    <w:p>
      <w:pPr>
        <w:widowControl w:val="0"/>
        <w:numPr>
          <w:ilvl w:val="0"/>
          <w:numId w:val="42"/>
        </w:numPr>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i/>
          <w:iCs/>
          <w:color w:val="auto"/>
          <w:sz w:val="24"/>
          <w:szCs w:val="24"/>
          <w:highlight w:val="none"/>
          <w:u w:val="single"/>
        </w:rPr>
        <w:t xml:space="preserve"> （标的名称） </w:t>
      </w:r>
      <w:r>
        <w:rPr>
          <w:rFonts w:hint="eastAsia" w:ascii="宋体" w:hAnsi="宋体" w:eastAsia="宋体" w:cs="宋体"/>
          <w:color w:val="auto"/>
          <w:sz w:val="24"/>
          <w:szCs w:val="24"/>
          <w:highlight w:val="none"/>
        </w:rPr>
        <w:t>，属于</w:t>
      </w:r>
      <w:r>
        <w:rPr>
          <w:rFonts w:hint="eastAsia" w:ascii="宋体" w:hAnsi="宋体" w:eastAsia="宋体" w:cs="宋体"/>
          <w:i/>
          <w:iCs/>
          <w:color w:val="auto"/>
          <w:sz w:val="24"/>
          <w:szCs w:val="24"/>
          <w:highlight w:val="none"/>
          <w:u w:val="single"/>
        </w:rPr>
        <w:t>（采购文件中明确的所属行业）行业</w:t>
      </w:r>
      <w:r>
        <w:rPr>
          <w:rFonts w:hint="eastAsia" w:ascii="宋体" w:hAnsi="宋体" w:eastAsia="宋体" w:cs="宋体"/>
          <w:color w:val="auto"/>
          <w:sz w:val="24"/>
          <w:szCs w:val="24"/>
          <w:highlight w:val="none"/>
        </w:rPr>
        <w:t>；制造商为</w:t>
      </w:r>
      <w:r>
        <w:rPr>
          <w:rFonts w:hint="eastAsia" w:ascii="宋体" w:hAnsi="宋体" w:eastAsia="宋体" w:cs="宋体"/>
          <w:i/>
          <w:iCs/>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i/>
          <w:iCs/>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vertAlign w:val="superscript"/>
        </w:rPr>
        <w:t xml:space="preserve"> 1</w:t>
      </w:r>
      <w:r>
        <w:rPr>
          <w:rFonts w:hint="eastAsia" w:ascii="宋体" w:hAnsi="宋体" w:eastAsia="宋体" w:cs="宋体"/>
          <w:color w:val="auto"/>
          <w:sz w:val="24"/>
          <w:szCs w:val="24"/>
          <w:highlight w:val="none"/>
        </w:rPr>
        <w:t>，属于</w:t>
      </w:r>
      <w:r>
        <w:rPr>
          <w:rFonts w:hint="eastAsia" w:ascii="宋体" w:hAnsi="宋体" w:eastAsia="宋体" w:cs="宋体"/>
          <w:i/>
          <w:iCs/>
          <w:color w:val="auto"/>
          <w:sz w:val="24"/>
          <w:szCs w:val="24"/>
          <w:highlight w:val="none"/>
          <w:u w:val="single"/>
        </w:rPr>
        <w:t>（中型企业、小 型企业、微型企业）</w:t>
      </w:r>
      <w:r>
        <w:rPr>
          <w:rFonts w:hint="eastAsia" w:ascii="宋体" w:hAnsi="宋体" w:eastAsia="宋体" w:cs="宋体"/>
          <w:color w:val="auto"/>
          <w:sz w:val="24"/>
          <w:szCs w:val="24"/>
          <w:highlight w:val="none"/>
        </w:rPr>
        <w:t xml:space="preserve"> ；</w:t>
      </w:r>
    </w:p>
    <w:p>
      <w:pPr>
        <w:widowControl w:val="0"/>
        <w:spacing w:line="360" w:lineRule="auto"/>
        <w:ind w:left="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pPr>
        <w:widowControl w:val="0"/>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以上企业，不属于大企业的分支机构，不存在控股股东为大企业的情形，也不存在与大企业的负责人为同一人的情形。 </w:t>
      </w:r>
    </w:p>
    <w:p>
      <w:pPr>
        <w:widowControl w:val="0"/>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本企业对上述声明内容的真实性负责。如有虚假，将依法承担相应责任。 </w:t>
      </w:r>
    </w:p>
    <w:p>
      <w:pPr>
        <w:widowControl w:val="0"/>
        <w:spacing w:line="360" w:lineRule="auto"/>
        <w:ind w:firstLine="480"/>
        <w:jc w:val="both"/>
        <w:rPr>
          <w:rFonts w:hint="eastAsia" w:ascii="宋体" w:hAnsi="宋体" w:eastAsia="宋体" w:cs="宋体"/>
          <w:color w:val="auto"/>
          <w:sz w:val="24"/>
          <w:szCs w:val="24"/>
          <w:highlight w:val="none"/>
        </w:rPr>
      </w:pPr>
    </w:p>
    <w:p>
      <w:pPr>
        <w:widowControl w:val="0"/>
        <w:spacing w:line="360" w:lineRule="auto"/>
        <w:ind w:firstLine="480"/>
        <w:jc w:val="both"/>
        <w:rPr>
          <w:rFonts w:hint="eastAsia" w:ascii="宋体" w:hAnsi="宋体" w:eastAsia="宋体" w:cs="宋体"/>
          <w:color w:val="auto"/>
          <w:sz w:val="24"/>
          <w:szCs w:val="24"/>
          <w:highlight w:val="none"/>
        </w:rPr>
      </w:pPr>
    </w:p>
    <w:p>
      <w:pPr>
        <w:widowControl w:val="0"/>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pPr>
        <w:widowControl w:val="0"/>
        <w:spacing w:line="360" w:lineRule="auto"/>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 期： </w:t>
      </w:r>
    </w:p>
    <w:p>
      <w:pPr>
        <w:widowControl w:val="0"/>
        <w:spacing w:line="360" w:lineRule="auto"/>
        <w:jc w:val="both"/>
        <w:rPr>
          <w:rFonts w:hint="eastAsia" w:ascii="宋体" w:hAnsi="宋体" w:eastAsia="宋体" w:cs="宋体"/>
          <w:color w:val="auto"/>
          <w:sz w:val="18"/>
          <w:szCs w:val="18"/>
          <w:highlight w:val="none"/>
        </w:rPr>
      </w:pPr>
    </w:p>
    <w:p>
      <w:pPr>
        <w:widowControl w:val="0"/>
        <w:spacing w:line="360" w:lineRule="auto"/>
        <w:jc w:val="both"/>
        <w:rPr>
          <w:rFonts w:hint="eastAsia" w:ascii="宋体" w:hAnsi="宋体" w:eastAsia="宋体" w:cs="宋体"/>
          <w:color w:val="auto"/>
          <w:sz w:val="18"/>
          <w:szCs w:val="18"/>
          <w:highlight w:val="none"/>
        </w:rPr>
      </w:pPr>
    </w:p>
    <w:p>
      <w:pPr>
        <w:snapToGrid w:val="0"/>
        <w:spacing w:before="120" w:beforeLines="50" w:after="50"/>
        <w:rPr>
          <w:rFonts w:hint="eastAsia" w:ascii="宋体" w:hAnsi="宋体" w:eastAsia="宋体" w:cs="宋体"/>
          <w:b/>
          <w:color w:val="auto"/>
          <w:highlight w:val="none"/>
        </w:rPr>
      </w:pPr>
      <w:r>
        <w:rPr>
          <w:rFonts w:hint="eastAsia" w:ascii="宋体" w:hAnsi="宋体" w:eastAsia="宋体" w:cs="宋体"/>
          <w:color w:val="auto"/>
          <w:sz w:val="18"/>
          <w:szCs w:val="18"/>
          <w:highlight w:val="none"/>
        </w:rPr>
        <w:t>1 从业人员、营业收入、资产总额填报上一年度数据，无上一年度数据的新成立企业可不填报。</w:t>
      </w:r>
    </w:p>
    <w:p>
      <w:pPr>
        <w:spacing w:line="588" w:lineRule="exact"/>
        <w:ind w:left="0" w:leftChars="0" w:firstLine="0" w:firstLineChars="0"/>
        <w:jc w:val="both"/>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br w:type="page"/>
      </w:r>
    </w:p>
    <w:p>
      <w:pPr>
        <w:pStyle w:val="4"/>
        <w:numPr>
          <w:ilvl w:val="0"/>
          <w:numId w:val="40"/>
        </w:numPr>
        <w:bidi w:val="0"/>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残疾人福利性单位声明函</w:t>
      </w:r>
    </w:p>
    <w:p>
      <w:pPr>
        <w:pStyle w:val="21"/>
        <w:rPr>
          <w:rFonts w:hint="eastAsia" w:ascii="宋体" w:hAnsi="宋体" w:eastAsia="宋体" w:cs="宋体"/>
          <w:highlight w:val="none"/>
          <w:lang w:val="en-US" w:eastAsia="zh-CN"/>
        </w:rPr>
      </w:pPr>
    </w:p>
    <w:p>
      <w:pPr>
        <w:snapToGrid w:val="0"/>
        <w:ind w:left="0" w:leftChars="0" w:right="0" w:rightChars="0" w:firstLine="0" w:firstLineChars="0"/>
        <w:jc w:val="center"/>
        <w:rPr>
          <w:rFonts w:hint="eastAsia" w:ascii="宋体" w:hAnsi="宋体" w:eastAsia="宋体" w:cs="宋体"/>
          <w:b/>
          <w:color w:val="auto"/>
          <w:kern w:val="0"/>
          <w:sz w:val="32"/>
          <w:highlight w:val="none"/>
          <w:lang w:val="en-US" w:eastAsia="zh-CN"/>
        </w:rPr>
      </w:pPr>
      <w:r>
        <w:rPr>
          <w:rFonts w:hint="eastAsia" w:ascii="宋体" w:hAnsi="宋体" w:eastAsia="宋体" w:cs="宋体"/>
          <w:b/>
          <w:color w:val="auto"/>
          <w:kern w:val="0"/>
          <w:sz w:val="32"/>
          <w:highlight w:val="none"/>
          <w:lang w:val="en-US" w:eastAsia="zh-CN"/>
        </w:rPr>
        <w:t>残疾人福利性单位声明函</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本单位对上述声明的真实性负责。如有虚假，将依法承担相应责任。</w:t>
      </w:r>
    </w:p>
    <w:p>
      <w:pPr>
        <w:snapToGrid w:val="0"/>
        <w:spacing w:line="360" w:lineRule="auto"/>
        <w:ind w:firstLine="480" w:firstLineChars="200"/>
        <w:rPr>
          <w:rFonts w:hint="eastAsia" w:ascii="宋体" w:hAnsi="宋体" w:eastAsia="宋体" w:cs="宋体"/>
          <w:color w:val="auto"/>
          <w:highlight w:val="none"/>
        </w:rPr>
      </w:pPr>
    </w:p>
    <w:p>
      <w:pPr>
        <w:spacing w:line="588" w:lineRule="exact"/>
        <w:ind w:firstLine="504" w:firstLineChars="200"/>
        <w:rPr>
          <w:rFonts w:hint="eastAsia" w:ascii="宋体" w:hAnsi="宋体" w:eastAsia="宋体" w:cs="宋体"/>
          <w:color w:val="auto"/>
          <w:spacing w:val="6"/>
          <w:highlight w:val="none"/>
        </w:rPr>
      </w:pPr>
    </w:p>
    <w:p>
      <w:pPr>
        <w:snapToGrid w:val="0"/>
        <w:spacing w:line="360" w:lineRule="auto"/>
        <w:ind w:firstLine="480" w:firstLineChars="20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      单位名称（盖章）：</w:t>
      </w:r>
    </w:p>
    <w:p>
      <w:pPr>
        <w:snapToGrid w:val="0"/>
        <w:spacing w:line="360" w:lineRule="auto"/>
        <w:ind w:firstLine="480" w:firstLineChars="20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       日  期：</w:t>
      </w:r>
    </w:p>
    <w:p>
      <w:pPr>
        <w:tabs>
          <w:tab w:val="left" w:pos="4860"/>
        </w:tabs>
        <w:spacing w:line="588" w:lineRule="exact"/>
        <w:ind w:right="1560" w:firstLine="504" w:firstLineChars="200"/>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填写说明：</w:t>
      </w:r>
    </w:p>
    <w:p>
      <w:pPr>
        <w:numPr>
          <w:ilvl w:val="0"/>
          <w:numId w:val="43"/>
        </w:numPr>
        <w:tabs>
          <w:tab w:val="left" w:pos="4860"/>
        </w:tabs>
        <w:ind w:right="106" w:firstLine="506" w:firstLineChars="200"/>
        <w:rPr>
          <w:rFonts w:hint="eastAsia" w:ascii="宋体" w:hAnsi="宋体" w:eastAsia="宋体" w:cs="宋体"/>
          <w:b/>
          <w:bCs/>
          <w:color w:val="auto"/>
          <w:highlight w:val="none"/>
        </w:rPr>
      </w:pPr>
      <w:r>
        <w:rPr>
          <w:rFonts w:hint="eastAsia" w:ascii="宋体" w:hAnsi="宋体" w:eastAsia="宋体" w:cs="宋体"/>
          <w:b/>
          <w:bCs/>
          <w:color w:val="auto"/>
          <w:spacing w:val="6"/>
          <w:highlight w:val="none"/>
        </w:rPr>
        <w:t>本声明是残疾人福利性单位的提供，其他不符合规定的单位禁止提供，中标、成交单位提供《残疾人福利性单位声明函》的，代理机构将在发布中标、成交公告时同时公告其《残疾人福利性单位声明函》，接受社会监督。</w:t>
      </w:r>
    </w:p>
    <w:p>
      <w:pPr>
        <w:numPr>
          <w:ilvl w:val="0"/>
          <w:numId w:val="43"/>
        </w:numPr>
        <w:tabs>
          <w:tab w:val="left" w:pos="4860"/>
        </w:tabs>
        <w:ind w:right="251"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享受政府采购支持政策的残疾人福利性单位应当同时满足以下条件：</w:t>
      </w:r>
    </w:p>
    <w:p>
      <w:pPr>
        <w:pStyle w:val="38"/>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（1）安置的残疾人占本单位在职职工人数的比例不低于210%（含210%），并且安置的残疾人人数不少于10人（含10人）；</w:t>
      </w:r>
    </w:p>
    <w:p>
      <w:pPr>
        <w:pStyle w:val="38"/>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（2）依法与安置的每位残疾人签订了一年以上（含一年）的劳动合同或服务协议；</w:t>
      </w:r>
    </w:p>
    <w:p>
      <w:pPr>
        <w:pStyle w:val="38"/>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（3）为安置的每位残疾人按月足额缴纳了基本养老保险、基本医疗保险、失业保险、工伤保险和生育保险等社会保险费；</w:t>
      </w:r>
    </w:p>
    <w:p>
      <w:pPr>
        <w:pStyle w:val="38"/>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（4）通过银行等金融机构向安置的每位残疾人，按月支付了不低于单位所在区县适用的经省级人民政府批准的月最低工资标准的工资；</w:t>
      </w:r>
    </w:p>
    <w:p>
      <w:pPr>
        <w:pStyle w:val="38"/>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（5）提供本单位制造的货物、承担的工程或者服务（以下简称产品），或者提供其他残疾人福利性单位制造的货物（不包括使用非残疾人福利性单位注册商标的货物）。</w:t>
      </w:r>
    </w:p>
    <w:p>
      <w:pPr>
        <w:pStyle w:val="38"/>
        <w:rPr>
          <w:rFonts w:hint="eastAsia" w:ascii="宋体" w:hAnsi="宋体" w:eastAsia="宋体" w:cs="宋体"/>
          <w:color w:val="auto"/>
          <w:szCs w:val="21"/>
          <w:highlight w:val="none"/>
        </w:rPr>
      </w:pPr>
      <w:r>
        <w:rPr>
          <w:rFonts w:hint="eastAsia" w:ascii="宋体" w:hAnsi="宋体" w:eastAsia="宋体" w:cs="宋体"/>
          <w:color w:val="auto"/>
          <w:sz w:val="20"/>
          <w:szCs w:val="20"/>
          <w:highlight w:val="none"/>
        </w:rPr>
        <w:t>　　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tabs>
          <w:tab w:val="left" w:pos="4860"/>
        </w:tabs>
        <w:spacing w:line="588" w:lineRule="exact"/>
        <w:ind w:right="1560"/>
        <w:rPr>
          <w:rFonts w:hint="eastAsia" w:ascii="宋体" w:hAnsi="宋体" w:eastAsia="宋体" w:cs="宋体"/>
          <w:color w:val="auto"/>
          <w:szCs w:val="21"/>
          <w:highlight w:val="none"/>
        </w:rPr>
        <w:sectPr>
          <w:pgSz w:w="11906" w:h="16838"/>
          <w:pgMar w:top="1440" w:right="1106" w:bottom="1440" w:left="1622" w:header="851" w:footer="851" w:gutter="0"/>
          <w:pgBorders>
            <w:top w:val="none" w:color="auto" w:sz="0" w:space="0"/>
            <w:left w:val="none" w:color="auto" w:sz="0" w:space="0"/>
            <w:bottom w:val="none" w:color="auto" w:sz="0" w:space="0"/>
            <w:right w:val="none" w:color="auto" w:sz="0" w:space="0"/>
          </w:pgBorders>
          <w:pgNumType w:fmt="decimal"/>
          <w:cols w:space="720" w:num="1"/>
          <w:docGrid w:linePitch="312" w:charSpace="0"/>
        </w:sectPr>
      </w:pPr>
    </w:p>
    <w:tbl>
      <w:tblPr>
        <w:tblStyle w:val="46"/>
        <w:tblW w:w="15079" w:type="dxa"/>
        <w:tblInd w:w="-176" w:type="dxa"/>
        <w:tblLayout w:type="fixed"/>
        <w:tblCellMar>
          <w:top w:w="0" w:type="dxa"/>
          <w:left w:w="108" w:type="dxa"/>
          <w:bottom w:w="0" w:type="dxa"/>
          <w:right w:w="108" w:type="dxa"/>
        </w:tblCellMar>
      </w:tblPr>
      <w:tblGrid>
        <w:gridCol w:w="1985"/>
        <w:gridCol w:w="1498"/>
        <w:gridCol w:w="1763"/>
        <w:gridCol w:w="1660"/>
        <w:gridCol w:w="1240"/>
        <w:gridCol w:w="1562"/>
        <w:gridCol w:w="1590"/>
        <w:gridCol w:w="1285"/>
        <w:gridCol w:w="1275"/>
        <w:gridCol w:w="1069"/>
        <w:gridCol w:w="152"/>
      </w:tblGrid>
      <w:tr>
        <w:tblPrEx>
          <w:tblLayout w:type="fixed"/>
          <w:tblCellMar>
            <w:top w:w="0" w:type="dxa"/>
            <w:left w:w="108" w:type="dxa"/>
            <w:bottom w:w="0" w:type="dxa"/>
            <w:right w:w="108" w:type="dxa"/>
          </w:tblCellMar>
        </w:tblPrEx>
        <w:trPr>
          <w:gridAfter w:val="1"/>
          <w:wAfter w:w="152" w:type="dxa"/>
          <w:trHeight w:val="420" w:hRule="atLeast"/>
        </w:trPr>
        <w:tc>
          <w:tcPr>
            <w:tcW w:w="14927" w:type="dxa"/>
            <w:gridSpan w:val="10"/>
            <w:tcBorders>
              <w:top w:val="nil"/>
              <w:left w:val="nil"/>
              <w:bottom w:val="nil"/>
              <w:right w:val="nil"/>
            </w:tcBorders>
            <w:vAlign w:val="bottom"/>
          </w:tcPr>
          <w:p>
            <w:pPr>
              <w:jc w:val="center"/>
              <w:rPr>
                <w:rFonts w:hint="eastAsia" w:ascii="宋体" w:hAnsi="宋体" w:eastAsia="宋体" w:cs="宋体"/>
                <w:b/>
                <w:bCs/>
                <w:color w:val="auto"/>
                <w:sz w:val="14"/>
                <w:szCs w:val="14"/>
                <w:highlight w:val="none"/>
              </w:rPr>
            </w:pPr>
            <w:r>
              <w:rPr>
                <w:rFonts w:hint="eastAsia" w:ascii="宋体" w:hAnsi="宋体" w:eastAsia="宋体" w:cs="宋体"/>
                <w:b/>
                <w:bCs/>
                <w:color w:val="auto"/>
                <w:sz w:val="14"/>
                <w:szCs w:val="14"/>
                <w:highlight w:val="none"/>
              </w:rPr>
              <w:t>中小微行业划型标准规定（根据工信部联企业〔2011〕300号制定）</w:t>
            </w:r>
          </w:p>
        </w:tc>
      </w:tr>
      <w:tr>
        <w:tblPrEx>
          <w:tblLayout w:type="fixed"/>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pPr>
              <w:jc w:val="center"/>
              <w:rPr>
                <w:rFonts w:hint="eastAsia" w:ascii="宋体" w:hAnsi="宋体" w:eastAsia="宋体" w:cs="宋体"/>
                <w:b/>
                <w:bCs/>
                <w:color w:val="auto"/>
                <w:sz w:val="14"/>
                <w:szCs w:val="14"/>
                <w:highlight w:val="none"/>
              </w:rPr>
            </w:pPr>
            <w:r>
              <w:rPr>
                <w:rFonts w:hint="eastAsia" w:ascii="宋体" w:hAnsi="宋体" w:eastAsia="宋体" w:cs="宋体"/>
                <w:b/>
                <w:bCs/>
                <w:color w:val="auto"/>
                <w:sz w:val="14"/>
                <w:szCs w:val="14"/>
                <w:highlight w:val="none"/>
              </w:rPr>
              <w:t>行业</w:t>
            </w:r>
          </w:p>
        </w:tc>
        <w:tc>
          <w:tcPr>
            <w:tcW w:w="4921" w:type="dxa"/>
            <w:gridSpan w:val="3"/>
            <w:tcBorders>
              <w:top w:val="single" w:color="auto" w:sz="8" w:space="0"/>
              <w:left w:val="nil"/>
              <w:bottom w:val="single" w:color="auto" w:sz="4" w:space="0"/>
              <w:right w:val="single" w:color="000000" w:sz="8" w:space="0"/>
            </w:tcBorders>
            <w:vAlign w:val="bottom"/>
          </w:tcPr>
          <w:p>
            <w:pPr>
              <w:jc w:val="center"/>
              <w:rPr>
                <w:rFonts w:hint="eastAsia" w:ascii="宋体" w:hAnsi="宋体" w:eastAsia="宋体" w:cs="宋体"/>
                <w:b/>
                <w:bCs/>
                <w:color w:val="auto"/>
                <w:sz w:val="14"/>
                <w:szCs w:val="14"/>
                <w:highlight w:val="none"/>
              </w:rPr>
            </w:pPr>
            <w:r>
              <w:rPr>
                <w:rFonts w:hint="eastAsia" w:ascii="宋体" w:hAnsi="宋体" w:eastAsia="宋体" w:cs="宋体"/>
                <w:b/>
                <w:bCs/>
                <w:color w:val="auto"/>
                <w:sz w:val="14"/>
                <w:szCs w:val="14"/>
                <w:highlight w:val="none"/>
              </w:rPr>
              <w:t>中型企业</w:t>
            </w:r>
          </w:p>
        </w:tc>
        <w:tc>
          <w:tcPr>
            <w:tcW w:w="4392" w:type="dxa"/>
            <w:gridSpan w:val="3"/>
            <w:tcBorders>
              <w:top w:val="single" w:color="auto" w:sz="8" w:space="0"/>
              <w:left w:val="nil"/>
              <w:bottom w:val="single" w:color="auto" w:sz="4" w:space="0"/>
              <w:right w:val="single" w:color="000000" w:sz="8" w:space="0"/>
            </w:tcBorders>
            <w:vAlign w:val="bottom"/>
          </w:tcPr>
          <w:p>
            <w:pPr>
              <w:jc w:val="center"/>
              <w:rPr>
                <w:rFonts w:hint="eastAsia" w:ascii="宋体" w:hAnsi="宋体" w:eastAsia="宋体" w:cs="宋体"/>
                <w:b/>
                <w:bCs/>
                <w:color w:val="auto"/>
                <w:sz w:val="14"/>
                <w:szCs w:val="14"/>
                <w:highlight w:val="none"/>
              </w:rPr>
            </w:pPr>
            <w:r>
              <w:rPr>
                <w:rFonts w:hint="eastAsia" w:ascii="宋体" w:hAnsi="宋体" w:eastAsia="宋体" w:cs="宋体"/>
                <w:b/>
                <w:bCs/>
                <w:color w:val="auto"/>
                <w:sz w:val="14"/>
                <w:szCs w:val="14"/>
                <w:highlight w:val="none"/>
              </w:rPr>
              <w:t>小型企业</w:t>
            </w:r>
          </w:p>
        </w:tc>
        <w:tc>
          <w:tcPr>
            <w:tcW w:w="3781" w:type="dxa"/>
            <w:gridSpan w:val="4"/>
            <w:tcBorders>
              <w:top w:val="single" w:color="auto" w:sz="8" w:space="0"/>
              <w:left w:val="nil"/>
              <w:bottom w:val="single" w:color="auto" w:sz="4" w:space="0"/>
              <w:right w:val="single" w:color="000000" w:sz="8" w:space="0"/>
            </w:tcBorders>
            <w:vAlign w:val="bottom"/>
          </w:tcPr>
          <w:p>
            <w:pPr>
              <w:jc w:val="center"/>
              <w:rPr>
                <w:rFonts w:hint="eastAsia" w:ascii="宋体" w:hAnsi="宋体" w:eastAsia="宋体" w:cs="宋体"/>
                <w:b/>
                <w:bCs/>
                <w:color w:val="auto"/>
                <w:sz w:val="14"/>
                <w:szCs w:val="14"/>
                <w:highlight w:val="none"/>
              </w:rPr>
            </w:pPr>
            <w:r>
              <w:rPr>
                <w:rFonts w:hint="eastAsia" w:ascii="宋体" w:hAnsi="宋体" w:eastAsia="宋体" w:cs="宋体"/>
                <w:b/>
                <w:bCs/>
                <w:color w:val="auto"/>
                <w:sz w:val="14"/>
                <w:szCs w:val="14"/>
                <w:highlight w:val="none"/>
              </w:rPr>
              <w:t>微型企业</w:t>
            </w:r>
          </w:p>
        </w:tc>
      </w:tr>
      <w:tr>
        <w:tblPrEx>
          <w:tblLayout w:type="fixed"/>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pPr>
              <w:rPr>
                <w:rFonts w:hint="eastAsia" w:ascii="宋体" w:hAnsi="宋体" w:eastAsia="宋体" w:cs="宋体"/>
                <w:b/>
                <w:bCs/>
                <w:color w:val="auto"/>
                <w:sz w:val="14"/>
                <w:szCs w:val="14"/>
                <w:highlight w:val="none"/>
              </w:rPr>
            </w:pPr>
          </w:p>
        </w:tc>
        <w:tc>
          <w:tcPr>
            <w:tcW w:w="1498"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从业人员X（人）</w:t>
            </w:r>
          </w:p>
        </w:tc>
        <w:tc>
          <w:tcPr>
            <w:tcW w:w="1763"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营业收入Y</w:t>
            </w:r>
          </w:p>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（万元）</w:t>
            </w:r>
          </w:p>
        </w:tc>
        <w:tc>
          <w:tcPr>
            <w:tcW w:w="1660" w:type="dxa"/>
            <w:tcBorders>
              <w:top w:val="nil"/>
              <w:left w:val="nil"/>
              <w:bottom w:val="single" w:color="auto" w:sz="4" w:space="0"/>
              <w:right w:val="single" w:color="auto" w:sz="8"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资产总额Z</w:t>
            </w:r>
          </w:p>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（万元）</w:t>
            </w:r>
          </w:p>
        </w:tc>
        <w:tc>
          <w:tcPr>
            <w:tcW w:w="1240"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从业人员X（人）</w:t>
            </w:r>
          </w:p>
        </w:tc>
        <w:tc>
          <w:tcPr>
            <w:tcW w:w="1562"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营业收入Y</w:t>
            </w:r>
          </w:p>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（万元）</w:t>
            </w:r>
          </w:p>
        </w:tc>
        <w:tc>
          <w:tcPr>
            <w:tcW w:w="1590" w:type="dxa"/>
            <w:tcBorders>
              <w:top w:val="nil"/>
              <w:left w:val="nil"/>
              <w:bottom w:val="single" w:color="auto" w:sz="4" w:space="0"/>
              <w:right w:val="single" w:color="auto" w:sz="8"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资产总额Z</w:t>
            </w:r>
          </w:p>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（万元）</w:t>
            </w:r>
          </w:p>
        </w:tc>
        <w:tc>
          <w:tcPr>
            <w:tcW w:w="1285"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从业人员X（人）</w:t>
            </w:r>
          </w:p>
        </w:tc>
        <w:tc>
          <w:tcPr>
            <w:tcW w:w="1275" w:type="dxa"/>
            <w:tcBorders>
              <w:top w:val="nil"/>
              <w:left w:val="nil"/>
              <w:bottom w:val="single" w:color="auto" w:sz="4" w:space="0"/>
              <w:right w:val="single" w:color="auto" w:sz="4"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营业收入Y（万元）</w:t>
            </w:r>
          </w:p>
        </w:tc>
        <w:tc>
          <w:tcPr>
            <w:tcW w:w="1221" w:type="dxa"/>
            <w:gridSpan w:val="2"/>
            <w:tcBorders>
              <w:top w:val="nil"/>
              <w:left w:val="nil"/>
              <w:bottom w:val="single" w:color="auto" w:sz="4" w:space="0"/>
              <w:right w:val="single" w:color="auto" w:sz="8" w:space="0"/>
            </w:tcBorders>
            <w:vAlign w:val="bottom"/>
          </w:tcPr>
          <w:p>
            <w:pPr>
              <w:jc w:val="cente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资产总额Z（万元）</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1、农林牧渔业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500≤Y＜20000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50≤Y＜500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Y＜50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2、工业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300≤X＜1000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2000≤Y＜40000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20≤X＜300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300≤Y＜2000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X＜20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Y＜300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3、建筑业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6000≤Y＜80000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5000≤Z＜80000</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300≤Y＜6000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300≤Z＜5000</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Y＜300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Z＜300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4、批发业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20≤X＜200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5000≤Y＜40000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5≤X＜20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1000≤Y＜5000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X＜5</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5、零售业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50≤X＜300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500≤Y＜20000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10≤X＜50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100≤Y＜500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6、交通运输业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300≤X＜1000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3000≤Y＜30000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20≤X＜300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200≤Y＜3000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X＜20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V＜200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7、仓储业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100≤X＜200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1000≤Y＜30000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100≤Y＜1000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X＜20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8、邮政业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300≤X＜1000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2000≤Y＜30000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20≤X＜300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100≤Y＜2000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X＜20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9、住宿业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2000≤Y＜10000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100≤Y＜2000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10、餐饮业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2000≤Y＜10000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100≤Y＜2000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V＜100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11、信息传输业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100≤X＜2000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1000≤Y＜100000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100≤Y＜1000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12、软件和信息技术服务业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1000≤Y＜10000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50≤Y＜1000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Y＜50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13、房地产开发经营</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1000≤Y＜200000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5000≤Z＜10000</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100≤Y＜1000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2000≤Z＜5000</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Y＜100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Z＜2000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14、物业管理</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300≤X＜1000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1000≤Y＜5000</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500≤Y＜1000</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Y＜500</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15、租赁和商务服务业</w:t>
            </w:r>
          </w:p>
        </w:tc>
        <w:tc>
          <w:tcPr>
            <w:tcW w:w="1498"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763"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66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8000≤Z＜120000</w:t>
            </w:r>
          </w:p>
        </w:tc>
        <w:tc>
          <w:tcPr>
            <w:tcW w:w="1240"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590" w:type="dxa"/>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xml:space="preserve"> 100≤Z＜8000</w:t>
            </w:r>
          </w:p>
        </w:tc>
        <w:tc>
          <w:tcPr>
            <w:tcW w:w="128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4"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21" w:type="dxa"/>
            <w:gridSpan w:val="2"/>
            <w:tcBorders>
              <w:top w:val="nil"/>
              <w:left w:val="nil"/>
              <w:bottom w:val="single" w:color="auto" w:sz="4"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Z＜100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8"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16、其他未列明行业</w:t>
            </w:r>
          </w:p>
        </w:tc>
        <w:tc>
          <w:tcPr>
            <w:tcW w:w="1498"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100≤X＜300</w:t>
            </w:r>
          </w:p>
        </w:tc>
        <w:tc>
          <w:tcPr>
            <w:tcW w:w="1763"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660" w:type="dxa"/>
            <w:tcBorders>
              <w:top w:val="nil"/>
              <w:left w:val="nil"/>
              <w:bottom w:val="single" w:color="auto" w:sz="8"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40"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10≤X＜100</w:t>
            </w:r>
          </w:p>
        </w:tc>
        <w:tc>
          <w:tcPr>
            <w:tcW w:w="1562"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590" w:type="dxa"/>
            <w:tcBorders>
              <w:top w:val="nil"/>
              <w:left w:val="nil"/>
              <w:bottom w:val="single" w:color="auto" w:sz="8"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85"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X＜10</w:t>
            </w:r>
          </w:p>
        </w:tc>
        <w:tc>
          <w:tcPr>
            <w:tcW w:w="1275" w:type="dxa"/>
            <w:tcBorders>
              <w:top w:val="nil"/>
              <w:left w:val="nil"/>
              <w:bottom w:val="single" w:color="auto" w:sz="8" w:space="0"/>
              <w:right w:val="single" w:color="auto" w:sz="4"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c>
          <w:tcPr>
            <w:tcW w:w="1221" w:type="dxa"/>
            <w:gridSpan w:val="2"/>
            <w:tcBorders>
              <w:top w:val="nil"/>
              <w:left w:val="nil"/>
              <w:bottom w:val="single" w:color="auto" w:sz="8" w:space="0"/>
              <w:right w:val="single" w:color="auto" w:sz="8" w:space="0"/>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　</w:t>
            </w:r>
          </w:p>
        </w:tc>
      </w:tr>
      <w:tr>
        <w:tblPrEx>
          <w:tblLayout w:type="fixed"/>
          <w:tblCellMar>
            <w:top w:w="0" w:type="dxa"/>
            <w:left w:w="108" w:type="dxa"/>
            <w:bottom w:w="0" w:type="dxa"/>
            <w:right w:w="108" w:type="dxa"/>
          </w:tblCellMar>
        </w:tblPrEx>
        <w:trPr>
          <w:gridAfter w:val="1"/>
          <w:wAfter w:w="152" w:type="dxa"/>
          <w:trHeight w:val="285" w:hRule="atLeast"/>
        </w:trPr>
        <w:tc>
          <w:tcPr>
            <w:tcW w:w="14927" w:type="dxa"/>
            <w:gridSpan w:val="10"/>
            <w:tcBorders>
              <w:top w:val="nil"/>
              <w:left w:val="nil"/>
              <w:bottom w:val="nil"/>
              <w:right w:val="nil"/>
            </w:tcBorders>
            <w:vAlign w:val="bottom"/>
          </w:tcPr>
          <w:p>
            <w:pPr>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说明　1、企业类型的划分以统计部门的统计数据为依据。</w:t>
            </w:r>
          </w:p>
          <w:p>
            <w:pPr>
              <w:numPr>
                <w:ilvl w:val="0"/>
                <w:numId w:val="44"/>
              </w:numPr>
              <w:ind w:firstLine="420" w:firstLineChars="300"/>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个体工商户和本规定以外的行业，参照本规定进行划型。</w:t>
            </w:r>
          </w:p>
          <w:p>
            <w:pPr>
              <w:numPr>
                <w:ilvl w:val="0"/>
                <w:numId w:val="44"/>
              </w:numPr>
              <w:ind w:firstLine="420" w:firstLineChars="300"/>
              <w:rPr>
                <w:rFonts w:hint="eastAsia" w:ascii="宋体" w:hAnsi="宋体" w:eastAsia="宋体" w:cs="宋体"/>
                <w:color w:val="auto"/>
                <w:sz w:val="14"/>
                <w:szCs w:val="14"/>
                <w:highlight w:val="none"/>
              </w:rPr>
            </w:pPr>
            <w:r>
              <w:rPr>
                <w:rFonts w:hint="eastAsia" w:ascii="宋体" w:hAnsi="宋体" w:eastAsia="宋体" w:cs="宋体"/>
                <w:color w:val="auto"/>
                <w:sz w:val="14"/>
                <w:szCs w:val="14"/>
                <w:highlight w:val="none"/>
              </w:rPr>
              <w:t>本规定的中型企业标准上限即为大型企业标准的下限。</w:t>
            </w:r>
          </w:p>
        </w:tc>
      </w:tr>
    </w:tbl>
    <w:p>
      <w:pPr>
        <w:rPr>
          <w:rFonts w:hint="eastAsia" w:ascii="宋体" w:hAnsi="宋体" w:eastAsia="宋体" w:cs="宋体"/>
          <w:i/>
          <w:iCs/>
          <w:color w:val="auto"/>
          <w:sz w:val="30"/>
          <w:highlight w:val="none"/>
        </w:rPr>
        <w:sectPr>
          <w:type w:val="continuous"/>
          <w:pgSz w:w="16838" w:h="11906" w:orient="landscape"/>
          <w:pgMar w:top="1417" w:right="1701" w:bottom="1417" w:left="1134" w:header="851" w:footer="992" w:gutter="0"/>
          <w:pgBorders>
            <w:top w:val="none" w:color="auto" w:sz="0" w:space="0"/>
            <w:left w:val="none" w:color="auto" w:sz="0" w:space="0"/>
            <w:bottom w:val="none" w:color="auto" w:sz="0" w:space="0"/>
            <w:right w:val="none" w:color="auto" w:sz="0" w:space="0"/>
          </w:pgBorders>
          <w:pgNumType w:fmt="decimal"/>
          <w:cols w:space="720" w:num="1"/>
          <w:docGrid w:linePitch="312" w:charSpace="0"/>
        </w:sectPr>
      </w:pPr>
    </w:p>
    <w:p>
      <w:pPr>
        <w:pStyle w:val="3"/>
        <w:bidi w:val="0"/>
        <w:rPr>
          <w:rFonts w:hint="eastAsia" w:ascii="宋体" w:hAnsi="宋体" w:eastAsia="宋体" w:cs="宋体"/>
          <w:color w:val="auto"/>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4608830</wp:posOffset>
                </wp:positionH>
                <wp:positionV relativeFrom="paragraph">
                  <wp:posOffset>-50800</wp:posOffset>
                </wp:positionV>
                <wp:extent cx="1346200" cy="401955"/>
                <wp:effectExtent l="4445" t="4445" r="20955" b="12700"/>
                <wp:wrapNone/>
                <wp:docPr id="3" name="文本框 8"/>
                <wp:cNvGraphicFramePr/>
                <a:graphic xmlns:a="http://schemas.openxmlformats.org/drawingml/2006/main">
                  <a:graphicData uri="http://schemas.microsoft.com/office/word/2010/wordprocessingShape">
                    <wps:wsp>
                      <wps:cNvSpPr txBox="1"/>
                      <wps:spPr>
                        <a:xfrm>
                          <a:off x="0" y="0"/>
                          <a:ext cx="1346200" cy="4019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8" o:spid="_x0000_s1026" o:spt="202" type="#_x0000_t202" style="position:absolute;left:0pt;margin-left:362.9pt;margin-top:-4pt;height:31.65pt;width:106pt;z-index:251663360;mso-width-relative:page;mso-height-relative:page;" fillcolor="#FFFFFF" filled="t" stroked="t" coordsize="21600,21600" o:gfxdata="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de+yw2QAAAAkBAAAPAAAAAAAAAAEAIAAAACIAAABkcnMvZG93bnJldi54bWxQSwECFAAU&#10;AAAACACHTuJAIpMh+vABAADoAwAADgAAAAAAAAABACAAAAAoAQAAZHJzL2Uyb0RvYy54bWxQSwUG&#10;AAAAAAYABgBZAQAAigU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cs="宋体"/>
          <w:color w:val="auto"/>
          <w:highlight w:val="none"/>
          <w:lang w:eastAsia="zh-CN"/>
        </w:rPr>
        <w:t>商务技术</w:t>
      </w:r>
      <w:r>
        <w:rPr>
          <w:rFonts w:hint="eastAsia" w:ascii="宋体" w:hAnsi="宋体" w:eastAsia="宋体" w:cs="宋体"/>
          <w:color w:val="auto"/>
          <w:szCs w:val="40"/>
          <w:highlight w:val="none"/>
        </w:rPr>
        <w:t>文件</w:t>
      </w:r>
      <w:r>
        <w:rPr>
          <w:rFonts w:hint="eastAsia" w:ascii="宋体" w:hAnsi="宋体" w:eastAsia="宋体" w:cs="宋体"/>
          <w:color w:val="auto"/>
          <w:highlight w:val="none"/>
        </w:rPr>
        <w:t>封面</w:t>
      </w:r>
      <w:bookmarkEnd w:id="171"/>
      <w:bookmarkEnd w:id="172"/>
    </w:p>
    <w:p>
      <w:pPr>
        <w:spacing w:line="600" w:lineRule="auto"/>
        <w:ind w:firstLine="0" w:firstLineChars="0"/>
        <w:jc w:val="center"/>
        <w:rPr>
          <w:rFonts w:hint="eastAsia" w:ascii="宋体" w:hAnsi="宋体" w:eastAsia="宋体" w:cs="宋体"/>
          <w:b/>
          <w:bCs/>
          <w:color w:val="auto"/>
          <w:sz w:val="48"/>
          <w:szCs w:val="48"/>
          <w:highlight w:val="none"/>
        </w:rPr>
      </w:pPr>
    </w:p>
    <w:p>
      <w:pPr>
        <w:spacing w:line="600" w:lineRule="auto"/>
        <w:ind w:firstLine="0" w:firstLineChars="0"/>
        <w:jc w:val="center"/>
        <w:rPr>
          <w:rFonts w:hint="eastAsia" w:ascii="宋体" w:hAnsi="宋体" w:eastAsia="宋体" w:cs="宋体"/>
          <w:b/>
          <w:bCs/>
          <w:color w:val="auto"/>
          <w:sz w:val="48"/>
          <w:szCs w:val="48"/>
          <w:highlight w:val="none"/>
        </w:rPr>
      </w:pPr>
      <w:r>
        <w:rPr>
          <w:rFonts w:hint="eastAsia" w:cs="宋体"/>
          <w:b/>
          <w:bCs/>
          <w:color w:val="auto"/>
          <w:sz w:val="48"/>
          <w:szCs w:val="48"/>
          <w:highlight w:val="none"/>
          <w:lang w:eastAsia="zh-CN"/>
        </w:rPr>
        <w:t>浙江海洋大学</w:t>
      </w:r>
    </w:p>
    <w:p>
      <w:pPr>
        <w:spacing w:line="600" w:lineRule="auto"/>
        <w:ind w:firstLine="0" w:firstLineChars="0"/>
        <w:jc w:val="center"/>
        <w:rPr>
          <w:rFonts w:hint="eastAsia" w:ascii="宋体" w:hAnsi="宋体" w:eastAsia="宋体" w:cs="宋体"/>
          <w:b/>
          <w:bCs/>
          <w:color w:val="auto"/>
          <w:sz w:val="48"/>
          <w:szCs w:val="48"/>
          <w:highlight w:val="none"/>
          <w:lang w:eastAsia="zh-CN"/>
        </w:rPr>
      </w:pPr>
      <w:r>
        <w:rPr>
          <w:rFonts w:hint="eastAsia" w:cs="宋体"/>
          <w:b/>
          <w:bCs/>
          <w:color w:val="auto"/>
          <w:sz w:val="48"/>
          <w:szCs w:val="48"/>
          <w:highlight w:val="none"/>
          <w:lang w:eastAsia="zh-CN"/>
        </w:rPr>
        <w:t>实验教学设备采购项目</w:t>
      </w:r>
    </w:p>
    <w:p>
      <w:pPr>
        <w:ind w:firstLine="602"/>
        <w:jc w:val="center"/>
        <w:rPr>
          <w:rFonts w:hint="eastAsia" w:ascii="宋体" w:hAnsi="宋体" w:eastAsia="宋体" w:cs="宋体"/>
          <w:b/>
          <w:bCs/>
          <w:color w:val="auto"/>
          <w:sz w:val="30"/>
          <w:szCs w:val="30"/>
          <w:highlight w:val="none"/>
        </w:rPr>
      </w:pPr>
    </w:p>
    <w:p>
      <w:pPr>
        <w:ind w:firstLine="602"/>
        <w:jc w:val="center"/>
        <w:rPr>
          <w:rFonts w:hint="eastAsia" w:ascii="宋体" w:hAnsi="宋体" w:eastAsia="宋体" w:cs="宋体"/>
          <w:color w:val="auto"/>
          <w:sz w:val="30"/>
          <w:szCs w:val="30"/>
          <w:highlight w:val="none"/>
        </w:rPr>
      </w:pPr>
      <w:r>
        <w:rPr>
          <w:rFonts w:hint="eastAsia" w:cs="宋体"/>
          <w:b/>
          <w:bCs/>
          <w:color w:val="auto"/>
          <w:sz w:val="30"/>
          <w:szCs w:val="30"/>
          <w:highlight w:val="none"/>
          <w:lang w:eastAsia="zh-CN"/>
        </w:rPr>
        <w:t>商务技术</w:t>
      </w:r>
      <w:r>
        <w:rPr>
          <w:rFonts w:hint="eastAsia" w:ascii="宋体" w:hAnsi="宋体" w:eastAsia="宋体" w:cs="宋体"/>
          <w:b/>
          <w:bCs/>
          <w:color w:val="auto"/>
          <w:sz w:val="30"/>
          <w:szCs w:val="30"/>
          <w:highlight w:val="none"/>
        </w:rPr>
        <w:t>文件</w:t>
      </w:r>
    </w:p>
    <w:p>
      <w:pPr>
        <w:pStyle w:val="48"/>
        <w:rPr>
          <w:rFonts w:hint="eastAsia" w:ascii="宋体" w:hAnsi="宋体" w:eastAsia="宋体" w:cs="宋体"/>
          <w:color w:val="auto"/>
          <w:sz w:val="30"/>
          <w:szCs w:val="30"/>
          <w:highlight w:val="none"/>
        </w:rPr>
      </w:pPr>
    </w:p>
    <w:p>
      <w:pPr>
        <w:pStyle w:val="48"/>
        <w:rPr>
          <w:rFonts w:hint="eastAsia" w:ascii="宋体" w:hAnsi="宋体" w:eastAsia="宋体" w:cs="宋体"/>
          <w:color w:val="auto"/>
          <w:sz w:val="30"/>
          <w:szCs w:val="30"/>
          <w:highlight w:val="none"/>
        </w:rPr>
      </w:pPr>
    </w:p>
    <w:p>
      <w:pPr>
        <w:pStyle w:val="48"/>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采 购 人：</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项目名称：</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项目编号：</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投标人名称（盖章）：</w:t>
      </w: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投标人地址：</w:t>
      </w: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p>
    <w:p>
      <w:pPr>
        <w:ind w:firstLine="6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授权代表签字或盖章：</w:t>
      </w:r>
    </w:p>
    <w:p>
      <w:pPr>
        <w:ind w:firstLine="600"/>
        <w:rPr>
          <w:rFonts w:hint="eastAsia" w:ascii="宋体" w:hAnsi="宋体" w:eastAsia="宋体" w:cs="宋体"/>
          <w:color w:val="auto"/>
          <w:sz w:val="30"/>
          <w:szCs w:val="30"/>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r>
        <w:rPr>
          <w:rFonts w:hint="eastAsia" w:ascii="宋体" w:hAnsi="宋体" w:eastAsia="宋体" w:cs="宋体"/>
          <w:color w:val="auto"/>
          <w:sz w:val="30"/>
          <w:szCs w:val="30"/>
          <w:highlight w:val="none"/>
        </w:rPr>
        <w:t>日期：    年  月  日</w:t>
      </w:r>
    </w:p>
    <w:p>
      <w:pPr>
        <w:pStyle w:val="3"/>
        <w:bidi w:val="0"/>
        <w:rPr>
          <w:rFonts w:hint="eastAsia" w:ascii="宋体" w:hAnsi="宋体" w:eastAsia="宋体" w:cs="宋体"/>
          <w:color w:val="auto"/>
          <w:highlight w:val="none"/>
        </w:rPr>
      </w:pPr>
      <w:bookmarkStart w:id="173" w:name="_Toc18939"/>
      <w:bookmarkStart w:id="174" w:name="_Toc520"/>
      <w:bookmarkStart w:id="175" w:name="_Toc7692"/>
      <w:r>
        <w:rPr>
          <w:rFonts w:hint="eastAsia" w:ascii="宋体" w:hAnsi="宋体" w:eastAsia="宋体" w:cs="宋体"/>
          <w:color w:val="auto"/>
          <w:highlight w:val="none"/>
        </w:rPr>
        <w:t>评分索引表（请放在目录前页）</w:t>
      </w:r>
      <w:bookmarkEnd w:id="173"/>
      <w:bookmarkEnd w:id="174"/>
    </w:p>
    <w:tbl>
      <w:tblPr>
        <w:tblStyle w:val="46"/>
        <w:tblW w:w="9389" w:type="dxa"/>
        <w:tblInd w:w="0" w:type="dxa"/>
        <w:tblLayout w:type="fixed"/>
        <w:tblCellMar>
          <w:top w:w="0" w:type="dxa"/>
          <w:left w:w="108" w:type="dxa"/>
          <w:bottom w:w="0" w:type="dxa"/>
          <w:right w:w="108" w:type="dxa"/>
        </w:tblCellMar>
      </w:tblPr>
      <w:tblGrid>
        <w:gridCol w:w="708"/>
        <w:gridCol w:w="851"/>
        <w:gridCol w:w="6175"/>
        <w:gridCol w:w="850"/>
        <w:gridCol w:w="805"/>
      </w:tblGrid>
      <w:tr>
        <w:tblPrEx>
          <w:tblLayout w:type="fixed"/>
          <w:tblCellMar>
            <w:top w:w="0" w:type="dxa"/>
            <w:left w:w="108" w:type="dxa"/>
            <w:bottom w:w="0" w:type="dxa"/>
            <w:right w:w="108" w:type="dxa"/>
          </w:tblCellMar>
        </w:tblPrEx>
        <w:trPr>
          <w:trHeight w:val="1084" w:hRule="atLeast"/>
        </w:trPr>
        <w:tc>
          <w:tcPr>
            <w:tcW w:w="708" w:type="dxa"/>
            <w:tcBorders>
              <w:top w:val="single" w:color="auto" w:sz="8" w:space="0"/>
              <w:left w:val="single" w:color="auto" w:sz="8" w:space="0"/>
              <w:bottom w:val="nil"/>
              <w:right w:val="single" w:color="auto" w:sz="8"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851" w:type="dxa"/>
            <w:tcBorders>
              <w:top w:val="single" w:color="auto" w:sz="8" w:space="0"/>
              <w:left w:val="nil"/>
              <w:bottom w:val="nil"/>
              <w:right w:val="single" w:color="auto" w:sz="8"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评分</w:t>
            </w:r>
          </w:p>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内容</w:t>
            </w:r>
          </w:p>
        </w:tc>
        <w:tc>
          <w:tcPr>
            <w:tcW w:w="6175" w:type="dxa"/>
            <w:tcBorders>
              <w:top w:val="single" w:color="auto" w:sz="8" w:space="0"/>
              <w:left w:val="nil"/>
              <w:bottom w:val="nil"/>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评分原则</w:t>
            </w:r>
          </w:p>
        </w:tc>
        <w:tc>
          <w:tcPr>
            <w:tcW w:w="850"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自评分</w:t>
            </w: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投标文件页码</w:t>
            </w:r>
          </w:p>
        </w:tc>
      </w:tr>
      <w:tr>
        <w:tblPrEx>
          <w:tblLayout w:type="fixed"/>
          <w:tblCellMar>
            <w:top w:w="0" w:type="dxa"/>
            <w:left w:w="108" w:type="dxa"/>
            <w:bottom w:w="0" w:type="dxa"/>
            <w:right w:w="108" w:type="dxa"/>
          </w:tblCellMar>
        </w:tblPrEx>
        <w:trPr>
          <w:trHeight w:val="476" w:hRule="atLeast"/>
        </w:trPr>
        <w:tc>
          <w:tcPr>
            <w:tcW w:w="708" w:type="dxa"/>
            <w:vMerge w:val="restart"/>
            <w:tcBorders>
              <w:top w:val="single" w:color="auto" w:sz="4" w:space="0"/>
              <w:left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851" w:type="dxa"/>
            <w:vMerge w:val="restart"/>
            <w:tcBorders>
              <w:top w:val="single" w:color="auto" w:sz="4" w:space="0"/>
              <w:left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left"/>
              <w:rPr>
                <w:rFonts w:hint="eastAsia" w:ascii="宋体" w:hAnsi="宋体" w:eastAsia="宋体" w:cs="宋体"/>
                <w:color w:val="auto"/>
                <w:kern w:val="0"/>
                <w:szCs w:val="21"/>
                <w:highlight w:val="none"/>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476" w:hRule="atLeast"/>
        </w:trPr>
        <w:tc>
          <w:tcPr>
            <w:tcW w:w="708"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51"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left"/>
              <w:rPr>
                <w:rFonts w:hint="eastAsia" w:ascii="宋体" w:hAnsi="宋体" w:eastAsia="宋体" w:cs="宋体"/>
                <w:color w:val="auto"/>
                <w:kern w:val="0"/>
                <w:szCs w:val="21"/>
                <w:highlight w:val="none"/>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476" w:hRule="atLeast"/>
        </w:trPr>
        <w:tc>
          <w:tcPr>
            <w:tcW w:w="708"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51"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left"/>
              <w:rPr>
                <w:rFonts w:hint="eastAsia" w:ascii="宋体" w:hAnsi="宋体" w:eastAsia="宋体" w:cs="宋体"/>
                <w:color w:val="auto"/>
                <w:kern w:val="0"/>
                <w:szCs w:val="21"/>
                <w:highlight w:val="none"/>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438" w:hRule="atLeast"/>
        </w:trPr>
        <w:tc>
          <w:tcPr>
            <w:tcW w:w="708"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ind w:firstLine="0" w:firstLineChars="0"/>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851"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utoSpaceDE w:val="0"/>
              <w:autoSpaceDN w:val="0"/>
              <w:adjustRightInd w:val="0"/>
              <w:snapToGrid w:val="0"/>
              <w:spacing w:line="400" w:lineRule="atLeast"/>
              <w:ind w:firstLine="0" w:firstLineChars="0"/>
              <w:rPr>
                <w:rFonts w:hint="eastAsia" w:ascii="宋体" w:hAnsi="宋体" w:eastAsia="宋体" w:cs="宋体"/>
                <w:color w:val="auto"/>
                <w:szCs w:val="32"/>
                <w:highlight w:val="none"/>
              </w:rPr>
            </w:pPr>
          </w:p>
        </w:tc>
        <w:tc>
          <w:tcPr>
            <w:tcW w:w="850" w:type="dxa"/>
            <w:vMerge w:val="restart"/>
            <w:tcBorders>
              <w:top w:val="single" w:color="auto" w:sz="4" w:space="0"/>
              <w:left w:val="single" w:color="auto" w:sz="4" w:space="0"/>
              <w:right w:val="single" w:color="auto" w:sz="4" w:space="0"/>
            </w:tcBorders>
            <w:shd w:val="clear" w:color="000000" w:fill="FFFFFF"/>
            <w:vAlign w:val="center"/>
          </w:tcPr>
          <w:p>
            <w:pPr>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utoSpaceDE w:val="0"/>
              <w:autoSpaceDN w:val="0"/>
              <w:adjustRightInd w:val="0"/>
              <w:snapToGrid w:val="0"/>
              <w:spacing w:line="400" w:lineRule="atLeast"/>
              <w:ind w:firstLine="0" w:firstLineChars="0"/>
              <w:rPr>
                <w:rFonts w:hint="eastAsia" w:ascii="宋体" w:hAnsi="宋体" w:eastAsia="宋体" w:cs="宋体"/>
                <w:color w:val="auto"/>
                <w:szCs w:val="32"/>
                <w:highlight w:val="none"/>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rPr>
                <w:rFonts w:hint="eastAsia" w:ascii="宋体" w:hAnsi="宋体" w:eastAsia="宋体" w:cs="宋体"/>
                <w:color w:val="auto"/>
                <w:highlight w:val="none"/>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rPr>
                <w:rFonts w:hint="eastAsia" w:ascii="宋体" w:hAnsi="宋体" w:eastAsia="宋体" w:cs="宋体"/>
                <w:color w:val="auto"/>
                <w:highlight w:val="none"/>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42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hint="eastAsia" w:ascii="宋体" w:hAnsi="宋体" w:eastAsia="宋体" w:cs="宋体"/>
                <w:color w:val="auto"/>
                <w:kern w:val="0"/>
                <w:szCs w:val="21"/>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jc w:val="left"/>
              <w:rPr>
                <w:rFonts w:hint="eastAsia" w:ascii="宋体" w:hAnsi="宋体" w:eastAsia="宋体" w:cs="宋体"/>
                <w:color w:val="auto"/>
                <w:highlight w:val="none"/>
              </w:rPr>
            </w:pPr>
          </w:p>
        </w:tc>
        <w:tc>
          <w:tcPr>
            <w:tcW w:w="850"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r>
        <w:tblPrEx>
          <w:tblLayout w:type="fixed"/>
          <w:tblCellMar>
            <w:top w:w="0" w:type="dxa"/>
            <w:left w:w="108" w:type="dxa"/>
            <w:bottom w:w="0" w:type="dxa"/>
            <w:right w:w="108" w:type="dxa"/>
          </w:tblCellMar>
        </w:tblPrEx>
        <w:trPr>
          <w:trHeight w:val="543"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hint="eastAsia" w:ascii="宋体" w:hAnsi="宋体" w:eastAsia="宋体" w:cs="宋体"/>
                <w:color w:val="auto"/>
                <w:kern w:val="0"/>
                <w:szCs w:val="21"/>
                <w:highlight w:val="none"/>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hint="eastAsia" w:ascii="宋体" w:hAnsi="宋体" w:eastAsia="宋体" w:cs="宋体"/>
                <w:color w:val="auto"/>
                <w:kern w:val="0"/>
                <w:szCs w:val="21"/>
                <w:highlight w:val="none"/>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spacing w:line="400" w:lineRule="atLeast"/>
              <w:ind w:firstLine="0" w:firstLineChars="0"/>
              <w:rPr>
                <w:rFonts w:hint="eastAsia" w:ascii="宋体" w:hAnsi="宋体" w:eastAsia="宋体" w:cs="宋体"/>
                <w:color w:val="auto"/>
                <w:highlight w:val="none"/>
              </w:rPr>
            </w:pPr>
          </w:p>
        </w:tc>
        <w:tc>
          <w:tcPr>
            <w:tcW w:w="850"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hint="eastAsia" w:ascii="宋体" w:hAnsi="宋体" w:eastAsia="宋体" w:cs="宋体"/>
                <w:color w:val="auto"/>
                <w:kern w:val="0"/>
                <w:szCs w:val="21"/>
                <w:highlight w:val="none"/>
              </w:rPr>
            </w:pPr>
          </w:p>
        </w:tc>
      </w:tr>
    </w:tbl>
    <w:p>
      <w:pPr>
        <w:ind w:firstLine="482"/>
        <w:rPr>
          <w:rFonts w:hint="eastAsia" w:ascii="宋体" w:hAnsi="宋体" w:eastAsia="宋体" w:cs="宋体"/>
          <w:b/>
          <w:color w:val="auto"/>
          <w:kern w:val="0"/>
          <w:szCs w:val="20"/>
          <w:highlight w:val="none"/>
        </w:rPr>
      </w:pPr>
    </w:p>
    <w:p>
      <w:pPr>
        <w:ind w:firstLine="482"/>
        <w:rPr>
          <w:rFonts w:hint="eastAsia" w:ascii="宋体" w:hAnsi="宋体" w:eastAsia="宋体" w:cs="宋体"/>
          <w:b/>
          <w:color w:val="auto"/>
          <w:kern w:val="0"/>
          <w:szCs w:val="20"/>
          <w:highlight w:val="none"/>
        </w:rPr>
      </w:pPr>
      <w:r>
        <w:rPr>
          <w:rFonts w:hint="eastAsia" w:ascii="宋体" w:hAnsi="宋体" w:eastAsia="宋体" w:cs="宋体"/>
          <w:b/>
          <w:color w:val="auto"/>
          <w:kern w:val="0"/>
          <w:szCs w:val="20"/>
          <w:highlight w:val="none"/>
        </w:rPr>
        <w:t>根据评分标准自行调整。</w:t>
      </w:r>
    </w:p>
    <w:bookmarkEnd w:id="175"/>
    <w:p>
      <w:pPr>
        <w:pStyle w:val="16"/>
        <w:jc w:val="center"/>
        <w:rPr>
          <w:rFonts w:hint="eastAsia" w:ascii="宋体" w:hAnsi="宋体" w:eastAsia="宋体" w:cs="宋体"/>
          <w:b/>
          <w:bCs/>
          <w:i w:val="0"/>
          <w:iCs w:val="0"/>
          <w:color w:val="auto"/>
          <w:sz w:val="36"/>
          <w:szCs w:val="24"/>
          <w:highlight w:val="none"/>
          <w:lang w:val="en-US" w:eastAsia="zh-CN"/>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3"/>
        <w:bidi w:val="0"/>
        <w:ind w:left="0" w:leftChars="0" w:right="0" w:rightChars="0" w:firstLine="0" w:firstLineChars="0"/>
        <w:jc w:val="center"/>
        <w:rPr>
          <w:rFonts w:hint="eastAsia" w:ascii="宋体" w:hAnsi="宋体" w:eastAsia="宋体" w:cs="宋体"/>
          <w:color w:val="auto"/>
          <w:highlight w:val="none"/>
          <w:lang w:val="en-US" w:eastAsia="zh-CN"/>
        </w:rPr>
      </w:pPr>
      <w:bookmarkStart w:id="176" w:name="_Toc25412"/>
      <w:r>
        <w:rPr>
          <w:rFonts w:hint="eastAsia" w:cs="宋体"/>
          <w:color w:val="auto"/>
          <w:highlight w:val="none"/>
          <w:lang w:val="en-US" w:eastAsia="zh-CN"/>
        </w:rPr>
        <w:t>商务技术</w:t>
      </w:r>
      <w:r>
        <w:rPr>
          <w:rFonts w:hint="eastAsia" w:ascii="宋体" w:hAnsi="宋体" w:eastAsia="宋体" w:cs="宋体"/>
          <w:color w:val="auto"/>
          <w:highlight w:val="none"/>
          <w:lang w:val="en-US" w:eastAsia="zh-CN"/>
        </w:rPr>
        <w:t>文件目录</w:t>
      </w:r>
      <w:bookmarkEnd w:id="176"/>
    </w:p>
    <w:p>
      <w:pPr>
        <w:rPr>
          <w:rFonts w:hint="eastAsia" w:ascii="宋体" w:hAnsi="宋体" w:eastAsia="宋体" w:cs="宋体"/>
          <w:color w:val="auto"/>
          <w:highlight w:val="none"/>
          <w:lang w:val="en-US" w:eastAsia="zh-CN"/>
        </w:rPr>
      </w:pP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投标声明书</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kern w:val="0"/>
          <w:highlight w:val="none"/>
        </w:rPr>
        <w:t>………………………………………………………………………（页码）</w:t>
      </w:r>
    </w:p>
    <w:p>
      <w:pPr>
        <w:numPr>
          <w:ilvl w:val="0"/>
          <w:numId w:val="45"/>
        </w:numPr>
        <w:ind w:left="0" w:leftChars="0" w:firstLine="480" w:firstLineChars="200"/>
        <w:rPr>
          <w:rFonts w:hint="eastAsia" w:ascii="宋体" w:hAnsi="宋体" w:eastAsia="宋体" w:cs="宋体"/>
          <w:color w:val="auto"/>
          <w:highlight w:val="none"/>
          <w:lang w:val="en-US" w:eastAsia="zh-CN"/>
        </w:rPr>
      </w:pPr>
      <w:r>
        <w:rPr>
          <w:rFonts w:hint="eastAsia" w:cs="宋体"/>
          <w:color w:val="auto"/>
          <w:highlight w:val="none"/>
          <w:lang w:val="en-US" w:eastAsia="zh-CN"/>
        </w:rPr>
        <w:t xml:space="preserve"> </w:t>
      </w:r>
      <w:r>
        <w:rPr>
          <w:rFonts w:hint="eastAsia" w:ascii="宋体" w:hAnsi="宋体" w:eastAsia="宋体" w:cs="宋体"/>
          <w:color w:val="auto"/>
          <w:highlight w:val="none"/>
          <w:lang w:val="en-US" w:eastAsia="zh-CN"/>
        </w:rPr>
        <w:t>法定代表人证明书，法定代表人授权书…………………………………………（页码）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廉政承诺书</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kern w:val="0"/>
          <w:highlight w:val="none"/>
        </w:rPr>
        <w:t>………………………………………………………………………（页码）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投标人情况表</w:t>
      </w:r>
      <w:r>
        <w:rPr>
          <w:rFonts w:hint="eastAsia" w:ascii="宋体" w:hAnsi="宋体" w:eastAsia="宋体" w:cs="宋体"/>
          <w:color w:val="auto"/>
          <w:highlight w:val="none"/>
          <w:lang w:eastAsia="zh-CN"/>
        </w:rPr>
        <w:t>（</w:t>
      </w:r>
      <w:r>
        <w:rPr>
          <w:rFonts w:hint="eastAsia" w:cs="宋体"/>
          <w:color w:val="auto"/>
          <w:highlight w:val="none"/>
          <w:lang w:eastAsia="zh-CN"/>
        </w:rPr>
        <w:t>认证</w:t>
      </w:r>
      <w:r>
        <w:rPr>
          <w:rFonts w:hint="eastAsia" w:ascii="宋体" w:hAnsi="宋体" w:eastAsia="宋体" w:cs="宋体"/>
          <w:color w:val="auto"/>
          <w:highlight w:val="none"/>
          <w:lang w:val="en-US" w:eastAsia="zh-CN"/>
        </w:rPr>
        <w:t>证书复印件</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同类项目实施情况一览表</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技术规范偏离表…………………………………………………………………（页码）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产品总体性能及质量水平…………………………………………………………（页码）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产品配置的先进性、完整性和适用性……………………………………………（页码）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产品的稳定性、可操作性和可维护性……………………………………………（页码）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安装、调试、验收计划及人员安排情况………………………………………（页码）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售后服务…………………………………………………………………………（页码）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优惠条件…………………………………………………………………………（页码）</w:t>
      </w:r>
    </w:p>
    <w:p>
      <w:pPr>
        <w:numPr>
          <w:ilvl w:val="0"/>
          <w:numId w:val="45"/>
        </w:numPr>
        <w:ind w:left="0" w:leftChars="0"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政府采购政策分</w:t>
      </w:r>
      <w:r>
        <w:rPr>
          <w:rFonts w:hint="eastAsia" w:ascii="宋体" w:hAnsi="宋体" w:eastAsia="宋体" w:cs="宋体"/>
          <w:color w:val="auto"/>
          <w:kern w:val="0"/>
          <w:highlight w:val="none"/>
        </w:rPr>
        <w:t>…………………………………………………………………（页码）</w:t>
      </w:r>
    </w:p>
    <w:p>
      <w:pPr>
        <w:numPr>
          <w:ilvl w:val="0"/>
          <w:numId w:val="45"/>
        </w:numPr>
        <w:ind w:left="0" w:leftChars="0" w:firstLine="480" w:firstLineChars="200"/>
        <w:rPr>
          <w:rFonts w:hint="eastAsia" w:ascii="宋体" w:hAnsi="宋体" w:eastAsia="宋体" w:cs="宋体"/>
          <w:color w:val="auto"/>
          <w:kern w:val="0"/>
          <w:highlight w:val="none"/>
        </w:rPr>
      </w:pPr>
      <w:r>
        <w:rPr>
          <w:rFonts w:hint="eastAsia" w:ascii="宋体" w:hAnsi="宋体" w:eastAsia="宋体" w:cs="宋体"/>
          <w:color w:val="auto"/>
          <w:kern w:val="0"/>
          <w:highlight w:val="none"/>
        </w:rPr>
        <w:t>其他…………………………………………………………………………………（页码）</w:t>
      </w:r>
    </w:p>
    <w:p>
      <w:pPr>
        <w:pStyle w:val="48"/>
        <w:rPr>
          <w:rFonts w:hint="eastAsia" w:ascii="宋体" w:hAnsi="宋体" w:eastAsia="宋体" w:cs="宋体"/>
          <w:color w:val="auto"/>
          <w:highlight w:val="none"/>
        </w:rPr>
      </w:pPr>
      <w:r>
        <w:rPr>
          <w:rFonts w:hint="eastAsia" w:ascii="宋体" w:hAnsi="宋体" w:eastAsia="宋体" w:cs="宋体"/>
          <w:color w:val="auto"/>
          <w:highlight w:val="none"/>
        </w:rPr>
        <w:t>（根据评分标准及招标文件要求自行调整）</w:t>
      </w:r>
    </w:p>
    <w:p>
      <w:pPr>
        <w:pStyle w:val="49"/>
        <w:rPr>
          <w:rFonts w:hint="eastAsia" w:ascii="宋体" w:hAnsi="宋体" w:eastAsia="宋体" w:cs="宋体"/>
          <w:color w:val="auto"/>
          <w:highlight w:val="none"/>
        </w:rPr>
      </w:pPr>
    </w:p>
    <w:p>
      <w:pPr>
        <w:rPr>
          <w:rFonts w:hint="eastAsia" w:ascii="宋体" w:hAnsi="宋体" w:eastAsia="宋体" w:cs="宋体"/>
          <w:color w:val="auto"/>
          <w:highlight w:val="none"/>
        </w:rPr>
      </w:pPr>
    </w:p>
    <w:sdt>
      <w:sdtPr>
        <w:rPr>
          <w:rFonts w:hint="eastAsia" w:ascii="宋体" w:hAnsi="宋体" w:eastAsia="宋体" w:cs="宋体"/>
          <w:color w:val="auto"/>
          <w:kern w:val="2"/>
          <w:sz w:val="21"/>
          <w:szCs w:val="24"/>
          <w:highlight w:val="none"/>
          <w:lang w:val="en-US" w:eastAsia="zh-CN" w:bidi="ar-SA"/>
        </w:rPr>
        <w:id w:val="147477178"/>
        <w:showingPlcHdr/>
        <w15:color w:val="DBDBDB"/>
      </w:sdtPr>
      <w:sdtEndPr>
        <w:rPr>
          <w:rFonts w:hint="eastAsia" w:ascii="宋体" w:hAnsi="宋体" w:eastAsia="宋体" w:cs="宋体"/>
          <w:color w:val="auto"/>
          <w:kern w:val="2"/>
          <w:sz w:val="21"/>
          <w:szCs w:val="22"/>
          <w:highlight w:val="none"/>
          <w:lang w:val="en-US" w:eastAsia="zh-CN" w:bidi="ar-SA"/>
        </w:rPr>
      </w:sdtEndPr>
      <w:sdtContent>
        <w:p>
          <w:pPr>
            <w:pStyle w:val="16"/>
            <w:ind w:left="0" w:leftChars="0" w:firstLine="0" w:firstLineChars="0"/>
            <w:rPr>
              <w:rFonts w:hint="eastAsia" w:ascii="宋体" w:hAnsi="宋体" w:eastAsia="宋体" w:cs="宋体"/>
              <w:color w:val="auto"/>
              <w:highlight w:val="none"/>
            </w:rPr>
          </w:pPr>
        </w:p>
      </w:sdtContent>
    </w:sdt>
    <w:p>
      <w:pPr>
        <w:ind w:firstLine="480"/>
        <w:rPr>
          <w:rFonts w:hint="eastAsia" w:ascii="宋体" w:hAnsi="宋体" w:eastAsia="宋体" w:cs="宋体"/>
          <w:iCs/>
          <w:color w:val="auto"/>
          <w:highlight w:val="none"/>
        </w:rPr>
      </w:pPr>
      <w:r>
        <w:rPr>
          <w:rFonts w:hint="eastAsia" w:ascii="宋体" w:hAnsi="宋体" w:eastAsia="宋体" w:cs="宋体"/>
          <w:iCs/>
          <w:color w:val="auto"/>
          <w:highlight w:val="none"/>
        </w:rPr>
        <w:br w:type="page"/>
      </w:r>
    </w:p>
    <w:p>
      <w:pPr>
        <w:pStyle w:val="4"/>
        <w:numPr>
          <w:ilvl w:val="0"/>
          <w:numId w:val="46"/>
        </w:numPr>
        <w:bidi w:val="0"/>
        <w:ind w:left="0" w:leftChars="0" w:firstLine="482" w:firstLineChars="200"/>
        <w:rPr>
          <w:rFonts w:hint="eastAsia" w:ascii="宋体" w:hAnsi="宋体" w:eastAsia="宋体" w:cs="宋体"/>
          <w:color w:val="auto"/>
          <w:highlight w:val="none"/>
        </w:rPr>
      </w:pPr>
      <w:bookmarkStart w:id="177" w:name="_Toc23264"/>
      <w:r>
        <w:rPr>
          <w:rFonts w:hint="eastAsia" w:ascii="宋体" w:hAnsi="宋体" w:eastAsia="宋体" w:cs="宋体"/>
          <w:color w:val="auto"/>
          <w:highlight w:val="none"/>
        </w:rPr>
        <w:t>投标声明书</w:t>
      </w:r>
      <w:bookmarkEnd w:id="177"/>
    </w:p>
    <w:p>
      <w:pPr>
        <w:snapToGrid w:val="0"/>
        <w:ind w:left="0" w:leftChars="0" w:right="0" w:rightChars="0" w:firstLine="0" w:firstLineChars="0"/>
        <w:jc w:val="center"/>
        <w:rPr>
          <w:rFonts w:hint="eastAsia" w:ascii="宋体" w:hAnsi="宋体" w:eastAsia="宋体" w:cs="宋体"/>
          <w:b/>
          <w:color w:val="auto"/>
          <w:kern w:val="0"/>
          <w:sz w:val="32"/>
          <w:highlight w:val="none"/>
        </w:rPr>
      </w:pPr>
      <w:bookmarkStart w:id="178" w:name="_Toc29771"/>
      <w:r>
        <w:rPr>
          <w:rFonts w:hint="eastAsia" w:ascii="宋体" w:hAnsi="宋体" w:eastAsia="宋体" w:cs="宋体"/>
          <w:b/>
          <w:color w:val="auto"/>
          <w:kern w:val="0"/>
          <w:sz w:val="32"/>
          <w:highlight w:val="none"/>
        </w:rPr>
        <w:t>投标声明书</w:t>
      </w:r>
      <w:bookmarkEnd w:id="178"/>
    </w:p>
    <w:p>
      <w:pPr>
        <w:snapToGrid w:val="0"/>
        <w:ind w:firstLine="0" w:firstLineChars="0"/>
        <w:rPr>
          <w:rFonts w:hint="eastAsia" w:ascii="宋体" w:hAnsi="宋体" w:eastAsia="宋体" w:cs="宋体"/>
          <w:color w:val="auto"/>
          <w:highlight w:val="none"/>
        </w:rPr>
      </w:pPr>
    </w:p>
    <w:p>
      <w:pPr>
        <w:snapToGrid w:val="0"/>
        <w:ind w:firstLine="0" w:firstLineChars="0"/>
        <w:rPr>
          <w:rFonts w:hint="eastAsia" w:ascii="宋体" w:hAnsi="宋体" w:eastAsia="宋体" w:cs="宋体"/>
          <w:color w:val="auto"/>
          <w:highlight w:val="none"/>
        </w:rPr>
      </w:pPr>
      <w:r>
        <w:rPr>
          <w:rFonts w:hint="eastAsia" w:cs="宋体"/>
          <w:color w:val="auto"/>
          <w:highlight w:val="none"/>
          <w:lang w:eastAsia="zh-CN"/>
        </w:rPr>
        <w:t>浙江海洋大学</w:t>
      </w:r>
      <w:r>
        <w:rPr>
          <w:rFonts w:hint="eastAsia" w:ascii="宋体" w:hAnsi="宋体" w:eastAsia="宋体" w:cs="宋体"/>
          <w:color w:val="auto"/>
          <w:highlight w:val="none"/>
        </w:rPr>
        <w:t>、浙江五石工程咨询有限公司：</w:t>
      </w:r>
    </w:p>
    <w:p>
      <w:pPr>
        <w:ind w:firstLine="480"/>
        <w:rPr>
          <w:rFonts w:hint="eastAsia" w:ascii="宋体" w:hAnsi="宋体" w:eastAsia="宋体" w:cs="宋体"/>
          <w:color w:val="auto"/>
          <w:highlight w:val="none"/>
        </w:rPr>
      </w:pPr>
      <w:r>
        <w:rPr>
          <w:rFonts w:hint="eastAsia" w:ascii="宋体" w:hAnsi="宋体" w:eastAsia="宋体" w:cs="宋体"/>
          <w:color w:val="auto"/>
          <w:kern w:val="0"/>
          <w:highlight w:val="none"/>
          <w:lang w:val="zh-CN"/>
        </w:rPr>
        <w:t>我公司</w:t>
      </w:r>
      <w:r>
        <w:rPr>
          <w:rFonts w:hint="eastAsia" w:ascii="宋体" w:hAnsi="宋体" w:eastAsia="宋体" w:cs="宋体"/>
          <w:color w:val="auto"/>
          <w:highlight w:val="none"/>
        </w:rPr>
        <w:t>声明截止投标时间近三年以来，在</w:t>
      </w:r>
      <w:r>
        <w:rPr>
          <w:rFonts w:hint="eastAsia" w:ascii="宋体" w:hAnsi="宋体" w:eastAsia="宋体" w:cs="宋体"/>
          <w:color w:val="auto"/>
          <w:kern w:val="0"/>
          <w:highlight w:val="none"/>
        </w:rPr>
        <w:t>政府采购领域中</w:t>
      </w:r>
      <w:r>
        <w:rPr>
          <w:rFonts w:hint="eastAsia" w:ascii="宋体" w:hAnsi="宋体" w:eastAsia="宋体" w:cs="宋体"/>
          <w:color w:val="auto"/>
          <w:highlight w:val="none"/>
        </w:rPr>
        <w:t>，在项目招标、投标和合同履约期间无任何不良行为记录和违法、违规行为</w:t>
      </w:r>
      <w:r>
        <w:rPr>
          <w:rFonts w:hint="eastAsia" w:ascii="宋体" w:hAnsi="宋体" w:eastAsia="宋体" w:cs="宋体"/>
          <w:color w:val="auto"/>
          <w:kern w:val="0"/>
          <w:highlight w:val="none"/>
          <w:lang w:val="zh-CN"/>
        </w:rPr>
        <w:t>。</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我公司自愿参加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项目[招标编号：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]的投标，并保证投标文件中所列举的投标报价文件及相关资料和公司基本情况资料是真实的、合法的。</w:t>
      </w:r>
    </w:p>
    <w:p>
      <w:pPr>
        <w:ind w:firstLine="48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我公司已详细阅读全部“招标文件”，包括修改文件（如果有）以及全部招标资料和相关附件，并已了解我公司在招投标过程中的权利和义务。</w:t>
      </w:r>
    </w:p>
    <w:p>
      <w:pPr>
        <w:ind w:firstLine="480"/>
        <w:rPr>
          <w:rFonts w:hint="eastAsia" w:ascii="宋体" w:hAnsi="宋体" w:eastAsia="宋体" w:cs="宋体"/>
          <w:color w:val="auto"/>
          <w:highlight w:val="none"/>
        </w:rPr>
      </w:pPr>
      <w:r>
        <w:rPr>
          <w:rFonts w:hint="eastAsia" w:ascii="宋体" w:hAnsi="宋体" w:eastAsia="宋体" w:cs="宋体"/>
          <w:color w:val="auto"/>
          <w:kern w:val="0"/>
          <w:highlight w:val="none"/>
          <w:lang w:val="zh-CN"/>
        </w:rPr>
        <w:t>我公司理解并接受招标文件的各项规定和要求，同意此次招标文件中的各项内容，</w:t>
      </w:r>
      <w:r>
        <w:rPr>
          <w:rFonts w:hint="eastAsia" w:ascii="宋体" w:hAnsi="宋体" w:eastAsia="宋体" w:cs="宋体"/>
          <w:color w:val="auto"/>
          <w:kern w:val="0"/>
          <w:highlight w:val="none"/>
        </w:rPr>
        <w:t>并</w:t>
      </w:r>
      <w:r>
        <w:rPr>
          <w:rFonts w:hint="eastAsia" w:ascii="宋体" w:hAnsi="宋体" w:eastAsia="宋体" w:cs="宋体"/>
          <w:color w:val="auto"/>
          <w:kern w:val="0"/>
          <w:highlight w:val="none"/>
          <w:lang w:val="zh-CN"/>
        </w:rPr>
        <w:t>同意提供按照贵方可能要求的与投标有关的一切数据或资料等。</w:t>
      </w:r>
    </w:p>
    <w:p>
      <w:pPr>
        <w:ind w:firstLine="48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本公司如中标，保证按照投标文件的承诺与贵方签订合同，保证履行合同条款并缴纳履约保证金。</w:t>
      </w:r>
    </w:p>
    <w:p>
      <w:pPr>
        <w:pStyle w:val="48"/>
        <w:rPr>
          <w:rFonts w:hint="eastAsia" w:ascii="宋体" w:hAnsi="宋体" w:eastAsia="宋体" w:cs="宋体"/>
          <w:color w:val="auto"/>
          <w:highlight w:val="none"/>
          <w:lang w:val="zh-CN"/>
        </w:rPr>
      </w:pPr>
    </w:p>
    <w:p>
      <w:pPr>
        <w:pStyle w:val="48"/>
        <w:rPr>
          <w:rFonts w:hint="eastAsia" w:ascii="宋体" w:hAnsi="宋体" w:eastAsia="宋体" w:cs="宋体"/>
          <w:color w:val="auto"/>
          <w:highlight w:val="none"/>
          <w:lang w:val="zh-CN"/>
        </w:rPr>
      </w:pPr>
    </w:p>
    <w:p>
      <w:pPr>
        <w:pStyle w:val="48"/>
        <w:rPr>
          <w:rFonts w:hint="eastAsia" w:ascii="宋体" w:hAnsi="宋体" w:eastAsia="宋体" w:cs="宋体"/>
          <w:color w:val="auto"/>
          <w:highlight w:val="none"/>
          <w:lang w:val="zh-CN"/>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br w:type="page"/>
      </w:r>
    </w:p>
    <w:p>
      <w:pPr>
        <w:pStyle w:val="4"/>
        <w:numPr>
          <w:ilvl w:val="0"/>
          <w:numId w:val="46"/>
        </w:numPr>
        <w:bidi w:val="0"/>
        <w:ind w:left="0" w:leftChars="0" w:firstLine="482"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法定代表人证明书，法定代表人授权书</w:t>
      </w:r>
    </w:p>
    <w:p>
      <w:pPr>
        <w:snapToGrid w:val="0"/>
        <w:ind w:left="0" w:leftChars="0" w:right="0" w:rightChars="0" w:firstLine="0" w:firstLineChars="0"/>
        <w:jc w:val="center"/>
        <w:rPr>
          <w:rFonts w:hint="eastAsia" w:ascii="宋体" w:hAnsi="宋体" w:eastAsia="宋体" w:cs="宋体"/>
          <w:b/>
          <w:color w:val="auto"/>
          <w:kern w:val="0"/>
          <w:sz w:val="32"/>
          <w:highlight w:val="none"/>
        </w:rPr>
      </w:pPr>
      <w:r>
        <w:rPr>
          <w:rFonts w:hint="eastAsia" w:ascii="宋体" w:hAnsi="宋体" w:eastAsia="宋体" w:cs="宋体"/>
          <w:b/>
          <w:color w:val="auto"/>
          <w:kern w:val="0"/>
          <w:sz w:val="32"/>
          <w:highlight w:val="none"/>
        </w:rPr>
        <w:t>法定代表人资格证明书</w:t>
      </w:r>
    </w:p>
    <w:p>
      <w:pPr>
        <w:ind w:firstLine="456"/>
        <w:rPr>
          <w:rFonts w:hint="eastAsia" w:ascii="宋体" w:hAnsi="宋体" w:eastAsia="宋体" w:cs="宋体"/>
          <w:bCs/>
          <w:color w:val="auto"/>
          <w:spacing w:val="-6"/>
          <w:highlight w:val="none"/>
        </w:rPr>
      </w:pPr>
    </w:p>
    <w:p>
      <w:pPr>
        <w:ind w:firstLine="456"/>
        <w:rPr>
          <w:rFonts w:hint="eastAsia" w:ascii="宋体" w:hAnsi="宋体" w:eastAsia="宋体" w:cs="宋体"/>
          <w:bCs/>
          <w:color w:val="auto"/>
          <w:spacing w:val="-6"/>
          <w:highlight w:val="none"/>
        </w:rPr>
      </w:pPr>
      <w:r>
        <w:rPr>
          <w:rFonts w:hint="eastAsia" w:ascii="宋体" w:hAnsi="宋体" w:eastAsia="宋体" w:cs="宋体"/>
          <w:bCs/>
          <w:color w:val="auto"/>
          <w:spacing w:val="-6"/>
          <w:highlight w:val="none"/>
        </w:rPr>
        <w:t>致：</w:t>
      </w:r>
      <w:r>
        <w:rPr>
          <w:rFonts w:hint="eastAsia" w:cs="宋体"/>
          <w:color w:val="auto"/>
          <w:spacing w:val="-6"/>
          <w:highlight w:val="none"/>
          <w:u w:val="single"/>
          <w:lang w:eastAsia="zh-CN"/>
        </w:rPr>
        <w:t>浙江海洋大学</w:t>
      </w:r>
      <w:r>
        <w:rPr>
          <w:rFonts w:hint="eastAsia" w:ascii="宋体" w:hAnsi="宋体" w:eastAsia="宋体" w:cs="宋体"/>
          <w:color w:val="auto"/>
          <w:spacing w:val="-6"/>
          <w:highlight w:val="none"/>
          <w:u w:val="single"/>
        </w:rPr>
        <w:t>、浙江五石工程咨询有限公司</w:t>
      </w:r>
    </w:p>
    <w:p>
      <w:pPr>
        <w:ind w:firstLine="456"/>
        <w:rPr>
          <w:rFonts w:hint="eastAsia" w:ascii="宋体" w:hAnsi="宋体" w:eastAsia="宋体" w:cs="宋体"/>
          <w:bCs/>
          <w:color w:val="auto"/>
          <w:spacing w:val="-6"/>
          <w:highlight w:val="none"/>
        </w:rPr>
      </w:pPr>
      <w:r>
        <w:rPr>
          <w:rFonts w:hint="eastAsia" w:ascii="宋体" w:hAnsi="宋体" w:eastAsia="宋体" w:cs="宋体"/>
          <w:bCs/>
          <w:color w:val="auto"/>
          <w:spacing w:val="-6"/>
          <w:highlight w:val="none"/>
        </w:rPr>
        <w:t>我</w:t>
      </w:r>
      <w:r>
        <w:rPr>
          <w:rFonts w:hint="eastAsia" w:ascii="宋体" w:hAnsi="宋体" w:eastAsia="宋体" w:cs="宋体"/>
          <w:color w:val="auto"/>
          <w:spacing w:val="-6"/>
          <w:highlight w:val="none"/>
        </w:rPr>
        <w:t>________________</w:t>
      </w:r>
      <w:r>
        <w:rPr>
          <w:rFonts w:hint="eastAsia" w:ascii="宋体" w:hAnsi="宋体" w:eastAsia="宋体" w:cs="宋体"/>
          <w:bCs/>
          <w:color w:val="auto"/>
          <w:spacing w:val="-6"/>
          <w:highlight w:val="none"/>
        </w:rPr>
        <w:t>（姓名）系_________________________投标人名称）的法定代表人，身份证号码：_________________________________。</w:t>
      </w:r>
    </w:p>
    <w:p>
      <w:pPr>
        <w:ind w:firstLine="456"/>
        <w:rPr>
          <w:rFonts w:hint="eastAsia" w:ascii="宋体" w:hAnsi="宋体" w:eastAsia="宋体" w:cs="宋体"/>
          <w:bCs/>
          <w:color w:val="auto"/>
          <w:spacing w:val="-6"/>
          <w:highlight w:val="none"/>
        </w:rPr>
      </w:pPr>
      <w:r>
        <w:rPr>
          <w:rFonts w:hint="eastAsia" w:ascii="宋体" w:hAnsi="宋体" w:eastAsia="宋体" w:cs="宋体"/>
          <w:bCs/>
          <w:color w:val="auto"/>
          <w:spacing w:val="-6"/>
          <w:highlight w:val="none"/>
        </w:rPr>
        <w:t>特此证明。</w:t>
      </w:r>
    </w:p>
    <w:p>
      <w:pPr>
        <w:ind w:firstLine="456"/>
        <w:rPr>
          <w:rFonts w:hint="eastAsia" w:ascii="宋体" w:hAnsi="宋体" w:eastAsia="宋体" w:cs="宋体"/>
          <w:bCs/>
          <w:color w:val="auto"/>
          <w:spacing w:val="-6"/>
          <w:highlight w:val="none"/>
        </w:rPr>
      </w:pPr>
    </w:p>
    <w:tbl>
      <w:tblPr>
        <w:tblStyle w:val="46"/>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0" w:hRule="atLeast"/>
        </w:trPr>
        <w:tc>
          <w:tcPr>
            <w:tcW w:w="9498" w:type="dxa"/>
          </w:tcPr>
          <w:p>
            <w:pPr>
              <w:ind w:firstLine="480"/>
              <w:rPr>
                <w:rFonts w:hint="eastAsia" w:ascii="宋体" w:hAnsi="宋体" w:eastAsia="宋体" w:cs="宋体"/>
                <w:color w:val="auto"/>
                <w:highlight w:val="none"/>
              </w:rPr>
            </w:pPr>
            <w:r>
              <w:rPr>
                <w:rFonts w:hint="eastAsia" w:ascii="宋体" w:hAnsi="宋体" w:eastAsia="宋体" w:cs="宋体"/>
                <w:color w:val="auto"/>
                <w:highlight w:val="none"/>
              </w:rPr>
              <w:t>法定代表人身份证：</w:t>
            </w:r>
          </w:p>
          <w:p>
            <w:pPr>
              <w:ind w:firstLine="480"/>
              <w:rPr>
                <w:rFonts w:hint="eastAsia" w:ascii="宋体" w:hAnsi="宋体" w:eastAsia="宋体" w:cs="宋体"/>
                <w:color w:val="auto"/>
                <w:highlight w:val="none"/>
              </w:rPr>
            </w:pPr>
          </w:p>
          <w:p>
            <w:pPr>
              <w:ind w:firstLine="480"/>
              <w:rPr>
                <w:rFonts w:hint="eastAsia" w:ascii="宋体" w:hAnsi="宋体" w:eastAsia="宋体" w:cs="宋体"/>
                <w:color w:val="auto"/>
                <w:highlight w:val="none"/>
              </w:rPr>
            </w:pPr>
          </w:p>
          <w:p>
            <w:pPr>
              <w:ind w:firstLine="480"/>
              <w:rPr>
                <w:rFonts w:hint="eastAsia" w:ascii="宋体" w:hAnsi="宋体" w:eastAsia="宋体" w:cs="宋体"/>
                <w:color w:val="auto"/>
                <w:highlight w:val="none"/>
              </w:rPr>
            </w:pPr>
          </w:p>
          <w:p>
            <w:pPr>
              <w:ind w:firstLine="480"/>
              <w:rPr>
                <w:rFonts w:hint="eastAsia" w:ascii="宋体" w:hAnsi="宋体" w:eastAsia="宋体" w:cs="宋体"/>
                <w:color w:val="auto"/>
                <w:highlight w:val="none"/>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复印件粘贴处</w:t>
            </w:r>
          </w:p>
          <w:p>
            <w:pPr>
              <w:ind w:firstLine="456"/>
              <w:rPr>
                <w:rFonts w:hint="eastAsia" w:ascii="宋体" w:hAnsi="宋体" w:eastAsia="宋体" w:cs="宋体"/>
                <w:bCs/>
                <w:color w:val="auto"/>
                <w:spacing w:val="-6"/>
                <w:highlight w:val="none"/>
              </w:rPr>
            </w:pPr>
          </w:p>
        </w:tc>
      </w:tr>
    </w:tbl>
    <w:p>
      <w:pPr>
        <w:ind w:firstLine="456"/>
        <w:rPr>
          <w:rFonts w:hint="eastAsia" w:ascii="宋体" w:hAnsi="宋体" w:eastAsia="宋体" w:cs="宋体"/>
          <w:bCs/>
          <w:color w:val="auto"/>
          <w:spacing w:val="-6"/>
          <w:highlight w:val="none"/>
        </w:rPr>
      </w:pPr>
    </w:p>
    <w:p>
      <w:pPr>
        <w:ind w:right="456" w:firstLine="458"/>
        <w:rPr>
          <w:rFonts w:hint="eastAsia" w:ascii="宋体" w:hAnsi="宋体" w:eastAsia="宋体" w:cs="宋体"/>
          <w:b/>
          <w:bCs/>
          <w:color w:val="auto"/>
          <w:spacing w:val="-6"/>
          <w:highlight w:val="none"/>
        </w:rPr>
      </w:pPr>
    </w:p>
    <w:p>
      <w:pPr>
        <w:ind w:right="456" w:firstLine="458"/>
        <w:rPr>
          <w:rFonts w:hint="eastAsia" w:ascii="宋体" w:hAnsi="宋体" w:eastAsia="宋体" w:cs="宋体"/>
          <w:b/>
          <w:bCs/>
          <w:color w:val="auto"/>
          <w:spacing w:val="-6"/>
          <w:highlight w:val="none"/>
        </w:rPr>
      </w:pPr>
    </w:p>
    <w:p>
      <w:pPr>
        <w:ind w:right="456" w:firstLine="458"/>
        <w:rPr>
          <w:rFonts w:hint="eastAsia" w:ascii="宋体" w:hAnsi="宋体" w:eastAsia="宋体" w:cs="宋体"/>
          <w:b/>
          <w:bCs/>
          <w:color w:val="auto"/>
          <w:spacing w:val="-6"/>
          <w:highlight w:val="none"/>
        </w:rPr>
      </w:pPr>
    </w:p>
    <w:p>
      <w:pPr>
        <w:ind w:right="456" w:firstLine="458"/>
        <w:rPr>
          <w:rFonts w:hint="eastAsia" w:ascii="宋体" w:hAnsi="宋体" w:eastAsia="宋体" w:cs="宋体"/>
          <w:b/>
          <w:bCs/>
          <w:color w:val="auto"/>
          <w:spacing w:val="-6"/>
          <w:highlight w:val="none"/>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法定代表人（签字或盖章）：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ind w:right="456" w:firstLine="456"/>
        <w:rPr>
          <w:rFonts w:hint="eastAsia" w:ascii="宋体" w:hAnsi="宋体" w:eastAsia="宋体" w:cs="宋体"/>
          <w:bCs/>
          <w:color w:val="auto"/>
          <w:spacing w:val="-6"/>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snapToGrid w:val="0"/>
        <w:ind w:left="0" w:leftChars="0" w:right="0" w:rightChars="0" w:firstLine="0" w:firstLineChars="0"/>
        <w:jc w:val="center"/>
        <w:rPr>
          <w:rFonts w:hint="eastAsia" w:ascii="宋体" w:hAnsi="宋体" w:eastAsia="宋体" w:cs="宋体"/>
          <w:b/>
          <w:color w:val="auto"/>
          <w:kern w:val="0"/>
          <w:sz w:val="32"/>
          <w:highlight w:val="none"/>
        </w:rPr>
      </w:pPr>
      <w:r>
        <w:rPr>
          <w:rFonts w:hint="eastAsia" w:ascii="宋体" w:hAnsi="宋体" w:eastAsia="宋体" w:cs="宋体"/>
          <w:b/>
          <w:color w:val="auto"/>
          <w:kern w:val="0"/>
          <w:sz w:val="32"/>
          <w:highlight w:val="none"/>
        </w:rPr>
        <w:t>法定代表人授权书</w:t>
      </w:r>
    </w:p>
    <w:p>
      <w:pPr>
        <w:bidi w:val="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u w:val="single"/>
        </w:rPr>
      </w:pPr>
      <w:r>
        <w:rPr>
          <w:rFonts w:hint="eastAsia" w:ascii="宋体" w:hAnsi="宋体" w:eastAsia="宋体" w:cs="宋体"/>
          <w:color w:val="auto"/>
          <w:highlight w:val="none"/>
        </w:rPr>
        <w:t>致：</w:t>
      </w:r>
      <w:r>
        <w:rPr>
          <w:rFonts w:hint="eastAsia" w:cs="宋体"/>
          <w:color w:val="auto"/>
          <w:spacing w:val="-6"/>
          <w:highlight w:val="none"/>
          <w:u w:val="single"/>
          <w:lang w:eastAsia="zh-CN"/>
        </w:rPr>
        <w:t>浙江海洋大学</w:t>
      </w:r>
      <w:r>
        <w:rPr>
          <w:rFonts w:hint="eastAsia" w:ascii="宋体" w:hAnsi="宋体" w:eastAsia="宋体" w:cs="宋体"/>
          <w:color w:val="auto"/>
          <w:spacing w:val="-6"/>
          <w:highlight w:val="none"/>
          <w:u w:val="single"/>
        </w:rPr>
        <w:t>、浙江五石工程咨询有限公司</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（投标人全称）法定代表人</w:t>
      </w:r>
      <w:r>
        <w:rPr>
          <w:rFonts w:hint="eastAsia" w:ascii="宋体" w:hAnsi="宋体" w:eastAsia="宋体" w:cs="宋体"/>
          <w:color w:val="auto"/>
          <w:highlight w:val="none"/>
          <w:u w:val="single"/>
        </w:rPr>
        <w:t xml:space="preserve">                 </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授权</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（全权代表姓名、职务）为全权代表，参加贵方组织的</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项目（招标编号）采购活动，全权处理采购活动中的一切事宜。</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本授权书于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日签署生效，特此声明。</w:t>
      </w:r>
    </w:p>
    <w:p>
      <w:pPr>
        <w:bidi w:val="0"/>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b/>
          <w:bCs/>
          <w:color w:val="auto"/>
          <w:highlight w:val="none"/>
        </w:rPr>
        <w:t>附授权委托人身份证复印件正反面及社保证明。</w:t>
      </w:r>
    </w:p>
    <w:p>
      <w:pPr>
        <w:ind w:firstLine="0" w:firstLineChars="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法定代表人（签字或签章）：</w:t>
      </w:r>
    </w:p>
    <w:p>
      <w:pPr>
        <w:ind w:firstLine="0" w:firstLineChars="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日期：</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附：</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全权代表姓名（签字或盖章）：</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职        务：</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详细通讯地址：</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邮 政  编 码：</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传        真：</w:t>
      </w:r>
    </w:p>
    <w:p>
      <w:pPr>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移 动  电 话：</w:t>
      </w:r>
    </w:p>
    <w:p>
      <w:pPr>
        <w:ind w:firstLine="0" w:firstLineChars="0"/>
        <w:rPr>
          <w:rFonts w:hint="eastAsia" w:ascii="宋体" w:hAnsi="宋体" w:eastAsia="宋体" w:cs="宋体"/>
          <w:color w:val="auto"/>
          <w:spacing w:val="6"/>
          <w:highlight w:val="none"/>
        </w:rPr>
      </w:pPr>
    </w:p>
    <w:p>
      <w:pPr>
        <w:ind w:firstLine="0" w:firstLineChars="0"/>
        <w:rPr>
          <w:rFonts w:hint="eastAsia" w:ascii="宋体" w:hAnsi="宋体" w:eastAsia="宋体" w:cs="宋体"/>
          <w:b/>
          <w:color w:val="auto"/>
          <w:highlight w:val="none"/>
        </w:rPr>
      </w:pPr>
    </w:p>
    <w:p>
      <w:pPr>
        <w:ind w:left="525" w:firstLine="0" w:firstLineChars="0"/>
        <w:jc w:val="center"/>
        <w:rPr>
          <w:rFonts w:hint="eastAsia" w:ascii="宋体" w:hAnsi="宋体" w:eastAsia="宋体" w:cs="宋体"/>
          <w:b/>
          <w:color w:val="auto"/>
          <w:highlight w:val="none"/>
        </w:rPr>
      </w:pPr>
    </w:p>
    <w:p>
      <w:pPr>
        <w:pStyle w:val="21"/>
        <w:spacing w:before="120" w:after="120"/>
        <w:rPr>
          <w:rFonts w:hint="eastAsia" w:ascii="宋体" w:hAnsi="宋体" w:eastAsia="宋体" w:cs="宋体"/>
          <w:b/>
          <w:color w:val="auto"/>
          <w:spacing w:val="-6"/>
          <w:sz w:val="24"/>
          <w:szCs w:val="24"/>
          <w:highlight w:val="none"/>
        </w:rPr>
      </w:pPr>
      <w:r>
        <w:rPr>
          <w:rFonts w:hint="eastAsia" w:ascii="宋体" w:hAnsi="宋体" w:eastAsia="宋体" w:cs="宋体"/>
          <w:b/>
          <w:color w:val="auto"/>
          <w:spacing w:val="-6"/>
          <w:sz w:val="24"/>
          <w:szCs w:val="24"/>
          <w:highlight w:val="none"/>
        </w:rPr>
        <w:t>一、法定代表人参加投标的，须在投标文件中提供：法定代表人资格证明书；</w:t>
      </w:r>
    </w:p>
    <w:p>
      <w:pPr>
        <w:pStyle w:val="21"/>
        <w:spacing w:before="120" w:after="120"/>
        <w:rPr>
          <w:rFonts w:hint="eastAsia" w:ascii="宋体" w:hAnsi="宋体" w:eastAsia="宋体" w:cs="宋体"/>
          <w:b/>
          <w:color w:val="auto"/>
          <w:spacing w:val="-6"/>
          <w:sz w:val="24"/>
          <w:szCs w:val="24"/>
          <w:highlight w:val="none"/>
        </w:rPr>
      </w:pPr>
      <w:r>
        <w:rPr>
          <w:rFonts w:hint="eastAsia" w:ascii="宋体" w:hAnsi="宋体" w:eastAsia="宋体" w:cs="宋体"/>
          <w:b/>
          <w:color w:val="auto"/>
          <w:spacing w:val="-6"/>
          <w:sz w:val="24"/>
          <w:szCs w:val="24"/>
          <w:highlight w:val="none"/>
        </w:rPr>
        <w:t>二、</w:t>
      </w:r>
      <w:r>
        <w:rPr>
          <w:rFonts w:hint="eastAsia" w:ascii="宋体" w:hAnsi="宋体" w:eastAsia="宋体" w:cs="宋体"/>
          <w:color w:val="auto"/>
          <w:sz w:val="24"/>
          <w:szCs w:val="24"/>
          <w:highlight w:val="none"/>
        </w:rPr>
        <w:t>▲</w:t>
      </w:r>
      <w:r>
        <w:rPr>
          <w:rFonts w:hint="eastAsia" w:ascii="宋体" w:hAnsi="宋体" w:eastAsia="宋体" w:cs="宋体"/>
          <w:b/>
          <w:color w:val="auto"/>
          <w:spacing w:val="-6"/>
          <w:sz w:val="24"/>
          <w:szCs w:val="24"/>
          <w:highlight w:val="none"/>
        </w:rPr>
        <w:t>法定代表人委托授权代表参加投标，须在投标文件中提供：法定代表人资格证明书和法定代表人授权委托书及社保缴纳证明。</w:t>
      </w:r>
    </w:p>
    <w:p>
      <w:pPr>
        <w:snapToGrid w:val="0"/>
        <w:ind w:left="0" w:leftChars="0" w:firstLine="0" w:firstLineChars="0"/>
        <w:rPr>
          <w:rFonts w:hint="eastAsia" w:ascii="宋体" w:hAnsi="宋体" w:eastAsia="宋体" w:cs="宋体"/>
          <w:color w:val="auto"/>
          <w:highlight w:val="none"/>
          <w:lang w:val="en-US" w:eastAsia="zh-CN"/>
        </w:rPr>
      </w:pPr>
      <w:r>
        <w:rPr>
          <w:rFonts w:hint="eastAsia" w:ascii="宋体" w:hAnsi="宋体" w:eastAsia="宋体" w:cs="宋体"/>
          <w:b/>
          <w:color w:val="auto"/>
          <w:spacing w:val="-6"/>
          <w:kern w:val="2"/>
          <w:highlight w:val="none"/>
        </w:rPr>
        <w:t>三、</w:t>
      </w:r>
      <w:r>
        <w:rPr>
          <w:rFonts w:hint="eastAsia" w:ascii="宋体" w:hAnsi="宋体" w:eastAsia="宋体" w:cs="宋体"/>
          <w:color w:val="auto"/>
          <w:highlight w:val="none"/>
        </w:rPr>
        <w:t>▲</w:t>
      </w:r>
      <w:r>
        <w:rPr>
          <w:rFonts w:hint="eastAsia" w:ascii="宋体" w:hAnsi="宋体" w:eastAsia="宋体" w:cs="宋体"/>
          <w:b/>
          <w:color w:val="auto"/>
          <w:spacing w:val="-6"/>
          <w:kern w:val="2"/>
          <w:highlight w:val="none"/>
        </w:rPr>
        <w:t>投标人授权代表必须为投标人本单位在职职工，并提供近一年任意一月社保缴纳证明。</w:t>
      </w:r>
    </w:p>
    <w:p>
      <w:pPr>
        <w:pStyle w:val="48"/>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pPr>
        <w:pStyle w:val="48"/>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6"/>
        </w:numPr>
        <w:bidi w:val="0"/>
        <w:ind w:left="0" w:leftChars="0" w:firstLine="482" w:firstLineChars="200"/>
        <w:rPr>
          <w:rFonts w:hint="eastAsia" w:ascii="宋体" w:hAnsi="宋体" w:eastAsia="宋体" w:cs="宋体"/>
          <w:color w:val="auto"/>
          <w:highlight w:val="none"/>
        </w:rPr>
      </w:pPr>
      <w:bookmarkStart w:id="179" w:name="_Toc9927"/>
      <w:r>
        <w:rPr>
          <w:rFonts w:hint="eastAsia" w:ascii="宋体" w:hAnsi="宋体" w:eastAsia="宋体" w:cs="宋体"/>
          <w:color w:val="auto"/>
          <w:highlight w:val="none"/>
        </w:rPr>
        <w:t>廉政承诺书</w:t>
      </w:r>
      <w:bookmarkEnd w:id="179"/>
    </w:p>
    <w:p>
      <w:pPr>
        <w:snapToGrid w:val="0"/>
        <w:ind w:left="0" w:leftChars="0" w:right="0" w:rightChars="0" w:firstLine="0" w:firstLineChars="0"/>
        <w:jc w:val="center"/>
        <w:rPr>
          <w:rFonts w:hint="eastAsia" w:ascii="宋体" w:hAnsi="宋体" w:eastAsia="宋体" w:cs="宋体"/>
          <w:b/>
          <w:color w:val="auto"/>
          <w:kern w:val="0"/>
          <w:sz w:val="32"/>
          <w:highlight w:val="none"/>
        </w:rPr>
      </w:pPr>
      <w:r>
        <w:rPr>
          <w:rFonts w:hint="eastAsia" w:ascii="宋体" w:hAnsi="宋体" w:eastAsia="宋体" w:cs="宋体"/>
          <w:b/>
          <w:color w:val="auto"/>
          <w:kern w:val="0"/>
          <w:sz w:val="32"/>
          <w:highlight w:val="none"/>
        </w:rPr>
        <w:t>廉政承诺书</w:t>
      </w:r>
    </w:p>
    <w:p>
      <w:pPr>
        <w:bidi w:val="0"/>
        <w:rPr>
          <w:rFonts w:hint="eastAsia" w:ascii="宋体" w:hAnsi="宋体" w:eastAsia="宋体" w:cs="宋体"/>
          <w:color w:val="auto"/>
          <w:highlight w:val="none"/>
        </w:rPr>
      </w:pPr>
    </w:p>
    <w:p>
      <w:pPr>
        <w:bidi w:val="0"/>
        <w:ind w:left="0" w:leftChars="0" w:firstLine="0" w:firstLineChars="0"/>
        <w:rPr>
          <w:rFonts w:hint="eastAsia" w:ascii="宋体" w:hAnsi="宋体" w:eastAsia="宋体" w:cs="宋体"/>
          <w:color w:val="auto"/>
          <w:highlight w:val="none"/>
        </w:rPr>
      </w:pPr>
      <w:r>
        <w:rPr>
          <w:rFonts w:hint="eastAsia" w:cs="宋体"/>
          <w:color w:val="auto"/>
          <w:highlight w:val="none"/>
          <w:lang w:eastAsia="zh-CN"/>
        </w:rPr>
        <w:t>浙江海洋大学</w:t>
      </w:r>
      <w:r>
        <w:rPr>
          <w:rFonts w:hint="eastAsia" w:ascii="宋体" w:hAnsi="宋体" w:eastAsia="宋体" w:cs="宋体"/>
          <w:color w:val="auto"/>
          <w:highlight w:val="none"/>
        </w:rPr>
        <w:t>：</w:t>
      </w:r>
    </w:p>
    <w:p>
      <w:pPr>
        <w:bidi w:val="0"/>
        <w:rPr>
          <w:rFonts w:hint="eastAsia" w:ascii="宋体" w:hAnsi="宋体" w:eastAsia="宋体" w:cs="宋体"/>
          <w:color w:val="auto"/>
          <w:highlight w:val="none"/>
        </w:rPr>
      </w:pPr>
      <w:r>
        <w:rPr>
          <w:rFonts w:hint="eastAsia" w:ascii="宋体" w:hAnsi="宋体" w:eastAsia="宋体" w:cs="宋体"/>
          <w:color w:val="auto"/>
          <w:highlight w:val="none"/>
        </w:rPr>
        <w:t xml:space="preserve">我单位响应你单位项目招标要求参加投标。在这次投标过程中和中标后，我们将严格遵守国家法律法规要求，并郑重承诺：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一、不向项目有关人员及部门赠送礼金礼物、有价证券、回扣以及中介费、介绍费、咨询费等好处费；</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二、不为项目有关人员及部门报销应由你方单位或个人支付的费用；</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三、不向项目有关人员及部门提供有可能影响公正的宴请和健身娱乐等活动；</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四、不为项目有关人员及部门出国（境）、旅游等提供方便；</w:t>
      </w:r>
    </w:p>
    <w:p>
      <w:pPr>
        <w:bidi w:val="0"/>
        <w:rPr>
          <w:rFonts w:hint="eastAsia" w:ascii="宋体" w:hAnsi="宋体" w:eastAsia="宋体" w:cs="宋体"/>
          <w:color w:val="auto"/>
          <w:highlight w:val="none"/>
        </w:rPr>
      </w:pPr>
      <w:r>
        <w:rPr>
          <w:rFonts w:hint="eastAsia" w:ascii="宋体" w:hAnsi="宋体" w:eastAsia="宋体" w:cs="宋体"/>
          <w:color w:val="auto"/>
          <w:highlight w:val="none"/>
        </w:rPr>
        <w:t>五、不为项目有关人员个人装修住房、婚丧嫁娶、配偶子女工作安排等提供好处；</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六、严格遵守《政府采购法》、《招标投标法》、《中华人民共和国民法典》等法律，诚实守信，合法经营，坚决抵制各种违法违纪行为。</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如违反上述承诺，你单位有权立即取消我单位投标、中标或在建项目的建设资格，有权拒绝我单位在一定时期内进入你单位进行工程建设或其他经营活动，并通报省采购监管处。由此引起的相应损失均由我单位承担。</w:t>
      </w:r>
    </w:p>
    <w:p>
      <w:pPr>
        <w:ind w:firstLine="48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p>
    <w:p>
      <w:pPr>
        <w:ind w:firstLine="0" w:firstLineChars="0"/>
        <w:rPr>
          <w:rFonts w:hint="eastAsia" w:ascii="宋体" w:hAnsi="宋体" w:eastAsia="宋体" w:cs="宋体"/>
          <w:color w:val="auto"/>
          <w:highlight w:val="none"/>
        </w:rPr>
      </w:pPr>
    </w:p>
    <w:p>
      <w:pPr>
        <w:ind w:firstLine="0" w:firstLineChars="0"/>
        <w:jc w:val="left"/>
        <w:rPr>
          <w:rFonts w:hint="eastAsia" w:ascii="宋体" w:hAnsi="宋体" w:eastAsia="宋体" w:cs="宋体"/>
          <w:color w:val="auto"/>
          <w:highlight w:val="none"/>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ind w:firstLine="228" w:firstLineChars="95"/>
        <w:jc w:val="left"/>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6"/>
        </w:numPr>
        <w:bidi w:val="0"/>
        <w:ind w:left="0" w:leftChars="0" w:firstLine="482" w:firstLineChars="200"/>
        <w:rPr>
          <w:rFonts w:hint="eastAsia" w:ascii="宋体" w:hAnsi="宋体" w:eastAsia="宋体" w:cs="宋体"/>
          <w:color w:val="auto"/>
          <w:highlight w:val="none"/>
        </w:rPr>
      </w:pPr>
      <w:bookmarkStart w:id="180" w:name="_Toc12230"/>
      <w:r>
        <w:rPr>
          <w:rFonts w:hint="eastAsia" w:ascii="宋体" w:hAnsi="宋体" w:eastAsia="宋体" w:cs="宋体"/>
          <w:color w:val="auto"/>
          <w:highlight w:val="none"/>
        </w:rPr>
        <w:t>投标人情况表</w:t>
      </w:r>
      <w:bookmarkEnd w:id="180"/>
    </w:p>
    <w:p>
      <w:pPr>
        <w:spacing w:line="240" w:lineRule="auto"/>
        <w:ind w:left="0" w:leftChars="0" w:right="0" w:rightChars="0" w:firstLine="0" w:firstLineChars="0"/>
        <w:jc w:val="center"/>
        <w:rPr>
          <w:rFonts w:hint="eastAsia" w:ascii="宋体" w:hAnsi="宋体" w:eastAsia="宋体" w:cs="宋体"/>
          <w:color w:val="auto"/>
          <w:sz w:val="28"/>
          <w:highlight w:val="none"/>
          <w:lang w:eastAsia="zh-CN"/>
        </w:rPr>
      </w:pPr>
      <w:r>
        <w:rPr>
          <w:rFonts w:hint="eastAsia" w:ascii="宋体" w:hAnsi="宋体" w:eastAsia="宋体" w:cs="宋体"/>
          <w:b/>
          <w:color w:val="auto"/>
          <w:kern w:val="0"/>
          <w:sz w:val="32"/>
          <w:highlight w:val="none"/>
          <w:lang w:eastAsia="zh-CN"/>
        </w:rPr>
        <w:t>投标人情况表</w:t>
      </w:r>
    </w:p>
    <w:p>
      <w:pPr>
        <w:bidi w:val="0"/>
        <w:rPr>
          <w:rFonts w:hint="eastAsia" w:ascii="宋体" w:hAnsi="宋体" w:eastAsia="宋体" w:cs="宋体"/>
          <w:color w:val="auto"/>
          <w:highlight w:val="none"/>
        </w:rPr>
      </w:pPr>
    </w:p>
    <w:tbl>
      <w:tblPr>
        <w:tblStyle w:val="46"/>
        <w:tblW w:w="9603"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1</w:t>
            </w:r>
          </w:p>
        </w:tc>
        <w:tc>
          <w:tcPr>
            <w:tcW w:w="886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2</w:t>
            </w:r>
          </w:p>
        </w:tc>
        <w:tc>
          <w:tcPr>
            <w:tcW w:w="886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3</w:t>
            </w:r>
          </w:p>
        </w:tc>
        <w:tc>
          <w:tcPr>
            <w:tcW w:w="886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4</w:t>
            </w:r>
          </w:p>
        </w:tc>
        <w:tc>
          <w:tcPr>
            <w:tcW w:w="4305"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电话：</w:t>
            </w:r>
          </w:p>
        </w:tc>
        <w:tc>
          <w:tcPr>
            <w:tcW w:w="456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5</w:t>
            </w:r>
          </w:p>
        </w:tc>
        <w:tc>
          <w:tcPr>
            <w:tcW w:w="4305"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传真：</w:t>
            </w:r>
          </w:p>
        </w:tc>
        <w:tc>
          <w:tcPr>
            <w:tcW w:w="456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6</w:t>
            </w:r>
          </w:p>
        </w:tc>
        <w:tc>
          <w:tcPr>
            <w:tcW w:w="4305"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注册地：</w:t>
            </w:r>
          </w:p>
        </w:tc>
        <w:tc>
          <w:tcPr>
            <w:tcW w:w="456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7</w:t>
            </w:r>
          </w:p>
        </w:tc>
        <w:tc>
          <w:tcPr>
            <w:tcW w:w="886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公司的资质等级（请附上有关证书的复印件）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8</w:t>
            </w:r>
          </w:p>
        </w:tc>
        <w:tc>
          <w:tcPr>
            <w:tcW w:w="8868"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公司（是否通过，何种）质量保证体系认证（如通过请附相关证书复印件，提供认证机构年审监督报告）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9</w:t>
            </w:r>
          </w:p>
        </w:tc>
        <w:tc>
          <w:tcPr>
            <w:tcW w:w="2520"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r>
              <w:rPr>
                <w:rFonts w:hint="eastAsia" w:ascii="宋体" w:hAnsi="宋体" w:eastAsia="宋体" w:cs="宋体"/>
                <w:color w:val="auto"/>
                <w:spacing w:val="-6"/>
                <w:highlight w:val="none"/>
              </w:rPr>
              <w:t>其他需要说明的情况</w:t>
            </w:r>
          </w:p>
        </w:tc>
        <w:tc>
          <w:tcPr>
            <w:tcW w:w="6348"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pacing w:val="-6"/>
                <w:highlight w:val="none"/>
              </w:rPr>
            </w:pPr>
          </w:p>
        </w:tc>
      </w:tr>
    </w:tbl>
    <w:p>
      <w:pPr>
        <w:spacing w:line="240" w:lineRule="auto"/>
        <w:ind w:firstLine="0" w:firstLineChars="0"/>
        <w:rPr>
          <w:rFonts w:hint="eastAsia" w:ascii="宋体" w:hAnsi="宋体" w:eastAsia="宋体" w:cs="宋体"/>
          <w:i/>
          <w:color w:val="auto"/>
          <w:sz w:val="22"/>
          <w:szCs w:val="22"/>
          <w:highlight w:val="none"/>
        </w:rPr>
      </w:pPr>
    </w:p>
    <w:p>
      <w:pPr>
        <w:spacing w:line="240" w:lineRule="auto"/>
        <w:ind w:firstLine="480"/>
        <w:rPr>
          <w:rFonts w:hint="eastAsia" w:ascii="宋体" w:hAnsi="宋体" w:eastAsia="宋体" w:cs="宋体"/>
          <w:snapToGrid w:val="0"/>
          <w:color w:val="auto"/>
          <w:highlight w:val="none"/>
        </w:rPr>
      </w:pPr>
      <w:r>
        <w:rPr>
          <w:rFonts w:hint="eastAsia" w:ascii="宋体" w:hAnsi="宋体" w:eastAsia="宋体" w:cs="宋体"/>
          <w:snapToGrid w:val="0"/>
          <w:color w:val="auto"/>
          <w:highlight w:val="none"/>
        </w:rPr>
        <w:t>应附上加盖公章的营业执照副本、相关资质、各资信类证书、认证体系证书等的清晰复印件。</w:t>
      </w:r>
    </w:p>
    <w:p>
      <w:pPr>
        <w:pStyle w:val="16"/>
        <w:rPr>
          <w:rFonts w:hint="eastAsia" w:ascii="宋体" w:hAnsi="宋体" w:eastAsia="宋体" w:cs="宋体"/>
          <w:color w:val="auto"/>
          <w:highlight w:val="none"/>
        </w:rPr>
      </w:pPr>
    </w:p>
    <w:p>
      <w:pPr>
        <w:spacing w:line="240" w:lineRule="auto"/>
        <w:ind w:firstLine="480"/>
        <w:rPr>
          <w:rFonts w:hint="eastAsia" w:ascii="宋体" w:hAnsi="宋体" w:eastAsia="宋体" w:cs="宋体"/>
          <w:snapToGrid w:val="0"/>
          <w:color w:val="auto"/>
          <w:highlight w:val="none"/>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pStyle w:val="4"/>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bookmarkStart w:id="181" w:name="_Toc7524"/>
    </w:p>
    <w:p>
      <w:pPr>
        <w:pStyle w:val="4"/>
        <w:numPr>
          <w:ilvl w:val="0"/>
          <w:numId w:val="46"/>
        </w:numPr>
        <w:ind w:left="0" w:leftChars="0" w:firstLine="482" w:firstLineChars="200"/>
        <w:rPr>
          <w:rFonts w:hint="eastAsia" w:ascii="宋体" w:hAnsi="宋体" w:eastAsia="宋体" w:cs="宋体"/>
          <w:color w:val="auto"/>
          <w:highlight w:val="none"/>
        </w:rPr>
      </w:pPr>
      <w:r>
        <w:rPr>
          <w:rFonts w:hint="eastAsia" w:ascii="宋体" w:hAnsi="宋体" w:eastAsia="宋体" w:cs="宋体"/>
          <w:color w:val="auto"/>
          <w:highlight w:val="none"/>
        </w:rPr>
        <w:t>同类项目实施情况一览表</w:t>
      </w:r>
      <w:bookmarkEnd w:id="181"/>
    </w:p>
    <w:p>
      <w:pPr>
        <w:spacing w:line="240" w:lineRule="auto"/>
        <w:ind w:left="0" w:leftChars="0" w:right="0" w:rightChars="0" w:firstLine="0" w:firstLineChars="0"/>
        <w:jc w:val="center"/>
        <w:rPr>
          <w:rFonts w:hint="eastAsia" w:ascii="宋体" w:hAnsi="宋体" w:eastAsia="宋体" w:cs="宋体"/>
          <w:b/>
          <w:color w:val="auto"/>
          <w:kern w:val="0"/>
          <w:sz w:val="32"/>
          <w:highlight w:val="none"/>
          <w:lang w:eastAsia="zh-CN"/>
        </w:rPr>
      </w:pPr>
      <w:r>
        <w:rPr>
          <w:rFonts w:hint="eastAsia" w:ascii="宋体" w:hAnsi="宋体" w:eastAsia="宋体" w:cs="宋体"/>
          <w:b/>
          <w:color w:val="auto"/>
          <w:kern w:val="0"/>
          <w:sz w:val="32"/>
          <w:highlight w:val="none"/>
          <w:lang w:eastAsia="zh-CN"/>
        </w:rPr>
        <w:t>同类项目实施情况一览表</w:t>
      </w:r>
    </w:p>
    <w:p>
      <w:pPr>
        <w:bidi w:val="0"/>
        <w:rPr>
          <w:rFonts w:hint="eastAsia" w:ascii="宋体" w:hAnsi="宋体" w:eastAsia="宋体" w:cs="宋体"/>
          <w:color w:val="auto"/>
          <w:highlight w:val="none"/>
        </w:rPr>
      </w:pPr>
    </w:p>
    <w:p>
      <w:pPr>
        <w:ind w:firstLine="0" w:firstLineChars="0"/>
        <w:rPr>
          <w:rFonts w:hint="eastAsia" w:ascii="宋体" w:hAnsi="宋体" w:eastAsia="宋体" w:cs="宋体"/>
          <w:b/>
          <w:bCs/>
          <w:color w:val="auto"/>
          <w:highlight w:val="none"/>
          <w:lang w:val="zh-CN"/>
        </w:rPr>
      </w:pPr>
      <w:r>
        <w:rPr>
          <w:rFonts w:hint="eastAsia" w:ascii="宋体" w:hAnsi="宋体" w:eastAsia="宋体" w:cs="宋体"/>
          <w:color w:val="auto"/>
          <w:highlight w:val="none"/>
        </w:rPr>
        <w:t xml:space="preserve">项目名称：                   项目编号：              </w:t>
      </w:r>
    </w:p>
    <w:tbl>
      <w:tblPr>
        <w:tblStyle w:val="46"/>
        <w:tblW w:w="936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2160"/>
        <w:gridCol w:w="1440"/>
        <w:gridCol w:w="2340"/>
        <w:gridCol w:w="1676"/>
        <w:gridCol w:w="102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序号</w:t>
            </w:r>
          </w:p>
        </w:tc>
        <w:tc>
          <w:tcPr>
            <w:tcW w:w="216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项目名称</w:t>
            </w:r>
          </w:p>
        </w:tc>
        <w:tc>
          <w:tcPr>
            <w:tcW w:w="144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项目时间</w:t>
            </w:r>
          </w:p>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年/月</w:t>
            </w:r>
          </w:p>
        </w:tc>
        <w:tc>
          <w:tcPr>
            <w:tcW w:w="234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使用单位名称、地址及联系方式</w:t>
            </w:r>
          </w:p>
        </w:tc>
        <w:tc>
          <w:tcPr>
            <w:tcW w:w="1676"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lang w:val="zh-CN"/>
              </w:rPr>
              <w:t>备 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6</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7</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8</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9</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hint="eastAsia" w:ascii="宋体" w:hAnsi="宋体" w:eastAsia="宋体" w:cs="宋体"/>
                <w:color w:val="auto"/>
                <w:highlight w:val="none"/>
              </w:rPr>
            </w:pPr>
          </w:p>
        </w:tc>
      </w:tr>
    </w:tbl>
    <w:p>
      <w:pPr>
        <w:bidi w:val="0"/>
        <w:rPr>
          <w:rFonts w:hint="eastAsia" w:ascii="宋体" w:hAnsi="宋体" w:eastAsia="宋体" w:cs="宋体"/>
          <w:b/>
          <w:bCs/>
          <w:color w:val="auto"/>
          <w:highlight w:val="none"/>
        </w:rPr>
      </w:pPr>
      <w:bookmarkStart w:id="182" w:name="_Toc15594"/>
      <w:r>
        <w:rPr>
          <w:rFonts w:hint="eastAsia" w:ascii="宋体" w:hAnsi="宋体" w:eastAsia="宋体" w:cs="宋体"/>
          <w:b/>
          <w:bCs/>
          <w:color w:val="auto"/>
          <w:highlight w:val="none"/>
        </w:rPr>
        <w:t>说明：</w:t>
      </w:r>
      <w:bookmarkEnd w:id="182"/>
    </w:p>
    <w:p>
      <w:pPr>
        <w:bidi w:val="0"/>
        <w:rPr>
          <w:rFonts w:hint="eastAsia" w:ascii="宋体" w:hAnsi="宋体" w:eastAsia="宋体" w:cs="宋体"/>
          <w:b/>
          <w:bCs/>
          <w:color w:val="auto"/>
          <w:highlight w:val="none"/>
        </w:rPr>
      </w:pPr>
      <w:r>
        <w:rPr>
          <w:rFonts w:hint="eastAsia" w:ascii="宋体" w:hAnsi="宋体" w:eastAsia="宋体" w:cs="宋体"/>
          <w:b/>
          <w:bCs/>
          <w:color w:val="auto"/>
          <w:highlight w:val="none"/>
        </w:rPr>
        <w:t>1、投标人须按照评分标准要求提交相应证明材料；</w:t>
      </w:r>
    </w:p>
    <w:p>
      <w:pPr>
        <w:bidi w:val="0"/>
        <w:rPr>
          <w:rFonts w:hint="eastAsia" w:ascii="宋体" w:hAnsi="宋体" w:eastAsia="宋体" w:cs="宋体"/>
          <w:b/>
          <w:bCs/>
          <w:color w:val="auto"/>
          <w:highlight w:val="none"/>
        </w:rPr>
      </w:pPr>
      <w:r>
        <w:rPr>
          <w:rFonts w:hint="eastAsia" w:ascii="宋体" w:hAnsi="宋体" w:eastAsia="宋体" w:cs="宋体"/>
          <w:b/>
          <w:bCs/>
          <w:color w:val="auto"/>
          <w:highlight w:val="none"/>
        </w:rPr>
        <w:t>2、所有证明材料复印件应清晰，应能体现签订时间、双方签字盖章等内容；</w:t>
      </w:r>
    </w:p>
    <w:p>
      <w:pPr>
        <w:bidi w:val="0"/>
        <w:rPr>
          <w:rFonts w:hint="eastAsia" w:ascii="宋体" w:hAnsi="宋体" w:eastAsia="宋体" w:cs="宋体"/>
          <w:b/>
          <w:bCs/>
          <w:color w:val="auto"/>
          <w:highlight w:val="none"/>
        </w:rPr>
      </w:pPr>
      <w:r>
        <w:rPr>
          <w:rFonts w:hint="eastAsia" w:ascii="宋体" w:hAnsi="宋体" w:eastAsia="宋体" w:cs="宋体"/>
          <w:b/>
          <w:bCs/>
          <w:color w:val="auto"/>
          <w:highlight w:val="none"/>
        </w:rPr>
        <w:t>3、投标人应在不涉及商业秘密的前提下尽可能提供详细的复印件内容。</w:t>
      </w:r>
    </w:p>
    <w:p>
      <w:pPr>
        <w:ind w:firstLine="0" w:firstLineChars="0"/>
        <w:rPr>
          <w:rFonts w:hint="eastAsia" w:ascii="宋体" w:hAnsi="宋体" w:eastAsia="宋体" w:cs="宋体"/>
          <w:color w:val="auto"/>
          <w:highlight w:val="none"/>
        </w:rPr>
      </w:pPr>
    </w:p>
    <w:p>
      <w:pPr>
        <w:ind w:left="-720" w:right="-960" w:firstLine="0" w:firstLineChars="0"/>
        <w:rPr>
          <w:rFonts w:hint="eastAsia" w:ascii="宋体" w:hAnsi="宋体" w:eastAsia="宋体" w:cs="宋体"/>
          <w:color w:val="auto"/>
          <w:spacing w:val="4"/>
          <w:highlight w:val="none"/>
        </w:rPr>
      </w:pP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pStyle w:val="16"/>
        <w:rPr>
          <w:rFonts w:hint="eastAsia" w:ascii="宋体" w:hAnsi="宋体" w:eastAsia="宋体" w:cs="宋体"/>
          <w:color w:val="auto"/>
          <w:highlight w:val="none"/>
        </w:rPr>
      </w:pPr>
    </w:p>
    <w:p>
      <w:pPr>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技术规范偏离表</w:t>
      </w:r>
    </w:p>
    <w:p>
      <w:pPr>
        <w:spacing w:line="400" w:lineRule="exact"/>
        <w:ind w:firstLine="480"/>
        <w:rPr>
          <w:rFonts w:hint="eastAsia" w:cs="宋体"/>
          <w:highlight w:val="none"/>
        </w:rPr>
      </w:pPr>
      <w:r>
        <w:rPr>
          <w:rFonts w:hint="eastAsia" w:cs="宋体"/>
          <w:highlight w:val="none"/>
        </w:rPr>
        <w:t xml:space="preserve">招标项目名称：                   招标编号：            </w:t>
      </w:r>
    </w:p>
    <w:tbl>
      <w:tblPr>
        <w:tblStyle w:val="46"/>
        <w:tblW w:w="85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236"/>
        <w:gridCol w:w="2100"/>
        <w:gridCol w:w="2625"/>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center"/>
          </w:tcPr>
          <w:p>
            <w:pPr>
              <w:spacing w:line="500" w:lineRule="exact"/>
              <w:ind w:firstLine="0" w:firstLineChars="0"/>
              <w:jc w:val="center"/>
              <w:rPr>
                <w:rFonts w:hint="eastAsia" w:cs="宋体"/>
                <w:highlight w:val="none"/>
              </w:rPr>
            </w:pPr>
            <w:r>
              <w:rPr>
                <w:rFonts w:hint="eastAsia" w:cs="宋体"/>
                <w:highlight w:val="none"/>
              </w:rPr>
              <w:t>序号</w:t>
            </w:r>
          </w:p>
        </w:tc>
        <w:tc>
          <w:tcPr>
            <w:tcW w:w="1236" w:type="dxa"/>
            <w:vAlign w:val="center"/>
          </w:tcPr>
          <w:p>
            <w:pPr>
              <w:spacing w:line="500" w:lineRule="exact"/>
              <w:ind w:firstLine="0" w:firstLineChars="0"/>
              <w:jc w:val="center"/>
              <w:rPr>
                <w:rFonts w:hint="eastAsia" w:cs="宋体"/>
                <w:highlight w:val="none"/>
              </w:rPr>
            </w:pPr>
            <w:r>
              <w:rPr>
                <w:rFonts w:hint="eastAsia" w:cs="宋体"/>
                <w:highlight w:val="none"/>
              </w:rPr>
              <w:t>产品名称</w:t>
            </w:r>
          </w:p>
        </w:tc>
        <w:tc>
          <w:tcPr>
            <w:tcW w:w="2100" w:type="dxa"/>
            <w:vAlign w:val="center"/>
          </w:tcPr>
          <w:p>
            <w:pPr>
              <w:spacing w:line="500" w:lineRule="exact"/>
              <w:ind w:firstLine="0" w:firstLineChars="0"/>
              <w:jc w:val="center"/>
              <w:rPr>
                <w:rFonts w:hint="eastAsia" w:cs="宋体"/>
                <w:highlight w:val="none"/>
              </w:rPr>
            </w:pPr>
            <w:r>
              <w:rPr>
                <w:rFonts w:hint="eastAsia" w:cs="宋体"/>
                <w:highlight w:val="none"/>
              </w:rPr>
              <w:t>招标要求</w:t>
            </w:r>
          </w:p>
        </w:tc>
        <w:tc>
          <w:tcPr>
            <w:tcW w:w="2625" w:type="dxa"/>
            <w:vAlign w:val="center"/>
          </w:tcPr>
          <w:p>
            <w:pPr>
              <w:spacing w:line="500" w:lineRule="exact"/>
              <w:ind w:firstLine="0" w:firstLineChars="0"/>
              <w:jc w:val="center"/>
              <w:rPr>
                <w:rFonts w:hint="eastAsia" w:cs="宋体"/>
                <w:highlight w:val="none"/>
              </w:rPr>
            </w:pPr>
            <w:r>
              <w:rPr>
                <w:rFonts w:hint="eastAsia" w:cs="宋体"/>
                <w:highlight w:val="none"/>
              </w:rPr>
              <w:t xml:space="preserve">  投标响应</w:t>
            </w:r>
          </w:p>
        </w:tc>
        <w:tc>
          <w:tcPr>
            <w:tcW w:w="1890" w:type="dxa"/>
            <w:vAlign w:val="center"/>
          </w:tcPr>
          <w:p>
            <w:pPr>
              <w:spacing w:line="500" w:lineRule="exact"/>
              <w:ind w:firstLine="0" w:firstLineChars="0"/>
              <w:jc w:val="center"/>
              <w:rPr>
                <w:rFonts w:hint="eastAsia" w:cs="宋体"/>
                <w:highlight w:val="none"/>
              </w:rPr>
            </w:pPr>
            <w:r>
              <w:rPr>
                <w:rFonts w:hint="eastAsia" w:cs="宋体"/>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top"/>
          </w:tcPr>
          <w:p>
            <w:pPr>
              <w:spacing w:line="500" w:lineRule="exact"/>
              <w:ind w:firstLine="480"/>
              <w:rPr>
                <w:rFonts w:hint="eastAsia" w:cs="宋体"/>
                <w:highlight w:val="none"/>
              </w:rPr>
            </w:pPr>
          </w:p>
        </w:tc>
        <w:tc>
          <w:tcPr>
            <w:tcW w:w="1236" w:type="dxa"/>
            <w:vAlign w:val="top"/>
          </w:tcPr>
          <w:p>
            <w:pPr>
              <w:spacing w:line="500" w:lineRule="exact"/>
              <w:ind w:firstLine="480"/>
              <w:rPr>
                <w:rFonts w:hint="eastAsia" w:cs="宋体"/>
                <w:highlight w:val="none"/>
              </w:rPr>
            </w:pPr>
          </w:p>
        </w:tc>
        <w:tc>
          <w:tcPr>
            <w:tcW w:w="2100" w:type="dxa"/>
            <w:vAlign w:val="top"/>
          </w:tcPr>
          <w:p>
            <w:pPr>
              <w:spacing w:line="500" w:lineRule="exact"/>
              <w:ind w:firstLine="480"/>
              <w:rPr>
                <w:rFonts w:hint="eastAsia" w:cs="宋体"/>
                <w:highlight w:val="none"/>
              </w:rPr>
            </w:pPr>
          </w:p>
        </w:tc>
        <w:tc>
          <w:tcPr>
            <w:tcW w:w="2625" w:type="dxa"/>
            <w:vAlign w:val="top"/>
          </w:tcPr>
          <w:p>
            <w:pPr>
              <w:spacing w:line="500" w:lineRule="exact"/>
              <w:ind w:firstLine="480"/>
              <w:rPr>
                <w:rFonts w:hint="eastAsia" w:cs="宋体"/>
                <w:highlight w:val="none"/>
              </w:rPr>
            </w:pPr>
          </w:p>
        </w:tc>
        <w:tc>
          <w:tcPr>
            <w:tcW w:w="1890" w:type="dxa"/>
            <w:vAlign w:val="top"/>
          </w:tcPr>
          <w:p>
            <w:pPr>
              <w:spacing w:line="500" w:lineRule="exact"/>
              <w:ind w:firstLine="480"/>
              <w:rPr>
                <w:rFonts w:hint="eastAsia" w:cs="宋体"/>
                <w:highlight w:val="none"/>
              </w:rPr>
            </w:pPr>
          </w:p>
        </w:tc>
      </w:tr>
    </w:tbl>
    <w:p>
      <w:pPr>
        <w:ind w:firstLine="480"/>
        <w:rPr>
          <w:rFonts w:hint="eastAsia" w:ascii="宋体" w:hAnsi="宋体" w:eastAsia="宋体" w:cs="宋体"/>
          <w:color w:val="auto"/>
          <w:highlight w:val="none"/>
        </w:rPr>
      </w:pPr>
      <w:r>
        <w:rPr>
          <w:rFonts w:hint="eastAsia" w:ascii="宋体" w:hAnsi="宋体" w:eastAsia="宋体" w:cs="宋体"/>
          <w:color w:val="auto"/>
          <w:highlight w:val="none"/>
        </w:rPr>
        <w:t>投标人名称（公章）：</w:t>
      </w:r>
    </w:p>
    <w:p>
      <w:pPr>
        <w:ind w:firstLine="480"/>
        <w:rPr>
          <w:rFonts w:hint="eastAsia" w:ascii="宋体" w:hAnsi="宋体" w:eastAsia="宋体" w:cs="宋体"/>
          <w:color w:val="auto"/>
          <w:highlight w:val="none"/>
        </w:rPr>
      </w:pPr>
      <w:r>
        <w:rPr>
          <w:rFonts w:hint="eastAsia" w:ascii="宋体" w:hAnsi="宋体" w:eastAsia="宋体" w:cs="宋体"/>
          <w:color w:val="auto"/>
          <w:highlight w:val="none"/>
        </w:rPr>
        <w:t>日期：  年   月   日</w:t>
      </w:r>
    </w:p>
    <w:p>
      <w:pPr>
        <w:pStyle w:val="4"/>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产品总体性能及质量水平</w:t>
      </w:r>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pStyle w:val="10"/>
        <w:rPr>
          <w:rFonts w:hint="eastAsia" w:ascii="宋体" w:hAnsi="宋体" w:eastAsia="宋体" w:cs="宋体"/>
          <w:color w:val="auto"/>
          <w:highlight w:val="none"/>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产品配置的先进性、完整性和适用性</w:t>
      </w:r>
    </w:p>
    <w:p>
      <w:pPr>
        <w:numPr>
          <w:ilvl w:val="0"/>
          <w:numId w:val="0"/>
        </w:numPr>
        <w:tabs>
          <w:tab w:val="clear" w:pos="360"/>
          <w:tab w:val="clear" w:pos="420"/>
          <w:tab w:val="clear" w:pos="1620"/>
        </w:tabs>
        <w:bidi w:val="0"/>
        <w:ind w:left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产品的稳定性、可操作性和可维护性</w:t>
      </w:r>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安装、调试、验收计划及人员安排情况</w:t>
      </w:r>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pStyle w:val="48"/>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售后服务</w:t>
      </w:r>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ind w:left="0" w:leftChars="0" w:firstLine="0" w:firstLineChars="0"/>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优惠条件</w:t>
      </w:r>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说明：投标人须按照评分标准要求编写并提交相应证明材料</w:t>
      </w:r>
    </w:p>
    <w:p>
      <w:pPr>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政府采购政策分</w:t>
      </w:r>
    </w:p>
    <w:p>
      <w:pPr>
        <w:bidi w:val="0"/>
        <w:rPr>
          <w:rFonts w:hint="eastAsia" w:ascii="宋体" w:hAnsi="宋体" w:eastAsia="宋体" w:cs="宋体"/>
          <w:color w:val="auto"/>
          <w:highlight w:val="none"/>
          <w:lang w:val="en-US" w:eastAsia="zh-CN"/>
        </w:rPr>
      </w:pPr>
    </w:p>
    <w:p>
      <w:pPr>
        <w:pStyle w:val="4"/>
        <w:numPr>
          <w:ilvl w:val="0"/>
          <w:numId w:val="46"/>
        </w:numPr>
        <w:bidi w:val="0"/>
        <w:ind w:left="0" w:leftChars="0" w:firstLine="482" w:firstLineChars="200"/>
        <w:rPr>
          <w:rFonts w:hint="eastAsia" w:ascii="宋体" w:hAnsi="宋体" w:eastAsia="宋体" w:cs="宋体"/>
          <w:color w:val="auto"/>
          <w:highlight w:val="none"/>
          <w:lang w:val="en-US" w:eastAsia="zh-CN"/>
        </w:rPr>
      </w:pPr>
      <w:bookmarkStart w:id="183" w:name="_Toc25327"/>
      <w:r>
        <w:rPr>
          <w:rFonts w:hint="eastAsia" w:ascii="宋体" w:hAnsi="宋体" w:eastAsia="宋体" w:cs="宋体"/>
          <w:color w:val="auto"/>
          <w:highlight w:val="none"/>
          <w:lang w:val="en-US" w:eastAsia="zh-CN"/>
        </w:rPr>
        <w:t>其他</w:t>
      </w:r>
      <w:bookmarkEnd w:id="183"/>
    </w:p>
    <w:p>
      <w:pPr>
        <w:bidi w:val="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说明：其它本招标文件评分表要求提供的材料或投标人认为需要的其他技术文件资料或说明</w:t>
      </w:r>
    </w:p>
    <w:p>
      <w:pPr>
        <w:ind w:left="-720" w:right="-958" w:firstLine="0" w:firstLineChars="0"/>
        <w:rPr>
          <w:rFonts w:hint="eastAsia" w:ascii="宋体" w:hAnsi="宋体" w:eastAsia="宋体" w:cs="宋体"/>
          <w:color w:val="auto"/>
          <w:szCs w:val="32"/>
          <w:highlight w:val="none"/>
        </w:rPr>
      </w:pPr>
      <w:r>
        <w:rPr>
          <w:rFonts w:hint="eastAsia" w:ascii="宋体" w:hAnsi="宋体" w:eastAsia="宋体" w:cs="宋体"/>
          <w:color w:val="auto"/>
          <w:szCs w:val="32"/>
          <w:highlight w:val="none"/>
        </w:rPr>
        <w:t xml:space="preserve"> </w:t>
      </w:r>
    </w:p>
    <w:p>
      <w:pPr>
        <w:pStyle w:val="4"/>
        <w:outlineLvl w:val="9"/>
        <w:rPr>
          <w:rFonts w:hint="eastAsia" w:ascii="宋体" w:hAnsi="宋体" w:eastAsia="宋体" w:cs="宋体"/>
          <w:color w:val="auto"/>
          <w:highlight w:val="none"/>
        </w:rPr>
        <w:sectPr>
          <w:pgSz w:w="11907" w:h="16840"/>
          <w:pgMar w:top="1440" w:right="1080" w:bottom="1440" w:left="1080" w:header="850" w:footer="992" w:gutter="0"/>
          <w:pgBorders>
            <w:top w:val="none" w:color="auto" w:sz="0" w:space="0"/>
            <w:left w:val="none" w:color="auto" w:sz="0" w:space="0"/>
            <w:bottom w:val="none" w:color="auto" w:sz="0" w:space="0"/>
            <w:right w:val="none" w:color="auto" w:sz="0" w:space="0"/>
          </w:pgBorders>
          <w:cols w:space="720" w:num="1"/>
          <w:docGrid w:linePitch="286" w:charSpace="0"/>
        </w:sectPr>
      </w:pPr>
    </w:p>
    <w:bookmarkEnd w:id="49"/>
    <w:bookmarkEnd w:id="50"/>
    <w:bookmarkEnd w:id="51"/>
    <w:bookmarkEnd w:id="52"/>
    <w:bookmarkEnd w:id="53"/>
    <w:bookmarkEnd w:id="54"/>
    <w:bookmarkEnd w:id="55"/>
    <w:bookmarkEnd w:id="56"/>
    <w:p>
      <w:pPr>
        <w:pStyle w:val="4"/>
        <w:numPr>
          <w:ilvl w:val="0"/>
          <w:numId w:val="46"/>
        </w:numPr>
        <w:bidi w:val="0"/>
        <w:ind w:left="0" w:leftChars="0" w:firstLine="482" w:firstLineChars="200"/>
        <w:rPr>
          <w:rFonts w:hint="eastAsia" w:ascii="宋体" w:hAnsi="宋体" w:eastAsia="宋体" w:cs="宋体"/>
          <w:color w:val="auto"/>
          <w:highlight w:val="none"/>
        </w:rPr>
      </w:pPr>
      <w:bookmarkStart w:id="184" w:name="_Toc8358"/>
      <w:r>
        <w:rPr>
          <w:rFonts w:hint="eastAsia" w:ascii="宋体" w:hAnsi="宋体" w:eastAsia="宋体" w:cs="宋体"/>
          <w:color w:val="auto"/>
          <w:highlight w:val="none"/>
        </w:rPr>
        <w:t>质疑函</w:t>
      </w:r>
      <w:bookmarkEnd w:id="184"/>
    </w:p>
    <w:p>
      <w:pPr>
        <w:spacing w:line="240" w:lineRule="auto"/>
        <w:ind w:left="0" w:leftChars="0" w:right="0" w:rightChars="0" w:firstLine="0" w:firstLineChars="0"/>
        <w:jc w:val="center"/>
        <w:rPr>
          <w:rFonts w:hint="eastAsia" w:ascii="宋体" w:hAnsi="宋体" w:eastAsia="宋体" w:cs="宋体"/>
          <w:b/>
          <w:color w:val="auto"/>
          <w:kern w:val="0"/>
          <w:sz w:val="32"/>
          <w:highlight w:val="none"/>
          <w:lang w:eastAsia="zh-CN"/>
        </w:rPr>
      </w:pPr>
      <w:bookmarkStart w:id="185" w:name="_Toc4682"/>
      <w:r>
        <w:rPr>
          <w:rFonts w:hint="eastAsia" w:ascii="宋体" w:hAnsi="宋体" w:eastAsia="宋体" w:cs="宋体"/>
          <w:b/>
          <w:color w:val="auto"/>
          <w:kern w:val="0"/>
          <w:sz w:val="32"/>
          <w:highlight w:val="none"/>
          <w:lang w:eastAsia="zh-CN"/>
        </w:rPr>
        <w:t>质疑函</w:t>
      </w:r>
      <w:bookmarkEnd w:id="185"/>
    </w:p>
    <w:p>
      <w:pPr>
        <w:keepNext w:val="0"/>
        <w:keepLines w:val="0"/>
        <w:pageBreakBefore w:val="0"/>
        <w:widowControl w:val="0"/>
        <w:kinsoku/>
        <w:wordWrap/>
        <w:overflowPunct/>
        <w:topLinePunct w:val="0"/>
        <w:autoSpaceDE/>
        <w:autoSpaceDN/>
        <w:bidi w:val="0"/>
        <w:textAlignment w:val="auto"/>
        <w:rPr>
          <w:rFonts w:hint="eastAsia" w:ascii="宋体" w:hAnsi="宋体" w:eastAsia="宋体" w:cs="宋体"/>
          <w:color w:val="auto"/>
          <w:highlight w:val="none"/>
          <w:lang w:eastAsia="zh-CN"/>
        </w:rPr>
      </w:pPr>
    </w:p>
    <w:p>
      <w:pPr>
        <w:bidi w:val="0"/>
        <w:rPr>
          <w:rFonts w:hint="eastAsia" w:ascii="宋体" w:hAnsi="宋体" w:eastAsia="宋体" w:cs="宋体"/>
          <w:b/>
          <w:bCs/>
          <w:color w:val="auto"/>
          <w:highlight w:val="none"/>
        </w:rPr>
      </w:pPr>
      <w:bookmarkStart w:id="186" w:name="_Toc11431"/>
      <w:r>
        <w:rPr>
          <w:rFonts w:hint="eastAsia" w:ascii="宋体" w:hAnsi="宋体" w:eastAsia="宋体" w:cs="宋体"/>
          <w:b/>
          <w:bCs/>
          <w:color w:val="auto"/>
          <w:highlight w:val="none"/>
        </w:rPr>
        <w:t>一、质疑供应商基本信息</w:t>
      </w:r>
      <w:bookmarkEnd w:id="186"/>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质疑供应商：</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地址：                          邮编：</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联系人：                        联系电话：</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授权代表：</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联系电话：</w:t>
      </w:r>
      <w:r>
        <w:rPr>
          <w:rFonts w:hint="eastAsia" w:ascii="宋体" w:hAnsi="宋体" w:eastAsia="宋体" w:cs="宋体"/>
          <w:color w:val="auto"/>
          <w:highlight w:val="none"/>
          <w:u w:val="dotted"/>
        </w:rPr>
        <w:t xml:space="preserve">                                           </w:t>
      </w:r>
      <w:r>
        <w:rPr>
          <w:rFonts w:hint="eastAsia" w:ascii="宋体" w:hAnsi="宋体" w:eastAsia="宋体" w:cs="宋体"/>
          <w:color w:val="auto"/>
          <w:highlight w:val="none"/>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地址：                          邮编：</w:t>
      </w:r>
      <w:r>
        <w:rPr>
          <w:rFonts w:hint="eastAsia" w:ascii="宋体" w:hAnsi="宋体" w:eastAsia="宋体" w:cs="宋体"/>
          <w:color w:val="auto"/>
          <w:highlight w:val="none"/>
          <w:u w:val="dotted"/>
        </w:rPr>
        <w:t xml:space="preserve">                                                </w:t>
      </w:r>
    </w:p>
    <w:p>
      <w:pPr>
        <w:bidi w:val="0"/>
        <w:rPr>
          <w:rFonts w:hint="eastAsia" w:ascii="宋体" w:hAnsi="宋体" w:eastAsia="宋体" w:cs="宋体"/>
          <w:b/>
          <w:bCs/>
          <w:color w:val="auto"/>
          <w:highlight w:val="none"/>
        </w:rPr>
      </w:pPr>
      <w:bookmarkStart w:id="187" w:name="_Toc13602"/>
      <w:r>
        <w:rPr>
          <w:rFonts w:hint="eastAsia" w:ascii="宋体" w:hAnsi="宋体" w:eastAsia="宋体" w:cs="宋体"/>
          <w:b/>
          <w:bCs/>
          <w:color w:val="auto"/>
          <w:highlight w:val="none"/>
        </w:rPr>
        <w:t>二、质疑项目基本情况</w:t>
      </w:r>
      <w:bookmarkEnd w:id="187"/>
    </w:p>
    <w:p>
      <w:pPr>
        <w:bidi w:val="0"/>
        <w:rPr>
          <w:rFonts w:hint="eastAsia" w:ascii="宋体" w:hAnsi="宋体" w:eastAsia="宋体" w:cs="宋体"/>
          <w:color w:val="auto"/>
          <w:highlight w:val="none"/>
        </w:rPr>
      </w:pPr>
      <w:r>
        <w:rPr>
          <w:rFonts w:hint="eastAsia" w:ascii="宋体" w:hAnsi="宋体" w:eastAsia="宋体" w:cs="宋体"/>
          <w:color w:val="auto"/>
          <w:highlight w:val="none"/>
        </w:rPr>
        <w:t>质疑项目的名称：</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质疑项目的编号：                包号：</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采购人名称：</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采购文件获取日期：</w:t>
      </w:r>
      <w:r>
        <w:rPr>
          <w:rFonts w:hint="eastAsia" w:ascii="宋体" w:hAnsi="宋体" w:eastAsia="宋体" w:cs="宋体"/>
          <w:color w:val="auto"/>
          <w:highlight w:val="none"/>
          <w:u w:val="dotted"/>
        </w:rPr>
        <w:t xml:space="preserve">                                           </w:t>
      </w:r>
    </w:p>
    <w:p>
      <w:pPr>
        <w:bidi w:val="0"/>
        <w:rPr>
          <w:rFonts w:hint="eastAsia" w:ascii="宋体" w:hAnsi="宋体" w:eastAsia="宋体" w:cs="宋体"/>
          <w:b/>
          <w:bCs/>
          <w:color w:val="auto"/>
          <w:highlight w:val="none"/>
        </w:rPr>
      </w:pPr>
      <w:bookmarkStart w:id="188" w:name="_Toc25776"/>
      <w:r>
        <w:rPr>
          <w:rFonts w:hint="eastAsia" w:ascii="宋体" w:hAnsi="宋体" w:eastAsia="宋体" w:cs="宋体"/>
          <w:b/>
          <w:bCs/>
          <w:color w:val="auto"/>
          <w:highlight w:val="none"/>
        </w:rPr>
        <w:t>三、质疑事项具体内容</w:t>
      </w:r>
      <w:bookmarkEnd w:id="188"/>
    </w:p>
    <w:p>
      <w:pPr>
        <w:bidi w:val="0"/>
        <w:rPr>
          <w:rFonts w:hint="eastAsia" w:ascii="宋体" w:hAnsi="宋体" w:eastAsia="宋体" w:cs="宋体"/>
          <w:color w:val="auto"/>
          <w:highlight w:val="none"/>
          <w:u w:val="single"/>
        </w:rPr>
      </w:pPr>
      <w:r>
        <w:rPr>
          <w:rFonts w:hint="eastAsia" w:ascii="宋体" w:hAnsi="宋体" w:eastAsia="宋体" w:cs="宋体"/>
          <w:color w:val="auto"/>
          <w:highlight w:val="none"/>
        </w:rPr>
        <w:t>质疑事项1：</w:t>
      </w:r>
      <w:r>
        <w:rPr>
          <w:rFonts w:hint="eastAsia" w:ascii="宋体" w:hAnsi="宋体" w:eastAsia="宋体" w:cs="宋体"/>
          <w:color w:val="auto"/>
          <w:highlight w:val="none"/>
          <w:u w:val="single"/>
        </w:rPr>
        <w:t xml:space="preserve">                     </w:t>
      </w:r>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事实依据：</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法律依据：</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质疑事项2</w:t>
      </w:r>
    </w:p>
    <w:p>
      <w:pPr>
        <w:bidi w:val="0"/>
        <w:rPr>
          <w:rFonts w:hint="eastAsia" w:ascii="宋体" w:hAnsi="宋体" w:eastAsia="宋体" w:cs="宋体"/>
          <w:color w:val="auto"/>
          <w:highlight w:val="none"/>
        </w:rPr>
      </w:pPr>
      <w:r>
        <w:rPr>
          <w:rFonts w:hint="eastAsia" w:ascii="宋体" w:hAnsi="宋体" w:eastAsia="宋体" w:cs="宋体"/>
          <w:color w:val="auto"/>
          <w:highlight w:val="none"/>
        </w:rPr>
        <w:t>……</w:t>
      </w:r>
    </w:p>
    <w:p>
      <w:pPr>
        <w:bidi w:val="0"/>
        <w:rPr>
          <w:rFonts w:hint="eastAsia" w:ascii="宋体" w:hAnsi="宋体" w:eastAsia="宋体" w:cs="宋体"/>
          <w:b/>
          <w:bCs/>
          <w:color w:val="auto"/>
          <w:highlight w:val="none"/>
        </w:rPr>
      </w:pPr>
      <w:bookmarkStart w:id="189" w:name="_Toc19446"/>
      <w:r>
        <w:rPr>
          <w:rFonts w:hint="eastAsia" w:ascii="宋体" w:hAnsi="宋体" w:eastAsia="宋体" w:cs="宋体"/>
          <w:b/>
          <w:bCs/>
          <w:color w:val="auto"/>
          <w:highlight w:val="none"/>
        </w:rPr>
        <w:t>四、与质疑事项相关的质疑请求</w:t>
      </w:r>
      <w:bookmarkEnd w:id="189"/>
    </w:p>
    <w:p>
      <w:pPr>
        <w:bidi w:val="0"/>
        <w:rPr>
          <w:rFonts w:hint="eastAsia" w:ascii="宋体" w:hAnsi="宋体" w:eastAsia="宋体" w:cs="宋体"/>
          <w:color w:val="auto"/>
          <w:highlight w:val="none"/>
          <w:u w:val="dotted"/>
        </w:rPr>
      </w:pPr>
      <w:r>
        <w:rPr>
          <w:rFonts w:hint="eastAsia" w:ascii="宋体" w:hAnsi="宋体" w:eastAsia="宋体" w:cs="宋体"/>
          <w:color w:val="auto"/>
          <w:highlight w:val="none"/>
        </w:rPr>
        <w:t>请求：</w:t>
      </w:r>
      <w:r>
        <w:rPr>
          <w:rFonts w:hint="eastAsia" w:ascii="宋体" w:hAnsi="宋体" w:eastAsia="宋体" w:cs="宋体"/>
          <w:color w:val="auto"/>
          <w:highlight w:val="none"/>
          <w:u w:val="dotted"/>
        </w:rPr>
        <w:t xml:space="preserve">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 xml:space="preserve">签字(签章)：                    公章：                      </w:t>
      </w:r>
    </w:p>
    <w:p>
      <w:pPr>
        <w:bidi w:val="0"/>
        <w:rPr>
          <w:rFonts w:hint="eastAsia" w:ascii="宋体" w:hAnsi="宋体" w:eastAsia="宋体" w:cs="宋体"/>
          <w:color w:val="auto"/>
          <w:highlight w:val="none"/>
        </w:rPr>
      </w:pPr>
      <w:r>
        <w:rPr>
          <w:rFonts w:hint="eastAsia" w:ascii="宋体" w:hAnsi="宋体" w:eastAsia="宋体" w:cs="宋体"/>
          <w:color w:val="auto"/>
          <w:highlight w:val="none"/>
        </w:rPr>
        <w:t xml:space="preserve">日期：     </w:t>
      </w:r>
    </w:p>
    <w:p>
      <w:pPr>
        <w:ind w:firstLine="643"/>
        <w:jc w:val="left"/>
        <w:rPr>
          <w:rFonts w:hint="eastAsia" w:ascii="宋体" w:hAnsi="宋体" w:eastAsia="宋体" w:cs="宋体"/>
          <w:b/>
          <w:color w:val="auto"/>
          <w:sz w:val="32"/>
          <w:highlight w:val="none"/>
        </w:rPr>
      </w:pPr>
    </w:p>
    <w:p>
      <w:pPr>
        <w:bidi w:val="0"/>
        <w:rPr>
          <w:rFonts w:hint="eastAsia" w:ascii="宋体" w:hAnsi="宋体" w:eastAsia="宋体" w:cs="宋体"/>
          <w:i/>
          <w:iCs/>
          <w:color w:val="auto"/>
          <w:sz w:val="22"/>
          <w:szCs w:val="22"/>
          <w:highlight w:val="none"/>
        </w:rPr>
      </w:pPr>
      <w:bookmarkStart w:id="190" w:name="_Toc386"/>
      <w:r>
        <w:rPr>
          <w:rFonts w:hint="eastAsia" w:ascii="宋体" w:hAnsi="宋体" w:eastAsia="宋体" w:cs="宋体"/>
          <w:i/>
          <w:iCs/>
          <w:color w:val="auto"/>
          <w:sz w:val="22"/>
          <w:szCs w:val="22"/>
          <w:highlight w:val="none"/>
        </w:rPr>
        <w:t>质疑函制作说明：</w:t>
      </w:r>
      <w:bookmarkEnd w:id="190"/>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1.供应商提出质疑时，应提交质疑函和必要的证明材料。</w:t>
      </w:r>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3.质疑供应商若对项目的某一分包进行质疑，质疑函中应列明具体分包号。</w:t>
      </w:r>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4.质疑函的质疑事项应具体、明确，并有必要的事实依据和法律依据。</w:t>
      </w:r>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5.质疑函的质疑请求应与质疑事项相关。</w:t>
      </w:r>
    </w:p>
    <w:p>
      <w:pPr>
        <w:bidi w:val="0"/>
        <w:rPr>
          <w:rFonts w:hint="eastAsia" w:ascii="宋体" w:hAnsi="宋体" w:eastAsia="宋体" w:cs="宋体"/>
          <w:i/>
          <w:iCs/>
          <w:color w:val="auto"/>
          <w:sz w:val="22"/>
          <w:szCs w:val="22"/>
          <w:highlight w:val="none"/>
        </w:rPr>
      </w:pPr>
      <w:r>
        <w:rPr>
          <w:rFonts w:hint="eastAsia" w:ascii="宋体" w:hAnsi="宋体" w:eastAsia="宋体" w:cs="宋体"/>
          <w:i/>
          <w:iCs/>
          <w:color w:val="auto"/>
          <w:sz w:val="22"/>
          <w:szCs w:val="22"/>
          <w:highlight w:val="none"/>
        </w:rPr>
        <w:t>6.质疑供应商为自然人的，质疑函应由本人签字；质疑供应商为法人或者其他组织的，质疑函应由法定代表人、主要负责人，或者其授权代表签字或者盖章，并加盖公章。</w:t>
      </w:r>
    </w:p>
    <w:p>
      <w:pPr>
        <w:rPr>
          <w:rFonts w:hint="eastAsia" w:ascii="宋体" w:hAnsi="宋体" w:eastAsia="宋体" w:cs="宋体"/>
          <w:color w:val="auto"/>
          <w:highlight w:val="none"/>
        </w:rPr>
      </w:pPr>
    </w:p>
    <w:sectPr>
      <w:footerReference r:id="rId19" w:type="default"/>
      <w:pgSz w:w="11906" w:h="16838"/>
      <w:pgMar w:top="1440" w:right="1080" w:bottom="1440" w:left="108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1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MT Extra">
    <w:altName w:val="Symbol"/>
    <w:panose1 w:val="05050102010205020202"/>
    <w:charset w:val="02"/>
    <w:family w:val="roma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ScalaSansLF-Regular">
    <w:altName w:val="Trebuchet MS"/>
    <w:panose1 w:val="00000000000000000000"/>
    <w:charset w:val="00"/>
    <w:family w:val="auto"/>
    <w:pitch w:val="default"/>
    <w:sig w:usb0="00000000" w:usb1="00000000" w:usb2="00000000" w:usb3="00000000" w:csb0="00000001" w:csb1="00000000"/>
  </w:font>
  <w:font w:name="Trebuchet MS">
    <w:panose1 w:val="020B0603020202020204"/>
    <w:charset w:val="00"/>
    <w:family w:val="auto"/>
    <w:pitch w:val="default"/>
    <w:sig w:usb0="00000287" w:usb1="00000000" w:usb2="00000000" w:usb3="00000000" w:csb0="2000009F"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auto"/>
    <w:pitch w:val="default"/>
    <w:sig w:usb0="00000000" w:usb1="00000000" w:usb2="00000010" w:usb3="00000000" w:csb0="00040000" w:csb1="00000000"/>
  </w:font>
  <w:font w:name="Symbol">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AFF" w:usb1="C0007843" w:usb2="00000009" w:usb3="00000000" w:csb0="400001FF" w:csb1="FFFF0000"/>
  </w:font>
  <w:font w:name="楷体_GB2312">
    <w:altName w:val="楷体"/>
    <w:panose1 w:val="02010609030101010101"/>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Arial">
    <w:panose1 w:val="020B0604020202020204"/>
    <w:charset w:val="00"/>
    <w:family w:val="swiss"/>
    <w:pitch w:val="default"/>
    <w:sig w:usb0="E0002AFF" w:usb1="C0007843" w:usb2="00000009" w:usb3="00000000" w:csb0="400001FF" w:csb1="FFFF0000"/>
  </w:font>
  <w:font w:name="黑体">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浙江五石工程咨询有限公司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-20734020</wp:posOffset>
              </wp:positionV>
              <wp:extent cx="1828800" cy="1828800"/>
              <wp:effectExtent l="0" t="0" r="0" b="0"/>
              <wp:wrapNone/>
              <wp:docPr id="4"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10</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22" o:spid="_x0000_s1026" o:spt="202" type="#_x0000_t202" style="position:absolute;left:0pt;margin-top:-1632.6pt;height:144pt;width:144pt;mso-position-horizontal:outside;mso-position-horizontal-relative:margin;mso-wrap-style:none;z-index:251659264;mso-width-relative:page;mso-height-relative:page;" filled="f" stroked="f" coordsize="21600,21600" o:gfxdata="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aTbS&#10;7dgAAAAMAQAADwAAAAAAAAABACAAAAAiAAAAZHJzL2Rvd25yZXYueG1sUEsBAhQAFAAAAAgAh07i&#10;QMKmbkuwAQAATAMAAA4AAAAAAAAAAQAgAAAAJwEAAGRycy9lMm9Eb2MueG1sUEsFBgAAAAAGAAYA&#10;WQEAAEkFAAAA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10</w:t>
                    </w:r>
                    <w: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w:fldChar w:fldCharType="begin"/>
    </w:r>
    <w:r>
      <w:instrText xml:space="preserve"> PAGE   \* MERGEFORMAT </w:instrText>
    </w:r>
    <w:r>
      <w:fldChar w:fldCharType="separate"/>
    </w:r>
    <w:r>
      <w:rPr>
        <w:lang w:val="zh-CN"/>
      </w:rPr>
      <w:t>10</w:t>
    </w:r>
    <w:r>
      <w:rPr>
        <w:lang w:val="zh-CN"/>
      </w:rPr>
      <w:fldChar w:fldCharType="end"/>
    </w:r>
    <w:r>
      <w:tab/>
    </w:r>
    <w:r>
      <w:t xml:space="preserve">                   </w:t>
    </w:r>
    <w:r>
      <w:rPr>
        <w:rFonts w:hint="eastAsia"/>
        <w:i/>
        <w:color w:val="0000FF"/>
        <w:sz w:val="28"/>
      </w:rPr>
      <w:t>精细 专业 高效</w:t>
    </w:r>
    <w: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4</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Bn/ZFiwAQAA&#10;TAMAAA4AAAAAAAAAAQAgAAAAHgEAAGRycy9lMm9Eb2MueG1sUEsFBgAAAAAGAAYAWQEAAEAFAAAA&#10;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4</w:t>
                    </w:r>
                    <w:r>
                      <w:fldChar w:fldCharType="end"/>
                    </w:r>
                    <w:r>
                      <w:rPr>
                        <w:rFonts w:hint="eastAsia"/>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tabs>
        <w:tab w:val="clear" w:pos="4153"/>
      </w:tabs>
      <w:ind w:right="360" w:firstLine="0" w:firstLineChars="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11</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KEYCeqwAQAA&#10;TAMAAA4AAAAAAAAAAQAgAAAAHgEAAGRycy9lMm9Eb2MueG1sUEsFBgAAAAAGAAYAWQEAAEAFAAAA&#10;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11</w:t>
                    </w:r>
                    <w:r>
                      <w:fldChar w:fldCharType="end"/>
                    </w:r>
                    <w:r>
                      <w:rPr>
                        <w:rFonts w:hint="eastAsia"/>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42</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8"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B829uq8BAABM&#10;AwAADgAAAAAAAAABACAAAAAeAQAAZHJzL2Uyb0RvYy54bWxQSwUGAAAAAAYABgBZAQAAPwUAAA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42</w:t>
                    </w:r>
                    <w:r>
                      <w:fldChar w:fldCharType="end"/>
                    </w:r>
                    <w:r>
                      <w:rPr>
                        <w:rFonts w:hint="eastAsia"/>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tabs>
        <w:tab w:val="clear" w:pos="4153"/>
      </w:tabs>
      <w:ind w:right="360" w:firstLine="0" w:firstLineChars="0"/>
    </w:pPr>
    <w: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11</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FEY3kWwAQAA&#10;TQMAAA4AAAAAAAAAAQAgAAAAHgEAAGRycy9lMm9Eb2MueG1sUEsFBgAAAAAGAAYAWQEAAEAFAAAA&#10;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11</w:t>
                    </w:r>
                    <w:r>
                      <w:fldChar w:fldCharType="end"/>
                    </w:r>
                    <w:r>
                      <w:rPr>
                        <w:rFonts w:hint="eastAsia"/>
                      </w:rP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43</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P7+USG4AQAAVgMAAA4AAAAAAAAAAQAgAAAAHwEAAGRycy9lMm9Eb2MueG1sUEsFBgAAAAAGAAYA&#10;WQEAAEkFAAAAAA==&#10;">
              <v:fill on="f" focussize="0,0"/>
              <v:stroke on="f" weight="0.5pt"/>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43</w:t>
                    </w:r>
                    <w:r>
                      <w:fldChar w:fldCharType="end"/>
                    </w:r>
                    <w:r>
                      <w:rPr>
                        <w:rFonts w:hint="eastAsia"/>
                      </w:rP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46</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ApoRZm4AQAAVgMAAA4AAAAAAAAAAQAgAAAAHwEAAGRycy9lMm9Eb2MueG1sUEsFBgAAAAAGAAYA&#10;WQEAAEkFAAAAAA==&#10;">
              <v:fill on="f" focussize="0,0"/>
              <v:stroke on="f" weight="0.5pt"/>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46</w:t>
                    </w:r>
                    <w:r>
                      <w:fldChar w:fldCharType="end"/>
                    </w:r>
                    <w:r>
                      <w:rPr>
                        <w:rFonts w:hint="eastAsia"/>
                      </w:rP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pPr>
    <w: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65</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AJAa37cBAABWAwAADgAAAAAAAAABACAAAAAfAQAAZHJzL2Uyb0RvYy54bWxQSwUGAAAAAAYABgBZ&#10;AQAASAUAAAAA&#10;">
              <v:fill on="f" focussize="0,0"/>
              <v:stroke on="f" weight="0.5pt"/>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65</w:t>
                    </w:r>
                    <w:r>
                      <w:fldChar w:fldCharType="end"/>
                    </w:r>
                    <w:r>
                      <w:rPr>
                        <w:rFonts w:hint="eastAsia"/>
                      </w:rP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360"/>
      <w:jc w:val="center"/>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6"/>
                            <w:ind w:firstLine="360"/>
                          </w:pPr>
                          <w:r>
                            <w:rPr>
                              <w:rFonts w:hint="eastAsia"/>
                            </w:rPr>
                            <w:t xml:space="preserve">第 </w:t>
                          </w:r>
                          <w:r>
                            <w:fldChar w:fldCharType="begin"/>
                          </w:r>
                          <w:r>
                            <w:instrText xml:space="preserve"> PAGE  \* MERGEFORMAT </w:instrText>
                          </w:r>
                          <w:r>
                            <w:fldChar w:fldCharType="separate"/>
                          </w:r>
                          <w:r>
                            <w:t>69</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20"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Qrbgya8BAABM&#10;AwAADgAAAAAAAAABACAAAAAeAQAAZHJzL2Uyb0RvYy54bWxQSwUGAAAAAAYABgBZAQAAPwUAAAAA&#10;">
              <v:fill on="f" focussize="0,0"/>
              <v:stroke on="f"/>
              <v:imagedata o:title=""/>
              <o:lock v:ext="edit" aspectratio="f"/>
              <v:textbox inset="0mm,0mm,0mm,0mm" style="mso-fit-shape-to-text:t;">
                <w:txbxContent>
                  <w:p>
                    <w:pPr>
                      <w:pStyle w:val="26"/>
                      <w:ind w:firstLine="360"/>
                    </w:pPr>
                    <w:r>
                      <w:rPr>
                        <w:rFonts w:hint="eastAsia"/>
                      </w:rPr>
                      <w:t xml:space="preserve">第 </w:t>
                    </w:r>
                    <w:r>
                      <w:fldChar w:fldCharType="begin"/>
                    </w:r>
                    <w:r>
                      <w:instrText xml:space="preserve"> PAGE  \* MERGEFORMAT </w:instrText>
                    </w:r>
                    <w:r>
                      <w:fldChar w:fldCharType="separate"/>
                    </w:r>
                    <w:r>
                      <w:t>69</w:t>
                    </w:r>
                    <w: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ind w:firstLine="0" w:firstLineChars="0"/>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0" w:firstLineChars="0"/>
      <w:jc w:val="both"/>
    </w:pPr>
    <w:r>
      <w:rPr>
        <w:rFonts w:hint="eastAsia"/>
        <w:lang w:eastAsia="zh-CN"/>
      </w:rPr>
      <w:t>浙江海洋大学</w:t>
    </w:r>
    <w:r>
      <w:rPr>
        <w:rFonts w:hint="eastAsia"/>
      </w:rPr>
      <w:tab/>
    </w:r>
    <w:r>
      <w:rPr>
        <w:rFonts w:hint="eastAsia"/>
      </w:rPr>
      <w:t>文创中心脑电采集分析系统项目</w:t>
    </w:r>
    <w:r>
      <w:rPr>
        <w:rFonts w:hint="eastAsia"/>
      </w:rPr>
      <w:tab/>
    </w:r>
    <w:r>
      <w:rPr>
        <w:rFonts w:hint="eastAsia"/>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0" w:firstLineChars="0"/>
      <w:jc w:val="right"/>
    </w:pPr>
    <w:r>
      <w:rPr>
        <w:rFonts w:hint="eastAsia"/>
      </w:rPr>
      <w:t>浙江五石工程咨询有限公司招标文件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397907278">
    <w:nsid w:val="8EED294E"/>
    <w:multiLevelType w:val="singleLevel"/>
    <w:tmpl w:val="8EED294E"/>
    <w:lvl w:ilvl="0" w:tentative="1">
      <w:start w:val="1"/>
      <w:numFmt w:val="decimal"/>
      <w:suff w:val="nothing"/>
      <w:lvlText w:val="%1．"/>
      <w:lvlJc w:val="left"/>
      <w:pPr>
        <w:ind w:left="0" w:firstLine="400"/>
      </w:pPr>
      <w:rPr>
        <w:rFonts w:hint="default"/>
      </w:rPr>
    </w:lvl>
  </w:abstractNum>
  <w:abstractNum w:abstractNumId="272160722">
    <w:nsid w:val="1038D7D2"/>
    <w:multiLevelType w:val="singleLevel"/>
    <w:tmpl w:val="1038D7D2"/>
    <w:lvl w:ilvl="0" w:tentative="1">
      <w:start w:val="1"/>
      <w:numFmt w:val="decimal"/>
      <w:suff w:val="nothing"/>
      <w:lvlText w:val="%1．"/>
      <w:lvlJc w:val="left"/>
      <w:pPr>
        <w:ind w:left="0" w:firstLine="400"/>
      </w:pPr>
      <w:rPr>
        <w:rFonts w:hint="default"/>
      </w:rPr>
    </w:lvl>
  </w:abstractNum>
  <w:abstractNum w:abstractNumId="1100508966">
    <w:nsid w:val="41986F26"/>
    <w:multiLevelType w:val="singleLevel"/>
    <w:tmpl w:val="41986F26"/>
    <w:lvl w:ilvl="0" w:tentative="1">
      <w:start w:val="1"/>
      <w:numFmt w:val="decimal"/>
      <w:suff w:val="nothing"/>
      <w:lvlText w:val="%1．"/>
      <w:lvlJc w:val="left"/>
      <w:pPr>
        <w:ind w:left="0" w:firstLine="400"/>
      </w:pPr>
      <w:rPr>
        <w:rFonts w:hint="default"/>
      </w:rPr>
    </w:lvl>
  </w:abstractNum>
  <w:abstractNum w:abstractNumId="1618995049">
    <w:nsid w:val="607FE769"/>
    <w:multiLevelType w:val="singleLevel"/>
    <w:tmpl w:val="607FE769"/>
    <w:lvl w:ilvl="0" w:tentative="1">
      <w:start w:val="2"/>
      <w:numFmt w:val="chineseCounting"/>
      <w:suff w:val="space"/>
      <w:lvlText w:val="第%1章"/>
      <w:lvlJc w:val="left"/>
    </w:lvl>
  </w:abstractNum>
  <w:abstractNum w:abstractNumId="156379079">
    <w:nsid w:val="095227C7"/>
    <w:multiLevelType w:val="singleLevel"/>
    <w:tmpl w:val="095227C7"/>
    <w:lvl w:ilvl="0" w:tentative="1">
      <w:start w:val="1"/>
      <w:numFmt w:val="decimal"/>
      <w:suff w:val="nothing"/>
      <w:lvlText w:val="%1．"/>
      <w:lvlJc w:val="left"/>
      <w:pPr>
        <w:ind w:left="0" w:firstLine="400"/>
      </w:pPr>
      <w:rPr>
        <w:rFonts w:hint="default"/>
      </w:rPr>
    </w:lvl>
  </w:abstractNum>
  <w:abstractNum w:abstractNumId="321314494">
    <w:nsid w:val="1326DEBE"/>
    <w:multiLevelType w:val="singleLevel"/>
    <w:tmpl w:val="1326DEBE"/>
    <w:lvl w:ilvl="0" w:tentative="1">
      <w:start w:val="3"/>
      <w:numFmt w:val="chineseCounting"/>
      <w:suff w:val="nothing"/>
      <w:lvlText w:val="（%1）"/>
      <w:lvlJc w:val="left"/>
      <w:rPr>
        <w:rFonts w:hint="eastAsia"/>
      </w:rPr>
    </w:lvl>
  </w:abstractNum>
  <w:abstractNum w:abstractNumId="3962930202">
    <w:nsid w:val="EC35841A"/>
    <w:multiLevelType w:val="singleLevel"/>
    <w:tmpl w:val="EC35841A"/>
    <w:lvl w:ilvl="0" w:tentative="1">
      <w:start w:val="1"/>
      <w:numFmt w:val="decimal"/>
      <w:suff w:val="nothing"/>
      <w:lvlText w:val="%1．"/>
      <w:lvlJc w:val="left"/>
      <w:pPr>
        <w:ind w:left="0" w:firstLine="400"/>
      </w:pPr>
      <w:rPr>
        <w:rFonts w:hint="default"/>
      </w:rPr>
    </w:lvl>
  </w:abstractNum>
  <w:abstractNum w:abstractNumId="2738153486">
    <w:nsid w:val="A334E80E"/>
    <w:multiLevelType w:val="singleLevel"/>
    <w:tmpl w:val="A334E80E"/>
    <w:lvl w:ilvl="0" w:tentative="1">
      <w:start w:val="1"/>
      <w:numFmt w:val="decimal"/>
      <w:suff w:val="nothing"/>
      <w:lvlText w:val="%1．"/>
      <w:lvlJc w:val="left"/>
      <w:pPr>
        <w:ind w:left="0" w:firstLine="400"/>
      </w:pPr>
      <w:rPr>
        <w:rFonts w:hint="default"/>
      </w:rPr>
    </w:lvl>
  </w:abstractNum>
  <w:abstractNum w:abstractNumId="2788297528">
    <w:nsid w:val="A6320B38"/>
    <w:multiLevelType w:val="singleLevel"/>
    <w:tmpl w:val="A6320B38"/>
    <w:lvl w:ilvl="0" w:tentative="1">
      <w:start w:val="1"/>
      <w:numFmt w:val="decimal"/>
      <w:suff w:val="nothing"/>
      <w:lvlText w:val="%1．"/>
      <w:lvlJc w:val="left"/>
      <w:pPr>
        <w:ind w:left="0" w:firstLine="403"/>
      </w:pPr>
      <w:rPr>
        <w:rFonts w:hint="default"/>
      </w:rPr>
    </w:lvl>
  </w:abstractNum>
  <w:abstractNum w:abstractNumId="959072428">
    <w:nsid w:val="392A48AC"/>
    <w:multiLevelType w:val="singleLevel"/>
    <w:tmpl w:val="392A48AC"/>
    <w:lvl w:ilvl="0" w:tentative="1">
      <w:start w:val="1"/>
      <w:numFmt w:val="decimal"/>
      <w:suff w:val="nothing"/>
      <w:lvlText w:val="%1．"/>
      <w:lvlJc w:val="left"/>
      <w:pPr>
        <w:ind w:left="0" w:firstLine="400"/>
      </w:pPr>
      <w:rPr>
        <w:rFonts w:hint="default"/>
      </w:rPr>
    </w:lvl>
  </w:abstractNum>
  <w:abstractNum w:abstractNumId="2117388409">
    <w:nsid w:val="7E34C879"/>
    <w:multiLevelType w:val="singleLevel"/>
    <w:tmpl w:val="7E34C879"/>
    <w:lvl w:ilvl="0" w:tentative="1">
      <w:start w:val="1"/>
      <w:numFmt w:val="decimal"/>
      <w:lvlText w:val="(%1)"/>
      <w:lvlJc w:val="left"/>
      <w:pPr>
        <w:tabs>
          <w:tab w:val="left" w:pos="420"/>
        </w:tabs>
        <w:ind w:left="845" w:hanging="425"/>
      </w:pPr>
      <w:rPr>
        <w:rFonts w:hint="default"/>
      </w:rPr>
    </w:lvl>
  </w:abstractNum>
  <w:abstractNum w:abstractNumId="723137771">
    <w:nsid w:val="2B1A34EB"/>
    <w:multiLevelType w:val="multilevel"/>
    <w:tmpl w:val="2B1A34EB"/>
    <w:lvl w:ilvl="0" w:tentative="1">
      <w:start w:val="1"/>
      <w:numFmt w:val="decimal"/>
      <w:lvlText w:val="%1."/>
      <w:lvlJc w:val="left"/>
      <w:pPr>
        <w:ind w:left="420" w:hanging="420"/>
      </w:pPr>
    </w:lvl>
    <w:lvl w:ilvl="1" w:tentative="1">
      <w:start w:val="1"/>
      <w:numFmt w:val="lowerLetter"/>
      <w:pStyle w:val="170"/>
      <w:lvlText w:val="%2)"/>
      <w:lvlJc w:val="left"/>
      <w:pPr>
        <w:ind w:left="840" w:hanging="420"/>
      </w:pPr>
    </w:lvl>
    <w:lvl w:ilvl="2" w:tentative="1">
      <w:start w:val="1"/>
      <w:numFmt w:val="lowerRoman"/>
      <w:pStyle w:val="172"/>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679238143">
    <w:nsid w:val="641723FF"/>
    <w:multiLevelType w:val="multilevel"/>
    <w:tmpl w:val="641723FF"/>
    <w:lvl w:ilvl="0" w:tentative="1">
      <w:start w:val="1"/>
      <w:numFmt w:val="decimal"/>
      <w:pStyle w:val="15"/>
      <w:lvlText w:val="%1、"/>
      <w:lvlJc w:val="left"/>
      <w:pPr>
        <w:ind w:left="780" w:hanging="360"/>
      </w:pPr>
      <w:rPr>
        <w:rFonts w:hint="default"/>
      </w:r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1843468400">
    <w:nsid w:val="6DE11870"/>
    <w:multiLevelType w:val="multilevel"/>
    <w:tmpl w:val="6DE11870"/>
    <w:lvl w:ilvl="0" w:tentative="1">
      <w:start w:val="1"/>
      <w:numFmt w:val="decimal"/>
      <w:pStyle w:val="18"/>
      <w:lvlText w:val="%1."/>
      <w:lvlJc w:val="left"/>
      <w:pPr>
        <w:tabs>
          <w:tab w:val="left" w:pos="360"/>
        </w:tabs>
        <w:ind w:left="360" w:hanging="360"/>
      </w:pPr>
      <w:rPr>
        <w:rFonts w:hint="default"/>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2134979599">
    <w:nsid w:val="7F41340F"/>
    <w:multiLevelType w:val="singleLevel"/>
    <w:tmpl w:val="7F41340F"/>
    <w:lvl w:ilvl="0" w:tentative="1">
      <w:start w:val="2"/>
      <w:numFmt w:val="decimal"/>
      <w:lvlText w:val="%1、"/>
      <w:lvlJc w:val="left"/>
      <w:pPr>
        <w:tabs>
          <w:tab w:val="left" w:pos="1620"/>
        </w:tabs>
        <w:ind w:left="1620" w:hanging="720"/>
      </w:pPr>
      <w:rPr>
        <w:rFonts w:hint="eastAsia"/>
      </w:rPr>
    </w:lvl>
  </w:abstractNum>
  <w:abstractNum w:abstractNumId="1610007584">
    <w:nsid w:val="5FF6C420"/>
    <w:multiLevelType w:val="singleLevel"/>
    <w:tmpl w:val="5FF6C420"/>
    <w:lvl w:ilvl="0" w:tentative="1">
      <w:start w:val="1"/>
      <w:numFmt w:val="decimal"/>
      <w:suff w:val="space"/>
      <w:lvlText w:val="%1."/>
      <w:lvlJc w:val="left"/>
    </w:lvl>
  </w:abstractNum>
  <w:abstractNum w:abstractNumId="1504493287">
    <w:nsid w:val="59ACBEE7"/>
    <w:multiLevelType w:val="singleLevel"/>
    <w:tmpl w:val="59ACBEE7"/>
    <w:lvl w:ilvl="0" w:tentative="1">
      <w:start w:val="1"/>
      <w:numFmt w:val="decimal"/>
      <w:suff w:val="nothing"/>
      <w:lvlText w:val="%1、"/>
      <w:lvlJc w:val="left"/>
      <w:rPr>
        <w:rFonts w:cs="Times New Roman"/>
      </w:rPr>
    </w:lvl>
  </w:abstractNum>
  <w:abstractNum w:abstractNumId="1531814332">
    <w:nsid w:val="5B4DA1BC"/>
    <w:multiLevelType w:val="singleLevel"/>
    <w:tmpl w:val="5B4DA1BC"/>
    <w:lvl w:ilvl="0" w:tentative="1">
      <w:start w:val="2"/>
      <w:numFmt w:val="decimal"/>
      <w:suff w:val="nothing"/>
      <w:lvlText w:val="%1、"/>
      <w:lvlJc w:val="left"/>
    </w:lvl>
  </w:abstractNum>
  <w:abstractNum w:abstractNumId="1873189603">
    <w:nsid w:val="6FA69AE3"/>
    <w:multiLevelType w:val="singleLevel"/>
    <w:tmpl w:val="6FA69AE3"/>
    <w:lvl w:ilvl="0" w:tentative="1">
      <w:start w:val="1"/>
      <w:numFmt w:val="decimal"/>
      <w:suff w:val="nothing"/>
      <w:lvlText w:val="%1．"/>
      <w:lvlJc w:val="left"/>
      <w:pPr>
        <w:ind w:left="0" w:firstLine="400"/>
      </w:pPr>
      <w:rPr>
        <w:rFonts w:hint="default"/>
      </w:rPr>
    </w:lvl>
  </w:abstractNum>
  <w:abstractNum w:abstractNumId="1390112629">
    <w:nsid w:val="52DB6F75"/>
    <w:multiLevelType w:val="singleLevel"/>
    <w:tmpl w:val="52DB6F75"/>
    <w:lvl w:ilvl="0" w:tentative="1">
      <w:start w:val="1"/>
      <w:numFmt w:val="decimal"/>
      <w:suff w:val="nothing"/>
      <w:lvlText w:val="%1．"/>
      <w:lvlJc w:val="left"/>
      <w:pPr>
        <w:ind w:left="0" w:firstLine="400"/>
      </w:pPr>
      <w:rPr>
        <w:rFonts w:hint="default"/>
      </w:rPr>
    </w:lvl>
  </w:abstractNum>
  <w:abstractNum w:abstractNumId="1595849027">
    <w:nsid w:val="5F1EB943"/>
    <w:multiLevelType w:val="singleLevel"/>
    <w:tmpl w:val="5F1EB943"/>
    <w:lvl w:ilvl="0" w:tentative="1">
      <w:start w:val="1"/>
      <w:numFmt w:val="decimal"/>
      <w:suff w:val="nothing"/>
      <w:lvlText w:val="%1．"/>
      <w:lvlJc w:val="left"/>
      <w:pPr>
        <w:ind w:left="0" w:firstLine="400"/>
      </w:pPr>
      <w:rPr>
        <w:rFonts w:hint="default"/>
      </w:rPr>
    </w:lvl>
  </w:abstractNum>
  <w:abstractNum w:abstractNumId="3919687920">
    <w:nsid w:val="E9A1B0F0"/>
    <w:multiLevelType w:val="singleLevel"/>
    <w:tmpl w:val="E9A1B0F0"/>
    <w:lvl w:ilvl="0" w:tentative="1">
      <w:start w:val="1"/>
      <w:numFmt w:val="decimal"/>
      <w:suff w:val="nothing"/>
      <w:lvlText w:val="%1．"/>
      <w:lvlJc w:val="left"/>
      <w:pPr>
        <w:ind w:left="0" w:firstLine="400"/>
      </w:pPr>
      <w:rPr>
        <w:rFonts w:hint="default"/>
      </w:rPr>
    </w:lvl>
  </w:abstractNum>
  <w:abstractNum w:abstractNumId="2070534495">
    <w:nsid w:val="7B69D95F"/>
    <w:multiLevelType w:val="singleLevel"/>
    <w:tmpl w:val="7B69D95F"/>
    <w:lvl w:ilvl="0" w:tentative="1">
      <w:start w:val="1"/>
      <w:numFmt w:val="bullet"/>
      <w:lvlText w:val=""/>
      <w:lvlJc w:val="left"/>
      <w:pPr>
        <w:ind w:left="420" w:hanging="420"/>
      </w:pPr>
      <w:rPr>
        <w:rFonts w:hint="default" w:ascii="Wingdings" w:hAnsi="Wingdings"/>
      </w:rPr>
    </w:lvl>
  </w:abstractNum>
  <w:abstractNum w:abstractNumId="2716868673">
    <w:nsid w:val="A1F02041"/>
    <w:multiLevelType w:val="singleLevel"/>
    <w:tmpl w:val="A1F02041"/>
    <w:lvl w:ilvl="0" w:tentative="1">
      <w:start w:val="1"/>
      <w:numFmt w:val="decimal"/>
      <w:suff w:val="nothing"/>
      <w:lvlText w:val="%1．"/>
      <w:lvlJc w:val="left"/>
      <w:pPr>
        <w:ind w:left="0" w:firstLine="400"/>
      </w:pPr>
      <w:rPr>
        <w:rFonts w:hint="default"/>
      </w:rPr>
    </w:lvl>
  </w:abstractNum>
  <w:abstractNum w:abstractNumId="1837293531">
    <w:nsid w:val="6D82DFDB"/>
    <w:multiLevelType w:val="singleLevel"/>
    <w:tmpl w:val="6D82DFDB"/>
    <w:lvl w:ilvl="0" w:tentative="1">
      <w:start w:val="1"/>
      <w:numFmt w:val="decimal"/>
      <w:suff w:val="nothing"/>
      <w:lvlText w:val="%1．"/>
      <w:lvlJc w:val="left"/>
      <w:pPr>
        <w:ind w:left="0" w:firstLine="400"/>
      </w:pPr>
      <w:rPr>
        <w:rFonts w:hint="default"/>
      </w:rPr>
    </w:lvl>
  </w:abstractNum>
  <w:abstractNum w:abstractNumId="3547686211">
    <w:nsid w:val="D3756543"/>
    <w:multiLevelType w:val="singleLevel"/>
    <w:tmpl w:val="D3756543"/>
    <w:lvl w:ilvl="0" w:tentative="1">
      <w:start w:val="1"/>
      <w:numFmt w:val="decimal"/>
      <w:suff w:val="nothing"/>
      <w:lvlText w:val="%1．"/>
      <w:lvlJc w:val="left"/>
      <w:pPr>
        <w:ind w:left="0" w:firstLine="400"/>
      </w:pPr>
      <w:rPr>
        <w:rFonts w:hint="default"/>
      </w:rPr>
    </w:lvl>
  </w:abstractNum>
  <w:abstractNum w:abstractNumId="1709165102">
    <w:nsid w:val="65DFCA2E"/>
    <w:multiLevelType w:val="singleLevel"/>
    <w:tmpl w:val="65DFCA2E"/>
    <w:lvl w:ilvl="0" w:tentative="1">
      <w:start w:val="1"/>
      <w:numFmt w:val="decimal"/>
      <w:suff w:val="nothing"/>
      <w:lvlText w:val="%1．"/>
      <w:lvlJc w:val="left"/>
      <w:pPr>
        <w:ind w:left="0" w:firstLine="400"/>
      </w:pPr>
      <w:rPr>
        <w:rFonts w:hint="default"/>
      </w:rPr>
    </w:lvl>
  </w:abstractNum>
  <w:abstractNum w:abstractNumId="206314393">
    <w:nsid w:val="0C4C1B99"/>
    <w:multiLevelType w:val="singleLevel"/>
    <w:tmpl w:val="0C4C1B99"/>
    <w:lvl w:ilvl="0" w:tentative="1">
      <w:start w:val="1"/>
      <w:numFmt w:val="decimal"/>
      <w:suff w:val="nothing"/>
      <w:lvlText w:val="%1．"/>
      <w:lvlJc w:val="left"/>
      <w:pPr>
        <w:ind w:left="0" w:firstLine="400"/>
      </w:pPr>
      <w:rPr>
        <w:rFonts w:hint="default"/>
      </w:rPr>
    </w:lvl>
  </w:abstractNum>
  <w:abstractNum w:abstractNumId="1086925691">
    <w:nsid w:val="40C92B7B"/>
    <w:multiLevelType w:val="singleLevel"/>
    <w:tmpl w:val="40C92B7B"/>
    <w:lvl w:ilvl="0" w:tentative="1">
      <w:start w:val="1"/>
      <w:numFmt w:val="decimal"/>
      <w:suff w:val="nothing"/>
      <w:lvlText w:val="%1．"/>
      <w:lvlJc w:val="left"/>
      <w:pPr>
        <w:ind w:left="0" w:firstLine="400"/>
      </w:pPr>
      <w:rPr>
        <w:rFonts w:hint="default"/>
      </w:rPr>
    </w:lvl>
  </w:abstractNum>
  <w:abstractNum w:abstractNumId="3748131752">
    <w:nsid w:val="DF67F3A8"/>
    <w:multiLevelType w:val="singleLevel"/>
    <w:tmpl w:val="DF67F3A8"/>
    <w:lvl w:ilvl="0" w:tentative="1">
      <w:start w:val="1"/>
      <w:numFmt w:val="decimal"/>
      <w:suff w:val="nothing"/>
      <w:lvlText w:val="%1．"/>
      <w:lvlJc w:val="left"/>
      <w:pPr>
        <w:ind w:left="0" w:firstLine="400"/>
      </w:pPr>
      <w:rPr>
        <w:rFonts w:hint="default"/>
      </w:rPr>
    </w:lvl>
  </w:abstractNum>
  <w:abstractNum w:abstractNumId="3057674480">
    <w:nsid w:val="B64068F0"/>
    <w:multiLevelType w:val="singleLevel"/>
    <w:tmpl w:val="B64068F0"/>
    <w:lvl w:ilvl="0" w:tentative="1">
      <w:start w:val="1"/>
      <w:numFmt w:val="decimal"/>
      <w:suff w:val="nothing"/>
      <w:lvlText w:val="%1．"/>
      <w:lvlJc w:val="left"/>
      <w:pPr>
        <w:ind w:left="0" w:firstLine="400"/>
      </w:pPr>
      <w:rPr>
        <w:rFonts w:hint="default"/>
      </w:rPr>
    </w:lvl>
  </w:abstractNum>
  <w:abstractNum w:abstractNumId="1245741555">
    <w:nsid w:val="4A4081F3"/>
    <w:multiLevelType w:val="singleLevel"/>
    <w:tmpl w:val="4A4081F3"/>
    <w:lvl w:ilvl="0" w:tentative="1">
      <w:start w:val="1"/>
      <w:numFmt w:val="decimal"/>
      <w:suff w:val="nothing"/>
      <w:lvlText w:val="%1．"/>
      <w:lvlJc w:val="left"/>
      <w:pPr>
        <w:ind w:left="0" w:firstLine="400"/>
      </w:pPr>
      <w:rPr>
        <w:rFonts w:hint="default"/>
      </w:rPr>
    </w:lvl>
  </w:abstractNum>
  <w:abstractNum w:abstractNumId="3476090950">
    <w:nsid w:val="CF30F046"/>
    <w:multiLevelType w:val="singleLevel"/>
    <w:tmpl w:val="CF30F046"/>
    <w:lvl w:ilvl="0" w:tentative="1">
      <w:start w:val="1"/>
      <w:numFmt w:val="decimal"/>
      <w:suff w:val="nothing"/>
      <w:lvlText w:val="%1．"/>
      <w:lvlJc w:val="left"/>
      <w:pPr>
        <w:ind w:left="0" w:firstLine="400"/>
      </w:pPr>
      <w:rPr>
        <w:rFonts w:hint="default"/>
      </w:rPr>
    </w:lvl>
  </w:abstractNum>
  <w:abstractNum w:abstractNumId="3063048962">
    <w:nsid w:val="B6926B02"/>
    <w:multiLevelType w:val="singleLevel"/>
    <w:tmpl w:val="B6926B02"/>
    <w:lvl w:ilvl="0" w:tentative="1">
      <w:start w:val="1"/>
      <w:numFmt w:val="decimal"/>
      <w:suff w:val="nothing"/>
      <w:lvlText w:val="%1．"/>
      <w:lvlJc w:val="left"/>
      <w:pPr>
        <w:ind w:left="0" w:firstLine="400"/>
      </w:pPr>
      <w:rPr>
        <w:rFonts w:hint="default"/>
      </w:rPr>
    </w:lvl>
  </w:abstractNum>
  <w:abstractNum w:abstractNumId="1017928684">
    <w:nsid w:val="3CAC5BEC"/>
    <w:multiLevelType w:val="singleLevel"/>
    <w:tmpl w:val="3CAC5BEC"/>
    <w:lvl w:ilvl="0" w:tentative="1">
      <w:start w:val="1"/>
      <w:numFmt w:val="decimal"/>
      <w:suff w:val="nothing"/>
      <w:lvlText w:val="%1．"/>
      <w:lvlJc w:val="left"/>
      <w:pPr>
        <w:ind w:left="0" w:firstLine="400"/>
      </w:pPr>
      <w:rPr>
        <w:rFonts w:hint="default"/>
      </w:rPr>
    </w:lvl>
  </w:abstractNum>
  <w:abstractNum w:abstractNumId="43821387">
    <w:nsid w:val="029CA94B"/>
    <w:multiLevelType w:val="singleLevel"/>
    <w:tmpl w:val="029CA94B"/>
    <w:lvl w:ilvl="0" w:tentative="1">
      <w:start w:val="1"/>
      <w:numFmt w:val="decimal"/>
      <w:suff w:val="nothing"/>
      <w:lvlText w:val="%1．"/>
      <w:lvlJc w:val="left"/>
      <w:pPr>
        <w:ind w:left="0" w:firstLine="400"/>
      </w:pPr>
      <w:rPr>
        <w:rFonts w:hint="default"/>
      </w:rPr>
    </w:lvl>
  </w:abstractNum>
  <w:abstractNum w:abstractNumId="700876340">
    <w:nsid w:val="29C68634"/>
    <w:multiLevelType w:val="singleLevel"/>
    <w:tmpl w:val="29C68634"/>
    <w:lvl w:ilvl="0" w:tentative="1">
      <w:start w:val="1"/>
      <w:numFmt w:val="decimal"/>
      <w:suff w:val="nothing"/>
      <w:lvlText w:val="%1．"/>
      <w:lvlJc w:val="left"/>
      <w:pPr>
        <w:ind w:left="0" w:firstLine="400"/>
      </w:pPr>
      <w:rPr>
        <w:rFonts w:hint="default"/>
      </w:rPr>
    </w:lvl>
  </w:abstractNum>
  <w:abstractNum w:abstractNumId="3441117480">
    <w:nsid w:val="CD1B4928"/>
    <w:multiLevelType w:val="singleLevel"/>
    <w:tmpl w:val="CD1B4928"/>
    <w:lvl w:ilvl="0" w:tentative="1">
      <w:start w:val="1"/>
      <w:numFmt w:val="decimal"/>
      <w:suff w:val="nothing"/>
      <w:lvlText w:val="%1．"/>
      <w:lvlJc w:val="left"/>
      <w:pPr>
        <w:ind w:left="0" w:firstLine="400"/>
      </w:pPr>
      <w:rPr>
        <w:rFonts w:hint="default"/>
      </w:rPr>
    </w:lvl>
  </w:abstractNum>
  <w:abstractNum w:abstractNumId="1124848378">
    <w:nsid w:val="430BD2FA"/>
    <w:multiLevelType w:val="singleLevel"/>
    <w:tmpl w:val="430BD2FA"/>
    <w:lvl w:ilvl="0" w:tentative="1">
      <w:start w:val="1"/>
      <w:numFmt w:val="decimal"/>
      <w:suff w:val="nothing"/>
      <w:lvlText w:val="%1．"/>
      <w:lvlJc w:val="left"/>
      <w:pPr>
        <w:ind w:left="0" w:firstLine="400"/>
      </w:pPr>
      <w:rPr>
        <w:rFonts w:hint="default"/>
      </w:rPr>
    </w:lvl>
  </w:abstractNum>
  <w:abstractNum w:abstractNumId="2553498010">
    <w:nsid w:val="9833499A"/>
    <w:multiLevelType w:val="singleLevel"/>
    <w:tmpl w:val="9833499A"/>
    <w:lvl w:ilvl="0" w:tentative="1">
      <w:start w:val="1"/>
      <w:numFmt w:val="decimal"/>
      <w:suff w:val="nothing"/>
      <w:lvlText w:val="%1．"/>
      <w:lvlJc w:val="left"/>
      <w:pPr>
        <w:ind w:left="0" w:firstLine="400"/>
      </w:pPr>
      <w:rPr>
        <w:rFonts w:hint="default"/>
      </w:rPr>
    </w:lvl>
  </w:abstractNum>
  <w:abstractNum w:abstractNumId="267081633">
    <w:nsid w:val="0FEB57A1"/>
    <w:multiLevelType w:val="singleLevel"/>
    <w:tmpl w:val="0FEB57A1"/>
    <w:lvl w:ilvl="0" w:tentative="1">
      <w:start w:val="1"/>
      <w:numFmt w:val="decimal"/>
      <w:suff w:val="nothing"/>
      <w:lvlText w:val="%1．"/>
      <w:lvlJc w:val="left"/>
      <w:pPr>
        <w:ind w:left="0" w:firstLine="400"/>
      </w:pPr>
      <w:rPr>
        <w:rFonts w:hint="default"/>
      </w:rPr>
    </w:lvl>
  </w:abstractNum>
  <w:abstractNum w:abstractNumId="71061562">
    <w:nsid w:val="043C503A"/>
    <w:multiLevelType w:val="singleLevel"/>
    <w:tmpl w:val="043C503A"/>
    <w:lvl w:ilvl="0" w:tentative="1">
      <w:start w:val="1"/>
      <w:numFmt w:val="decimal"/>
      <w:suff w:val="nothing"/>
      <w:lvlText w:val="%1．"/>
      <w:lvlJc w:val="left"/>
      <w:pPr>
        <w:ind w:left="0" w:firstLine="400"/>
      </w:pPr>
      <w:rPr>
        <w:rFonts w:hint="default"/>
      </w:rPr>
    </w:lvl>
  </w:abstractNum>
  <w:abstractNum w:abstractNumId="507476516">
    <w:nsid w:val="1E3F7A24"/>
    <w:multiLevelType w:val="singleLevel"/>
    <w:tmpl w:val="1E3F7A24"/>
    <w:lvl w:ilvl="0" w:tentative="1">
      <w:start w:val="1"/>
      <w:numFmt w:val="decimal"/>
      <w:suff w:val="nothing"/>
      <w:lvlText w:val="%1．"/>
      <w:lvlJc w:val="left"/>
      <w:pPr>
        <w:ind w:left="0" w:firstLine="400"/>
      </w:pPr>
      <w:rPr>
        <w:rFonts w:hint="default"/>
      </w:rPr>
    </w:lvl>
  </w:abstractNum>
  <w:abstractNum w:abstractNumId="381169946">
    <w:nsid w:val="16B8311A"/>
    <w:multiLevelType w:val="singleLevel"/>
    <w:tmpl w:val="16B8311A"/>
    <w:lvl w:ilvl="0" w:tentative="1">
      <w:start w:val="1"/>
      <w:numFmt w:val="decimal"/>
      <w:suff w:val="nothing"/>
      <w:lvlText w:val="%1．"/>
      <w:lvlJc w:val="left"/>
      <w:pPr>
        <w:ind w:left="0" w:firstLine="400"/>
      </w:pPr>
      <w:rPr>
        <w:rFonts w:hint="default"/>
      </w:rPr>
    </w:lvl>
  </w:abstractNum>
  <w:abstractNum w:abstractNumId="2555468025">
    <w:nsid w:val="985158F9"/>
    <w:multiLevelType w:val="singleLevel"/>
    <w:tmpl w:val="985158F9"/>
    <w:lvl w:ilvl="0" w:tentative="1">
      <w:start w:val="1"/>
      <w:numFmt w:val="decimal"/>
      <w:suff w:val="nothing"/>
      <w:lvlText w:val="%1．"/>
      <w:lvlJc w:val="left"/>
      <w:pPr>
        <w:ind w:left="0" w:firstLine="400"/>
      </w:pPr>
      <w:rPr>
        <w:rFonts w:hint="default"/>
      </w:rPr>
    </w:lvl>
  </w:abstractNum>
  <w:abstractNum w:abstractNumId="2990805140">
    <w:nsid w:val="B2441094"/>
    <w:multiLevelType w:val="singleLevel"/>
    <w:tmpl w:val="B2441094"/>
    <w:lvl w:ilvl="0" w:tentative="1">
      <w:start w:val="1"/>
      <w:numFmt w:val="decimal"/>
      <w:suff w:val="nothing"/>
      <w:lvlText w:val="%1．"/>
      <w:lvlJc w:val="left"/>
      <w:pPr>
        <w:ind w:left="0" w:firstLine="400"/>
      </w:pPr>
      <w:rPr>
        <w:rFonts w:hint="default"/>
      </w:rPr>
    </w:lvl>
  </w:abstractNum>
  <w:num w:numId="1">
    <w:abstractNumId w:val="1679238143"/>
  </w:num>
  <w:num w:numId="2">
    <w:abstractNumId w:val="1843468400"/>
  </w:num>
  <w:num w:numId="3">
    <w:abstractNumId w:val="723137771"/>
  </w:num>
  <w:num w:numId="4">
    <w:abstractNumId w:val="1618995049"/>
  </w:num>
  <w:num w:numId="5">
    <w:abstractNumId w:val="156379079"/>
  </w:num>
  <w:num w:numId="6">
    <w:abstractNumId w:val="2738153486"/>
  </w:num>
  <w:num w:numId="7">
    <w:abstractNumId w:val="3962930202"/>
  </w:num>
  <w:num w:numId="8">
    <w:abstractNumId w:val="321314494"/>
  </w:num>
  <w:num w:numId="9">
    <w:abstractNumId w:val="2788297528"/>
  </w:num>
  <w:num w:numId="10">
    <w:abstractNumId w:val="959072428"/>
  </w:num>
  <w:num w:numId="11">
    <w:abstractNumId w:val="2117388409"/>
  </w:num>
  <w:num w:numId="12">
    <w:abstractNumId w:val="2397907278"/>
  </w:num>
  <w:num w:numId="13">
    <w:abstractNumId w:val="272160722"/>
  </w:num>
  <w:num w:numId="14">
    <w:abstractNumId w:val="1100508966"/>
  </w:num>
  <w:num w:numId="15">
    <w:abstractNumId w:val="2070534495"/>
  </w:num>
  <w:num w:numId="16">
    <w:abstractNumId w:val="2716868673"/>
  </w:num>
  <w:num w:numId="17">
    <w:abstractNumId w:val="1837293531"/>
  </w:num>
  <w:num w:numId="18">
    <w:abstractNumId w:val="3547686211"/>
  </w:num>
  <w:num w:numId="19">
    <w:abstractNumId w:val="1709165102"/>
  </w:num>
  <w:num w:numId="20">
    <w:abstractNumId w:val="206314393"/>
  </w:num>
  <w:num w:numId="21">
    <w:abstractNumId w:val="1086925691"/>
  </w:num>
  <w:num w:numId="22">
    <w:abstractNumId w:val="3748131752"/>
  </w:num>
  <w:num w:numId="23">
    <w:abstractNumId w:val="3057674480"/>
  </w:num>
  <w:num w:numId="24">
    <w:abstractNumId w:val="1245741555"/>
  </w:num>
  <w:num w:numId="25">
    <w:abstractNumId w:val="3476090950"/>
  </w:num>
  <w:num w:numId="26">
    <w:abstractNumId w:val="3063048962"/>
  </w:num>
  <w:num w:numId="27">
    <w:abstractNumId w:val="1017928684"/>
  </w:num>
  <w:num w:numId="28">
    <w:abstractNumId w:val="43821387"/>
  </w:num>
  <w:num w:numId="29">
    <w:abstractNumId w:val="700876340"/>
  </w:num>
  <w:num w:numId="30">
    <w:abstractNumId w:val="3441117480"/>
  </w:num>
  <w:num w:numId="31">
    <w:abstractNumId w:val="1124848378"/>
  </w:num>
  <w:num w:numId="32">
    <w:abstractNumId w:val="2553498010"/>
  </w:num>
  <w:num w:numId="33">
    <w:abstractNumId w:val="267081633"/>
  </w:num>
  <w:num w:numId="34">
    <w:abstractNumId w:val="71061562"/>
  </w:num>
  <w:num w:numId="35">
    <w:abstractNumId w:val="507476516"/>
  </w:num>
  <w:num w:numId="36">
    <w:abstractNumId w:val="381169946"/>
  </w:num>
  <w:num w:numId="37">
    <w:abstractNumId w:val="1390112629"/>
  </w:num>
  <w:num w:numId="38">
    <w:abstractNumId w:val="1873189603"/>
  </w:num>
  <w:num w:numId="39">
    <w:abstractNumId w:val="1595849027"/>
  </w:num>
  <w:num w:numId="40">
    <w:abstractNumId w:val="3919687920"/>
  </w:num>
  <w:num w:numId="41">
    <w:abstractNumId w:val="2134979599"/>
  </w:num>
  <w:num w:numId="42">
    <w:abstractNumId w:val="1610007584"/>
  </w:num>
  <w:num w:numId="43">
    <w:abstractNumId w:val="1504493287"/>
  </w:num>
  <w:num w:numId="44">
    <w:abstractNumId w:val="1531814332"/>
  </w:num>
  <w:num w:numId="45">
    <w:abstractNumId w:val="2555468025"/>
  </w:num>
  <w:num w:numId="46">
    <w:abstractNumId w:val="29908051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FBE"/>
    <w:rsid w:val="0000025A"/>
    <w:rsid w:val="00001CC1"/>
    <w:rsid w:val="000035F4"/>
    <w:rsid w:val="000037F0"/>
    <w:rsid w:val="00011721"/>
    <w:rsid w:val="000138E8"/>
    <w:rsid w:val="00015136"/>
    <w:rsid w:val="0001591E"/>
    <w:rsid w:val="00015D46"/>
    <w:rsid w:val="00017060"/>
    <w:rsid w:val="000202BD"/>
    <w:rsid w:val="00025F4A"/>
    <w:rsid w:val="00026A02"/>
    <w:rsid w:val="00030E74"/>
    <w:rsid w:val="00031467"/>
    <w:rsid w:val="0003254D"/>
    <w:rsid w:val="00032E39"/>
    <w:rsid w:val="00034AF2"/>
    <w:rsid w:val="00036D69"/>
    <w:rsid w:val="000404A4"/>
    <w:rsid w:val="00041C10"/>
    <w:rsid w:val="00042B4E"/>
    <w:rsid w:val="00042EB3"/>
    <w:rsid w:val="00045487"/>
    <w:rsid w:val="0004607A"/>
    <w:rsid w:val="000501FA"/>
    <w:rsid w:val="00050C78"/>
    <w:rsid w:val="000522E6"/>
    <w:rsid w:val="0005297E"/>
    <w:rsid w:val="000559D6"/>
    <w:rsid w:val="00055E6D"/>
    <w:rsid w:val="00056173"/>
    <w:rsid w:val="0005637F"/>
    <w:rsid w:val="00057D5B"/>
    <w:rsid w:val="000604C8"/>
    <w:rsid w:val="00060F38"/>
    <w:rsid w:val="000613C9"/>
    <w:rsid w:val="00061709"/>
    <w:rsid w:val="00061751"/>
    <w:rsid w:val="0006421C"/>
    <w:rsid w:val="00064331"/>
    <w:rsid w:val="0006488C"/>
    <w:rsid w:val="00066FF5"/>
    <w:rsid w:val="00071D0C"/>
    <w:rsid w:val="00073925"/>
    <w:rsid w:val="000745F6"/>
    <w:rsid w:val="0007498A"/>
    <w:rsid w:val="00080A0E"/>
    <w:rsid w:val="000839F9"/>
    <w:rsid w:val="00084E75"/>
    <w:rsid w:val="00085C83"/>
    <w:rsid w:val="00087CAA"/>
    <w:rsid w:val="00090D1F"/>
    <w:rsid w:val="00090FF6"/>
    <w:rsid w:val="0009249B"/>
    <w:rsid w:val="00092B40"/>
    <w:rsid w:val="00093E97"/>
    <w:rsid w:val="000943A3"/>
    <w:rsid w:val="00094405"/>
    <w:rsid w:val="00094BA4"/>
    <w:rsid w:val="00097898"/>
    <w:rsid w:val="000979EB"/>
    <w:rsid w:val="000A06EB"/>
    <w:rsid w:val="000A1C87"/>
    <w:rsid w:val="000A1CDE"/>
    <w:rsid w:val="000A1D3B"/>
    <w:rsid w:val="000A2B27"/>
    <w:rsid w:val="000A5003"/>
    <w:rsid w:val="000A587C"/>
    <w:rsid w:val="000A7A8F"/>
    <w:rsid w:val="000B1739"/>
    <w:rsid w:val="000B18F5"/>
    <w:rsid w:val="000B46DF"/>
    <w:rsid w:val="000B58E3"/>
    <w:rsid w:val="000C250F"/>
    <w:rsid w:val="000C2DAF"/>
    <w:rsid w:val="000C30E1"/>
    <w:rsid w:val="000C37C9"/>
    <w:rsid w:val="000C5DBD"/>
    <w:rsid w:val="000D2071"/>
    <w:rsid w:val="000D331A"/>
    <w:rsid w:val="000D4D96"/>
    <w:rsid w:val="000D57D1"/>
    <w:rsid w:val="000D788C"/>
    <w:rsid w:val="000D7C23"/>
    <w:rsid w:val="000D7FEC"/>
    <w:rsid w:val="000E1852"/>
    <w:rsid w:val="000E1EAA"/>
    <w:rsid w:val="000E1EEA"/>
    <w:rsid w:val="000E3154"/>
    <w:rsid w:val="000E77D9"/>
    <w:rsid w:val="000F12CA"/>
    <w:rsid w:val="000F3297"/>
    <w:rsid w:val="000F444F"/>
    <w:rsid w:val="000F4473"/>
    <w:rsid w:val="000F58E0"/>
    <w:rsid w:val="000F6102"/>
    <w:rsid w:val="000F64D5"/>
    <w:rsid w:val="0010080A"/>
    <w:rsid w:val="0010157A"/>
    <w:rsid w:val="0011181B"/>
    <w:rsid w:val="0011211A"/>
    <w:rsid w:val="00112B47"/>
    <w:rsid w:val="001148C6"/>
    <w:rsid w:val="00115094"/>
    <w:rsid w:val="001200F0"/>
    <w:rsid w:val="0012516A"/>
    <w:rsid w:val="001266F7"/>
    <w:rsid w:val="00127E3B"/>
    <w:rsid w:val="0013455A"/>
    <w:rsid w:val="00134E45"/>
    <w:rsid w:val="0013792B"/>
    <w:rsid w:val="00140519"/>
    <w:rsid w:val="00144132"/>
    <w:rsid w:val="001443A3"/>
    <w:rsid w:val="0014477F"/>
    <w:rsid w:val="00144E22"/>
    <w:rsid w:val="00145FC1"/>
    <w:rsid w:val="00153938"/>
    <w:rsid w:val="00154FA3"/>
    <w:rsid w:val="001568D6"/>
    <w:rsid w:val="001603BB"/>
    <w:rsid w:val="00160F1A"/>
    <w:rsid w:val="001613F6"/>
    <w:rsid w:val="00161742"/>
    <w:rsid w:val="00162AC7"/>
    <w:rsid w:val="00163C6B"/>
    <w:rsid w:val="00163CF5"/>
    <w:rsid w:val="00163D3F"/>
    <w:rsid w:val="00164038"/>
    <w:rsid w:val="0016454E"/>
    <w:rsid w:val="00164B17"/>
    <w:rsid w:val="00166F73"/>
    <w:rsid w:val="0017056C"/>
    <w:rsid w:val="001719C5"/>
    <w:rsid w:val="0017260C"/>
    <w:rsid w:val="0017509E"/>
    <w:rsid w:val="00176C19"/>
    <w:rsid w:val="00181D19"/>
    <w:rsid w:val="00182B31"/>
    <w:rsid w:val="0018410D"/>
    <w:rsid w:val="001843C6"/>
    <w:rsid w:val="00184735"/>
    <w:rsid w:val="00184FB7"/>
    <w:rsid w:val="001858A6"/>
    <w:rsid w:val="00186FFB"/>
    <w:rsid w:val="00187352"/>
    <w:rsid w:val="00187590"/>
    <w:rsid w:val="00187674"/>
    <w:rsid w:val="00190477"/>
    <w:rsid w:val="00194B73"/>
    <w:rsid w:val="00195532"/>
    <w:rsid w:val="00195F5B"/>
    <w:rsid w:val="001967ED"/>
    <w:rsid w:val="001A0A45"/>
    <w:rsid w:val="001A1F36"/>
    <w:rsid w:val="001A24A9"/>
    <w:rsid w:val="001A5AD8"/>
    <w:rsid w:val="001A6304"/>
    <w:rsid w:val="001B0AEC"/>
    <w:rsid w:val="001B4607"/>
    <w:rsid w:val="001B51FE"/>
    <w:rsid w:val="001B6084"/>
    <w:rsid w:val="001B68D8"/>
    <w:rsid w:val="001C031F"/>
    <w:rsid w:val="001C09CF"/>
    <w:rsid w:val="001C42CD"/>
    <w:rsid w:val="001C441C"/>
    <w:rsid w:val="001C4DD1"/>
    <w:rsid w:val="001C4DE4"/>
    <w:rsid w:val="001C6E99"/>
    <w:rsid w:val="001C78A7"/>
    <w:rsid w:val="001D25B6"/>
    <w:rsid w:val="001D2793"/>
    <w:rsid w:val="001D6435"/>
    <w:rsid w:val="001D67D5"/>
    <w:rsid w:val="001E4700"/>
    <w:rsid w:val="001E6BA1"/>
    <w:rsid w:val="001F1D58"/>
    <w:rsid w:val="001F2B86"/>
    <w:rsid w:val="001F4CF7"/>
    <w:rsid w:val="001F6B29"/>
    <w:rsid w:val="001F72A2"/>
    <w:rsid w:val="001F7AB6"/>
    <w:rsid w:val="001F7C4A"/>
    <w:rsid w:val="00200224"/>
    <w:rsid w:val="00201004"/>
    <w:rsid w:val="00202DB8"/>
    <w:rsid w:val="00204B71"/>
    <w:rsid w:val="00207178"/>
    <w:rsid w:val="002122DB"/>
    <w:rsid w:val="00213994"/>
    <w:rsid w:val="00213B07"/>
    <w:rsid w:val="002152F0"/>
    <w:rsid w:val="00216EB4"/>
    <w:rsid w:val="00221913"/>
    <w:rsid w:val="00221953"/>
    <w:rsid w:val="00226E86"/>
    <w:rsid w:val="00226F50"/>
    <w:rsid w:val="00230A4E"/>
    <w:rsid w:val="00232602"/>
    <w:rsid w:val="00232F13"/>
    <w:rsid w:val="00233085"/>
    <w:rsid w:val="0023344E"/>
    <w:rsid w:val="00234F46"/>
    <w:rsid w:val="00237051"/>
    <w:rsid w:val="002372E3"/>
    <w:rsid w:val="002408C8"/>
    <w:rsid w:val="0024232D"/>
    <w:rsid w:val="00242A24"/>
    <w:rsid w:val="002434B6"/>
    <w:rsid w:val="002447B7"/>
    <w:rsid w:val="002452ED"/>
    <w:rsid w:val="002510A9"/>
    <w:rsid w:val="0025343D"/>
    <w:rsid w:val="002539A2"/>
    <w:rsid w:val="00254E25"/>
    <w:rsid w:val="0026022B"/>
    <w:rsid w:val="002662A3"/>
    <w:rsid w:val="0026685D"/>
    <w:rsid w:val="0026688A"/>
    <w:rsid w:val="00266937"/>
    <w:rsid w:val="00267608"/>
    <w:rsid w:val="00267CCE"/>
    <w:rsid w:val="00270528"/>
    <w:rsid w:val="0027327B"/>
    <w:rsid w:val="00277B3D"/>
    <w:rsid w:val="00281B19"/>
    <w:rsid w:val="00282430"/>
    <w:rsid w:val="00283762"/>
    <w:rsid w:val="00283A95"/>
    <w:rsid w:val="00283DBA"/>
    <w:rsid w:val="00287043"/>
    <w:rsid w:val="002A0D60"/>
    <w:rsid w:val="002A1458"/>
    <w:rsid w:val="002A2966"/>
    <w:rsid w:val="002A2D74"/>
    <w:rsid w:val="002A350A"/>
    <w:rsid w:val="002A5605"/>
    <w:rsid w:val="002A75FF"/>
    <w:rsid w:val="002B0321"/>
    <w:rsid w:val="002B1E3C"/>
    <w:rsid w:val="002B4EEF"/>
    <w:rsid w:val="002B510A"/>
    <w:rsid w:val="002B5196"/>
    <w:rsid w:val="002B5982"/>
    <w:rsid w:val="002B6139"/>
    <w:rsid w:val="002C1486"/>
    <w:rsid w:val="002C549E"/>
    <w:rsid w:val="002C55D2"/>
    <w:rsid w:val="002D39A3"/>
    <w:rsid w:val="002D3BB1"/>
    <w:rsid w:val="002D4566"/>
    <w:rsid w:val="002D4C27"/>
    <w:rsid w:val="002D4D08"/>
    <w:rsid w:val="002D6292"/>
    <w:rsid w:val="002D6B47"/>
    <w:rsid w:val="002D73CD"/>
    <w:rsid w:val="002E272E"/>
    <w:rsid w:val="002E2BEE"/>
    <w:rsid w:val="002E3121"/>
    <w:rsid w:val="002E3D90"/>
    <w:rsid w:val="002E41DB"/>
    <w:rsid w:val="002E5D7F"/>
    <w:rsid w:val="002F3D28"/>
    <w:rsid w:val="002F603A"/>
    <w:rsid w:val="003032C9"/>
    <w:rsid w:val="003034D2"/>
    <w:rsid w:val="00305221"/>
    <w:rsid w:val="00306305"/>
    <w:rsid w:val="0030784B"/>
    <w:rsid w:val="00311320"/>
    <w:rsid w:val="00312109"/>
    <w:rsid w:val="00313655"/>
    <w:rsid w:val="00313C6B"/>
    <w:rsid w:val="00314DA9"/>
    <w:rsid w:val="00317FBE"/>
    <w:rsid w:val="0032495C"/>
    <w:rsid w:val="00325B6A"/>
    <w:rsid w:val="0032613D"/>
    <w:rsid w:val="00327F94"/>
    <w:rsid w:val="00330393"/>
    <w:rsid w:val="0033149C"/>
    <w:rsid w:val="00335987"/>
    <w:rsid w:val="003451D5"/>
    <w:rsid w:val="00345C73"/>
    <w:rsid w:val="00345F39"/>
    <w:rsid w:val="0034601A"/>
    <w:rsid w:val="00347C07"/>
    <w:rsid w:val="00350C68"/>
    <w:rsid w:val="00353396"/>
    <w:rsid w:val="00354041"/>
    <w:rsid w:val="00356AA8"/>
    <w:rsid w:val="003618CD"/>
    <w:rsid w:val="003630D0"/>
    <w:rsid w:val="00366D40"/>
    <w:rsid w:val="00367C72"/>
    <w:rsid w:val="00367ED7"/>
    <w:rsid w:val="003751EF"/>
    <w:rsid w:val="00375E93"/>
    <w:rsid w:val="003977AF"/>
    <w:rsid w:val="00397FCB"/>
    <w:rsid w:val="003A118C"/>
    <w:rsid w:val="003A17D7"/>
    <w:rsid w:val="003A21C4"/>
    <w:rsid w:val="003A3CE9"/>
    <w:rsid w:val="003A52B2"/>
    <w:rsid w:val="003B0382"/>
    <w:rsid w:val="003C0650"/>
    <w:rsid w:val="003C0693"/>
    <w:rsid w:val="003C430F"/>
    <w:rsid w:val="003C6FB6"/>
    <w:rsid w:val="003C70A4"/>
    <w:rsid w:val="003D111D"/>
    <w:rsid w:val="003D1A1D"/>
    <w:rsid w:val="003D441F"/>
    <w:rsid w:val="003D655A"/>
    <w:rsid w:val="003D71E5"/>
    <w:rsid w:val="003D79E7"/>
    <w:rsid w:val="003E284D"/>
    <w:rsid w:val="003E2AB8"/>
    <w:rsid w:val="003E5143"/>
    <w:rsid w:val="003E69EF"/>
    <w:rsid w:val="003E7AC3"/>
    <w:rsid w:val="003F281F"/>
    <w:rsid w:val="003F310F"/>
    <w:rsid w:val="003F34D7"/>
    <w:rsid w:val="003F440F"/>
    <w:rsid w:val="003F491A"/>
    <w:rsid w:val="003F6B3A"/>
    <w:rsid w:val="003F7C56"/>
    <w:rsid w:val="00403094"/>
    <w:rsid w:val="00405EBF"/>
    <w:rsid w:val="004076A6"/>
    <w:rsid w:val="00407BB7"/>
    <w:rsid w:val="004105ED"/>
    <w:rsid w:val="004120D4"/>
    <w:rsid w:val="00412FF5"/>
    <w:rsid w:val="004137FE"/>
    <w:rsid w:val="0041720E"/>
    <w:rsid w:val="00417342"/>
    <w:rsid w:val="0043001F"/>
    <w:rsid w:val="004307A3"/>
    <w:rsid w:val="004341AA"/>
    <w:rsid w:val="00434685"/>
    <w:rsid w:val="00434C28"/>
    <w:rsid w:val="0043524F"/>
    <w:rsid w:val="00437350"/>
    <w:rsid w:val="0043763D"/>
    <w:rsid w:val="00440896"/>
    <w:rsid w:val="00445CFD"/>
    <w:rsid w:val="004468DE"/>
    <w:rsid w:val="00447A63"/>
    <w:rsid w:val="0045047B"/>
    <w:rsid w:val="004537CA"/>
    <w:rsid w:val="0045693A"/>
    <w:rsid w:val="004574CF"/>
    <w:rsid w:val="00460B52"/>
    <w:rsid w:val="0046116C"/>
    <w:rsid w:val="00461887"/>
    <w:rsid w:val="0046220A"/>
    <w:rsid w:val="00462D41"/>
    <w:rsid w:val="00462EDE"/>
    <w:rsid w:val="00464FB5"/>
    <w:rsid w:val="00465A03"/>
    <w:rsid w:val="00465C7B"/>
    <w:rsid w:val="004673A3"/>
    <w:rsid w:val="004700E2"/>
    <w:rsid w:val="00470586"/>
    <w:rsid w:val="00470BCA"/>
    <w:rsid w:val="00471405"/>
    <w:rsid w:val="004725F2"/>
    <w:rsid w:val="00475E8A"/>
    <w:rsid w:val="00477053"/>
    <w:rsid w:val="00477109"/>
    <w:rsid w:val="0048641F"/>
    <w:rsid w:val="00486775"/>
    <w:rsid w:val="0049040C"/>
    <w:rsid w:val="00492413"/>
    <w:rsid w:val="00492B7F"/>
    <w:rsid w:val="00492C6B"/>
    <w:rsid w:val="00492E09"/>
    <w:rsid w:val="00493CA6"/>
    <w:rsid w:val="004943E8"/>
    <w:rsid w:val="00495E2B"/>
    <w:rsid w:val="00495E3C"/>
    <w:rsid w:val="004A020F"/>
    <w:rsid w:val="004A2044"/>
    <w:rsid w:val="004B067B"/>
    <w:rsid w:val="004B2E62"/>
    <w:rsid w:val="004B5EC6"/>
    <w:rsid w:val="004B6762"/>
    <w:rsid w:val="004B6CFF"/>
    <w:rsid w:val="004B7F6E"/>
    <w:rsid w:val="004C16D5"/>
    <w:rsid w:val="004C1B9D"/>
    <w:rsid w:val="004C216A"/>
    <w:rsid w:val="004C32D6"/>
    <w:rsid w:val="004C3684"/>
    <w:rsid w:val="004C60E9"/>
    <w:rsid w:val="004D0206"/>
    <w:rsid w:val="004D048E"/>
    <w:rsid w:val="004D0C51"/>
    <w:rsid w:val="004D0DD6"/>
    <w:rsid w:val="004D13B1"/>
    <w:rsid w:val="004D150A"/>
    <w:rsid w:val="004D29FF"/>
    <w:rsid w:val="004D626B"/>
    <w:rsid w:val="004D6905"/>
    <w:rsid w:val="004D6F27"/>
    <w:rsid w:val="004D7553"/>
    <w:rsid w:val="004D7C4C"/>
    <w:rsid w:val="004E0302"/>
    <w:rsid w:val="004E0F9A"/>
    <w:rsid w:val="004E21F5"/>
    <w:rsid w:val="004E4CB6"/>
    <w:rsid w:val="004E6BA4"/>
    <w:rsid w:val="004E7787"/>
    <w:rsid w:val="004F0B26"/>
    <w:rsid w:val="004F0FCE"/>
    <w:rsid w:val="004F1662"/>
    <w:rsid w:val="004F202B"/>
    <w:rsid w:val="004F3507"/>
    <w:rsid w:val="004F3EE4"/>
    <w:rsid w:val="004F42C4"/>
    <w:rsid w:val="004F5477"/>
    <w:rsid w:val="004F7E99"/>
    <w:rsid w:val="004F7FE8"/>
    <w:rsid w:val="0050000D"/>
    <w:rsid w:val="00500645"/>
    <w:rsid w:val="005019B3"/>
    <w:rsid w:val="00503042"/>
    <w:rsid w:val="00503AA5"/>
    <w:rsid w:val="00504E09"/>
    <w:rsid w:val="00516B63"/>
    <w:rsid w:val="005206C3"/>
    <w:rsid w:val="00521C7F"/>
    <w:rsid w:val="00522CAF"/>
    <w:rsid w:val="00526755"/>
    <w:rsid w:val="00526C59"/>
    <w:rsid w:val="00530109"/>
    <w:rsid w:val="00530BB1"/>
    <w:rsid w:val="0053248E"/>
    <w:rsid w:val="00532B43"/>
    <w:rsid w:val="00533248"/>
    <w:rsid w:val="005345B3"/>
    <w:rsid w:val="00537959"/>
    <w:rsid w:val="00537FA7"/>
    <w:rsid w:val="00541249"/>
    <w:rsid w:val="00541A28"/>
    <w:rsid w:val="00543072"/>
    <w:rsid w:val="005507B7"/>
    <w:rsid w:val="0055158F"/>
    <w:rsid w:val="005527B8"/>
    <w:rsid w:val="00557FFD"/>
    <w:rsid w:val="005618A8"/>
    <w:rsid w:val="00561DC5"/>
    <w:rsid w:val="005630BA"/>
    <w:rsid w:val="00565484"/>
    <w:rsid w:val="005661C0"/>
    <w:rsid w:val="00566AE5"/>
    <w:rsid w:val="00566D88"/>
    <w:rsid w:val="005701DE"/>
    <w:rsid w:val="0057111D"/>
    <w:rsid w:val="00574EF9"/>
    <w:rsid w:val="00576E2C"/>
    <w:rsid w:val="005770DF"/>
    <w:rsid w:val="00577127"/>
    <w:rsid w:val="00580F00"/>
    <w:rsid w:val="005827EF"/>
    <w:rsid w:val="00583761"/>
    <w:rsid w:val="0058503E"/>
    <w:rsid w:val="0058622B"/>
    <w:rsid w:val="00587A9A"/>
    <w:rsid w:val="005964EA"/>
    <w:rsid w:val="005A002A"/>
    <w:rsid w:val="005A010C"/>
    <w:rsid w:val="005A130D"/>
    <w:rsid w:val="005A1ACF"/>
    <w:rsid w:val="005A1B31"/>
    <w:rsid w:val="005A7C49"/>
    <w:rsid w:val="005B06FB"/>
    <w:rsid w:val="005B350D"/>
    <w:rsid w:val="005B6142"/>
    <w:rsid w:val="005B681E"/>
    <w:rsid w:val="005C0C63"/>
    <w:rsid w:val="005C0E04"/>
    <w:rsid w:val="005C19C0"/>
    <w:rsid w:val="005C6B3F"/>
    <w:rsid w:val="005D46CD"/>
    <w:rsid w:val="005D4A96"/>
    <w:rsid w:val="005D5E1B"/>
    <w:rsid w:val="005D7FC7"/>
    <w:rsid w:val="005E654C"/>
    <w:rsid w:val="005E7132"/>
    <w:rsid w:val="005F26B4"/>
    <w:rsid w:val="005F2D62"/>
    <w:rsid w:val="005F2D88"/>
    <w:rsid w:val="005F4D1B"/>
    <w:rsid w:val="005F4FB8"/>
    <w:rsid w:val="005F6C39"/>
    <w:rsid w:val="005F79FD"/>
    <w:rsid w:val="00600060"/>
    <w:rsid w:val="00600341"/>
    <w:rsid w:val="00602E21"/>
    <w:rsid w:val="00603612"/>
    <w:rsid w:val="0060380C"/>
    <w:rsid w:val="00603FC0"/>
    <w:rsid w:val="0060545C"/>
    <w:rsid w:val="00605AF4"/>
    <w:rsid w:val="00606E06"/>
    <w:rsid w:val="00607AAE"/>
    <w:rsid w:val="00613372"/>
    <w:rsid w:val="0062425C"/>
    <w:rsid w:val="00624392"/>
    <w:rsid w:val="006262D0"/>
    <w:rsid w:val="00626C87"/>
    <w:rsid w:val="006270E1"/>
    <w:rsid w:val="00633F76"/>
    <w:rsid w:val="00635A21"/>
    <w:rsid w:val="006371A6"/>
    <w:rsid w:val="00640C70"/>
    <w:rsid w:val="006411C0"/>
    <w:rsid w:val="006444C5"/>
    <w:rsid w:val="00644AED"/>
    <w:rsid w:val="006457E3"/>
    <w:rsid w:val="00646067"/>
    <w:rsid w:val="00647592"/>
    <w:rsid w:val="0065067F"/>
    <w:rsid w:val="006506AA"/>
    <w:rsid w:val="00652FD2"/>
    <w:rsid w:val="006531B2"/>
    <w:rsid w:val="006542CD"/>
    <w:rsid w:val="006544E3"/>
    <w:rsid w:val="00654780"/>
    <w:rsid w:val="00655B0E"/>
    <w:rsid w:val="006566B1"/>
    <w:rsid w:val="0065776D"/>
    <w:rsid w:val="0066048B"/>
    <w:rsid w:val="006607A7"/>
    <w:rsid w:val="00664BDC"/>
    <w:rsid w:val="00665DFD"/>
    <w:rsid w:val="00682742"/>
    <w:rsid w:val="0068504F"/>
    <w:rsid w:val="00690CFF"/>
    <w:rsid w:val="00690F83"/>
    <w:rsid w:val="0069131A"/>
    <w:rsid w:val="006923E4"/>
    <w:rsid w:val="00693444"/>
    <w:rsid w:val="006938F3"/>
    <w:rsid w:val="006A06BA"/>
    <w:rsid w:val="006A31FD"/>
    <w:rsid w:val="006A482E"/>
    <w:rsid w:val="006A68D0"/>
    <w:rsid w:val="006A7262"/>
    <w:rsid w:val="006A778E"/>
    <w:rsid w:val="006B1CA2"/>
    <w:rsid w:val="006B5B1F"/>
    <w:rsid w:val="006B608F"/>
    <w:rsid w:val="006B6A8F"/>
    <w:rsid w:val="006C059F"/>
    <w:rsid w:val="006C0C12"/>
    <w:rsid w:val="006C3BD9"/>
    <w:rsid w:val="006C5238"/>
    <w:rsid w:val="006C641F"/>
    <w:rsid w:val="006D0972"/>
    <w:rsid w:val="006D09C6"/>
    <w:rsid w:val="006D3640"/>
    <w:rsid w:val="006D64A1"/>
    <w:rsid w:val="006D65A8"/>
    <w:rsid w:val="006D73CA"/>
    <w:rsid w:val="006E086A"/>
    <w:rsid w:val="006E2A3C"/>
    <w:rsid w:val="006E4E59"/>
    <w:rsid w:val="006E5367"/>
    <w:rsid w:val="006E67C2"/>
    <w:rsid w:val="006F033A"/>
    <w:rsid w:val="006F4513"/>
    <w:rsid w:val="006F5547"/>
    <w:rsid w:val="00701BD2"/>
    <w:rsid w:val="00703DFE"/>
    <w:rsid w:val="0070413B"/>
    <w:rsid w:val="007066D4"/>
    <w:rsid w:val="00706F94"/>
    <w:rsid w:val="00711281"/>
    <w:rsid w:val="0071168F"/>
    <w:rsid w:val="007133A7"/>
    <w:rsid w:val="00714D40"/>
    <w:rsid w:val="0071607F"/>
    <w:rsid w:val="00716992"/>
    <w:rsid w:val="00717FBE"/>
    <w:rsid w:val="00720A4F"/>
    <w:rsid w:val="00721700"/>
    <w:rsid w:val="00722CCB"/>
    <w:rsid w:val="007238B9"/>
    <w:rsid w:val="00723E53"/>
    <w:rsid w:val="007256CA"/>
    <w:rsid w:val="00731786"/>
    <w:rsid w:val="00740830"/>
    <w:rsid w:val="00741369"/>
    <w:rsid w:val="007420A7"/>
    <w:rsid w:val="00742819"/>
    <w:rsid w:val="00742F45"/>
    <w:rsid w:val="007454AA"/>
    <w:rsid w:val="00746398"/>
    <w:rsid w:val="00746A57"/>
    <w:rsid w:val="00747674"/>
    <w:rsid w:val="00747F36"/>
    <w:rsid w:val="00751D07"/>
    <w:rsid w:val="00751D77"/>
    <w:rsid w:val="00754AB3"/>
    <w:rsid w:val="00756186"/>
    <w:rsid w:val="007647EC"/>
    <w:rsid w:val="00765AAB"/>
    <w:rsid w:val="00770034"/>
    <w:rsid w:val="00771DDD"/>
    <w:rsid w:val="0077232D"/>
    <w:rsid w:val="00772782"/>
    <w:rsid w:val="00772943"/>
    <w:rsid w:val="00772DBD"/>
    <w:rsid w:val="0077469F"/>
    <w:rsid w:val="00774992"/>
    <w:rsid w:val="007805C7"/>
    <w:rsid w:val="00781678"/>
    <w:rsid w:val="0078362A"/>
    <w:rsid w:val="00790F04"/>
    <w:rsid w:val="0079359D"/>
    <w:rsid w:val="007941ED"/>
    <w:rsid w:val="00794800"/>
    <w:rsid w:val="007949C9"/>
    <w:rsid w:val="007A02ED"/>
    <w:rsid w:val="007A0B2E"/>
    <w:rsid w:val="007A117E"/>
    <w:rsid w:val="007A1406"/>
    <w:rsid w:val="007A17EB"/>
    <w:rsid w:val="007A1D06"/>
    <w:rsid w:val="007A1E93"/>
    <w:rsid w:val="007A2211"/>
    <w:rsid w:val="007A3CB2"/>
    <w:rsid w:val="007A4BE9"/>
    <w:rsid w:val="007A4DCD"/>
    <w:rsid w:val="007A4FBC"/>
    <w:rsid w:val="007A5E90"/>
    <w:rsid w:val="007A7FF2"/>
    <w:rsid w:val="007B0B00"/>
    <w:rsid w:val="007C15BB"/>
    <w:rsid w:val="007C2C88"/>
    <w:rsid w:val="007C39DB"/>
    <w:rsid w:val="007C3B8F"/>
    <w:rsid w:val="007C4D0F"/>
    <w:rsid w:val="007C505D"/>
    <w:rsid w:val="007C5D39"/>
    <w:rsid w:val="007C6A54"/>
    <w:rsid w:val="007C6DEE"/>
    <w:rsid w:val="007C797E"/>
    <w:rsid w:val="007D0365"/>
    <w:rsid w:val="007D3F32"/>
    <w:rsid w:val="007D40E3"/>
    <w:rsid w:val="007D6B9C"/>
    <w:rsid w:val="007E0CC3"/>
    <w:rsid w:val="007E1506"/>
    <w:rsid w:val="007E1B9A"/>
    <w:rsid w:val="007E410D"/>
    <w:rsid w:val="007E59B5"/>
    <w:rsid w:val="007E6600"/>
    <w:rsid w:val="007E752E"/>
    <w:rsid w:val="007F215E"/>
    <w:rsid w:val="007F622F"/>
    <w:rsid w:val="007F7FBD"/>
    <w:rsid w:val="00800DE7"/>
    <w:rsid w:val="0080561C"/>
    <w:rsid w:val="00806B0F"/>
    <w:rsid w:val="00812188"/>
    <w:rsid w:val="00813D5B"/>
    <w:rsid w:val="008143A5"/>
    <w:rsid w:val="008153C6"/>
    <w:rsid w:val="00816D37"/>
    <w:rsid w:val="00817EFC"/>
    <w:rsid w:val="00820225"/>
    <w:rsid w:val="00824D2A"/>
    <w:rsid w:val="00825638"/>
    <w:rsid w:val="00831D3E"/>
    <w:rsid w:val="00834967"/>
    <w:rsid w:val="00834AB9"/>
    <w:rsid w:val="00835A5B"/>
    <w:rsid w:val="00836D1E"/>
    <w:rsid w:val="00837C31"/>
    <w:rsid w:val="0084192B"/>
    <w:rsid w:val="00841B4E"/>
    <w:rsid w:val="00841F1F"/>
    <w:rsid w:val="008447E2"/>
    <w:rsid w:val="00845A18"/>
    <w:rsid w:val="0084601B"/>
    <w:rsid w:val="00850352"/>
    <w:rsid w:val="00850D6C"/>
    <w:rsid w:val="00852693"/>
    <w:rsid w:val="008527E2"/>
    <w:rsid w:val="00852A18"/>
    <w:rsid w:val="00853B02"/>
    <w:rsid w:val="008540D8"/>
    <w:rsid w:val="00854DBF"/>
    <w:rsid w:val="00854F0A"/>
    <w:rsid w:val="00856D3F"/>
    <w:rsid w:val="008571D4"/>
    <w:rsid w:val="00860099"/>
    <w:rsid w:val="00860F92"/>
    <w:rsid w:val="00862E74"/>
    <w:rsid w:val="008630CF"/>
    <w:rsid w:val="00863205"/>
    <w:rsid w:val="00863AA6"/>
    <w:rsid w:val="0086405A"/>
    <w:rsid w:val="00865708"/>
    <w:rsid w:val="00866030"/>
    <w:rsid w:val="0086685B"/>
    <w:rsid w:val="00873F7F"/>
    <w:rsid w:val="00875802"/>
    <w:rsid w:val="008767C2"/>
    <w:rsid w:val="00876FE0"/>
    <w:rsid w:val="00881677"/>
    <w:rsid w:val="00881B22"/>
    <w:rsid w:val="00883AF0"/>
    <w:rsid w:val="00884CE1"/>
    <w:rsid w:val="00885632"/>
    <w:rsid w:val="008863D7"/>
    <w:rsid w:val="0088691B"/>
    <w:rsid w:val="008879E8"/>
    <w:rsid w:val="00887D37"/>
    <w:rsid w:val="00892D18"/>
    <w:rsid w:val="00895CE2"/>
    <w:rsid w:val="008A35CC"/>
    <w:rsid w:val="008A389F"/>
    <w:rsid w:val="008A52F9"/>
    <w:rsid w:val="008B0EAE"/>
    <w:rsid w:val="008B14D4"/>
    <w:rsid w:val="008B1740"/>
    <w:rsid w:val="008B36B7"/>
    <w:rsid w:val="008B3A60"/>
    <w:rsid w:val="008B3DCC"/>
    <w:rsid w:val="008B3EE4"/>
    <w:rsid w:val="008B4E9D"/>
    <w:rsid w:val="008B5CE5"/>
    <w:rsid w:val="008B5DE4"/>
    <w:rsid w:val="008B63ED"/>
    <w:rsid w:val="008B72F5"/>
    <w:rsid w:val="008B7CD5"/>
    <w:rsid w:val="008B7DC8"/>
    <w:rsid w:val="008C3CCF"/>
    <w:rsid w:val="008C63E2"/>
    <w:rsid w:val="008D0DFF"/>
    <w:rsid w:val="008D11C5"/>
    <w:rsid w:val="008D1CA5"/>
    <w:rsid w:val="008D2B04"/>
    <w:rsid w:val="008D3DC8"/>
    <w:rsid w:val="008D4A85"/>
    <w:rsid w:val="008D761B"/>
    <w:rsid w:val="008D7DB6"/>
    <w:rsid w:val="008E071B"/>
    <w:rsid w:val="008E0F66"/>
    <w:rsid w:val="008E1797"/>
    <w:rsid w:val="008E62C8"/>
    <w:rsid w:val="008F0A38"/>
    <w:rsid w:val="008F2CC1"/>
    <w:rsid w:val="008F488E"/>
    <w:rsid w:val="008F5610"/>
    <w:rsid w:val="008F7594"/>
    <w:rsid w:val="0090119A"/>
    <w:rsid w:val="00901E6E"/>
    <w:rsid w:val="0090228C"/>
    <w:rsid w:val="00902733"/>
    <w:rsid w:val="00903B2E"/>
    <w:rsid w:val="0090571D"/>
    <w:rsid w:val="00906DFB"/>
    <w:rsid w:val="009073FB"/>
    <w:rsid w:val="009145A2"/>
    <w:rsid w:val="009153BC"/>
    <w:rsid w:val="00915E4E"/>
    <w:rsid w:val="00916BB0"/>
    <w:rsid w:val="0091775E"/>
    <w:rsid w:val="009178D0"/>
    <w:rsid w:val="00917E73"/>
    <w:rsid w:val="00917EF0"/>
    <w:rsid w:val="00921EB3"/>
    <w:rsid w:val="0092282C"/>
    <w:rsid w:val="00923A58"/>
    <w:rsid w:val="009249F8"/>
    <w:rsid w:val="00930BA8"/>
    <w:rsid w:val="0093281F"/>
    <w:rsid w:val="0093785D"/>
    <w:rsid w:val="00940BBF"/>
    <w:rsid w:val="00943BC8"/>
    <w:rsid w:val="00944741"/>
    <w:rsid w:val="00946A18"/>
    <w:rsid w:val="00950FF3"/>
    <w:rsid w:val="00951580"/>
    <w:rsid w:val="009539A2"/>
    <w:rsid w:val="009539F3"/>
    <w:rsid w:val="009550F2"/>
    <w:rsid w:val="0095737E"/>
    <w:rsid w:val="00957BA4"/>
    <w:rsid w:val="00957F04"/>
    <w:rsid w:val="00960D9D"/>
    <w:rsid w:val="00962F90"/>
    <w:rsid w:val="00965393"/>
    <w:rsid w:val="00965885"/>
    <w:rsid w:val="00965F40"/>
    <w:rsid w:val="00966CEF"/>
    <w:rsid w:val="00971572"/>
    <w:rsid w:val="00973266"/>
    <w:rsid w:val="009743FD"/>
    <w:rsid w:val="00974FBE"/>
    <w:rsid w:val="00975A8E"/>
    <w:rsid w:val="0097668C"/>
    <w:rsid w:val="009766A1"/>
    <w:rsid w:val="00976A77"/>
    <w:rsid w:val="0097746C"/>
    <w:rsid w:val="00977776"/>
    <w:rsid w:val="00980747"/>
    <w:rsid w:val="00980C44"/>
    <w:rsid w:val="00983278"/>
    <w:rsid w:val="0098366F"/>
    <w:rsid w:val="00984782"/>
    <w:rsid w:val="00984E74"/>
    <w:rsid w:val="00986CB3"/>
    <w:rsid w:val="0099174A"/>
    <w:rsid w:val="009946C9"/>
    <w:rsid w:val="00994B9D"/>
    <w:rsid w:val="00995EBC"/>
    <w:rsid w:val="00997A29"/>
    <w:rsid w:val="009A0068"/>
    <w:rsid w:val="009A1381"/>
    <w:rsid w:val="009A22B8"/>
    <w:rsid w:val="009A3005"/>
    <w:rsid w:val="009A5355"/>
    <w:rsid w:val="009A627B"/>
    <w:rsid w:val="009A6797"/>
    <w:rsid w:val="009A6D84"/>
    <w:rsid w:val="009A7882"/>
    <w:rsid w:val="009B22B7"/>
    <w:rsid w:val="009B3A51"/>
    <w:rsid w:val="009B7465"/>
    <w:rsid w:val="009C6164"/>
    <w:rsid w:val="009C6AB8"/>
    <w:rsid w:val="009C761C"/>
    <w:rsid w:val="009D0232"/>
    <w:rsid w:val="009D0EC8"/>
    <w:rsid w:val="009D34ED"/>
    <w:rsid w:val="009D436A"/>
    <w:rsid w:val="009D7FCF"/>
    <w:rsid w:val="009E09CB"/>
    <w:rsid w:val="009E22E7"/>
    <w:rsid w:val="009E25ED"/>
    <w:rsid w:val="009E3BB3"/>
    <w:rsid w:val="009E4587"/>
    <w:rsid w:val="009E5E84"/>
    <w:rsid w:val="009E6073"/>
    <w:rsid w:val="009F1945"/>
    <w:rsid w:val="009F1FBA"/>
    <w:rsid w:val="009F2A5C"/>
    <w:rsid w:val="009F4B23"/>
    <w:rsid w:val="009F4DCC"/>
    <w:rsid w:val="009F51EC"/>
    <w:rsid w:val="009F5A70"/>
    <w:rsid w:val="009F636D"/>
    <w:rsid w:val="00A02599"/>
    <w:rsid w:val="00A0280C"/>
    <w:rsid w:val="00A03400"/>
    <w:rsid w:val="00A06D5A"/>
    <w:rsid w:val="00A07964"/>
    <w:rsid w:val="00A1043F"/>
    <w:rsid w:val="00A12827"/>
    <w:rsid w:val="00A15FDB"/>
    <w:rsid w:val="00A208F6"/>
    <w:rsid w:val="00A220E2"/>
    <w:rsid w:val="00A26FA5"/>
    <w:rsid w:val="00A27D3E"/>
    <w:rsid w:val="00A27F2E"/>
    <w:rsid w:val="00A31392"/>
    <w:rsid w:val="00A35E28"/>
    <w:rsid w:val="00A416A5"/>
    <w:rsid w:val="00A41CDC"/>
    <w:rsid w:val="00A44F9F"/>
    <w:rsid w:val="00A4648E"/>
    <w:rsid w:val="00A4744B"/>
    <w:rsid w:val="00A47B0E"/>
    <w:rsid w:val="00A52FA5"/>
    <w:rsid w:val="00A558DC"/>
    <w:rsid w:val="00A6086B"/>
    <w:rsid w:val="00A60970"/>
    <w:rsid w:val="00A61171"/>
    <w:rsid w:val="00A6337F"/>
    <w:rsid w:val="00A64FF4"/>
    <w:rsid w:val="00A71092"/>
    <w:rsid w:val="00A72D91"/>
    <w:rsid w:val="00A767E4"/>
    <w:rsid w:val="00A775F2"/>
    <w:rsid w:val="00A7767F"/>
    <w:rsid w:val="00A825C8"/>
    <w:rsid w:val="00A82E91"/>
    <w:rsid w:val="00A82F39"/>
    <w:rsid w:val="00A83F86"/>
    <w:rsid w:val="00A851FF"/>
    <w:rsid w:val="00A852A7"/>
    <w:rsid w:val="00A869A9"/>
    <w:rsid w:val="00A90B85"/>
    <w:rsid w:val="00A92DEE"/>
    <w:rsid w:val="00A93771"/>
    <w:rsid w:val="00A941EE"/>
    <w:rsid w:val="00A97026"/>
    <w:rsid w:val="00AA0F8D"/>
    <w:rsid w:val="00AA36B8"/>
    <w:rsid w:val="00AA587A"/>
    <w:rsid w:val="00AB202E"/>
    <w:rsid w:val="00AB20E9"/>
    <w:rsid w:val="00AB590A"/>
    <w:rsid w:val="00AB6F47"/>
    <w:rsid w:val="00AC0B0F"/>
    <w:rsid w:val="00AC194F"/>
    <w:rsid w:val="00AC2070"/>
    <w:rsid w:val="00AC44A1"/>
    <w:rsid w:val="00AC44F6"/>
    <w:rsid w:val="00AC4A05"/>
    <w:rsid w:val="00AC5F87"/>
    <w:rsid w:val="00AC6830"/>
    <w:rsid w:val="00AC7DFE"/>
    <w:rsid w:val="00AD14B2"/>
    <w:rsid w:val="00AD1EAD"/>
    <w:rsid w:val="00AD2938"/>
    <w:rsid w:val="00AD5ADE"/>
    <w:rsid w:val="00AD6AD1"/>
    <w:rsid w:val="00AD71F6"/>
    <w:rsid w:val="00AE169A"/>
    <w:rsid w:val="00AE4371"/>
    <w:rsid w:val="00AE44AF"/>
    <w:rsid w:val="00AE45F5"/>
    <w:rsid w:val="00AE5BFD"/>
    <w:rsid w:val="00AE6075"/>
    <w:rsid w:val="00AE6F8F"/>
    <w:rsid w:val="00AE73AD"/>
    <w:rsid w:val="00AE755A"/>
    <w:rsid w:val="00AF2013"/>
    <w:rsid w:val="00AF3DB1"/>
    <w:rsid w:val="00AF3E73"/>
    <w:rsid w:val="00AF4BAE"/>
    <w:rsid w:val="00AF6D01"/>
    <w:rsid w:val="00AF70AD"/>
    <w:rsid w:val="00B00312"/>
    <w:rsid w:val="00B01703"/>
    <w:rsid w:val="00B04D98"/>
    <w:rsid w:val="00B05578"/>
    <w:rsid w:val="00B06906"/>
    <w:rsid w:val="00B06B5E"/>
    <w:rsid w:val="00B06F67"/>
    <w:rsid w:val="00B07230"/>
    <w:rsid w:val="00B076F8"/>
    <w:rsid w:val="00B10FCB"/>
    <w:rsid w:val="00B11F97"/>
    <w:rsid w:val="00B16BAF"/>
    <w:rsid w:val="00B21805"/>
    <w:rsid w:val="00B234F6"/>
    <w:rsid w:val="00B24D66"/>
    <w:rsid w:val="00B25010"/>
    <w:rsid w:val="00B25637"/>
    <w:rsid w:val="00B26DF0"/>
    <w:rsid w:val="00B273CA"/>
    <w:rsid w:val="00B27E1C"/>
    <w:rsid w:val="00B27E49"/>
    <w:rsid w:val="00B303E7"/>
    <w:rsid w:val="00B333BE"/>
    <w:rsid w:val="00B3632A"/>
    <w:rsid w:val="00B4367A"/>
    <w:rsid w:val="00B440A3"/>
    <w:rsid w:val="00B45C49"/>
    <w:rsid w:val="00B46ACC"/>
    <w:rsid w:val="00B47A71"/>
    <w:rsid w:val="00B504FD"/>
    <w:rsid w:val="00B51B99"/>
    <w:rsid w:val="00B53BCC"/>
    <w:rsid w:val="00B56F8E"/>
    <w:rsid w:val="00B57506"/>
    <w:rsid w:val="00B613C7"/>
    <w:rsid w:val="00B627FD"/>
    <w:rsid w:val="00B72636"/>
    <w:rsid w:val="00B72B6B"/>
    <w:rsid w:val="00B734A3"/>
    <w:rsid w:val="00B74E07"/>
    <w:rsid w:val="00B757B0"/>
    <w:rsid w:val="00B774DD"/>
    <w:rsid w:val="00B7754F"/>
    <w:rsid w:val="00B81E5E"/>
    <w:rsid w:val="00B8205F"/>
    <w:rsid w:val="00B83A8F"/>
    <w:rsid w:val="00B84D2E"/>
    <w:rsid w:val="00B87A61"/>
    <w:rsid w:val="00B939AC"/>
    <w:rsid w:val="00B948A0"/>
    <w:rsid w:val="00B954D6"/>
    <w:rsid w:val="00B972D7"/>
    <w:rsid w:val="00B97E4A"/>
    <w:rsid w:val="00BA1774"/>
    <w:rsid w:val="00BA31C9"/>
    <w:rsid w:val="00BA5BA6"/>
    <w:rsid w:val="00BB033B"/>
    <w:rsid w:val="00BB2CD1"/>
    <w:rsid w:val="00BB3FF1"/>
    <w:rsid w:val="00BB4E29"/>
    <w:rsid w:val="00BB534A"/>
    <w:rsid w:val="00BB6D81"/>
    <w:rsid w:val="00BC0B4A"/>
    <w:rsid w:val="00BC3172"/>
    <w:rsid w:val="00BC588C"/>
    <w:rsid w:val="00BC710C"/>
    <w:rsid w:val="00BD054F"/>
    <w:rsid w:val="00BD224C"/>
    <w:rsid w:val="00BD23F2"/>
    <w:rsid w:val="00BD4341"/>
    <w:rsid w:val="00BD6EF0"/>
    <w:rsid w:val="00BE073B"/>
    <w:rsid w:val="00BE1E83"/>
    <w:rsid w:val="00BE2CD7"/>
    <w:rsid w:val="00BE30C3"/>
    <w:rsid w:val="00BE3E96"/>
    <w:rsid w:val="00BE4293"/>
    <w:rsid w:val="00BF3167"/>
    <w:rsid w:val="00BF4E44"/>
    <w:rsid w:val="00BF5EF7"/>
    <w:rsid w:val="00C028CC"/>
    <w:rsid w:val="00C02E8B"/>
    <w:rsid w:val="00C12049"/>
    <w:rsid w:val="00C1235B"/>
    <w:rsid w:val="00C13BEA"/>
    <w:rsid w:val="00C1406E"/>
    <w:rsid w:val="00C1483A"/>
    <w:rsid w:val="00C14A02"/>
    <w:rsid w:val="00C15DA0"/>
    <w:rsid w:val="00C16FE9"/>
    <w:rsid w:val="00C178DB"/>
    <w:rsid w:val="00C201E6"/>
    <w:rsid w:val="00C22097"/>
    <w:rsid w:val="00C228FA"/>
    <w:rsid w:val="00C25B05"/>
    <w:rsid w:val="00C26519"/>
    <w:rsid w:val="00C26FC4"/>
    <w:rsid w:val="00C2766D"/>
    <w:rsid w:val="00C27CFE"/>
    <w:rsid w:val="00C30EEC"/>
    <w:rsid w:val="00C3196C"/>
    <w:rsid w:val="00C34B63"/>
    <w:rsid w:val="00C369E9"/>
    <w:rsid w:val="00C376AD"/>
    <w:rsid w:val="00C37E7D"/>
    <w:rsid w:val="00C416C2"/>
    <w:rsid w:val="00C423A8"/>
    <w:rsid w:val="00C426AE"/>
    <w:rsid w:val="00C43374"/>
    <w:rsid w:val="00C433DB"/>
    <w:rsid w:val="00C438F0"/>
    <w:rsid w:val="00C44887"/>
    <w:rsid w:val="00C45722"/>
    <w:rsid w:val="00C47B02"/>
    <w:rsid w:val="00C5040F"/>
    <w:rsid w:val="00C53349"/>
    <w:rsid w:val="00C54AAD"/>
    <w:rsid w:val="00C564FA"/>
    <w:rsid w:val="00C5747E"/>
    <w:rsid w:val="00C57981"/>
    <w:rsid w:val="00C62C73"/>
    <w:rsid w:val="00C6573F"/>
    <w:rsid w:val="00C6688C"/>
    <w:rsid w:val="00C66F21"/>
    <w:rsid w:val="00C713DA"/>
    <w:rsid w:val="00C72AF5"/>
    <w:rsid w:val="00C75619"/>
    <w:rsid w:val="00C75EF1"/>
    <w:rsid w:val="00C7782D"/>
    <w:rsid w:val="00C82B0E"/>
    <w:rsid w:val="00C82F96"/>
    <w:rsid w:val="00C8440C"/>
    <w:rsid w:val="00C8580C"/>
    <w:rsid w:val="00C860FF"/>
    <w:rsid w:val="00C90A69"/>
    <w:rsid w:val="00C91706"/>
    <w:rsid w:val="00C92EBB"/>
    <w:rsid w:val="00C94CCC"/>
    <w:rsid w:val="00C951F9"/>
    <w:rsid w:val="00C96BA0"/>
    <w:rsid w:val="00C96C28"/>
    <w:rsid w:val="00C97DD4"/>
    <w:rsid w:val="00C97FDC"/>
    <w:rsid w:val="00CA15E8"/>
    <w:rsid w:val="00CA2440"/>
    <w:rsid w:val="00CA3316"/>
    <w:rsid w:val="00CA621E"/>
    <w:rsid w:val="00CA6E64"/>
    <w:rsid w:val="00CA7433"/>
    <w:rsid w:val="00CB0E34"/>
    <w:rsid w:val="00CB15A0"/>
    <w:rsid w:val="00CB1F87"/>
    <w:rsid w:val="00CB3300"/>
    <w:rsid w:val="00CB6D94"/>
    <w:rsid w:val="00CB6F74"/>
    <w:rsid w:val="00CB716F"/>
    <w:rsid w:val="00CC1016"/>
    <w:rsid w:val="00CC1641"/>
    <w:rsid w:val="00CC1A04"/>
    <w:rsid w:val="00CC1B34"/>
    <w:rsid w:val="00CC1B6E"/>
    <w:rsid w:val="00CC38DF"/>
    <w:rsid w:val="00CC3E73"/>
    <w:rsid w:val="00CC4133"/>
    <w:rsid w:val="00CC5980"/>
    <w:rsid w:val="00CC5CB8"/>
    <w:rsid w:val="00CC6722"/>
    <w:rsid w:val="00CC6FE4"/>
    <w:rsid w:val="00CC70BF"/>
    <w:rsid w:val="00CD134A"/>
    <w:rsid w:val="00CD1628"/>
    <w:rsid w:val="00CD2193"/>
    <w:rsid w:val="00CD269D"/>
    <w:rsid w:val="00CE068C"/>
    <w:rsid w:val="00CE144F"/>
    <w:rsid w:val="00CE2597"/>
    <w:rsid w:val="00CE2A93"/>
    <w:rsid w:val="00CE359D"/>
    <w:rsid w:val="00CE3795"/>
    <w:rsid w:val="00CE4D92"/>
    <w:rsid w:val="00CE61FB"/>
    <w:rsid w:val="00CF1033"/>
    <w:rsid w:val="00CF1865"/>
    <w:rsid w:val="00CF393D"/>
    <w:rsid w:val="00CF393E"/>
    <w:rsid w:val="00CF4448"/>
    <w:rsid w:val="00CF4526"/>
    <w:rsid w:val="00CF5760"/>
    <w:rsid w:val="00CF7C79"/>
    <w:rsid w:val="00D00BCA"/>
    <w:rsid w:val="00D00FE8"/>
    <w:rsid w:val="00D026AE"/>
    <w:rsid w:val="00D0412A"/>
    <w:rsid w:val="00D044BD"/>
    <w:rsid w:val="00D05127"/>
    <w:rsid w:val="00D0616B"/>
    <w:rsid w:val="00D10DE4"/>
    <w:rsid w:val="00D115A1"/>
    <w:rsid w:val="00D116A9"/>
    <w:rsid w:val="00D1591F"/>
    <w:rsid w:val="00D16044"/>
    <w:rsid w:val="00D1689A"/>
    <w:rsid w:val="00D2256C"/>
    <w:rsid w:val="00D259BA"/>
    <w:rsid w:val="00D25AC3"/>
    <w:rsid w:val="00D27E7B"/>
    <w:rsid w:val="00D3031A"/>
    <w:rsid w:val="00D32582"/>
    <w:rsid w:val="00D32FF1"/>
    <w:rsid w:val="00D33AEF"/>
    <w:rsid w:val="00D374F5"/>
    <w:rsid w:val="00D37542"/>
    <w:rsid w:val="00D37D1D"/>
    <w:rsid w:val="00D405B7"/>
    <w:rsid w:val="00D40CB0"/>
    <w:rsid w:val="00D42FF4"/>
    <w:rsid w:val="00D438DD"/>
    <w:rsid w:val="00D45B1C"/>
    <w:rsid w:val="00D45F49"/>
    <w:rsid w:val="00D46B36"/>
    <w:rsid w:val="00D477C1"/>
    <w:rsid w:val="00D47DE8"/>
    <w:rsid w:val="00D50258"/>
    <w:rsid w:val="00D51912"/>
    <w:rsid w:val="00D51D81"/>
    <w:rsid w:val="00D5294D"/>
    <w:rsid w:val="00D551C7"/>
    <w:rsid w:val="00D56D8B"/>
    <w:rsid w:val="00D57109"/>
    <w:rsid w:val="00D57421"/>
    <w:rsid w:val="00D575E6"/>
    <w:rsid w:val="00D61D10"/>
    <w:rsid w:val="00D62454"/>
    <w:rsid w:val="00D70AC4"/>
    <w:rsid w:val="00D74CF3"/>
    <w:rsid w:val="00D75DB5"/>
    <w:rsid w:val="00D77E6B"/>
    <w:rsid w:val="00D818E5"/>
    <w:rsid w:val="00D822A3"/>
    <w:rsid w:val="00D8342B"/>
    <w:rsid w:val="00D83B39"/>
    <w:rsid w:val="00D84923"/>
    <w:rsid w:val="00D865C6"/>
    <w:rsid w:val="00D870D4"/>
    <w:rsid w:val="00D9046D"/>
    <w:rsid w:val="00D93B3F"/>
    <w:rsid w:val="00D9574A"/>
    <w:rsid w:val="00D979A1"/>
    <w:rsid w:val="00DA2CF3"/>
    <w:rsid w:val="00DA5D97"/>
    <w:rsid w:val="00DB082A"/>
    <w:rsid w:val="00DB28BD"/>
    <w:rsid w:val="00DB3344"/>
    <w:rsid w:val="00DB34B5"/>
    <w:rsid w:val="00DB45A5"/>
    <w:rsid w:val="00DB4CA6"/>
    <w:rsid w:val="00DB5C8D"/>
    <w:rsid w:val="00DB65A0"/>
    <w:rsid w:val="00DC1397"/>
    <w:rsid w:val="00DC3403"/>
    <w:rsid w:val="00DC4019"/>
    <w:rsid w:val="00DC78F1"/>
    <w:rsid w:val="00DD0004"/>
    <w:rsid w:val="00DD07CE"/>
    <w:rsid w:val="00DD53ED"/>
    <w:rsid w:val="00DD5C78"/>
    <w:rsid w:val="00DD6A80"/>
    <w:rsid w:val="00DD7428"/>
    <w:rsid w:val="00DE0130"/>
    <w:rsid w:val="00DE0DB4"/>
    <w:rsid w:val="00DE2D30"/>
    <w:rsid w:val="00DE3012"/>
    <w:rsid w:val="00DE338A"/>
    <w:rsid w:val="00DE3636"/>
    <w:rsid w:val="00DE49AD"/>
    <w:rsid w:val="00DE4CFC"/>
    <w:rsid w:val="00DE5E1C"/>
    <w:rsid w:val="00DE6680"/>
    <w:rsid w:val="00DE7EBE"/>
    <w:rsid w:val="00DF2D86"/>
    <w:rsid w:val="00DF4044"/>
    <w:rsid w:val="00DF48EE"/>
    <w:rsid w:val="00DF6A10"/>
    <w:rsid w:val="00E00EA5"/>
    <w:rsid w:val="00E0462E"/>
    <w:rsid w:val="00E059D1"/>
    <w:rsid w:val="00E061C1"/>
    <w:rsid w:val="00E06CCA"/>
    <w:rsid w:val="00E116B6"/>
    <w:rsid w:val="00E127AF"/>
    <w:rsid w:val="00E1516B"/>
    <w:rsid w:val="00E16DE7"/>
    <w:rsid w:val="00E16F67"/>
    <w:rsid w:val="00E20612"/>
    <w:rsid w:val="00E221EF"/>
    <w:rsid w:val="00E27ED1"/>
    <w:rsid w:val="00E30ACB"/>
    <w:rsid w:val="00E32B9F"/>
    <w:rsid w:val="00E33708"/>
    <w:rsid w:val="00E33F4B"/>
    <w:rsid w:val="00E35027"/>
    <w:rsid w:val="00E36879"/>
    <w:rsid w:val="00E36B29"/>
    <w:rsid w:val="00E37772"/>
    <w:rsid w:val="00E37FA9"/>
    <w:rsid w:val="00E40758"/>
    <w:rsid w:val="00E40F88"/>
    <w:rsid w:val="00E45E27"/>
    <w:rsid w:val="00E46FF9"/>
    <w:rsid w:val="00E479F6"/>
    <w:rsid w:val="00E50C26"/>
    <w:rsid w:val="00E51177"/>
    <w:rsid w:val="00E521C8"/>
    <w:rsid w:val="00E544B2"/>
    <w:rsid w:val="00E57012"/>
    <w:rsid w:val="00E666C3"/>
    <w:rsid w:val="00E66AD8"/>
    <w:rsid w:val="00E67979"/>
    <w:rsid w:val="00E714B1"/>
    <w:rsid w:val="00E721E4"/>
    <w:rsid w:val="00E74F68"/>
    <w:rsid w:val="00E755D8"/>
    <w:rsid w:val="00E75727"/>
    <w:rsid w:val="00E80206"/>
    <w:rsid w:val="00E8068A"/>
    <w:rsid w:val="00E8172F"/>
    <w:rsid w:val="00E830B3"/>
    <w:rsid w:val="00E84C31"/>
    <w:rsid w:val="00E8502D"/>
    <w:rsid w:val="00E8545D"/>
    <w:rsid w:val="00E864DD"/>
    <w:rsid w:val="00E86E4B"/>
    <w:rsid w:val="00E873D5"/>
    <w:rsid w:val="00E90B0A"/>
    <w:rsid w:val="00E926BB"/>
    <w:rsid w:val="00E93C39"/>
    <w:rsid w:val="00E945CE"/>
    <w:rsid w:val="00E946AD"/>
    <w:rsid w:val="00E9697F"/>
    <w:rsid w:val="00E96E50"/>
    <w:rsid w:val="00E97BB5"/>
    <w:rsid w:val="00EA3335"/>
    <w:rsid w:val="00EA33AB"/>
    <w:rsid w:val="00EA3A6C"/>
    <w:rsid w:val="00EA773C"/>
    <w:rsid w:val="00EA78B6"/>
    <w:rsid w:val="00EA7950"/>
    <w:rsid w:val="00EA79AF"/>
    <w:rsid w:val="00EA7F50"/>
    <w:rsid w:val="00EB16A5"/>
    <w:rsid w:val="00EB20B1"/>
    <w:rsid w:val="00EB713F"/>
    <w:rsid w:val="00EC00ED"/>
    <w:rsid w:val="00EC1034"/>
    <w:rsid w:val="00EC1F1A"/>
    <w:rsid w:val="00EC5011"/>
    <w:rsid w:val="00EC5F12"/>
    <w:rsid w:val="00ED25DF"/>
    <w:rsid w:val="00ED315D"/>
    <w:rsid w:val="00EE08B0"/>
    <w:rsid w:val="00EE265E"/>
    <w:rsid w:val="00EE4578"/>
    <w:rsid w:val="00EE47DC"/>
    <w:rsid w:val="00EF0786"/>
    <w:rsid w:val="00EF0B21"/>
    <w:rsid w:val="00EF2236"/>
    <w:rsid w:val="00EF34D3"/>
    <w:rsid w:val="00EF3E8B"/>
    <w:rsid w:val="00EF4F5D"/>
    <w:rsid w:val="00EF7453"/>
    <w:rsid w:val="00EF78A8"/>
    <w:rsid w:val="00F000C6"/>
    <w:rsid w:val="00F006BD"/>
    <w:rsid w:val="00F013B5"/>
    <w:rsid w:val="00F01936"/>
    <w:rsid w:val="00F05EC5"/>
    <w:rsid w:val="00F10401"/>
    <w:rsid w:val="00F15BDE"/>
    <w:rsid w:val="00F16CB9"/>
    <w:rsid w:val="00F17DAE"/>
    <w:rsid w:val="00F20EFD"/>
    <w:rsid w:val="00F25157"/>
    <w:rsid w:val="00F266D4"/>
    <w:rsid w:val="00F31F60"/>
    <w:rsid w:val="00F33890"/>
    <w:rsid w:val="00F33B48"/>
    <w:rsid w:val="00F34962"/>
    <w:rsid w:val="00F40F18"/>
    <w:rsid w:val="00F4120E"/>
    <w:rsid w:val="00F41536"/>
    <w:rsid w:val="00F418DF"/>
    <w:rsid w:val="00F44001"/>
    <w:rsid w:val="00F46C8C"/>
    <w:rsid w:val="00F46F3A"/>
    <w:rsid w:val="00F47E49"/>
    <w:rsid w:val="00F51A4B"/>
    <w:rsid w:val="00F524F2"/>
    <w:rsid w:val="00F5419A"/>
    <w:rsid w:val="00F5451B"/>
    <w:rsid w:val="00F54B05"/>
    <w:rsid w:val="00F54B6A"/>
    <w:rsid w:val="00F555FF"/>
    <w:rsid w:val="00F57BC7"/>
    <w:rsid w:val="00F57ED1"/>
    <w:rsid w:val="00F609CD"/>
    <w:rsid w:val="00F61148"/>
    <w:rsid w:val="00F61C38"/>
    <w:rsid w:val="00F627DC"/>
    <w:rsid w:val="00F629C7"/>
    <w:rsid w:val="00F63C23"/>
    <w:rsid w:val="00F655E3"/>
    <w:rsid w:val="00F715F2"/>
    <w:rsid w:val="00F721E7"/>
    <w:rsid w:val="00F73D12"/>
    <w:rsid w:val="00F756C6"/>
    <w:rsid w:val="00F77980"/>
    <w:rsid w:val="00F779AA"/>
    <w:rsid w:val="00F82AF1"/>
    <w:rsid w:val="00F83187"/>
    <w:rsid w:val="00F84082"/>
    <w:rsid w:val="00F86BA5"/>
    <w:rsid w:val="00F87C39"/>
    <w:rsid w:val="00F902D3"/>
    <w:rsid w:val="00F905B6"/>
    <w:rsid w:val="00F92AF7"/>
    <w:rsid w:val="00F93D63"/>
    <w:rsid w:val="00F93DBA"/>
    <w:rsid w:val="00F954E4"/>
    <w:rsid w:val="00F95872"/>
    <w:rsid w:val="00F95F2A"/>
    <w:rsid w:val="00F96C4E"/>
    <w:rsid w:val="00F97D52"/>
    <w:rsid w:val="00FA0F8B"/>
    <w:rsid w:val="00FA262F"/>
    <w:rsid w:val="00FA3492"/>
    <w:rsid w:val="00FA3AE1"/>
    <w:rsid w:val="00FA49C0"/>
    <w:rsid w:val="00FA5B10"/>
    <w:rsid w:val="00FA5CD7"/>
    <w:rsid w:val="00FA688C"/>
    <w:rsid w:val="00FB08B6"/>
    <w:rsid w:val="00FB1CC5"/>
    <w:rsid w:val="00FB43F1"/>
    <w:rsid w:val="00FB5216"/>
    <w:rsid w:val="00FB76D3"/>
    <w:rsid w:val="00FC0FE8"/>
    <w:rsid w:val="00FC2217"/>
    <w:rsid w:val="00FC25B9"/>
    <w:rsid w:val="00FC2CE1"/>
    <w:rsid w:val="00FC3A91"/>
    <w:rsid w:val="00FC3F8F"/>
    <w:rsid w:val="00FC7C01"/>
    <w:rsid w:val="00FD0855"/>
    <w:rsid w:val="00FD0ED0"/>
    <w:rsid w:val="00FD1990"/>
    <w:rsid w:val="00FD1EC4"/>
    <w:rsid w:val="00FD5B33"/>
    <w:rsid w:val="00FD76AE"/>
    <w:rsid w:val="00FE166B"/>
    <w:rsid w:val="00FE1A60"/>
    <w:rsid w:val="00FE34AF"/>
    <w:rsid w:val="00FE6CE4"/>
    <w:rsid w:val="00FF1927"/>
    <w:rsid w:val="00FF1B75"/>
    <w:rsid w:val="00FF2A23"/>
    <w:rsid w:val="00FF2EAE"/>
    <w:rsid w:val="00FF3154"/>
    <w:rsid w:val="00FF5002"/>
    <w:rsid w:val="00FF60BC"/>
    <w:rsid w:val="00FF6519"/>
    <w:rsid w:val="010B6B80"/>
    <w:rsid w:val="01604E80"/>
    <w:rsid w:val="016D3985"/>
    <w:rsid w:val="0175612D"/>
    <w:rsid w:val="01A01AFA"/>
    <w:rsid w:val="01A9153E"/>
    <w:rsid w:val="01C06A4B"/>
    <w:rsid w:val="01C64642"/>
    <w:rsid w:val="01CB5453"/>
    <w:rsid w:val="01E27923"/>
    <w:rsid w:val="02062B58"/>
    <w:rsid w:val="02132159"/>
    <w:rsid w:val="02531163"/>
    <w:rsid w:val="02546A97"/>
    <w:rsid w:val="025F5776"/>
    <w:rsid w:val="02644C33"/>
    <w:rsid w:val="0269067C"/>
    <w:rsid w:val="02751313"/>
    <w:rsid w:val="02857F1F"/>
    <w:rsid w:val="02B779DA"/>
    <w:rsid w:val="02C741EC"/>
    <w:rsid w:val="02CB255D"/>
    <w:rsid w:val="02D70676"/>
    <w:rsid w:val="02F01C71"/>
    <w:rsid w:val="02F04BCE"/>
    <w:rsid w:val="02F95629"/>
    <w:rsid w:val="03137D7E"/>
    <w:rsid w:val="03210061"/>
    <w:rsid w:val="034657EF"/>
    <w:rsid w:val="034F488B"/>
    <w:rsid w:val="03A92A2C"/>
    <w:rsid w:val="03BD6858"/>
    <w:rsid w:val="03C26658"/>
    <w:rsid w:val="03D21196"/>
    <w:rsid w:val="03D52124"/>
    <w:rsid w:val="043B11C4"/>
    <w:rsid w:val="04415EE3"/>
    <w:rsid w:val="044D726A"/>
    <w:rsid w:val="046B6B89"/>
    <w:rsid w:val="04707F81"/>
    <w:rsid w:val="0476275B"/>
    <w:rsid w:val="047775AF"/>
    <w:rsid w:val="04805806"/>
    <w:rsid w:val="0492451B"/>
    <w:rsid w:val="04960FA1"/>
    <w:rsid w:val="04CE27B5"/>
    <w:rsid w:val="04D12AAC"/>
    <w:rsid w:val="04DB3BDB"/>
    <w:rsid w:val="04DD2267"/>
    <w:rsid w:val="04F02C74"/>
    <w:rsid w:val="050A4816"/>
    <w:rsid w:val="05242276"/>
    <w:rsid w:val="05273450"/>
    <w:rsid w:val="053C4BD7"/>
    <w:rsid w:val="053E5083"/>
    <w:rsid w:val="05407F0F"/>
    <w:rsid w:val="054B15E0"/>
    <w:rsid w:val="056F500B"/>
    <w:rsid w:val="05AC2718"/>
    <w:rsid w:val="05B01605"/>
    <w:rsid w:val="06362A67"/>
    <w:rsid w:val="066A7233"/>
    <w:rsid w:val="067C248B"/>
    <w:rsid w:val="067F331E"/>
    <w:rsid w:val="06872211"/>
    <w:rsid w:val="0690677F"/>
    <w:rsid w:val="069912C7"/>
    <w:rsid w:val="06AF039D"/>
    <w:rsid w:val="06C705E9"/>
    <w:rsid w:val="06CB2A63"/>
    <w:rsid w:val="06CC3B1B"/>
    <w:rsid w:val="06D909EF"/>
    <w:rsid w:val="06E6032A"/>
    <w:rsid w:val="06F32C4C"/>
    <w:rsid w:val="07221759"/>
    <w:rsid w:val="072C1DB9"/>
    <w:rsid w:val="072E5B90"/>
    <w:rsid w:val="0755005F"/>
    <w:rsid w:val="07845EBA"/>
    <w:rsid w:val="078B11F7"/>
    <w:rsid w:val="078E7909"/>
    <w:rsid w:val="07996EB4"/>
    <w:rsid w:val="079E733B"/>
    <w:rsid w:val="07A36F1B"/>
    <w:rsid w:val="07A94598"/>
    <w:rsid w:val="07CC0035"/>
    <w:rsid w:val="07D945DC"/>
    <w:rsid w:val="07DB537C"/>
    <w:rsid w:val="08107785"/>
    <w:rsid w:val="082825E5"/>
    <w:rsid w:val="082D669C"/>
    <w:rsid w:val="088912F7"/>
    <w:rsid w:val="08902B73"/>
    <w:rsid w:val="08B057F3"/>
    <w:rsid w:val="08BA6E3E"/>
    <w:rsid w:val="08D35F71"/>
    <w:rsid w:val="08FD503D"/>
    <w:rsid w:val="09293151"/>
    <w:rsid w:val="092D4ADB"/>
    <w:rsid w:val="093247D0"/>
    <w:rsid w:val="094B0040"/>
    <w:rsid w:val="095546E9"/>
    <w:rsid w:val="096B7ED1"/>
    <w:rsid w:val="096D0679"/>
    <w:rsid w:val="09874ADA"/>
    <w:rsid w:val="099E3911"/>
    <w:rsid w:val="09A13A7B"/>
    <w:rsid w:val="09BB15AB"/>
    <w:rsid w:val="09C02513"/>
    <w:rsid w:val="09C943AD"/>
    <w:rsid w:val="09D51869"/>
    <w:rsid w:val="09E06DF4"/>
    <w:rsid w:val="09F129F2"/>
    <w:rsid w:val="0A1B07A8"/>
    <w:rsid w:val="0A453641"/>
    <w:rsid w:val="0A5A0A93"/>
    <w:rsid w:val="0A676977"/>
    <w:rsid w:val="0A6952B7"/>
    <w:rsid w:val="0A7E19BC"/>
    <w:rsid w:val="0A801E5D"/>
    <w:rsid w:val="0A9500F7"/>
    <w:rsid w:val="0AA07475"/>
    <w:rsid w:val="0ACF7D96"/>
    <w:rsid w:val="0ADB794D"/>
    <w:rsid w:val="0ADF300F"/>
    <w:rsid w:val="0AE36BBE"/>
    <w:rsid w:val="0AEB2A60"/>
    <w:rsid w:val="0AF461CA"/>
    <w:rsid w:val="0AFE662A"/>
    <w:rsid w:val="0B2769D5"/>
    <w:rsid w:val="0B3A136F"/>
    <w:rsid w:val="0B504A69"/>
    <w:rsid w:val="0B5673B8"/>
    <w:rsid w:val="0B656F36"/>
    <w:rsid w:val="0B6C28C5"/>
    <w:rsid w:val="0B955563"/>
    <w:rsid w:val="0B9C4FEC"/>
    <w:rsid w:val="0BA33880"/>
    <w:rsid w:val="0BA81580"/>
    <w:rsid w:val="0BEA1AC9"/>
    <w:rsid w:val="0BF243BC"/>
    <w:rsid w:val="0C175E9D"/>
    <w:rsid w:val="0C317937"/>
    <w:rsid w:val="0C3B2575"/>
    <w:rsid w:val="0C5F1564"/>
    <w:rsid w:val="0C68672E"/>
    <w:rsid w:val="0C6C2EEC"/>
    <w:rsid w:val="0C7737E5"/>
    <w:rsid w:val="0C7C407F"/>
    <w:rsid w:val="0C890F4D"/>
    <w:rsid w:val="0C94198B"/>
    <w:rsid w:val="0C974616"/>
    <w:rsid w:val="0C986D75"/>
    <w:rsid w:val="0CA8083B"/>
    <w:rsid w:val="0CA83953"/>
    <w:rsid w:val="0CD26A47"/>
    <w:rsid w:val="0CE64047"/>
    <w:rsid w:val="0D0431A0"/>
    <w:rsid w:val="0D105CC0"/>
    <w:rsid w:val="0D236955"/>
    <w:rsid w:val="0D387753"/>
    <w:rsid w:val="0D684C0C"/>
    <w:rsid w:val="0D7366E4"/>
    <w:rsid w:val="0D7B4EC7"/>
    <w:rsid w:val="0D8D0D41"/>
    <w:rsid w:val="0DA11273"/>
    <w:rsid w:val="0DA30FAE"/>
    <w:rsid w:val="0DA424D8"/>
    <w:rsid w:val="0DDE177A"/>
    <w:rsid w:val="0DDE6170"/>
    <w:rsid w:val="0E1359FA"/>
    <w:rsid w:val="0E1B53A5"/>
    <w:rsid w:val="0E274777"/>
    <w:rsid w:val="0E305776"/>
    <w:rsid w:val="0E3777BE"/>
    <w:rsid w:val="0E3B795C"/>
    <w:rsid w:val="0E6827C3"/>
    <w:rsid w:val="0E6E1C90"/>
    <w:rsid w:val="0E8A4737"/>
    <w:rsid w:val="0E933D26"/>
    <w:rsid w:val="0E971D46"/>
    <w:rsid w:val="0EB05D52"/>
    <w:rsid w:val="0ECB3208"/>
    <w:rsid w:val="0EE43718"/>
    <w:rsid w:val="0EE90B68"/>
    <w:rsid w:val="0EEC50BC"/>
    <w:rsid w:val="0F081F0E"/>
    <w:rsid w:val="0F223A71"/>
    <w:rsid w:val="0F333C8A"/>
    <w:rsid w:val="0F441053"/>
    <w:rsid w:val="0F6415F3"/>
    <w:rsid w:val="0F6D01FB"/>
    <w:rsid w:val="0F80584B"/>
    <w:rsid w:val="0F9124E8"/>
    <w:rsid w:val="0FBC0D1A"/>
    <w:rsid w:val="0FDF298A"/>
    <w:rsid w:val="102927A5"/>
    <w:rsid w:val="102942B6"/>
    <w:rsid w:val="10377139"/>
    <w:rsid w:val="10432E57"/>
    <w:rsid w:val="10475F34"/>
    <w:rsid w:val="104C58A2"/>
    <w:rsid w:val="10620D5D"/>
    <w:rsid w:val="10671982"/>
    <w:rsid w:val="108D7D74"/>
    <w:rsid w:val="10910D2D"/>
    <w:rsid w:val="10AF3D07"/>
    <w:rsid w:val="10B95459"/>
    <w:rsid w:val="10C770AD"/>
    <w:rsid w:val="10CB2801"/>
    <w:rsid w:val="10D23EDD"/>
    <w:rsid w:val="11331221"/>
    <w:rsid w:val="114138F4"/>
    <w:rsid w:val="117F1B35"/>
    <w:rsid w:val="118544BA"/>
    <w:rsid w:val="11957DC7"/>
    <w:rsid w:val="11970C71"/>
    <w:rsid w:val="11A842FF"/>
    <w:rsid w:val="11A84BDA"/>
    <w:rsid w:val="11BA4DA3"/>
    <w:rsid w:val="11C03118"/>
    <w:rsid w:val="11E5015A"/>
    <w:rsid w:val="11E72657"/>
    <w:rsid w:val="120B1F32"/>
    <w:rsid w:val="120E0E48"/>
    <w:rsid w:val="12265805"/>
    <w:rsid w:val="123F4C14"/>
    <w:rsid w:val="124B51C6"/>
    <w:rsid w:val="12567E7B"/>
    <w:rsid w:val="126A132E"/>
    <w:rsid w:val="1276067B"/>
    <w:rsid w:val="12B1627A"/>
    <w:rsid w:val="12C3344E"/>
    <w:rsid w:val="12C36FD4"/>
    <w:rsid w:val="12CB1F54"/>
    <w:rsid w:val="12F12AA5"/>
    <w:rsid w:val="13094C4A"/>
    <w:rsid w:val="132450B4"/>
    <w:rsid w:val="13416B2E"/>
    <w:rsid w:val="136254A2"/>
    <w:rsid w:val="136F32AE"/>
    <w:rsid w:val="13816691"/>
    <w:rsid w:val="13893CE1"/>
    <w:rsid w:val="13934DF1"/>
    <w:rsid w:val="13953125"/>
    <w:rsid w:val="13B8461E"/>
    <w:rsid w:val="13F61959"/>
    <w:rsid w:val="1402655C"/>
    <w:rsid w:val="140734F7"/>
    <w:rsid w:val="141A42B8"/>
    <w:rsid w:val="14211693"/>
    <w:rsid w:val="14376E43"/>
    <w:rsid w:val="14525069"/>
    <w:rsid w:val="14541696"/>
    <w:rsid w:val="145D6A8B"/>
    <w:rsid w:val="145F7E28"/>
    <w:rsid w:val="14780D27"/>
    <w:rsid w:val="147A2410"/>
    <w:rsid w:val="14852C6F"/>
    <w:rsid w:val="1488358C"/>
    <w:rsid w:val="148F2F85"/>
    <w:rsid w:val="14982EB8"/>
    <w:rsid w:val="14A502EF"/>
    <w:rsid w:val="14AF54DA"/>
    <w:rsid w:val="14C64C59"/>
    <w:rsid w:val="14D20FC7"/>
    <w:rsid w:val="14F740A3"/>
    <w:rsid w:val="150724B3"/>
    <w:rsid w:val="15074434"/>
    <w:rsid w:val="15227A32"/>
    <w:rsid w:val="152B4D84"/>
    <w:rsid w:val="153049D7"/>
    <w:rsid w:val="153769F7"/>
    <w:rsid w:val="155301FE"/>
    <w:rsid w:val="15871E93"/>
    <w:rsid w:val="15930009"/>
    <w:rsid w:val="159E521A"/>
    <w:rsid w:val="15C91F5E"/>
    <w:rsid w:val="15D315F3"/>
    <w:rsid w:val="15DF3010"/>
    <w:rsid w:val="15F003C1"/>
    <w:rsid w:val="15F61009"/>
    <w:rsid w:val="15FC3115"/>
    <w:rsid w:val="164A49E5"/>
    <w:rsid w:val="16883A58"/>
    <w:rsid w:val="168A004B"/>
    <w:rsid w:val="168C48D6"/>
    <w:rsid w:val="16A27000"/>
    <w:rsid w:val="16A705A2"/>
    <w:rsid w:val="16B20B12"/>
    <w:rsid w:val="16BE1FF6"/>
    <w:rsid w:val="16C83D17"/>
    <w:rsid w:val="16E311A5"/>
    <w:rsid w:val="16E3518A"/>
    <w:rsid w:val="16E952DD"/>
    <w:rsid w:val="17252E73"/>
    <w:rsid w:val="172E63EE"/>
    <w:rsid w:val="173D752B"/>
    <w:rsid w:val="173E3BF5"/>
    <w:rsid w:val="173F377F"/>
    <w:rsid w:val="17435E46"/>
    <w:rsid w:val="17441767"/>
    <w:rsid w:val="17445402"/>
    <w:rsid w:val="17721C8E"/>
    <w:rsid w:val="178E71CD"/>
    <w:rsid w:val="17912574"/>
    <w:rsid w:val="179A05A8"/>
    <w:rsid w:val="179D7FD7"/>
    <w:rsid w:val="179E173F"/>
    <w:rsid w:val="17A650FC"/>
    <w:rsid w:val="17AB40AE"/>
    <w:rsid w:val="17BA677B"/>
    <w:rsid w:val="17CA2B8F"/>
    <w:rsid w:val="17D82FD7"/>
    <w:rsid w:val="17E65EE9"/>
    <w:rsid w:val="17F405EB"/>
    <w:rsid w:val="180339A2"/>
    <w:rsid w:val="18040F10"/>
    <w:rsid w:val="18264A50"/>
    <w:rsid w:val="183E076F"/>
    <w:rsid w:val="18644505"/>
    <w:rsid w:val="18761DAB"/>
    <w:rsid w:val="18967A84"/>
    <w:rsid w:val="189E3D12"/>
    <w:rsid w:val="18B00122"/>
    <w:rsid w:val="18B20BDD"/>
    <w:rsid w:val="18B951B3"/>
    <w:rsid w:val="18C35170"/>
    <w:rsid w:val="18D21A5A"/>
    <w:rsid w:val="18D61B96"/>
    <w:rsid w:val="18E00489"/>
    <w:rsid w:val="18E7252F"/>
    <w:rsid w:val="18FB5A21"/>
    <w:rsid w:val="19282791"/>
    <w:rsid w:val="192939F8"/>
    <w:rsid w:val="192C2D7A"/>
    <w:rsid w:val="19353DEC"/>
    <w:rsid w:val="19677AF7"/>
    <w:rsid w:val="19810432"/>
    <w:rsid w:val="19BA2109"/>
    <w:rsid w:val="19BE3086"/>
    <w:rsid w:val="19C3541C"/>
    <w:rsid w:val="19E21D1C"/>
    <w:rsid w:val="19E92539"/>
    <w:rsid w:val="19EB3CD8"/>
    <w:rsid w:val="19F45009"/>
    <w:rsid w:val="1A093B60"/>
    <w:rsid w:val="1A135EB3"/>
    <w:rsid w:val="1A190153"/>
    <w:rsid w:val="1A216042"/>
    <w:rsid w:val="1A26575C"/>
    <w:rsid w:val="1A4C0E92"/>
    <w:rsid w:val="1A5E1863"/>
    <w:rsid w:val="1A7F3A58"/>
    <w:rsid w:val="1A84474A"/>
    <w:rsid w:val="1A8B60FB"/>
    <w:rsid w:val="1A9B3C6B"/>
    <w:rsid w:val="1AB83062"/>
    <w:rsid w:val="1AC502CF"/>
    <w:rsid w:val="1AD05C11"/>
    <w:rsid w:val="1B05587E"/>
    <w:rsid w:val="1B187A1B"/>
    <w:rsid w:val="1B200375"/>
    <w:rsid w:val="1B2F2124"/>
    <w:rsid w:val="1B3419FD"/>
    <w:rsid w:val="1B51069C"/>
    <w:rsid w:val="1B52032C"/>
    <w:rsid w:val="1B87118E"/>
    <w:rsid w:val="1B8F29D9"/>
    <w:rsid w:val="1BA47383"/>
    <w:rsid w:val="1BD20383"/>
    <w:rsid w:val="1BE06630"/>
    <w:rsid w:val="1BF90E89"/>
    <w:rsid w:val="1BFF3FFC"/>
    <w:rsid w:val="1C6A6D50"/>
    <w:rsid w:val="1C7C1550"/>
    <w:rsid w:val="1C7F50C5"/>
    <w:rsid w:val="1C9A6C63"/>
    <w:rsid w:val="1CBF63C3"/>
    <w:rsid w:val="1CC13EB1"/>
    <w:rsid w:val="1D2C4F1B"/>
    <w:rsid w:val="1D47273F"/>
    <w:rsid w:val="1D492F27"/>
    <w:rsid w:val="1D643026"/>
    <w:rsid w:val="1D6541DB"/>
    <w:rsid w:val="1D7C153E"/>
    <w:rsid w:val="1D7C22EC"/>
    <w:rsid w:val="1D7F48E1"/>
    <w:rsid w:val="1D866B79"/>
    <w:rsid w:val="1D99014B"/>
    <w:rsid w:val="1DA65B4D"/>
    <w:rsid w:val="1DE35CF5"/>
    <w:rsid w:val="1DE42E39"/>
    <w:rsid w:val="1E055C9E"/>
    <w:rsid w:val="1E3646C2"/>
    <w:rsid w:val="1E3C0371"/>
    <w:rsid w:val="1E404244"/>
    <w:rsid w:val="1E646060"/>
    <w:rsid w:val="1E6E033F"/>
    <w:rsid w:val="1E796F89"/>
    <w:rsid w:val="1E895CEE"/>
    <w:rsid w:val="1E8D072E"/>
    <w:rsid w:val="1EAD7476"/>
    <w:rsid w:val="1EB76F1A"/>
    <w:rsid w:val="1EDF3101"/>
    <w:rsid w:val="1EE47B86"/>
    <w:rsid w:val="1F0136F8"/>
    <w:rsid w:val="1F0565C7"/>
    <w:rsid w:val="1F136BA5"/>
    <w:rsid w:val="1F1C1A13"/>
    <w:rsid w:val="1F1F54B2"/>
    <w:rsid w:val="1F1F564E"/>
    <w:rsid w:val="1F4A727D"/>
    <w:rsid w:val="1F51638C"/>
    <w:rsid w:val="1F6971DE"/>
    <w:rsid w:val="1F890B51"/>
    <w:rsid w:val="1F8A0112"/>
    <w:rsid w:val="1FE63033"/>
    <w:rsid w:val="1FF35231"/>
    <w:rsid w:val="20015A6D"/>
    <w:rsid w:val="200C1A5C"/>
    <w:rsid w:val="200C3AA1"/>
    <w:rsid w:val="20211C45"/>
    <w:rsid w:val="202911D7"/>
    <w:rsid w:val="20654C19"/>
    <w:rsid w:val="206B546A"/>
    <w:rsid w:val="206C2DEB"/>
    <w:rsid w:val="20847C38"/>
    <w:rsid w:val="20974516"/>
    <w:rsid w:val="20AE211E"/>
    <w:rsid w:val="20B34AC6"/>
    <w:rsid w:val="20CB3924"/>
    <w:rsid w:val="20CD5726"/>
    <w:rsid w:val="20ED63C9"/>
    <w:rsid w:val="20F12941"/>
    <w:rsid w:val="21220D3E"/>
    <w:rsid w:val="213C1A3B"/>
    <w:rsid w:val="214A3DCF"/>
    <w:rsid w:val="215E76DF"/>
    <w:rsid w:val="216D7B97"/>
    <w:rsid w:val="217C182D"/>
    <w:rsid w:val="2189394D"/>
    <w:rsid w:val="21944711"/>
    <w:rsid w:val="21B53A1F"/>
    <w:rsid w:val="21BF72A1"/>
    <w:rsid w:val="21C3592D"/>
    <w:rsid w:val="21C55F53"/>
    <w:rsid w:val="21C60013"/>
    <w:rsid w:val="21C76285"/>
    <w:rsid w:val="21E166C7"/>
    <w:rsid w:val="21FB6F9B"/>
    <w:rsid w:val="21FC530F"/>
    <w:rsid w:val="22080498"/>
    <w:rsid w:val="22430EB2"/>
    <w:rsid w:val="224F077B"/>
    <w:rsid w:val="225A2932"/>
    <w:rsid w:val="225B318C"/>
    <w:rsid w:val="226A25E4"/>
    <w:rsid w:val="22740558"/>
    <w:rsid w:val="228A54AE"/>
    <w:rsid w:val="22955C48"/>
    <w:rsid w:val="22A84E37"/>
    <w:rsid w:val="22AC4EAC"/>
    <w:rsid w:val="22B4304D"/>
    <w:rsid w:val="22BC6A0C"/>
    <w:rsid w:val="230437EA"/>
    <w:rsid w:val="232E4270"/>
    <w:rsid w:val="23356F82"/>
    <w:rsid w:val="233A2E59"/>
    <w:rsid w:val="23420192"/>
    <w:rsid w:val="23594B35"/>
    <w:rsid w:val="23655DFC"/>
    <w:rsid w:val="2379757D"/>
    <w:rsid w:val="23815AAD"/>
    <w:rsid w:val="23B534DB"/>
    <w:rsid w:val="23C27A95"/>
    <w:rsid w:val="23C515B0"/>
    <w:rsid w:val="23CC45FC"/>
    <w:rsid w:val="23EA5690"/>
    <w:rsid w:val="23F933BF"/>
    <w:rsid w:val="23FB5BA9"/>
    <w:rsid w:val="23FC0AA0"/>
    <w:rsid w:val="240F127A"/>
    <w:rsid w:val="24222A24"/>
    <w:rsid w:val="244157BB"/>
    <w:rsid w:val="247240E4"/>
    <w:rsid w:val="247B62DB"/>
    <w:rsid w:val="249027F9"/>
    <w:rsid w:val="24BC0B8C"/>
    <w:rsid w:val="24D54DB0"/>
    <w:rsid w:val="24DD44A9"/>
    <w:rsid w:val="24E625D6"/>
    <w:rsid w:val="24F82B87"/>
    <w:rsid w:val="24FA3F62"/>
    <w:rsid w:val="251E6CB6"/>
    <w:rsid w:val="2530104D"/>
    <w:rsid w:val="25471A46"/>
    <w:rsid w:val="25834A03"/>
    <w:rsid w:val="259879AE"/>
    <w:rsid w:val="25A328BE"/>
    <w:rsid w:val="25A34005"/>
    <w:rsid w:val="25A66195"/>
    <w:rsid w:val="25D27E7B"/>
    <w:rsid w:val="25E20F3C"/>
    <w:rsid w:val="25E777B3"/>
    <w:rsid w:val="25F7768D"/>
    <w:rsid w:val="25FE59B1"/>
    <w:rsid w:val="26061971"/>
    <w:rsid w:val="26111D68"/>
    <w:rsid w:val="26307E6E"/>
    <w:rsid w:val="264008E8"/>
    <w:rsid w:val="26433F7F"/>
    <w:rsid w:val="264721D8"/>
    <w:rsid w:val="2666771E"/>
    <w:rsid w:val="26700C16"/>
    <w:rsid w:val="267A2D17"/>
    <w:rsid w:val="267F4830"/>
    <w:rsid w:val="26BD493E"/>
    <w:rsid w:val="26EE45DB"/>
    <w:rsid w:val="26F37DB0"/>
    <w:rsid w:val="26F541F1"/>
    <w:rsid w:val="270F5095"/>
    <w:rsid w:val="27144105"/>
    <w:rsid w:val="271C5FC6"/>
    <w:rsid w:val="27484D00"/>
    <w:rsid w:val="274F2171"/>
    <w:rsid w:val="275D6367"/>
    <w:rsid w:val="275E0F3C"/>
    <w:rsid w:val="2760568F"/>
    <w:rsid w:val="27610A07"/>
    <w:rsid w:val="27797DE0"/>
    <w:rsid w:val="27965B8B"/>
    <w:rsid w:val="27992D09"/>
    <w:rsid w:val="27D00352"/>
    <w:rsid w:val="27FD025A"/>
    <w:rsid w:val="282657F7"/>
    <w:rsid w:val="2856652E"/>
    <w:rsid w:val="2867494D"/>
    <w:rsid w:val="287E2C12"/>
    <w:rsid w:val="287F59EE"/>
    <w:rsid w:val="2884100B"/>
    <w:rsid w:val="28874CE8"/>
    <w:rsid w:val="28A8001C"/>
    <w:rsid w:val="28AA7AF1"/>
    <w:rsid w:val="28FC2B68"/>
    <w:rsid w:val="29147CD7"/>
    <w:rsid w:val="29172B11"/>
    <w:rsid w:val="291B7E44"/>
    <w:rsid w:val="29223179"/>
    <w:rsid w:val="292863C0"/>
    <w:rsid w:val="294A4308"/>
    <w:rsid w:val="29523F82"/>
    <w:rsid w:val="297728FC"/>
    <w:rsid w:val="297F63E2"/>
    <w:rsid w:val="298D40D9"/>
    <w:rsid w:val="29AA4023"/>
    <w:rsid w:val="29D506B9"/>
    <w:rsid w:val="29D815F7"/>
    <w:rsid w:val="29FF498C"/>
    <w:rsid w:val="2A155A4E"/>
    <w:rsid w:val="2A307C1D"/>
    <w:rsid w:val="2A37666B"/>
    <w:rsid w:val="2A3B1864"/>
    <w:rsid w:val="2A456589"/>
    <w:rsid w:val="2A475E62"/>
    <w:rsid w:val="2A4B2DEC"/>
    <w:rsid w:val="2A5B4807"/>
    <w:rsid w:val="2A837B23"/>
    <w:rsid w:val="2A8B619D"/>
    <w:rsid w:val="2A981F0C"/>
    <w:rsid w:val="2AC46B39"/>
    <w:rsid w:val="2AD311B2"/>
    <w:rsid w:val="2ADE0C2E"/>
    <w:rsid w:val="2B0717DF"/>
    <w:rsid w:val="2B16314B"/>
    <w:rsid w:val="2B1745E1"/>
    <w:rsid w:val="2B314EE4"/>
    <w:rsid w:val="2B53670E"/>
    <w:rsid w:val="2B7B1662"/>
    <w:rsid w:val="2B8C17C6"/>
    <w:rsid w:val="2B8E3C1B"/>
    <w:rsid w:val="2B8E7455"/>
    <w:rsid w:val="2BFF3A07"/>
    <w:rsid w:val="2C010002"/>
    <w:rsid w:val="2C0E274C"/>
    <w:rsid w:val="2C1864B9"/>
    <w:rsid w:val="2C2104A7"/>
    <w:rsid w:val="2C3042EA"/>
    <w:rsid w:val="2C53238E"/>
    <w:rsid w:val="2C5466FC"/>
    <w:rsid w:val="2C65290D"/>
    <w:rsid w:val="2C913ADA"/>
    <w:rsid w:val="2C99767D"/>
    <w:rsid w:val="2C9F349F"/>
    <w:rsid w:val="2CAC0753"/>
    <w:rsid w:val="2CD441D3"/>
    <w:rsid w:val="2CDA7A1A"/>
    <w:rsid w:val="2D0779A7"/>
    <w:rsid w:val="2D2F5557"/>
    <w:rsid w:val="2D401642"/>
    <w:rsid w:val="2D4477EE"/>
    <w:rsid w:val="2D513389"/>
    <w:rsid w:val="2D7E2FF7"/>
    <w:rsid w:val="2D7E7EA2"/>
    <w:rsid w:val="2D8A7EEE"/>
    <w:rsid w:val="2DAC120D"/>
    <w:rsid w:val="2DAE6D54"/>
    <w:rsid w:val="2DB51D8C"/>
    <w:rsid w:val="2DBE157E"/>
    <w:rsid w:val="2DC41DAC"/>
    <w:rsid w:val="2DD2364E"/>
    <w:rsid w:val="2DD4300E"/>
    <w:rsid w:val="2DDB036C"/>
    <w:rsid w:val="2DE31F3E"/>
    <w:rsid w:val="2DF815C0"/>
    <w:rsid w:val="2DFF5078"/>
    <w:rsid w:val="2E175D83"/>
    <w:rsid w:val="2E413F38"/>
    <w:rsid w:val="2E5E191E"/>
    <w:rsid w:val="2E6E0A25"/>
    <w:rsid w:val="2E720553"/>
    <w:rsid w:val="2E966933"/>
    <w:rsid w:val="2EC14611"/>
    <w:rsid w:val="2ED26A84"/>
    <w:rsid w:val="2EF6340A"/>
    <w:rsid w:val="2F1A3BBB"/>
    <w:rsid w:val="2F1F63D3"/>
    <w:rsid w:val="2F507973"/>
    <w:rsid w:val="2F782D47"/>
    <w:rsid w:val="2F883C62"/>
    <w:rsid w:val="2FA13846"/>
    <w:rsid w:val="2FA662AC"/>
    <w:rsid w:val="2FC16D53"/>
    <w:rsid w:val="2FD44650"/>
    <w:rsid w:val="2FDE3293"/>
    <w:rsid w:val="2FDF5C9D"/>
    <w:rsid w:val="3009331C"/>
    <w:rsid w:val="301D5C97"/>
    <w:rsid w:val="30277C8E"/>
    <w:rsid w:val="30300320"/>
    <w:rsid w:val="30364EE2"/>
    <w:rsid w:val="30381F9E"/>
    <w:rsid w:val="30402949"/>
    <w:rsid w:val="304A74D6"/>
    <w:rsid w:val="30532E5A"/>
    <w:rsid w:val="305E4CC4"/>
    <w:rsid w:val="308640EB"/>
    <w:rsid w:val="30921EDF"/>
    <w:rsid w:val="309F49B3"/>
    <w:rsid w:val="30D61929"/>
    <w:rsid w:val="30D77E04"/>
    <w:rsid w:val="30E36619"/>
    <w:rsid w:val="30E44E75"/>
    <w:rsid w:val="30F77156"/>
    <w:rsid w:val="31070840"/>
    <w:rsid w:val="311753BD"/>
    <w:rsid w:val="311A734D"/>
    <w:rsid w:val="312B7B5C"/>
    <w:rsid w:val="31394AA3"/>
    <w:rsid w:val="31421613"/>
    <w:rsid w:val="314B5255"/>
    <w:rsid w:val="3157644A"/>
    <w:rsid w:val="315B6D60"/>
    <w:rsid w:val="3174505E"/>
    <w:rsid w:val="318A347D"/>
    <w:rsid w:val="318C4F08"/>
    <w:rsid w:val="31914894"/>
    <w:rsid w:val="31956A66"/>
    <w:rsid w:val="31C072B8"/>
    <w:rsid w:val="31DA45C8"/>
    <w:rsid w:val="31E4797E"/>
    <w:rsid w:val="31EE4BAA"/>
    <w:rsid w:val="31F521F6"/>
    <w:rsid w:val="31F5436E"/>
    <w:rsid w:val="31F857BF"/>
    <w:rsid w:val="320107D3"/>
    <w:rsid w:val="32192EB2"/>
    <w:rsid w:val="32243194"/>
    <w:rsid w:val="3224417B"/>
    <w:rsid w:val="32330ED1"/>
    <w:rsid w:val="324662CB"/>
    <w:rsid w:val="324C3A59"/>
    <w:rsid w:val="3263631F"/>
    <w:rsid w:val="32687D16"/>
    <w:rsid w:val="327331BC"/>
    <w:rsid w:val="32864611"/>
    <w:rsid w:val="32877675"/>
    <w:rsid w:val="329A5FA7"/>
    <w:rsid w:val="32A355BC"/>
    <w:rsid w:val="32C00D78"/>
    <w:rsid w:val="32DA49E4"/>
    <w:rsid w:val="32F653B6"/>
    <w:rsid w:val="33033068"/>
    <w:rsid w:val="331550E0"/>
    <w:rsid w:val="33222A9A"/>
    <w:rsid w:val="33273336"/>
    <w:rsid w:val="332D1CBE"/>
    <w:rsid w:val="33385D65"/>
    <w:rsid w:val="33480719"/>
    <w:rsid w:val="335F1874"/>
    <w:rsid w:val="336D05B7"/>
    <w:rsid w:val="3370375F"/>
    <w:rsid w:val="337D3E97"/>
    <w:rsid w:val="33805A44"/>
    <w:rsid w:val="338D6656"/>
    <w:rsid w:val="339D5261"/>
    <w:rsid w:val="339F59B9"/>
    <w:rsid w:val="33E6096F"/>
    <w:rsid w:val="33FD75CB"/>
    <w:rsid w:val="341374B8"/>
    <w:rsid w:val="3474243E"/>
    <w:rsid w:val="34802C16"/>
    <w:rsid w:val="34955EDA"/>
    <w:rsid w:val="349A334C"/>
    <w:rsid w:val="34C21BC2"/>
    <w:rsid w:val="34CA78C0"/>
    <w:rsid w:val="34E7352B"/>
    <w:rsid w:val="34E94C24"/>
    <w:rsid w:val="34FC01FE"/>
    <w:rsid w:val="35491DE7"/>
    <w:rsid w:val="354D799B"/>
    <w:rsid w:val="35586223"/>
    <w:rsid w:val="35A418C4"/>
    <w:rsid w:val="35C43DE3"/>
    <w:rsid w:val="35D55562"/>
    <w:rsid w:val="35E55B5D"/>
    <w:rsid w:val="35EF33C5"/>
    <w:rsid w:val="36127C2E"/>
    <w:rsid w:val="36130454"/>
    <w:rsid w:val="361325D6"/>
    <w:rsid w:val="361C7D06"/>
    <w:rsid w:val="36253B84"/>
    <w:rsid w:val="36401A4A"/>
    <w:rsid w:val="368920CF"/>
    <w:rsid w:val="36B23F54"/>
    <w:rsid w:val="36F0354C"/>
    <w:rsid w:val="36FE5573"/>
    <w:rsid w:val="37071254"/>
    <w:rsid w:val="3707184A"/>
    <w:rsid w:val="37412D5B"/>
    <w:rsid w:val="37424084"/>
    <w:rsid w:val="37524F3E"/>
    <w:rsid w:val="376533BD"/>
    <w:rsid w:val="37741B80"/>
    <w:rsid w:val="37795A76"/>
    <w:rsid w:val="378B2E6F"/>
    <w:rsid w:val="379B0D76"/>
    <w:rsid w:val="37C26EEE"/>
    <w:rsid w:val="37D078F7"/>
    <w:rsid w:val="37EB0089"/>
    <w:rsid w:val="37F76452"/>
    <w:rsid w:val="37FB7082"/>
    <w:rsid w:val="380E52E1"/>
    <w:rsid w:val="38423923"/>
    <w:rsid w:val="384F744A"/>
    <w:rsid w:val="38735C94"/>
    <w:rsid w:val="38A87CD8"/>
    <w:rsid w:val="38AB7652"/>
    <w:rsid w:val="38C0661D"/>
    <w:rsid w:val="38CE707C"/>
    <w:rsid w:val="38DD2EEF"/>
    <w:rsid w:val="38E93272"/>
    <w:rsid w:val="38FB4AF5"/>
    <w:rsid w:val="39104B12"/>
    <w:rsid w:val="39150974"/>
    <w:rsid w:val="39253DBF"/>
    <w:rsid w:val="398F11DA"/>
    <w:rsid w:val="39985420"/>
    <w:rsid w:val="39A33546"/>
    <w:rsid w:val="39C01D61"/>
    <w:rsid w:val="39C16CB7"/>
    <w:rsid w:val="39E502D1"/>
    <w:rsid w:val="3A1B1AFA"/>
    <w:rsid w:val="3A1B760C"/>
    <w:rsid w:val="3A34051D"/>
    <w:rsid w:val="3A3B1E69"/>
    <w:rsid w:val="3A541B4B"/>
    <w:rsid w:val="3A60333A"/>
    <w:rsid w:val="3A6359E6"/>
    <w:rsid w:val="3A7D171B"/>
    <w:rsid w:val="3A7E7A19"/>
    <w:rsid w:val="3A920D31"/>
    <w:rsid w:val="3A9B60C5"/>
    <w:rsid w:val="3ACD10F0"/>
    <w:rsid w:val="3ACD357B"/>
    <w:rsid w:val="3AF0613B"/>
    <w:rsid w:val="3B03762C"/>
    <w:rsid w:val="3B216441"/>
    <w:rsid w:val="3B2C0F24"/>
    <w:rsid w:val="3B334458"/>
    <w:rsid w:val="3B35199F"/>
    <w:rsid w:val="3B48554F"/>
    <w:rsid w:val="3B4E7C42"/>
    <w:rsid w:val="3B594BC0"/>
    <w:rsid w:val="3B644769"/>
    <w:rsid w:val="3B663E14"/>
    <w:rsid w:val="3B866206"/>
    <w:rsid w:val="3B8845D7"/>
    <w:rsid w:val="3B8B6665"/>
    <w:rsid w:val="3B917707"/>
    <w:rsid w:val="3B9C2E5C"/>
    <w:rsid w:val="3BA15D36"/>
    <w:rsid w:val="3BAD6AD3"/>
    <w:rsid w:val="3BC15D5C"/>
    <w:rsid w:val="3BDF17BD"/>
    <w:rsid w:val="3BE060F4"/>
    <w:rsid w:val="3BFB42C7"/>
    <w:rsid w:val="3C005EAA"/>
    <w:rsid w:val="3C0C25C4"/>
    <w:rsid w:val="3C21682D"/>
    <w:rsid w:val="3C277DFD"/>
    <w:rsid w:val="3C2D6E50"/>
    <w:rsid w:val="3C3079FF"/>
    <w:rsid w:val="3C513234"/>
    <w:rsid w:val="3C7556F3"/>
    <w:rsid w:val="3CAA46F7"/>
    <w:rsid w:val="3CC223A3"/>
    <w:rsid w:val="3CC96375"/>
    <w:rsid w:val="3CCB77E5"/>
    <w:rsid w:val="3CD25CFD"/>
    <w:rsid w:val="3CE57D2D"/>
    <w:rsid w:val="3CE77BA9"/>
    <w:rsid w:val="3CF4275A"/>
    <w:rsid w:val="3D024C8D"/>
    <w:rsid w:val="3D07311F"/>
    <w:rsid w:val="3D0B19D3"/>
    <w:rsid w:val="3D1E133E"/>
    <w:rsid w:val="3D5170E9"/>
    <w:rsid w:val="3D8E3347"/>
    <w:rsid w:val="3DA64913"/>
    <w:rsid w:val="3DAB6021"/>
    <w:rsid w:val="3DBB5ECC"/>
    <w:rsid w:val="3DFE1A79"/>
    <w:rsid w:val="3E091CA6"/>
    <w:rsid w:val="3E1D71D8"/>
    <w:rsid w:val="3E217459"/>
    <w:rsid w:val="3E2230B8"/>
    <w:rsid w:val="3E263650"/>
    <w:rsid w:val="3E2805F5"/>
    <w:rsid w:val="3E2A4E15"/>
    <w:rsid w:val="3E3B4014"/>
    <w:rsid w:val="3EA24223"/>
    <w:rsid w:val="3EB1354E"/>
    <w:rsid w:val="3EED7585"/>
    <w:rsid w:val="3F055097"/>
    <w:rsid w:val="3F161199"/>
    <w:rsid w:val="3F255D56"/>
    <w:rsid w:val="3F416A26"/>
    <w:rsid w:val="3F4A3E88"/>
    <w:rsid w:val="3F761504"/>
    <w:rsid w:val="3F892D8A"/>
    <w:rsid w:val="3FA54CBA"/>
    <w:rsid w:val="3FB26EF8"/>
    <w:rsid w:val="3FD0776A"/>
    <w:rsid w:val="3FFC0DC4"/>
    <w:rsid w:val="3FFF7676"/>
    <w:rsid w:val="400B0253"/>
    <w:rsid w:val="401E7C74"/>
    <w:rsid w:val="40223FBC"/>
    <w:rsid w:val="404F40EA"/>
    <w:rsid w:val="40775629"/>
    <w:rsid w:val="4082593F"/>
    <w:rsid w:val="40843549"/>
    <w:rsid w:val="40A72F7F"/>
    <w:rsid w:val="41474308"/>
    <w:rsid w:val="41681941"/>
    <w:rsid w:val="416E4242"/>
    <w:rsid w:val="417C534F"/>
    <w:rsid w:val="41815287"/>
    <w:rsid w:val="418F3223"/>
    <w:rsid w:val="41A46743"/>
    <w:rsid w:val="41BA6E38"/>
    <w:rsid w:val="41CF22D5"/>
    <w:rsid w:val="41E06904"/>
    <w:rsid w:val="41E47D60"/>
    <w:rsid w:val="41FB3940"/>
    <w:rsid w:val="41FE4EBD"/>
    <w:rsid w:val="421B0517"/>
    <w:rsid w:val="421C002D"/>
    <w:rsid w:val="421E7906"/>
    <w:rsid w:val="422024E8"/>
    <w:rsid w:val="422E6A18"/>
    <w:rsid w:val="42313AD0"/>
    <w:rsid w:val="423D6569"/>
    <w:rsid w:val="42762B0E"/>
    <w:rsid w:val="42796D6D"/>
    <w:rsid w:val="42965151"/>
    <w:rsid w:val="42B8066C"/>
    <w:rsid w:val="42D50F2A"/>
    <w:rsid w:val="431F44D2"/>
    <w:rsid w:val="43410AEC"/>
    <w:rsid w:val="43440507"/>
    <w:rsid w:val="43486F47"/>
    <w:rsid w:val="43606A91"/>
    <w:rsid w:val="437468EC"/>
    <w:rsid w:val="437635E3"/>
    <w:rsid w:val="437B3C36"/>
    <w:rsid w:val="437D2796"/>
    <w:rsid w:val="43A56EBD"/>
    <w:rsid w:val="43A6733A"/>
    <w:rsid w:val="43C85A23"/>
    <w:rsid w:val="43DB21A0"/>
    <w:rsid w:val="43F6552A"/>
    <w:rsid w:val="44191691"/>
    <w:rsid w:val="444C4862"/>
    <w:rsid w:val="44560F40"/>
    <w:rsid w:val="44565344"/>
    <w:rsid w:val="446B1522"/>
    <w:rsid w:val="44720E16"/>
    <w:rsid w:val="44B24538"/>
    <w:rsid w:val="44B40707"/>
    <w:rsid w:val="44BF37DC"/>
    <w:rsid w:val="44C41913"/>
    <w:rsid w:val="44CE1408"/>
    <w:rsid w:val="44D619FA"/>
    <w:rsid w:val="44F4553C"/>
    <w:rsid w:val="450874FC"/>
    <w:rsid w:val="450A7A4F"/>
    <w:rsid w:val="453A6E98"/>
    <w:rsid w:val="45476EA5"/>
    <w:rsid w:val="455D71A8"/>
    <w:rsid w:val="456553DD"/>
    <w:rsid w:val="459F2609"/>
    <w:rsid w:val="45BC0D69"/>
    <w:rsid w:val="45C33C42"/>
    <w:rsid w:val="45CC2621"/>
    <w:rsid w:val="45D10164"/>
    <w:rsid w:val="45E54860"/>
    <w:rsid w:val="460878E8"/>
    <w:rsid w:val="461203B6"/>
    <w:rsid w:val="46205844"/>
    <w:rsid w:val="4627075D"/>
    <w:rsid w:val="466C6EAA"/>
    <w:rsid w:val="469D0412"/>
    <w:rsid w:val="469D53BB"/>
    <w:rsid w:val="469F108B"/>
    <w:rsid w:val="46B249C0"/>
    <w:rsid w:val="46CF5EFF"/>
    <w:rsid w:val="46EF1849"/>
    <w:rsid w:val="46FB2F42"/>
    <w:rsid w:val="46FB4409"/>
    <w:rsid w:val="471C603E"/>
    <w:rsid w:val="47237C1D"/>
    <w:rsid w:val="47345EF6"/>
    <w:rsid w:val="473D6B0A"/>
    <w:rsid w:val="476E4CA0"/>
    <w:rsid w:val="478148E6"/>
    <w:rsid w:val="47821C82"/>
    <w:rsid w:val="4784369C"/>
    <w:rsid w:val="47AD7740"/>
    <w:rsid w:val="47D951E8"/>
    <w:rsid w:val="47F47478"/>
    <w:rsid w:val="480D10C9"/>
    <w:rsid w:val="481F428B"/>
    <w:rsid w:val="48216BFC"/>
    <w:rsid w:val="482B2304"/>
    <w:rsid w:val="4853715D"/>
    <w:rsid w:val="485C724A"/>
    <w:rsid w:val="485F31E9"/>
    <w:rsid w:val="48857FBF"/>
    <w:rsid w:val="48981C64"/>
    <w:rsid w:val="489E3D1D"/>
    <w:rsid w:val="48AB513B"/>
    <w:rsid w:val="48B828AA"/>
    <w:rsid w:val="48BE652C"/>
    <w:rsid w:val="48C21E3A"/>
    <w:rsid w:val="48CC0ED2"/>
    <w:rsid w:val="48DE11B8"/>
    <w:rsid w:val="48F112AB"/>
    <w:rsid w:val="48F36F3B"/>
    <w:rsid w:val="48F91BE2"/>
    <w:rsid w:val="490D4FEC"/>
    <w:rsid w:val="49186926"/>
    <w:rsid w:val="491A3B93"/>
    <w:rsid w:val="49205619"/>
    <w:rsid w:val="4922547B"/>
    <w:rsid w:val="4923483E"/>
    <w:rsid w:val="49280E7A"/>
    <w:rsid w:val="49336412"/>
    <w:rsid w:val="493F0195"/>
    <w:rsid w:val="495113FA"/>
    <w:rsid w:val="4969085B"/>
    <w:rsid w:val="4969756D"/>
    <w:rsid w:val="49777618"/>
    <w:rsid w:val="497A1477"/>
    <w:rsid w:val="49862A25"/>
    <w:rsid w:val="49893CAB"/>
    <w:rsid w:val="49AE4A8C"/>
    <w:rsid w:val="49D54F3C"/>
    <w:rsid w:val="4A1F67CA"/>
    <w:rsid w:val="4A3100F0"/>
    <w:rsid w:val="4A503ED1"/>
    <w:rsid w:val="4A5E0E3F"/>
    <w:rsid w:val="4A620A37"/>
    <w:rsid w:val="4A7B772D"/>
    <w:rsid w:val="4A852A32"/>
    <w:rsid w:val="4A8D5A66"/>
    <w:rsid w:val="4AAE265D"/>
    <w:rsid w:val="4AB7573A"/>
    <w:rsid w:val="4AC63524"/>
    <w:rsid w:val="4AC97099"/>
    <w:rsid w:val="4ACC0576"/>
    <w:rsid w:val="4AE3407E"/>
    <w:rsid w:val="4AE81506"/>
    <w:rsid w:val="4AEA4ED1"/>
    <w:rsid w:val="4AF02574"/>
    <w:rsid w:val="4B1E70A8"/>
    <w:rsid w:val="4B2A2B69"/>
    <w:rsid w:val="4B3512FE"/>
    <w:rsid w:val="4B373D3C"/>
    <w:rsid w:val="4B3E7C24"/>
    <w:rsid w:val="4B4B0FFC"/>
    <w:rsid w:val="4B505EFA"/>
    <w:rsid w:val="4B74669C"/>
    <w:rsid w:val="4B7859E7"/>
    <w:rsid w:val="4B7F3A41"/>
    <w:rsid w:val="4B860513"/>
    <w:rsid w:val="4B8A72CF"/>
    <w:rsid w:val="4B972445"/>
    <w:rsid w:val="4BB70AA8"/>
    <w:rsid w:val="4BCF396B"/>
    <w:rsid w:val="4BED66CC"/>
    <w:rsid w:val="4C1065B5"/>
    <w:rsid w:val="4C217E66"/>
    <w:rsid w:val="4C3A49DA"/>
    <w:rsid w:val="4C6C4B2C"/>
    <w:rsid w:val="4C6D3334"/>
    <w:rsid w:val="4C70027F"/>
    <w:rsid w:val="4C723944"/>
    <w:rsid w:val="4C8937D3"/>
    <w:rsid w:val="4C92636C"/>
    <w:rsid w:val="4C987B90"/>
    <w:rsid w:val="4CAE2139"/>
    <w:rsid w:val="4CB3686B"/>
    <w:rsid w:val="4CC05C71"/>
    <w:rsid w:val="4CC51258"/>
    <w:rsid w:val="4CD9331E"/>
    <w:rsid w:val="4CDD791C"/>
    <w:rsid w:val="4CE92D4E"/>
    <w:rsid w:val="4D094E39"/>
    <w:rsid w:val="4D0E5386"/>
    <w:rsid w:val="4D1E6158"/>
    <w:rsid w:val="4D527A3F"/>
    <w:rsid w:val="4D6D5854"/>
    <w:rsid w:val="4D7D3ADC"/>
    <w:rsid w:val="4D834573"/>
    <w:rsid w:val="4D943011"/>
    <w:rsid w:val="4DA33AAF"/>
    <w:rsid w:val="4DB4337B"/>
    <w:rsid w:val="4DCB3EE4"/>
    <w:rsid w:val="4DDF3F73"/>
    <w:rsid w:val="4DE01E40"/>
    <w:rsid w:val="4E043932"/>
    <w:rsid w:val="4E1C1B71"/>
    <w:rsid w:val="4E361A67"/>
    <w:rsid w:val="4E680901"/>
    <w:rsid w:val="4EAC0101"/>
    <w:rsid w:val="4EB0535F"/>
    <w:rsid w:val="4EC44FA2"/>
    <w:rsid w:val="4EDC13F9"/>
    <w:rsid w:val="4F2D03BA"/>
    <w:rsid w:val="4F3E4EE5"/>
    <w:rsid w:val="4F522D7B"/>
    <w:rsid w:val="4F8046F1"/>
    <w:rsid w:val="4F8119B1"/>
    <w:rsid w:val="4F92238A"/>
    <w:rsid w:val="4FB93F22"/>
    <w:rsid w:val="4FC7629C"/>
    <w:rsid w:val="4FD42702"/>
    <w:rsid w:val="4FE062A3"/>
    <w:rsid w:val="4FFD0A59"/>
    <w:rsid w:val="4FFF755C"/>
    <w:rsid w:val="50223E9C"/>
    <w:rsid w:val="502D6DB0"/>
    <w:rsid w:val="5043798C"/>
    <w:rsid w:val="506F22A9"/>
    <w:rsid w:val="50731BAF"/>
    <w:rsid w:val="50892AE1"/>
    <w:rsid w:val="508A28EA"/>
    <w:rsid w:val="50A05FBD"/>
    <w:rsid w:val="50A56264"/>
    <w:rsid w:val="50D310E7"/>
    <w:rsid w:val="50FE681F"/>
    <w:rsid w:val="51074EDB"/>
    <w:rsid w:val="510E0E2A"/>
    <w:rsid w:val="510E6480"/>
    <w:rsid w:val="51197F18"/>
    <w:rsid w:val="51547ADE"/>
    <w:rsid w:val="51570B9A"/>
    <w:rsid w:val="515B5BAE"/>
    <w:rsid w:val="516F68B9"/>
    <w:rsid w:val="517A494B"/>
    <w:rsid w:val="518A04D2"/>
    <w:rsid w:val="51B8400A"/>
    <w:rsid w:val="51C25525"/>
    <w:rsid w:val="51F5627A"/>
    <w:rsid w:val="52107F84"/>
    <w:rsid w:val="52264C68"/>
    <w:rsid w:val="522C4211"/>
    <w:rsid w:val="52586942"/>
    <w:rsid w:val="527511EB"/>
    <w:rsid w:val="5298489A"/>
    <w:rsid w:val="52BF7035"/>
    <w:rsid w:val="52C34F5E"/>
    <w:rsid w:val="52CD2457"/>
    <w:rsid w:val="52E223AA"/>
    <w:rsid w:val="5305770A"/>
    <w:rsid w:val="537C1E5C"/>
    <w:rsid w:val="53834532"/>
    <w:rsid w:val="53B25B95"/>
    <w:rsid w:val="53BC65C2"/>
    <w:rsid w:val="53C24FBF"/>
    <w:rsid w:val="53C3751C"/>
    <w:rsid w:val="53E91DA0"/>
    <w:rsid w:val="53FD089E"/>
    <w:rsid w:val="540508D6"/>
    <w:rsid w:val="54321EEE"/>
    <w:rsid w:val="54453B17"/>
    <w:rsid w:val="544A03D8"/>
    <w:rsid w:val="54707003"/>
    <w:rsid w:val="54765614"/>
    <w:rsid w:val="548536F4"/>
    <w:rsid w:val="54934A30"/>
    <w:rsid w:val="54963849"/>
    <w:rsid w:val="54B2488E"/>
    <w:rsid w:val="54BA7426"/>
    <w:rsid w:val="54DD61CF"/>
    <w:rsid w:val="54DF2E0B"/>
    <w:rsid w:val="54E76C3E"/>
    <w:rsid w:val="54EF4663"/>
    <w:rsid w:val="550F5286"/>
    <w:rsid w:val="5518177A"/>
    <w:rsid w:val="55323649"/>
    <w:rsid w:val="556A2FD5"/>
    <w:rsid w:val="557668CE"/>
    <w:rsid w:val="5593631B"/>
    <w:rsid w:val="55946AD4"/>
    <w:rsid w:val="55CA3EEC"/>
    <w:rsid w:val="55D634ED"/>
    <w:rsid w:val="55E62651"/>
    <w:rsid w:val="560C1958"/>
    <w:rsid w:val="564C06F4"/>
    <w:rsid w:val="567910F3"/>
    <w:rsid w:val="568E7A95"/>
    <w:rsid w:val="56986CF3"/>
    <w:rsid w:val="569A13D1"/>
    <w:rsid w:val="56A05000"/>
    <w:rsid w:val="56A331CD"/>
    <w:rsid w:val="56B13420"/>
    <w:rsid w:val="56B332E9"/>
    <w:rsid w:val="56CA16A1"/>
    <w:rsid w:val="56EA6035"/>
    <w:rsid w:val="56F0146F"/>
    <w:rsid w:val="56F25C5D"/>
    <w:rsid w:val="571826D1"/>
    <w:rsid w:val="572610A1"/>
    <w:rsid w:val="57436AF9"/>
    <w:rsid w:val="577517E8"/>
    <w:rsid w:val="577F25EF"/>
    <w:rsid w:val="578204BE"/>
    <w:rsid w:val="5785395A"/>
    <w:rsid w:val="57863997"/>
    <w:rsid w:val="57902474"/>
    <w:rsid w:val="57A1541B"/>
    <w:rsid w:val="57C20060"/>
    <w:rsid w:val="57C62622"/>
    <w:rsid w:val="57DA3EA0"/>
    <w:rsid w:val="57E435FE"/>
    <w:rsid w:val="57FF1EAD"/>
    <w:rsid w:val="580D088A"/>
    <w:rsid w:val="5829224E"/>
    <w:rsid w:val="5834256D"/>
    <w:rsid w:val="583643B6"/>
    <w:rsid w:val="585C04F2"/>
    <w:rsid w:val="585D5FB5"/>
    <w:rsid w:val="58733088"/>
    <w:rsid w:val="58790B40"/>
    <w:rsid w:val="58805921"/>
    <w:rsid w:val="58B15802"/>
    <w:rsid w:val="58D74C96"/>
    <w:rsid w:val="58D76CBA"/>
    <w:rsid w:val="58E12CBB"/>
    <w:rsid w:val="58FA6822"/>
    <w:rsid w:val="58FC2C37"/>
    <w:rsid w:val="592734D1"/>
    <w:rsid w:val="59383ADA"/>
    <w:rsid w:val="593B0594"/>
    <w:rsid w:val="594B38A6"/>
    <w:rsid w:val="5953365B"/>
    <w:rsid w:val="5961766F"/>
    <w:rsid w:val="597074BB"/>
    <w:rsid w:val="59781953"/>
    <w:rsid w:val="599020E6"/>
    <w:rsid w:val="59950669"/>
    <w:rsid w:val="59AD3357"/>
    <w:rsid w:val="59BF3C49"/>
    <w:rsid w:val="59C373D1"/>
    <w:rsid w:val="59E15D3D"/>
    <w:rsid w:val="59F51CED"/>
    <w:rsid w:val="5A0A5ECA"/>
    <w:rsid w:val="5A1222DD"/>
    <w:rsid w:val="5A1F08E3"/>
    <w:rsid w:val="5A284D2A"/>
    <w:rsid w:val="5A3A0457"/>
    <w:rsid w:val="5A437242"/>
    <w:rsid w:val="5A7C1A33"/>
    <w:rsid w:val="5A7D7AFF"/>
    <w:rsid w:val="5A911489"/>
    <w:rsid w:val="5AD311F6"/>
    <w:rsid w:val="5AF968C7"/>
    <w:rsid w:val="5B0C31E8"/>
    <w:rsid w:val="5B252510"/>
    <w:rsid w:val="5B291FCE"/>
    <w:rsid w:val="5BC14505"/>
    <w:rsid w:val="5BC270D8"/>
    <w:rsid w:val="5BD72738"/>
    <w:rsid w:val="5BD76AB6"/>
    <w:rsid w:val="5BD87A5F"/>
    <w:rsid w:val="5BE24E20"/>
    <w:rsid w:val="5BFF7AE6"/>
    <w:rsid w:val="5C0B789C"/>
    <w:rsid w:val="5C372F37"/>
    <w:rsid w:val="5C3A48B6"/>
    <w:rsid w:val="5C410A77"/>
    <w:rsid w:val="5CA95EEB"/>
    <w:rsid w:val="5CAB0CD0"/>
    <w:rsid w:val="5CAB7727"/>
    <w:rsid w:val="5CAC66E1"/>
    <w:rsid w:val="5CBE6758"/>
    <w:rsid w:val="5CC441E1"/>
    <w:rsid w:val="5CD108AB"/>
    <w:rsid w:val="5CE760ED"/>
    <w:rsid w:val="5D2113E8"/>
    <w:rsid w:val="5D673A5A"/>
    <w:rsid w:val="5D6B1009"/>
    <w:rsid w:val="5D836428"/>
    <w:rsid w:val="5D8D5661"/>
    <w:rsid w:val="5DAA473B"/>
    <w:rsid w:val="5DBD32BE"/>
    <w:rsid w:val="5DBF5D4F"/>
    <w:rsid w:val="5DC55B3F"/>
    <w:rsid w:val="5DCB4D6D"/>
    <w:rsid w:val="5DD97AD5"/>
    <w:rsid w:val="5E2524A8"/>
    <w:rsid w:val="5E2A7441"/>
    <w:rsid w:val="5E2E2912"/>
    <w:rsid w:val="5E567403"/>
    <w:rsid w:val="5E813DB6"/>
    <w:rsid w:val="5E851E72"/>
    <w:rsid w:val="5E8972BA"/>
    <w:rsid w:val="5EA62EF7"/>
    <w:rsid w:val="5EB441A9"/>
    <w:rsid w:val="5EBA517D"/>
    <w:rsid w:val="5EBD202B"/>
    <w:rsid w:val="5ED6420B"/>
    <w:rsid w:val="5EE43E9B"/>
    <w:rsid w:val="5EE822FC"/>
    <w:rsid w:val="5EEC4DA1"/>
    <w:rsid w:val="5EF442CA"/>
    <w:rsid w:val="5EF715EB"/>
    <w:rsid w:val="5EFC796F"/>
    <w:rsid w:val="5F281498"/>
    <w:rsid w:val="5F4C13E6"/>
    <w:rsid w:val="5F4C71F9"/>
    <w:rsid w:val="5F530F9F"/>
    <w:rsid w:val="5F544D91"/>
    <w:rsid w:val="5F7D5ED3"/>
    <w:rsid w:val="5FA81A4B"/>
    <w:rsid w:val="5FB55DAF"/>
    <w:rsid w:val="5FC42AD9"/>
    <w:rsid w:val="5FFA1888"/>
    <w:rsid w:val="5FFB56DE"/>
    <w:rsid w:val="600960AF"/>
    <w:rsid w:val="601B7031"/>
    <w:rsid w:val="604407BF"/>
    <w:rsid w:val="60486347"/>
    <w:rsid w:val="60566B33"/>
    <w:rsid w:val="60580D25"/>
    <w:rsid w:val="60B179AB"/>
    <w:rsid w:val="60BF3DA2"/>
    <w:rsid w:val="60BF626C"/>
    <w:rsid w:val="60CE1B44"/>
    <w:rsid w:val="60E92F0A"/>
    <w:rsid w:val="60EB09BA"/>
    <w:rsid w:val="60F41E9F"/>
    <w:rsid w:val="61072CD2"/>
    <w:rsid w:val="611D59EE"/>
    <w:rsid w:val="611D7C5B"/>
    <w:rsid w:val="61454633"/>
    <w:rsid w:val="617B0BB5"/>
    <w:rsid w:val="618E396B"/>
    <w:rsid w:val="61910762"/>
    <w:rsid w:val="61B05D45"/>
    <w:rsid w:val="61BE7D2A"/>
    <w:rsid w:val="61C015E9"/>
    <w:rsid w:val="61E74D6C"/>
    <w:rsid w:val="61F57174"/>
    <w:rsid w:val="623449FC"/>
    <w:rsid w:val="62355655"/>
    <w:rsid w:val="623F08B8"/>
    <w:rsid w:val="62523266"/>
    <w:rsid w:val="62595EC7"/>
    <w:rsid w:val="627177CD"/>
    <w:rsid w:val="627511AF"/>
    <w:rsid w:val="62770624"/>
    <w:rsid w:val="62814A14"/>
    <w:rsid w:val="62CE0974"/>
    <w:rsid w:val="62D54B71"/>
    <w:rsid w:val="62E0024A"/>
    <w:rsid w:val="62E02E1C"/>
    <w:rsid w:val="631D2AC7"/>
    <w:rsid w:val="63261CB3"/>
    <w:rsid w:val="633F1142"/>
    <w:rsid w:val="63463232"/>
    <w:rsid w:val="634D48DE"/>
    <w:rsid w:val="636B19CD"/>
    <w:rsid w:val="63780F55"/>
    <w:rsid w:val="63A1609E"/>
    <w:rsid w:val="63A22ADD"/>
    <w:rsid w:val="63BA5239"/>
    <w:rsid w:val="63F25AAD"/>
    <w:rsid w:val="63F71532"/>
    <w:rsid w:val="63F769F2"/>
    <w:rsid w:val="64045B83"/>
    <w:rsid w:val="641724DD"/>
    <w:rsid w:val="642C33B8"/>
    <w:rsid w:val="644F09B6"/>
    <w:rsid w:val="64516D3E"/>
    <w:rsid w:val="645C797F"/>
    <w:rsid w:val="64867737"/>
    <w:rsid w:val="648D4DC3"/>
    <w:rsid w:val="64937B40"/>
    <w:rsid w:val="64951845"/>
    <w:rsid w:val="64A7189D"/>
    <w:rsid w:val="64A93377"/>
    <w:rsid w:val="64B94457"/>
    <w:rsid w:val="64C10B7B"/>
    <w:rsid w:val="64C72A0B"/>
    <w:rsid w:val="64E414E0"/>
    <w:rsid w:val="64F81386"/>
    <w:rsid w:val="652524D0"/>
    <w:rsid w:val="652A3F85"/>
    <w:rsid w:val="652C15E3"/>
    <w:rsid w:val="656B25DE"/>
    <w:rsid w:val="656E0AFF"/>
    <w:rsid w:val="65744A67"/>
    <w:rsid w:val="657D496C"/>
    <w:rsid w:val="65965311"/>
    <w:rsid w:val="65991807"/>
    <w:rsid w:val="65A0142C"/>
    <w:rsid w:val="65C71253"/>
    <w:rsid w:val="65EA707A"/>
    <w:rsid w:val="663228BD"/>
    <w:rsid w:val="665C7E71"/>
    <w:rsid w:val="665F1C74"/>
    <w:rsid w:val="66722C55"/>
    <w:rsid w:val="66730C34"/>
    <w:rsid w:val="668E5827"/>
    <w:rsid w:val="66A43656"/>
    <w:rsid w:val="66AD46B9"/>
    <w:rsid w:val="66B3502D"/>
    <w:rsid w:val="66C806BD"/>
    <w:rsid w:val="66C873FE"/>
    <w:rsid w:val="66EF7312"/>
    <w:rsid w:val="66F44D63"/>
    <w:rsid w:val="67173F59"/>
    <w:rsid w:val="67256520"/>
    <w:rsid w:val="67267A59"/>
    <w:rsid w:val="67520F7A"/>
    <w:rsid w:val="67822F4A"/>
    <w:rsid w:val="67A04650"/>
    <w:rsid w:val="67A9516E"/>
    <w:rsid w:val="67D544FF"/>
    <w:rsid w:val="67F50961"/>
    <w:rsid w:val="68014D26"/>
    <w:rsid w:val="680F0D3C"/>
    <w:rsid w:val="68297331"/>
    <w:rsid w:val="683A43E2"/>
    <w:rsid w:val="68631F9E"/>
    <w:rsid w:val="68F212CB"/>
    <w:rsid w:val="68F63773"/>
    <w:rsid w:val="69010518"/>
    <w:rsid w:val="69272D88"/>
    <w:rsid w:val="69274894"/>
    <w:rsid w:val="69331F88"/>
    <w:rsid w:val="693F120E"/>
    <w:rsid w:val="69440073"/>
    <w:rsid w:val="6954065E"/>
    <w:rsid w:val="695C41D8"/>
    <w:rsid w:val="69730085"/>
    <w:rsid w:val="6980463C"/>
    <w:rsid w:val="69B6146E"/>
    <w:rsid w:val="69BA6CE6"/>
    <w:rsid w:val="69C81951"/>
    <w:rsid w:val="69E1043D"/>
    <w:rsid w:val="69E105C7"/>
    <w:rsid w:val="69E67861"/>
    <w:rsid w:val="69ED7FCE"/>
    <w:rsid w:val="69F603A4"/>
    <w:rsid w:val="69F677D1"/>
    <w:rsid w:val="6A122522"/>
    <w:rsid w:val="6A225BCB"/>
    <w:rsid w:val="6A4A00DD"/>
    <w:rsid w:val="6A5945EB"/>
    <w:rsid w:val="6A5B554E"/>
    <w:rsid w:val="6A6019CC"/>
    <w:rsid w:val="6A663916"/>
    <w:rsid w:val="6A6F0C2B"/>
    <w:rsid w:val="6A8E441C"/>
    <w:rsid w:val="6A9834B2"/>
    <w:rsid w:val="6AA07311"/>
    <w:rsid w:val="6AA3203F"/>
    <w:rsid w:val="6AAC6B9E"/>
    <w:rsid w:val="6AC2507F"/>
    <w:rsid w:val="6B0D754B"/>
    <w:rsid w:val="6B161984"/>
    <w:rsid w:val="6B287EA8"/>
    <w:rsid w:val="6B2B5BD2"/>
    <w:rsid w:val="6B2F2DA6"/>
    <w:rsid w:val="6B385122"/>
    <w:rsid w:val="6B556307"/>
    <w:rsid w:val="6B865118"/>
    <w:rsid w:val="6B871777"/>
    <w:rsid w:val="6B8C65AF"/>
    <w:rsid w:val="6BA33D7F"/>
    <w:rsid w:val="6BC703C0"/>
    <w:rsid w:val="6BC8237B"/>
    <w:rsid w:val="6BCB7818"/>
    <w:rsid w:val="6BE26F6A"/>
    <w:rsid w:val="6BF23043"/>
    <w:rsid w:val="6BF32268"/>
    <w:rsid w:val="6BFB7D72"/>
    <w:rsid w:val="6BFC2786"/>
    <w:rsid w:val="6C08695F"/>
    <w:rsid w:val="6C0D546E"/>
    <w:rsid w:val="6C0D5A20"/>
    <w:rsid w:val="6C1E03F6"/>
    <w:rsid w:val="6C2C2459"/>
    <w:rsid w:val="6C3D3F2D"/>
    <w:rsid w:val="6C3F0B24"/>
    <w:rsid w:val="6C454CBD"/>
    <w:rsid w:val="6C4B7810"/>
    <w:rsid w:val="6C887360"/>
    <w:rsid w:val="6C941171"/>
    <w:rsid w:val="6CD27CEA"/>
    <w:rsid w:val="6CD57E78"/>
    <w:rsid w:val="6CF266C6"/>
    <w:rsid w:val="6D104C89"/>
    <w:rsid w:val="6D1A4E80"/>
    <w:rsid w:val="6D3343BE"/>
    <w:rsid w:val="6D37574E"/>
    <w:rsid w:val="6D46263C"/>
    <w:rsid w:val="6D476454"/>
    <w:rsid w:val="6D484037"/>
    <w:rsid w:val="6D5A55A1"/>
    <w:rsid w:val="6D6D18F5"/>
    <w:rsid w:val="6D710B57"/>
    <w:rsid w:val="6D8F6200"/>
    <w:rsid w:val="6DB07064"/>
    <w:rsid w:val="6DB94322"/>
    <w:rsid w:val="6DC45C8A"/>
    <w:rsid w:val="6E040055"/>
    <w:rsid w:val="6E39307B"/>
    <w:rsid w:val="6E3F2CCE"/>
    <w:rsid w:val="6E405F4A"/>
    <w:rsid w:val="6E704D3B"/>
    <w:rsid w:val="6E721AC2"/>
    <w:rsid w:val="6E875598"/>
    <w:rsid w:val="6E8E28B2"/>
    <w:rsid w:val="6EB25336"/>
    <w:rsid w:val="6EBC51F3"/>
    <w:rsid w:val="6EBF1516"/>
    <w:rsid w:val="6ECB2092"/>
    <w:rsid w:val="6ECB75C0"/>
    <w:rsid w:val="6ECD2F7C"/>
    <w:rsid w:val="6EE06940"/>
    <w:rsid w:val="6EF9226B"/>
    <w:rsid w:val="6F0247A4"/>
    <w:rsid w:val="6F075F3D"/>
    <w:rsid w:val="6F094974"/>
    <w:rsid w:val="6F0C2BFB"/>
    <w:rsid w:val="6F17672B"/>
    <w:rsid w:val="6F1B2BD3"/>
    <w:rsid w:val="6F2C13F5"/>
    <w:rsid w:val="6F2C770E"/>
    <w:rsid w:val="6F5B3495"/>
    <w:rsid w:val="6F6144E0"/>
    <w:rsid w:val="6FB8455F"/>
    <w:rsid w:val="6FB91458"/>
    <w:rsid w:val="6FCB62BA"/>
    <w:rsid w:val="6FFA1703"/>
    <w:rsid w:val="70151F71"/>
    <w:rsid w:val="70206BB3"/>
    <w:rsid w:val="702D243B"/>
    <w:rsid w:val="703644CA"/>
    <w:rsid w:val="70730315"/>
    <w:rsid w:val="70784492"/>
    <w:rsid w:val="709A551D"/>
    <w:rsid w:val="70AA763C"/>
    <w:rsid w:val="70B10BBB"/>
    <w:rsid w:val="70B34E7A"/>
    <w:rsid w:val="70CB12D9"/>
    <w:rsid w:val="70CF1289"/>
    <w:rsid w:val="70D079F5"/>
    <w:rsid w:val="70EC036D"/>
    <w:rsid w:val="70FF4E43"/>
    <w:rsid w:val="71000A51"/>
    <w:rsid w:val="71137217"/>
    <w:rsid w:val="714149A1"/>
    <w:rsid w:val="715D41FB"/>
    <w:rsid w:val="71687318"/>
    <w:rsid w:val="71CD678B"/>
    <w:rsid w:val="71E963C9"/>
    <w:rsid w:val="71F372EB"/>
    <w:rsid w:val="71F97AA3"/>
    <w:rsid w:val="71FB2F3F"/>
    <w:rsid w:val="723C40E2"/>
    <w:rsid w:val="7242273F"/>
    <w:rsid w:val="72473C63"/>
    <w:rsid w:val="725215CC"/>
    <w:rsid w:val="72524DC3"/>
    <w:rsid w:val="72574340"/>
    <w:rsid w:val="727C1491"/>
    <w:rsid w:val="72967050"/>
    <w:rsid w:val="72980ABC"/>
    <w:rsid w:val="72A031B5"/>
    <w:rsid w:val="72B27DED"/>
    <w:rsid w:val="72B566B1"/>
    <w:rsid w:val="72BC0BF9"/>
    <w:rsid w:val="72C9415F"/>
    <w:rsid w:val="72D14842"/>
    <w:rsid w:val="72D37761"/>
    <w:rsid w:val="72D717C0"/>
    <w:rsid w:val="72F45438"/>
    <w:rsid w:val="730456BB"/>
    <w:rsid w:val="73177AF3"/>
    <w:rsid w:val="7330204A"/>
    <w:rsid w:val="735220C5"/>
    <w:rsid w:val="736A47A3"/>
    <w:rsid w:val="73853395"/>
    <w:rsid w:val="73863414"/>
    <w:rsid w:val="738C2387"/>
    <w:rsid w:val="73A078A8"/>
    <w:rsid w:val="73A7045C"/>
    <w:rsid w:val="73CA51E6"/>
    <w:rsid w:val="73CE6911"/>
    <w:rsid w:val="73CF5E6E"/>
    <w:rsid w:val="73EF6AF6"/>
    <w:rsid w:val="74131685"/>
    <w:rsid w:val="742346B4"/>
    <w:rsid w:val="742413AD"/>
    <w:rsid w:val="74245699"/>
    <w:rsid w:val="742837D4"/>
    <w:rsid w:val="74425093"/>
    <w:rsid w:val="74672F69"/>
    <w:rsid w:val="746A2482"/>
    <w:rsid w:val="746D17A9"/>
    <w:rsid w:val="747576EC"/>
    <w:rsid w:val="74870825"/>
    <w:rsid w:val="748A490D"/>
    <w:rsid w:val="749D0FB7"/>
    <w:rsid w:val="74C55558"/>
    <w:rsid w:val="74F060ED"/>
    <w:rsid w:val="75101554"/>
    <w:rsid w:val="751D2BEE"/>
    <w:rsid w:val="7555614B"/>
    <w:rsid w:val="755D3BE5"/>
    <w:rsid w:val="7562116D"/>
    <w:rsid w:val="757C7A9C"/>
    <w:rsid w:val="757D33CC"/>
    <w:rsid w:val="758461E8"/>
    <w:rsid w:val="759A19ED"/>
    <w:rsid w:val="75A042AA"/>
    <w:rsid w:val="75AA3778"/>
    <w:rsid w:val="75C36B26"/>
    <w:rsid w:val="75CD37C6"/>
    <w:rsid w:val="75DC2DB7"/>
    <w:rsid w:val="75E32B1D"/>
    <w:rsid w:val="75EC2E8A"/>
    <w:rsid w:val="76032837"/>
    <w:rsid w:val="76125315"/>
    <w:rsid w:val="76154506"/>
    <w:rsid w:val="7638520B"/>
    <w:rsid w:val="765066A5"/>
    <w:rsid w:val="76525FF1"/>
    <w:rsid w:val="76687AB8"/>
    <w:rsid w:val="766E3BB5"/>
    <w:rsid w:val="76897870"/>
    <w:rsid w:val="76AA37AA"/>
    <w:rsid w:val="76C67EF9"/>
    <w:rsid w:val="76C84CCD"/>
    <w:rsid w:val="76F01E2B"/>
    <w:rsid w:val="76F22868"/>
    <w:rsid w:val="76F2757F"/>
    <w:rsid w:val="76FA5A69"/>
    <w:rsid w:val="76FD42C7"/>
    <w:rsid w:val="770A2942"/>
    <w:rsid w:val="77360CB3"/>
    <w:rsid w:val="77410D37"/>
    <w:rsid w:val="774F0625"/>
    <w:rsid w:val="77672932"/>
    <w:rsid w:val="7782776C"/>
    <w:rsid w:val="77C60B09"/>
    <w:rsid w:val="77E047BF"/>
    <w:rsid w:val="77E57096"/>
    <w:rsid w:val="78087C0A"/>
    <w:rsid w:val="783402FB"/>
    <w:rsid w:val="783B409E"/>
    <w:rsid w:val="784A0948"/>
    <w:rsid w:val="78595B08"/>
    <w:rsid w:val="78783252"/>
    <w:rsid w:val="787852A2"/>
    <w:rsid w:val="7892463D"/>
    <w:rsid w:val="78B44EA8"/>
    <w:rsid w:val="78CF67C4"/>
    <w:rsid w:val="78DA641E"/>
    <w:rsid w:val="78E131DA"/>
    <w:rsid w:val="78E81464"/>
    <w:rsid w:val="79026409"/>
    <w:rsid w:val="79076B57"/>
    <w:rsid w:val="791B26B4"/>
    <w:rsid w:val="795F5CCF"/>
    <w:rsid w:val="79F124F2"/>
    <w:rsid w:val="7A0B537A"/>
    <w:rsid w:val="7A1D2824"/>
    <w:rsid w:val="7A3610CC"/>
    <w:rsid w:val="7A60697D"/>
    <w:rsid w:val="7A7D176C"/>
    <w:rsid w:val="7A7D43E3"/>
    <w:rsid w:val="7A9651DE"/>
    <w:rsid w:val="7A9E1199"/>
    <w:rsid w:val="7AA01F48"/>
    <w:rsid w:val="7AA37705"/>
    <w:rsid w:val="7ABA4D69"/>
    <w:rsid w:val="7ADB1D8A"/>
    <w:rsid w:val="7AE1116D"/>
    <w:rsid w:val="7AF62569"/>
    <w:rsid w:val="7B0A05EE"/>
    <w:rsid w:val="7B1D7382"/>
    <w:rsid w:val="7B3F01F5"/>
    <w:rsid w:val="7B7F7CAC"/>
    <w:rsid w:val="7B835C42"/>
    <w:rsid w:val="7BDA6932"/>
    <w:rsid w:val="7BE121BC"/>
    <w:rsid w:val="7BF25336"/>
    <w:rsid w:val="7BFB40BE"/>
    <w:rsid w:val="7BFC10C4"/>
    <w:rsid w:val="7C053EEA"/>
    <w:rsid w:val="7C4D5033"/>
    <w:rsid w:val="7C510967"/>
    <w:rsid w:val="7C660A57"/>
    <w:rsid w:val="7C6B6D07"/>
    <w:rsid w:val="7C804436"/>
    <w:rsid w:val="7C83738D"/>
    <w:rsid w:val="7C8B5068"/>
    <w:rsid w:val="7CC21E81"/>
    <w:rsid w:val="7CDE1C69"/>
    <w:rsid w:val="7D082E8B"/>
    <w:rsid w:val="7D2F14F1"/>
    <w:rsid w:val="7D7E530B"/>
    <w:rsid w:val="7D8442D2"/>
    <w:rsid w:val="7D95465E"/>
    <w:rsid w:val="7D9A6D7A"/>
    <w:rsid w:val="7DA5350B"/>
    <w:rsid w:val="7DB75509"/>
    <w:rsid w:val="7DD124DB"/>
    <w:rsid w:val="7E100392"/>
    <w:rsid w:val="7E192C83"/>
    <w:rsid w:val="7E253160"/>
    <w:rsid w:val="7E2A13A3"/>
    <w:rsid w:val="7E355625"/>
    <w:rsid w:val="7E4176C5"/>
    <w:rsid w:val="7EAB487A"/>
    <w:rsid w:val="7EB4068F"/>
    <w:rsid w:val="7EBE12A4"/>
    <w:rsid w:val="7EC77481"/>
    <w:rsid w:val="7EDB3970"/>
    <w:rsid w:val="7F29120C"/>
    <w:rsid w:val="7F3B7177"/>
    <w:rsid w:val="7F3D0996"/>
    <w:rsid w:val="7F4D6B12"/>
    <w:rsid w:val="7F5D2459"/>
    <w:rsid w:val="7F6711ED"/>
    <w:rsid w:val="7F753532"/>
    <w:rsid w:val="7F9830B0"/>
    <w:rsid w:val="7FC976D0"/>
    <w:rsid w:val="7FCD59AE"/>
    <w:rsid w:val="7FE27484"/>
    <w:rsid w:val="7FF31F0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0" w:semiHidden="0" w:name="List"/>
    <w:lsdException w:uiPriority="99" w:name="List Bullet"/>
    <w:lsdException w:uiPriority="99" w:name="List Number"/>
    <w:lsdException w:qFormat="1" w:uiPriority="0" w:semiHidden="0" w:name="List 2"/>
    <w:lsdException w:uiPriority="99" w:name="List 3"/>
    <w:lsdException w:uiPriority="99" w:name="List 4"/>
    <w:lsdException w:uiPriority="99" w:name="List 5"/>
    <w:lsdException w:qFormat="1" w:uiPriority="0" w:semiHidden="0" w:name="List Bullet 2"/>
    <w:lsdException w:qFormat="1" w:uiPriority="0" w:semiHidden="0"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uiPriority="99" w:name="Block Text"/>
    <w:lsdException w:qFormat="1"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left"/>
    </w:pPr>
    <w:rPr>
      <w:rFonts w:ascii="宋体" w:hAnsi="宋体" w:eastAsia="宋体" w:cs="Times New Roman"/>
      <w:kern w:val="2"/>
      <w:sz w:val="24"/>
      <w:szCs w:val="24"/>
      <w:lang w:val="en-US" w:eastAsia="zh-CN" w:bidi="ar-SA"/>
    </w:rPr>
  </w:style>
  <w:style w:type="paragraph" w:styleId="2">
    <w:name w:val="heading 1"/>
    <w:basedOn w:val="1"/>
    <w:next w:val="1"/>
    <w:link w:val="70"/>
    <w:qFormat/>
    <w:uiPriority w:val="0"/>
    <w:pPr>
      <w:keepNext/>
      <w:keepLines/>
      <w:adjustRightInd w:val="0"/>
      <w:snapToGrid w:val="0"/>
      <w:ind w:firstLine="0" w:firstLineChars="0"/>
      <w:jc w:val="center"/>
      <w:outlineLvl w:val="0"/>
    </w:pPr>
    <w:rPr>
      <w:rFonts w:ascii="宋体" w:hAnsi="宋体" w:eastAsia="宋体"/>
      <w:b/>
      <w:bCs/>
      <w:kern w:val="44"/>
      <w:sz w:val="32"/>
      <w:szCs w:val="52"/>
    </w:rPr>
  </w:style>
  <w:style w:type="paragraph" w:styleId="3">
    <w:name w:val="heading 2"/>
    <w:basedOn w:val="1"/>
    <w:next w:val="1"/>
    <w:link w:val="107"/>
    <w:qFormat/>
    <w:uiPriority w:val="0"/>
    <w:pPr>
      <w:keepNext/>
      <w:keepLines/>
      <w:adjustRightInd w:val="0"/>
      <w:snapToGrid w:val="0"/>
      <w:ind w:firstLine="0" w:firstLineChars="0"/>
      <w:jc w:val="left"/>
      <w:outlineLvl w:val="1"/>
    </w:pPr>
    <w:rPr>
      <w:rFonts w:ascii="宋体" w:hAnsi="宋体" w:eastAsia="宋体"/>
      <w:b/>
      <w:bCs/>
      <w:sz w:val="28"/>
      <w:szCs w:val="32"/>
    </w:rPr>
  </w:style>
  <w:style w:type="paragraph" w:styleId="4">
    <w:name w:val="heading 3"/>
    <w:basedOn w:val="1"/>
    <w:next w:val="1"/>
    <w:link w:val="71"/>
    <w:qFormat/>
    <w:uiPriority w:val="0"/>
    <w:pPr>
      <w:keepNext/>
      <w:keepLines/>
      <w:adjustRightInd w:val="0"/>
      <w:snapToGrid w:val="0"/>
      <w:ind w:firstLine="0" w:firstLineChars="0"/>
      <w:outlineLvl w:val="2"/>
    </w:pPr>
    <w:rPr>
      <w:rFonts w:ascii="宋体" w:hAnsi="宋体" w:eastAsia="宋体"/>
      <w:b/>
      <w:bCs/>
      <w:szCs w:val="32"/>
    </w:rPr>
  </w:style>
  <w:style w:type="paragraph" w:styleId="5">
    <w:name w:val="heading 4"/>
    <w:basedOn w:val="1"/>
    <w:next w:val="1"/>
    <w:link w:val="94"/>
    <w:qFormat/>
    <w:uiPriority w:val="9"/>
    <w:pPr>
      <w:keepNext/>
      <w:keepLines/>
      <w:adjustRightInd w:val="0"/>
      <w:snapToGrid w:val="0"/>
      <w:outlineLvl w:val="3"/>
    </w:pPr>
    <w:rPr>
      <w:rFonts w:ascii="Cambria" w:hAnsi="Cambria"/>
      <w:b/>
      <w:bCs/>
      <w:sz w:val="21"/>
      <w:szCs w:val="28"/>
    </w:rPr>
  </w:style>
  <w:style w:type="paragraph" w:styleId="6">
    <w:name w:val="heading 5"/>
    <w:basedOn w:val="1"/>
    <w:next w:val="1"/>
    <w:unhideWhenUsed/>
    <w:qFormat/>
    <w:uiPriority w:val="9"/>
    <w:pPr>
      <w:keepNext/>
      <w:keepLines/>
      <w:spacing w:before="280" w:beforeLines="0" w:beforeAutospacing="0" w:after="290" w:afterLines="0" w:afterAutospacing="0" w:line="372" w:lineRule="auto"/>
      <w:outlineLvl w:val="4"/>
    </w:pPr>
    <w:rPr>
      <w:b/>
      <w:sz w:val="28"/>
    </w:rPr>
  </w:style>
  <w:style w:type="character" w:default="1" w:styleId="40">
    <w:name w:val="Default Paragraph Font"/>
    <w:unhideWhenUsed/>
    <w:qFormat/>
    <w:uiPriority w:val="1"/>
  </w:style>
  <w:style w:type="table" w:default="1" w:styleId="46">
    <w:name w:val="Normal Table"/>
    <w:unhideWhenUsed/>
    <w:qFormat/>
    <w:uiPriority w:val="99"/>
    <w:tblPr>
      <w:tblLayout w:type="fixed"/>
      <w:tblCellMar>
        <w:top w:w="0" w:type="dxa"/>
        <w:left w:w="108" w:type="dxa"/>
        <w:bottom w:w="0" w:type="dxa"/>
        <w:right w:w="108" w:type="dxa"/>
      </w:tblCellMar>
    </w:tblPr>
  </w:style>
  <w:style w:type="paragraph" w:styleId="7">
    <w:name w:val="annotation subject"/>
    <w:basedOn w:val="8"/>
    <w:next w:val="8"/>
    <w:link w:val="103"/>
    <w:unhideWhenUsed/>
    <w:qFormat/>
    <w:uiPriority w:val="0"/>
    <w:rPr>
      <w:b/>
      <w:bCs/>
    </w:rPr>
  </w:style>
  <w:style w:type="paragraph" w:styleId="8">
    <w:name w:val="annotation text"/>
    <w:basedOn w:val="1"/>
    <w:link w:val="55"/>
    <w:unhideWhenUsed/>
    <w:qFormat/>
    <w:uiPriority w:val="0"/>
    <w:pPr>
      <w:spacing w:line="240" w:lineRule="auto"/>
      <w:ind w:firstLine="0" w:firstLineChars="0"/>
      <w:jc w:val="left"/>
    </w:pPr>
    <w:rPr>
      <w:sz w:val="21"/>
    </w:rPr>
  </w:style>
  <w:style w:type="paragraph" w:styleId="9">
    <w:name w:val="toc 7"/>
    <w:basedOn w:val="1"/>
    <w:next w:val="1"/>
    <w:unhideWhenUsed/>
    <w:qFormat/>
    <w:uiPriority w:val="39"/>
    <w:pPr>
      <w:spacing w:line="240" w:lineRule="auto"/>
      <w:ind w:left="1260" w:firstLine="0" w:firstLineChars="0"/>
      <w:jc w:val="left"/>
    </w:pPr>
    <w:rPr>
      <w:szCs w:val="21"/>
    </w:rPr>
  </w:style>
  <w:style w:type="paragraph" w:styleId="10">
    <w:name w:val="Body Text First Indent"/>
    <w:basedOn w:val="11"/>
    <w:unhideWhenUsed/>
    <w:qFormat/>
    <w:uiPriority w:val="99"/>
    <w:pPr>
      <w:ind w:firstLine="420" w:firstLineChars="100"/>
    </w:pPr>
  </w:style>
  <w:style w:type="paragraph" w:styleId="11">
    <w:name w:val="Body Text"/>
    <w:basedOn w:val="1"/>
    <w:next w:val="1"/>
    <w:link w:val="50"/>
    <w:unhideWhenUsed/>
    <w:qFormat/>
    <w:uiPriority w:val="0"/>
    <w:pPr>
      <w:adjustRightInd w:val="0"/>
      <w:spacing w:line="315" w:lineRule="atLeast"/>
      <w:ind w:firstLine="0" w:firstLineChars="0"/>
      <w:jc w:val="left"/>
    </w:pPr>
    <w:rPr>
      <w:rFonts w:ascii="仿宋_GB2312" w:eastAsia="仿宋_GB2312"/>
      <w:kern w:val="0"/>
      <w:sz w:val="28"/>
      <w:szCs w:val="20"/>
    </w:rPr>
  </w:style>
  <w:style w:type="paragraph" w:styleId="12">
    <w:name w:val="Normal Indent"/>
    <w:basedOn w:val="1"/>
    <w:link w:val="79"/>
    <w:unhideWhenUsed/>
    <w:qFormat/>
    <w:uiPriority w:val="0"/>
    <w:pPr>
      <w:spacing w:line="240" w:lineRule="auto"/>
      <w:ind w:firstLine="420" w:firstLineChars="0"/>
    </w:pPr>
    <w:rPr>
      <w:sz w:val="21"/>
    </w:rPr>
  </w:style>
  <w:style w:type="paragraph" w:styleId="13">
    <w:name w:val="Document Map"/>
    <w:basedOn w:val="1"/>
    <w:link w:val="102"/>
    <w:unhideWhenUsed/>
    <w:qFormat/>
    <w:uiPriority w:val="0"/>
    <w:rPr>
      <w:rFonts w:ascii="宋体"/>
      <w:kern w:val="0"/>
      <w:sz w:val="18"/>
      <w:szCs w:val="18"/>
    </w:rPr>
  </w:style>
  <w:style w:type="paragraph" w:styleId="14">
    <w:name w:val="Body Text 3"/>
    <w:basedOn w:val="1"/>
    <w:link w:val="106"/>
    <w:unhideWhenUsed/>
    <w:qFormat/>
    <w:uiPriority w:val="0"/>
    <w:pPr>
      <w:spacing w:line="440" w:lineRule="atLeast"/>
      <w:ind w:firstLine="0" w:firstLineChars="0"/>
      <w:jc w:val="center"/>
    </w:pPr>
    <w:rPr>
      <w:rFonts w:ascii="楷体_GB2312" w:eastAsia="楷体_GB2312"/>
      <w:b/>
      <w:color w:val="000000"/>
      <w:sz w:val="30"/>
    </w:rPr>
  </w:style>
  <w:style w:type="paragraph" w:styleId="15">
    <w:name w:val="List Bullet 3"/>
    <w:basedOn w:val="1"/>
    <w:unhideWhenUsed/>
    <w:qFormat/>
    <w:uiPriority w:val="0"/>
    <w:pPr>
      <w:numPr>
        <w:ilvl w:val="0"/>
        <w:numId w:val="1"/>
      </w:numPr>
      <w:tabs>
        <w:tab w:val="left" w:pos="720"/>
      </w:tabs>
      <w:spacing w:line="240" w:lineRule="auto"/>
      <w:ind w:firstLine="0" w:firstLineChars="0"/>
    </w:pPr>
  </w:style>
  <w:style w:type="paragraph" w:styleId="16">
    <w:name w:val="Body Text Indent"/>
    <w:basedOn w:val="1"/>
    <w:next w:val="1"/>
    <w:link w:val="56"/>
    <w:unhideWhenUsed/>
    <w:qFormat/>
    <w:uiPriority w:val="0"/>
    <w:pPr>
      <w:widowControl/>
      <w:autoSpaceDE w:val="0"/>
      <w:autoSpaceDN w:val="0"/>
      <w:snapToGrid w:val="0"/>
      <w:spacing w:before="120" w:line="400" w:lineRule="atLeast"/>
      <w:ind w:firstLine="570" w:firstLineChars="0"/>
    </w:pPr>
    <w:rPr>
      <w:rFonts w:ascii="宋体"/>
      <w:kern w:val="0"/>
      <w:szCs w:val="20"/>
    </w:rPr>
  </w:style>
  <w:style w:type="paragraph" w:styleId="17">
    <w:name w:val="List 2"/>
    <w:basedOn w:val="1"/>
    <w:unhideWhenUsed/>
    <w:qFormat/>
    <w:uiPriority w:val="0"/>
    <w:pPr>
      <w:spacing w:line="240" w:lineRule="auto"/>
      <w:ind w:left="100" w:leftChars="200" w:hanging="200" w:hangingChars="200"/>
    </w:pPr>
  </w:style>
  <w:style w:type="paragraph" w:styleId="18">
    <w:name w:val="List Bullet 2"/>
    <w:basedOn w:val="1"/>
    <w:next w:val="15"/>
    <w:unhideWhenUsed/>
    <w:qFormat/>
    <w:uiPriority w:val="0"/>
    <w:pPr>
      <w:numPr>
        <w:ilvl w:val="0"/>
        <w:numId w:val="2"/>
      </w:numPr>
      <w:tabs>
        <w:tab w:val="left" w:pos="360"/>
        <w:tab w:val="left" w:pos="780"/>
      </w:tabs>
      <w:spacing w:after="100" w:afterAutospacing="1" w:line="240" w:lineRule="auto"/>
      <w:ind w:firstLine="0" w:firstLineChars="0"/>
    </w:pPr>
    <w:rPr>
      <w:rFonts w:eastAsia="仿宋_GB2312"/>
    </w:rPr>
  </w:style>
  <w:style w:type="paragraph" w:styleId="19">
    <w:name w:val="toc 5"/>
    <w:basedOn w:val="1"/>
    <w:next w:val="1"/>
    <w:unhideWhenUsed/>
    <w:qFormat/>
    <w:uiPriority w:val="39"/>
    <w:pPr>
      <w:spacing w:line="240" w:lineRule="auto"/>
      <w:ind w:left="840" w:firstLine="0" w:firstLineChars="0"/>
      <w:jc w:val="left"/>
    </w:pPr>
    <w:rPr>
      <w:szCs w:val="21"/>
    </w:rPr>
  </w:style>
  <w:style w:type="paragraph" w:styleId="20">
    <w:name w:val="toc 3"/>
    <w:basedOn w:val="1"/>
    <w:next w:val="1"/>
    <w:unhideWhenUsed/>
    <w:qFormat/>
    <w:uiPriority w:val="39"/>
    <w:pPr>
      <w:spacing w:line="240" w:lineRule="auto"/>
      <w:ind w:left="420" w:firstLine="0" w:firstLineChars="0"/>
      <w:jc w:val="left"/>
    </w:pPr>
    <w:rPr>
      <w:i/>
      <w:iCs/>
    </w:rPr>
  </w:style>
  <w:style w:type="paragraph" w:styleId="21">
    <w:name w:val="Plain Text"/>
    <w:basedOn w:val="1"/>
    <w:next w:val="1"/>
    <w:link w:val="61"/>
    <w:unhideWhenUsed/>
    <w:qFormat/>
    <w:uiPriority w:val="0"/>
    <w:pPr>
      <w:spacing w:line="240" w:lineRule="auto"/>
      <w:ind w:firstLine="0" w:firstLineChars="0"/>
    </w:pPr>
    <w:rPr>
      <w:rFonts w:ascii="宋体" w:hAnsi="Courier New"/>
      <w:sz w:val="21"/>
      <w:szCs w:val="20"/>
    </w:rPr>
  </w:style>
  <w:style w:type="paragraph" w:styleId="22">
    <w:name w:val="toc 8"/>
    <w:basedOn w:val="1"/>
    <w:next w:val="1"/>
    <w:unhideWhenUsed/>
    <w:qFormat/>
    <w:uiPriority w:val="39"/>
    <w:pPr>
      <w:spacing w:line="240" w:lineRule="auto"/>
      <w:ind w:left="1470" w:firstLine="0" w:firstLineChars="0"/>
      <w:jc w:val="left"/>
    </w:pPr>
    <w:rPr>
      <w:szCs w:val="21"/>
    </w:rPr>
  </w:style>
  <w:style w:type="paragraph" w:styleId="23">
    <w:name w:val="Date"/>
    <w:basedOn w:val="1"/>
    <w:next w:val="1"/>
    <w:link w:val="65"/>
    <w:unhideWhenUsed/>
    <w:qFormat/>
    <w:uiPriority w:val="0"/>
    <w:pPr>
      <w:spacing w:line="240" w:lineRule="auto"/>
      <w:ind w:left="100" w:leftChars="2500" w:firstLine="0" w:firstLineChars="0"/>
    </w:pPr>
    <w:rPr>
      <w:color w:val="000000"/>
    </w:rPr>
  </w:style>
  <w:style w:type="paragraph" w:styleId="24">
    <w:name w:val="Body Text Indent 2"/>
    <w:basedOn w:val="1"/>
    <w:link w:val="53"/>
    <w:unhideWhenUsed/>
    <w:qFormat/>
    <w:uiPriority w:val="0"/>
    <w:pPr>
      <w:widowControl/>
      <w:spacing w:line="480" w:lineRule="atLeast"/>
      <w:ind w:firstLine="480" w:firstLineChars="0"/>
    </w:pPr>
    <w:rPr>
      <w:rFonts w:ascii="宋体"/>
      <w:kern w:val="0"/>
      <w:szCs w:val="20"/>
    </w:rPr>
  </w:style>
  <w:style w:type="paragraph" w:styleId="25">
    <w:name w:val="Balloon Text"/>
    <w:basedOn w:val="1"/>
    <w:link w:val="84"/>
    <w:unhideWhenUsed/>
    <w:qFormat/>
    <w:uiPriority w:val="0"/>
    <w:rPr>
      <w:kern w:val="0"/>
      <w:sz w:val="18"/>
      <w:szCs w:val="18"/>
    </w:rPr>
  </w:style>
  <w:style w:type="paragraph" w:styleId="26">
    <w:name w:val="footer"/>
    <w:basedOn w:val="1"/>
    <w:link w:val="92"/>
    <w:unhideWhenUsed/>
    <w:qFormat/>
    <w:uiPriority w:val="99"/>
    <w:pPr>
      <w:tabs>
        <w:tab w:val="center" w:pos="4153"/>
        <w:tab w:val="right" w:pos="8306"/>
      </w:tabs>
      <w:snapToGrid w:val="0"/>
      <w:jc w:val="left"/>
    </w:pPr>
    <w:rPr>
      <w:kern w:val="0"/>
      <w:sz w:val="18"/>
      <w:szCs w:val="18"/>
    </w:rPr>
  </w:style>
  <w:style w:type="paragraph" w:styleId="27">
    <w:name w:val="Body Text First Indent 2"/>
    <w:basedOn w:val="16"/>
    <w:qFormat/>
    <w:uiPriority w:val="0"/>
    <w:pPr>
      <w:ind w:firstLine="420" w:firstLineChars="200"/>
    </w:pPr>
  </w:style>
  <w:style w:type="paragraph" w:styleId="28">
    <w:name w:val="header"/>
    <w:basedOn w:val="1"/>
    <w:link w:val="89"/>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unhideWhenUsed/>
    <w:qFormat/>
    <w:uiPriority w:val="39"/>
    <w:pPr>
      <w:tabs>
        <w:tab w:val="right" w:leader="dot" w:pos="8296"/>
      </w:tabs>
      <w:ind w:firstLine="0" w:firstLineChars="0"/>
    </w:pPr>
  </w:style>
  <w:style w:type="paragraph" w:styleId="30">
    <w:name w:val="toc 4"/>
    <w:basedOn w:val="1"/>
    <w:next w:val="1"/>
    <w:unhideWhenUsed/>
    <w:qFormat/>
    <w:uiPriority w:val="39"/>
    <w:pPr>
      <w:spacing w:line="240" w:lineRule="auto"/>
      <w:ind w:left="630" w:firstLine="0" w:firstLineChars="0"/>
      <w:jc w:val="left"/>
    </w:pPr>
    <w:rPr>
      <w:szCs w:val="21"/>
    </w:rPr>
  </w:style>
  <w:style w:type="paragraph" w:styleId="31">
    <w:name w:val="List"/>
    <w:basedOn w:val="1"/>
    <w:unhideWhenUsed/>
    <w:qFormat/>
    <w:uiPriority w:val="0"/>
    <w:pPr>
      <w:spacing w:line="240" w:lineRule="auto"/>
      <w:ind w:left="420" w:hanging="420" w:firstLineChars="0"/>
    </w:pPr>
    <w:rPr>
      <w:szCs w:val="20"/>
    </w:rPr>
  </w:style>
  <w:style w:type="paragraph" w:styleId="32">
    <w:name w:val="toc 6"/>
    <w:basedOn w:val="1"/>
    <w:next w:val="1"/>
    <w:unhideWhenUsed/>
    <w:qFormat/>
    <w:uiPriority w:val="39"/>
    <w:pPr>
      <w:spacing w:line="240" w:lineRule="auto"/>
      <w:ind w:left="1050" w:firstLine="0" w:firstLineChars="0"/>
      <w:jc w:val="left"/>
    </w:pPr>
    <w:rPr>
      <w:szCs w:val="21"/>
    </w:rPr>
  </w:style>
  <w:style w:type="paragraph" w:styleId="33">
    <w:name w:val="Body Text Indent 3"/>
    <w:basedOn w:val="1"/>
    <w:link w:val="93"/>
    <w:unhideWhenUsed/>
    <w:qFormat/>
    <w:uiPriority w:val="0"/>
    <w:pPr>
      <w:autoSpaceDE w:val="0"/>
      <w:autoSpaceDN w:val="0"/>
      <w:spacing w:line="400" w:lineRule="atLeast"/>
      <w:ind w:firstLine="443"/>
    </w:pPr>
    <w:rPr>
      <w:rFonts w:eastAsia="黑体"/>
      <w:color w:val="000000"/>
    </w:rPr>
  </w:style>
  <w:style w:type="paragraph" w:styleId="34">
    <w:name w:val="toc 2"/>
    <w:basedOn w:val="1"/>
    <w:next w:val="1"/>
    <w:unhideWhenUsed/>
    <w:qFormat/>
    <w:uiPriority w:val="39"/>
    <w:pPr>
      <w:tabs>
        <w:tab w:val="right" w:leader="dot" w:pos="8296"/>
      </w:tabs>
      <w:ind w:left="420" w:leftChars="200" w:firstLine="0" w:firstLineChars="0"/>
    </w:pPr>
  </w:style>
  <w:style w:type="paragraph" w:styleId="35">
    <w:name w:val="toc 9"/>
    <w:basedOn w:val="1"/>
    <w:next w:val="1"/>
    <w:unhideWhenUsed/>
    <w:qFormat/>
    <w:uiPriority w:val="39"/>
    <w:pPr>
      <w:spacing w:line="240" w:lineRule="auto"/>
      <w:ind w:left="1680" w:firstLine="0" w:firstLineChars="0"/>
      <w:jc w:val="left"/>
    </w:pPr>
    <w:rPr>
      <w:szCs w:val="21"/>
    </w:rPr>
  </w:style>
  <w:style w:type="paragraph" w:styleId="36">
    <w:name w:val="Body Text 2"/>
    <w:basedOn w:val="1"/>
    <w:link w:val="100"/>
    <w:unhideWhenUsed/>
    <w:qFormat/>
    <w:uiPriority w:val="0"/>
    <w:pPr>
      <w:spacing w:line="240" w:lineRule="auto"/>
      <w:ind w:firstLine="0" w:firstLineChars="0"/>
    </w:pPr>
    <w:rPr>
      <w:b/>
      <w:bCs/>
      <w:color w:val="000000"/>
      <w:sz w:val="28"/>
    </w:rPr>
  </w:style>
  <w:style w:type="paragraph" w:styleId="37">
    <w:name w:val="HTML Preformatted"/>
    <w:basedOn w:val="1"/>
    <w:link w:val="63"/>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Unicode MS" w:hAnsi="Arial Unicode MS" w:eastAsia="Arial Unicode MS"/>
      <w:kern w:val="0"/>
      <w:sz w:val="20"/>
      <w:szCs w:val="20"/>
    </w:rPr>
  </w:style>
  <w:style w:type="paragraph" w:styleId="38">
    <w:name w:val="Normal (Web)"/>
    <w:basedOn w:val="1"/>
    <w:unhideWhenUsed/>
    <w:qFormat/>
    <w:uiPriority w:val="0"/>
    <w:pPr>
      <w:widowControl/>
      <w:spacing w:before="100" w:beforeAutospacing="1" w:after="100" w:afterAutospacing="1" w:line="240" w:lineRule="auto"/>
      <w:ind w:firstLine="0" w:firstLineChars="0"/>
      <w:jc w:val="left"/>
    </w:pPr>
    <w:rPr>
      <w:rFonts w:ascii="宋体" w:hAnsi="宋体"/>
      <w:kern w:val="0"/>
    </w:rPr>
  </w:style>
  <w:style w:type="paragraph" w:styleId="39">
    <w:name w:val="Title"/>
    <w:basedOn w:val="1"/>
    <w:link w:val="87"/>
    <w:qFormat/>
    <w:uiPriority w:val="0"/>
    <w:pPr>
      <w:spacing w:line="240" w:lineRule="auto"/>
      <w:ind w:firstLine="0" w:firstLineChars="0"/>
      <w:jc w:val="center"/>
    </w:pPr>
    <w:rPr>
      <w:sz w:val="30"/>
    </w:rPr>
  </w:style>
  <w:style w:type="character" w:styleId="41">
    <w:name w:val="Strong"/>
    <w:qFormat/>
    <w:uiPriority w:val="22"/>
    <w:rPr>
      <w:b/>
    </w:rPr>
  </w:style>
  <w:style w:type="character" w:styleId="42">
    <w:name w:val="page number"/>
    <w:basedOn w:val="40"/>
    <w:qFormat/>
    <w:uiPriority w:val="0"/>
  </w:style>
  <w:style w:type="character" w:styleId="43">
    <w:name w:val="FollowedHyperlink"/>
    <w:unhideWhenUsed/>
    <w:qFormat/>
    <w:uiPriority w:val="0"/>
    <w:rPr>
      <w:color w:val="800080"/>
      <w:u w:val="single"/>
    </w:rPr>
  </w:style>
  <w:style w:type="character" w:styleId="44">
    <w:name w:val="Hyperlink"/>
    <w:unhideWhenUsed/>
    <w:qFormat/>
    <w:uiPriority w:val="99"/>
    <w:rPr>
      <w:color w:val="0000FF"/>
      <w:u w:val="single"/>
    </w:rPr>
  </w:style>
  <w:style w:type="character" w:styleId="45">
    <w:name w:val="annotation reference"/>
    <w:unhideWhenUsed/>
    <w:qFormat/>
    <w:uiPriority w:val="0"/>
    <w:rPr>
      <w:sz w:val="21"/>
      <w:szCs w:val="21"/>
    </w:rPr>
  </w:style>
  <w:style w:type="table" w:styleId="47">
    <w:name w:val="Table Grid"/>
    <w:basedOn w:val="4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48">
    <w:name w:val="Default"/>
    <w:next w:val="49"/>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50">
    <w:name w:val="正文文本 Char"/>
    <w:link w:val="11"/>
    <w:semiHidden/>
    <w:qFormat/>
    <w:uiPriority w:val="0"/>
    <w:rPr>
      <w:rFonts w:ascii="仿宋_GB2312" w:hAnsi="Times New Roman" w:eastAsia="仿宋_GB2312"/>
      <w:sz w:val="28"/>
    </w:rPr>
  </w:style>
  <w:style w:type="character" w:customStyle="1" w:styleId="51">
    <w:name w:val="Char Char2"/>
    <w:qFormat/>
    <w:uiPriority w:val="0"/>
    <w:rPr>
      <w:rFonts w:hint="eastAsia" w:ascii="宋体" w:hAnsi="Courier New" w:eastAsia="宋体"/>
      <w:kern w:val="2"/>
      <w:sz w:val="21"/>
    </w:rPr>
  </w:style>
  <w:style w:type="character" w:customStyle="1" w:styleId="52">
    <w:name w:val="页脚 字符"/>
    <w:qFormat/>
    <w:uiPriority w:val="99"/>
    <w:rPr>
      <w:rFonts w:eastAsia="宋体"/>
      <w:kern w:val="2"/>
      <w:sz w:val="18"/>
      <w:lang w:val="en-US" w:eastAsia="zh-CN" w:bidi="ar-SA"/>
    </w:rPr>
  </w:style>
  <w:style w:type="character" w:customStyle="1" w:styleId="53">
    <w:name w:val="正文文本缩进 2 Char"/>
    <w:link w:val="24"/>
    <w:semiHidden/>
    <w:qFormat/>
    <w:uiPriority w:val="0"/>
    <w:rPr>
      <w:rFonts w:ascii="宋体" w:hAnsi="Times New Roman"/>
      <w:sz w:val="24"/>
    </w:rPr>
  </w:style>
  <w:style w:type="character" w:customStyle="1" w:styleId="54">
    <w:name w:val="unnamed51"/>
    <w:qFormat/>
    <w:uiPriority w:val="0"/>
    <w:rPr>
      <w:sz w:val="22"/>
      <w:szCs w:val="22"/>
    </w:rPr>
  </w:style>
  <w:style w:type="character" w:customStyle="1" w:styleId="55">
    <w:name w:val="批注文字 Char1"/>
    <w:link w:val="8"/>
    <w:semiHidden/>
    <w:qFormat/>
    <w:uiPriority w:val="0"/>
    <w:rPr>
      <w:rFonts w:ascii="Times New Roman" w:hAnsi="Times New Roman"/>
      <w:kern w:val="2"/>
      <w:sz w:val="21"/>
      <w:szCs w:val="24"/>
    </w:rPr>
  </w:style>
  <w:style w:type="character" w:customStyle="1" w:styleId="56">
    <w:name w:val="正文文本缩进 Char"/>
    <w:link w:val="16"/>
    <w:semiHidden/>
    <w:qFormat/>
    <w:uiPriority w:val="0"/>
    <w:rPr>
      <w:rFonts w:ascii="宋体" w:hAnsi="Times New Roman"/>
      <w:sz w:val="24"/>
    </w:rPr>
  </w:style>
  <w:style w:type="character" w:customStyle="1" w:styleId="57">
    <w:name w:val="纯文本 Char"/>
    <w:qFormat/>
    <w:uiPriority w:val="0"/>
    <w:rPr>
      <w:rFonts w:ascii="宋体" w:hAnsi="Courier New" w:cs="Courier New"/>
      <w:kern w:val="2"/>
      <w:sz w:val="21"/>
      <w:szCs w:val="21"/>
    </w:rPr>
  </w:style>
  <w:style w:type="character" w:customStyle="1" w:styleId="58">
    <w:name w:val="author-p-368601"/>
    <w:qFormat/>
    <w:uiPriority w:val="0"/>
  </w:style>
  <w:style w:type="character" w:customStyle="1" w:styleId="59">
    <w:name w:val="Char Char"/>
    <w:qFormat/>
    <w:uiPriority w:val="0"/>
    <w:rPr>
      <w:rFonts w:hint="eastAsia" w:ascii="宋体" w:hAnsi="Courier New" w:eastAsia="宋体"/>
      <w:kern w:val="2"/>
      <w:sz w:val="21"/>
      <w:lang w:val="en-US" w:eastAsia="zh-CN" w:bidi="ar-SA"/>
    </w:rPr>
  </w:style>
  <w:style w:type="character" w:customStyle="1" w:styleId="60">
    <w:name w:val="font01"/>
    <w:qFormat/>
    <w:uiPriority w:val="0"/>
    <w:rPr>
      <w:rFonts w:hint="eastAsia" w:ascii="宋体" w:hAnsi="宋体" w:eastAsia="宋体" w:cs="宋体"/>
      <w:b/>
      <w:color w:val="333333"/>
      <w:sz w:val="20"/>
      <w:szCs w:val="20"/>
      <w:u w:val="none"/>
    </w:rPr>
  </w:style>
  <w:style w:type="character" w:customStyle="1" w:styleId="61">
    <w:name w:val="纯文本 Char1"/>
    <w:link w:val="21"/>
    <w:qFormat/>
    <w:locked/>
    <w:uiPriority w:val="0"/>
    <w:rPr>
      <w:rFonts w:ascii="宋体" w:hAnsi="Courier New"/>
      <w:kern w:val="2"/>
      <w:sz w:val="21"/>
    </w:rPr>
  </w:style>
  <w:style w:type="character" w:customStyle="1" w:styleId="62">
    <w:name w:val="button1"/>
    <w:qFormat/>
    <w:uiPriority w:val="0"/>
    <w:rPr>
      <w:rFonts w:hint="default" w:ascii="Verdana" w:hAnsi="Verdana"/>
      <w:b/>
      <w:bCs/>
      <w:sz w:val="20"/>
      <w:szCs w:val="20"/>
    </w:rPr>
  </w:style>
  <w:style w:type="character" w:customStyle="1" w:styleId="63">
    <w:name w:val="HTML 预设格式 Char"/>
    <w:link w:val="37"/>
    <w:semiHidden/>
    <w:qFormat/>
    <w:uiPriority w:val="0"/>
    <w:rPr>
      <w:rFonts w:ascii="Arial Unicode MS" w:hAnsi="Arial Unicode MS" w:eastAsia="Arial Unicode MS" w:cs="Arial Unicode MS"/>
    </w:rPr>
  </w:style>
  <w:style w:type="character" w:customStyle="1" w:styleId="64">
    <w:name w:val="search_content1"/>
    <w:qFormat/>
    <w:uiPriority w:val="0"/>
    <w:rPr>
      <w:sz w:val="20"/>
      <w:szCs w:val="20"/>
    </w:rPr>
  </w:style>
  <w:style w:type="character" w:customStyle="1" w:styleId="65">
    <w:name w:val="日期 Char"/>
    <w:link w:val="23"/>
    <w:semiHidden/>
    <w:qFormat/>
    <w:uiPriority w:val="0"/>
    <w:rPr>
      <w:rFonts w:ascii="Times New Roman" w:hAnsi="Times New Roman"/>
      <w:color w:val="000000"/>
      <w:kern w:val="2"/>
      <w:sz w:val="24"/>
      <w:szCs w:val="24"/>
    </w:rPr>
  </w:style>
  <w:style w:type="character" w:customStyle="1" w:styleId="66">
    <w:name w:val="标题 4 Char"/>
    <w:qFormat/>
    <w:uiPriority w:val="9"/>
    <w:rPr>
      <w:rFonts w:ascii="Cambria" w:hAnsi="Cambria" w:eastAsia="宋体" w:cs="Times New Roman"/>
      <w:b/>
      <w:bCs/>
      <w:kern w:val="2"/>
      <w:sz w:val="21"/>
      <w:szCs w:val="28"/>
    </w:rPr>
  </w:style>
  <w:style w:type="character" w:customStyle="1" w:styleId="67">
    <w:name w:val="纯文本 字符"/>
    <w:qFormat/>
    <w:uiPriority w:val="0"/>
    <w:rPr>
      <w:rFonts w:ascii="宋体" w:hAnsi="Courier New" w:eastAsia="宋体" w:cs="Courier New"/>
      <w:kern w:val="2"/>
      <w:sz w:val="21"/>
      <w:szCs w:val="21"/>
      <w:lang w:val="en-US" w:eastAsia="zh-CN" w:bidi="ar-SA"/>
    </w:rPr>
  </w:style>
  <w:style w:type="character" w:customStyle="1" w:styleId="68">
    <w:name w:val="不明显强调1"/>
    <w:qFormat/>
    <w:uiPriority w:val="0"/>
    <w:rPr>
      <w:i/>
      <w:iCs/>
      <w:color w:val="808080"/>
    </w:rPr>
  </w:style>
  <w:style w:type="character" w:customStyle="1" w:styleId="69">
    <w:name w:val="font101"/>
    <w:qFormat/>
    <w:uiPriority w:val="0"/>
    <w:rPr>
      <w:rFonts w:hint="eastAsia" w:ascii="宋体" w:hAnsi="宋体" w:eastAsia="宋体" w:cs="宋体"/>
      <w:color w:val="000000"/>
      <w:sz w:val="18"/>
      <w:szCs w:val="18"/>
      <w:u w:val="none"/>
    </w:rPr>
  </w:style>
  <w:style w:type="character" w:customStyle="1" w:styleId="70">
    <w:name w:val="标题 1 Char"/>
    <w:link w:val="2"/>
    <w:qFormat/>
    <w:uiPriority w:val="0"/>
    <w:rPr>
      <w:rFonts w:ascii="宋体" w:hAnsi="宋体" w:eastAsia="宋体" w:cs="宋体"/>
      <w:b/>
      <w:bCs/>
      <w:kern w:val="44"/>
      <w:sz w:val="32"/>
      <w:szCs w:val="52"/>
    </w:rPr>
  </w:style>
  <w:style w:type="character" w:customStyle="1" w:styleId="71">
    <w:name w:val="标题 3 Char1"/>
    <w:link w:val="4"/>
    <w:qFormat/>
    <w:uiPriority w:val="0"/>
    <w:rPr>
      <w:rFonts w:ascii="宋体" w:hAnsi="宋体" w:eastAsia="宋体"/>
      <w:b/>
      <w:bCs/>
      <w:kern w:val="2"/>
      <w:sz w:val="24"/>
      <w:szCs w:val="32"/>
    </w:rPr>
  </w:style>
  <w:style w:type="character" w:customStyle="1" w:styleId="72">
    <w:name w:val="font11"/>
    <w:qFormat/>
    <w:uiPriority w:val="0"/>
    <w:rPr>
      <w:rFonts w:hint="eastAsia" w:ascii="宋体" w:hAnsi="宋体" w:eastAsia="宋体" w:cs="宋体"/>
      <w:color w:val="000000"/>
      <w:sz w:val="40"/>
      <w:szCs w:val="40"/>
      <w:u w:val="none"/>
    </w:rPr>
  </w:style>
  <w:style w:type="character" w:customStyle="1" w:styleId="73">
    <w:name w:val="style8"/>
    <w:basedOn w:val="40"/>
    <w:qFormat/>
    <w:uiPriority w:val="0"/>
  </w:style>
  <w:style w:type="character" w:customStyle="1" w:styleId="74">
    <w:name w:val="hei16b1"/>
    <w:qFormat/>
    <w:uiPriority w:val="0"/>
    <w:rPr>
      <w:rFonts w:hint="default" w:ascii="Arial" w:hAnsi="Arial" w:cs="Arial"/>
      <w:b/>
      <w:bCs/>
      <w:color w:val="000000"/>
      <w:sz w:val="24"/>
      <w:szCs w:val="24"/>
    </w:rPr>
  </w:style>
  <w:style w:type="character" w:customStyle="1" w:styleId="75">
    <w:name w:val="无间隔 Char"/>
    <w:link w:val="76"/>
    <w:qFormat/>
    <w:locked/>
    <w:uiPriority w:val="0"/>
    <w:rPr>
      <w:rFonts w:cs="Calibri"/>
      <w:kern w:val="2"/>
      <w:sz w:val="21"/>
      <w:szCs w:val="22"/>
      <w:lang w:val="en-US" w:eastAsia="zh-CN" w:bidi="ar-SA"/>
    </w:rPr>
  </w:style>
  <w:style w:type="paragraph" w:customStyle="1" w:styleId="76">
    <w:name w:val="No Spacing"/>
    <w:link w:val="75"/>
    <w:qFormat/>
    <w:uiPriority w:val="0"/>
    <w:pPr>
      <w:widowControl w:val="0"/>
      <w:jc w:val="both"/>
    </w:pPr>
    <w:rPr>
      <w:rFonts w:ascii="Times New Roman" w:hAnsi="Times New Roman" w:eastAsia="宋体" w:cs="Calibri"/>
      <w:kern w:val="2"/>
      <w:sz w:val="21"/>
      <w:szCs w:val="22"/>
      <w:lang w:val="en-US" w:eastAsia="zh-CN" w:bidi="ar-SA"/>
    </w:rPr>
  </w:style>
  <w:style w:type="character" w:customStyle="1" w:styleId="77">
    <w:name w:val="s"/>
    <w:basedOn w:val="40"/>
    <w:qFormat/>
    <w:uiPriority w:val="0"/>
  </w:style>
  <w:style w:type="character" w:customStyle="1" w:styleId="78">
    <w:name w:val="font71"/>
    <w:qFormat/>
    <w:uiPriority w:val="0"/>
    <w:rPr>
      <w:rFonts w:ascii="Arial" w:hAnsi="Arial" w:cs="Arial"/>
      <w:b/>
      <w:color w:val="333333"/>
      <w:sz w:val="20"/>
      <w:szCs w:val="20"/>
      <w:u w:val="none"/>
    </w:rPr>
  </w:style>
  <w:style w:type="character" w:customStyle="1" w:styleId="79">
    <w:name w:val="正文缩进 Char"/>
    <w:link w:val="12"/>
    <w:semiHidden/>
    <w:qFormat/>
    <w:locked/>
    <w:uiPriority w:val="0"/>
    <w:rPr>
      <w:kern w:val="2"/>
      <w:sz w:val="21"/>
      <w:szCs w:val="24"/>
    </w:rPr>
  </w:style>
  <w:style w:type="character" w:customStyle="1" w:styleId="80">
    <w:name w:val="标题 Char"/>
    <w:qFormat/>
    <w:uiPriority w:val="0"/>
    <w:rPr>
      <w:rFonts w:ascii="Cambria" w:hAnsi="Cambria" w:cs="Times New Roman"/>
      <w:b/>
      <w:bCs/>
      <w:kern w:val="2"/>
      <w:sz w:val="32"/>
      <w:szCs w:val="32"/>
    </w:rPr>
  </w:style>
  <w:style w:type="character" w:customStyle="1" w:styleId="81">
    <w:name w:val="正文文本首行缩进 字符"/>
    <w:link w:val="82"/>
    <w:semiHidden/>
    <w:qFormat/>
    <w:uiPriority w:val="0"/>
    <w:rPr>
      <w:rFonts w:ascii="Times New Roman" w:hAnsi="Times New Roman" w:eastAsia="仿宋_GB2312"/>
      <w:kern w:val="2"/>
      <w:sz w:val="21"/>
      <w:szCs w:val="24"/>
    </w:rPr>
  </w:style>
  <w:style w:type="paragraph" w:customStyle="1" w:styleId="82">
    <w:name w:val="正文文本首行缩进1"/>
    <w:basedOn w:val="11"/>
    <w:link w:val="81"/>
    <w:unhideWhenUsed/>
    <w:qFormat/>
    <w:uiPriority w:val="0"/>
    <w:pPr>
      <w:adjustRightInd/>
      <w:spacing w:after="120" w:line="240" w:lineRule="auto"/>
      <w:ind w:firstLine="420" w:firstLineChars="100"/>
      <w:jc w:val="both"/>
    </w:pPr>
    <w:rPr>
      <w:rFonts w:ascii="Times New Roman"/>
      <w:kern w:val="2"/>
      <w:sz w:val="21"/>
      <w:szCs w:val="24"/>
    </w:rPr>
  </w:style>
  <w:style w:type="character" w:customStyle="1" w:styleId="83">
    <w:name w:val="正文文本缩进 字符"/>
    <w:qFormat/>
    <w:uiPriority w:val="0"/>
    <w:rPr>
      <w:rFonts w:ascii="仿宋_GB2312" w:eastAsia="仿宋_GB2312"/>
      <w:kern w:val="2"/>
      <w:sz w:val="28"/>
      <w:lang w:val="en-US" w:eastAsia="zh-CN" w:bidi="ar-SA"/>
    </w:rPr>
  </w:style>
  <w:style w:type="character" w:customStyle="1" w:styleId="84">
    <w:name w:val="批注框文本 Char"/>
    <w:link w:val="25"/>
    <w:semiHidden/>
    <w:qFormat/>
    <w:uiPriority w:val="0"/>
    <w:rPr>
      <w:rFonts w:ascii="Times New Roman" w:hAnsi="Times New Roman" w:eastAsia="宋体" w:cs="Times New Roman"/>
      <w:sz w:val="18"/>
      <w:szCs w:val="18"/>
    </w:rPr>
  </w:style>
  <w:style w:type="character" w:customStyle="1" w:styleId="85">
    <w:name w:val="body001"/>
    <w:qFormat/>
    <w:uiPriority w:val="0"/>
    <w:rPr>
      <w:rFonts w:hint="default" w:ascii="ˎ̥" w:hAnsi="ˎ̥"/>
      <w:color w:val="333333"/>
      <w:sz w:val="18"/>
      <w:szCs w:val="18"/>
    </w:rPr>
  </w:style>
  <w:style w:type="character" w:customStyle="1" w:styleId="86">
    <w:name w:val="Char Char3"/>
    <w:qFormat/>
    <w:uiPriority w:val="0"/>
    <w:rPr>
      <w:rFonts w:hint="eastAsia" w:ascii="宋体" w:hAnsi="Courier New" w:eastAsia="宋体"/>
      <w:kern w:val="2"/>
      <w:sz w:val="21"/>
      <w:lang w:val="en-US" w:eastAsia="zh-CN" w:bidi="ar-SA"/>
    </w:rPr>
  </w:style>
  <w:style w:type="character" w:customStyle="1" w:styleId="87">
    <w:name w:val="标题 Char1"/>
    <w:link w:val="39"/>
    <w:qFormat/>
    <w:locked/>
    <w:uiPriority w:val="0"/>
    <w:rPr>
      <w:rFonts w:ascii="Times New Roman" w:hAnsi="Times New Roman"/>
      <w:kern w:val="2"/>
      <w:sz w:val="30"/>
      <w:szCs w:val="24"/>
    </w:rPr>
  </w:style>
  <w:style w:type="character" w:customStyle="1" w:styleId="88">
    <w:name w:val="l17"/>
    <w:basedOn w:val="40"/>
    <w:qFormat/>
    <w:uiPriority w:val="0"/>
  </w:style>
  <w:style w:type="character" w:customStyle="1" w:styleId="89">
    <w:name w:val="页眉 Char"/>
    <w:link w:val="28"/>
    <w:qFormat/>
    <w:uiPriority w:val="99"/>
    <w:rPr>
      <w:sz w:val="18"/>
      <w:szCs w:val="18"/>
    </w:rPr>
  </w:style>
  <w:style w:type="character" w:customStyle="1" w:styleId="90">
    <w:name w:val="style1"/>
    <w:basedOn w:val="40"/>
    <w:qFormat/>
    <w:uiPriority w:val="0"/>
  </w:style>
  <w:style w:type="character" w:customStyle="1" w:styleId="91">
    <w:name w:val="huei12b1"/>
    <w:qFormat/>
    <w:uiPriority w:val="0"/>
    <w:rPr>
      <w:b/>
      <w:bCs/>
      <w:color w:val="333333"/>
      <w:sz w:val="20"/>
      <w:szCs w:val="20"/>
    </w:rPr>
  </w:style>
  <w:style w:type="character" w:customStyle="1" w:styleId="92">
    <w:name w:val="页脚 Char"/>
    <w:link w:val="26"/>
    <w:qFormat/>
    <w:uiPriority w:val="99"/>
    <w:rPr>
      <w:sz w:val="18"/>
      <w:szCs w:val="18"/>
    </w:rPr>
  </w:style>
  <w:style w:type="character" w:customStyle="1" w:styleId="93">
    <w:name w:val="正文文本缩进 3 Char"/>
    <w:link w:val="33"/>
    <w:semiHidden/>
    <w:qFormat/>
    <w:uiPriority w:val="0"/>
    <w:rPr>
      <w:rFonts w:ascii="Times New Roman" w:hAnsi="Times New Roman" w:eastAsia="黑体"/>
      <w:color w:val="000000"/>
      <w:kern w:val="2"/>
      <w:sz w:val="24"/>
      <w:szCs w:val="24"/>
    </w:rPr>
  </w:style>
  <w:style w:type="character" w:customStyle="1" w:styleId="94">
    <w:name w:val="标题 4 Char1"/>
    <w:link w:val="5"/>
    <w:qFormat/>
    <w:uiPriority w:val="9"/>
    <w:rPr>
      <w:rFonts w:ascii="Cambria" w:hAnsi="Cambria" w:eastAsia="宋体" w:cs="Times New Roman"/>
      <w:b/>
      <w:bCs/>
      <w:kern w:val="2"/>
      <w:sz w:val="21"/>
      <w:szCs w:val="28"/>
    </w:rPr>
  </w:style>
  <w:style w:type="character" w:customStyle="1" w:styleId="95">
    <w:name w:val="wz1"/>
    <w:basedOn w:val="40"/>
    <w:qFormat/>
    <w:uiPriority w:val="0"/>
  </w:style>
  <w:style w:type="character" w:customStyle="1" w:styleId="96">
    <w:name w:val="标题 3 字符"/>
    <w:qFormat/>
    <w:uiPriority w:val="0"/>
    <w:rPr>
      <w:b/>
      <w:bCs/>
      <w:kern w:val="2"/>
      <w:sz w:val="24"/>
      <w:szCs w:val="32"/>
    </w:rPr>
  </w:style>
  <w:style w:type="character" w:customStyle="1" w:styleId="97">
    <w:name w:val="unnamed1"/>
    <w:basedOn w:val="40"/>
    <w:qFormat/>
    <w:uiPriority w:val="0"/>
  </w:style>
  <w:style w:type="character" w:customStyle="1" w:styleId="98">
    <w:name w:val="(aNormal) + 宋体 Char"/>
    <w:link w:val="99"/>
    <w:qFormat/>
    <w:locked/>
    <w:uiPriority w:val="0"/>
    <w:rPr>
      <w:rFonts w:ascii="宋体" w:hAnsi="宋体"/>
      <w:lang w:val="en-GB"/>
    </w:rPr>
  </w:style>
  <w:style w:type="paragraph" w:customStyle="1" w:styleId="99">
    <w:name w:val="(aNormal) + 宋体"/>
    <w:basedOn w:val="1"/>
    <w:link w:val="98"/>
    <w:qFormat/>
    <w:uiPriority w:val="0"/>
    <w:pPr>
      <w:widowControl/>
      <w:spacing w:before="240" w:after="120" w:line="240" w:lineRule="auto"/>
      <w:ind w:firstLine="0" w:firstLineChars="0"/>
    </w:pPr>
    <w:rPr>
      <w:rFonts w:ascii="宋体" w:hAnsi="宋体"/>
      <w:kern w:val="0"/>
      <w:sz w:val="20"/>
      <w:szCs w:val="20"/>
      <w:lang w:val="en-GB"/>
    </w:rPr>
  </w:style>
  <w:style w:type="character" w:customStyle="1" w:styleId="100">
    <w:name w:val="正文文本 2 Char"/>
    <w:link w:val="36"/>
    <w:semiHidden/>
    <w:qFormat/>
    <w:uiPriority w:val="0"/>
    <w:rPr>
      <w:rFonts w:ascii="Times New Roman" w:hAnsi="Times New Roman"/>
      <w:b/>
      <w:bCs/>
      <w:color w:val="000000"/>
      <w:kern w:val="2"/>
      <w:sz w:val="28"/>
      <w:szCs w:val="24"/>
    </w:rPr>
  </w:style>
  <w:style w:type="character" w:customStyle="1" w:styleId="101">
    <w:name w:val="页眉 字符"/>
    <w:qFormat/>
    <w:locked/>
    <w:uiPriority w:val="0"/>
    <w:rPr>
      <w:rFonts w:eastAsia="宋体"/>
      <w:kern w:val="2"/>
      <w:sz w:val="18"/>
      <w:lang w:val="en-US" w:eastAsia="zh-CN" w:bidi="ar-SA"/>
    </w:rPr>
  </w:style>
  <w:style w:type="character" w:customStyle="1" w:styleId="102">
    <w:name w:val="文档结构图 Char"/>
    <w:link w:val="13"/>
    <w:semiHidden/>
    <w:qFormat/>
    <w:uiPriority w:val="0"/>
    <w:rPr>
      <w:rFonts w:ascii="宋体" w:hAnsi="Times New Roman" w:eastAsia="宋体" w:cs="Times New Roman"/>
      <w:sz w:val="18"/>
      <w:szCs w:val="18"/>
    </w:rPr>
  </w:style>
  <w:style w:type="character" w:customStyle="1" w:styleId="103">
    <w:name w:val="批注主题 Char"/>
    <w:link w:val="7"/>
    <w:semiHidden/>
    <w:qFormat/>
    <w:uiPriority w:val="0"/>
    <w:rPr>
      <w:rFonts w:ascii="Times New Roman" w:hAnsi="Times New Roman"/>
      <w:b/>
      <w:bCs/>
      <w:kern w:val="2"/>
      <w:sz w:val="21"/>
      <w:szCs w:val="24"/>
    </w:rPr>
  </w:style>
  <w:style w:type="character" w:customStyle="1" w:styleId="104">
    <w:name w:val="apple-converted-space"/>
    <w:basedOn w:val="40"/>
    <w:qFormat/>
    <w:uiPriority w:val="0"/>
  </w:style>
  <w:style w:type="character" w:customStyle="1" w:styleId="105">
    <w:name w:val="标题 3 Char"/>
    <w:qFormat/>
    <w:uiPriority w:val="0"/>
    <w:rPr>
      <w:rFonts w:ascii="Times New Roman" w:hAnsi="Times New Roman"/>
      <w:b/>
      <w:bCs/>
      <w:kern w:val="2"/>
      <w:sz w:val="21"/>
      <w:szCs w:val="32"/>
    </w:rPr>
  </w:style>
  <w:style w:type="character" w:customStyle="1" w:styleId="106">
    <w:name w:val="正文文本 3 Char"/>
    <w:link w:val="14"/>
    <w:semiHidden/>
    <w:qFormat/>
    <w:uiPriority w:val="0"/>
    <w:rPr>
      <w:rFonts w:ascii="楷体_GB2312" w:hAnsi="Times New Roman" w:eastAsia="楷体_GB2312"/>
      <w:b/>
      <w:color w:val="000000"/>
      <w:kern w:val="2"/>
      <w:sz w:val="30"/>
      <w:szCs w:val="24"/>
    </w:rPr>
  </w:style>
  <w:style w:type="character" w:customStyle="1" w:styleId="107">
    <w:name w:val="标题 2 Char"/>
    <w:link w:val="3"/>
    <w:qFormat/>
    <w:uiPriority w:val="0"/>
    <w:rPr>
      <w:rFonts w:ascii="宋体" w:hAnsi="宋体" w:eastAsia="宋体"/>
      <w:b/>
      <w:bCs/>
      <w:kern w:val="2"/>
      <w:sz w:val="28"/>
      <w:szCs w:val="32"/>
    </w:rPr>
  </w:style>
  <w:style w:type="character" w:customStyle="1" w:styleId="108">
    <w:name w:val="content"/>
    <w:basedOn w:val="40"/>
    <w:qFormat/>
    <w:uiPriority w:val="0"/>
  </w:style>
  <w:style w:type="character" w:customStyle="1" w:styleId="109">
    <w:name w:val="search_result_snap1"/>
    <w:qFormat/>
    <w:uiPriority w:val="0"/>
    <w:rPr>
      <w:sz w:val="21"/>
      <w:szCs w:val="21"/>
    </w:rPr>
  </w:style>
  <w:style w:type="character" w:customStyle="1" w:styleId="110">
    <w:name w:val="批注文字 Char"/>
    <w:semiHidden/>
    <w:qFormat/>
    <w:uiPriority w:val="0"/>
    <w:rPr>
      <w:rFonts w:ascii="Times New Roman" w:hAnsi="Times New Roman"/>
      <w:kern w:val="2"/>
      <w:sz w:val="21"/>
      <w:szCs w:val="24"/>
    </w:rPr>
  </w:style>
  <w:style w:type="paragraph" w:customStyle="1" w:styleId="111">
    <w:name w:val="_Style 40"/>
    <w:basedOn w:val="1"/>
    <w:qFormat/>
    <w:uiPriority w:val="0"/>
    <w:pPr>
      <w:spacing w:line="240" w:lineRule="auto"/>
      <w:ind w:firstLine="0" w:firstLineChars="0"/>
    </w:pPr>
  </w:style>
  <w:style w:type="paragraph" w:customStyle="1" w:styleId="112">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13">
    <w:name w:val="标题3"/>
    <w:basedOn w:val="4"/>
    <w:qFormat/>
    <w:uiPriority w:val="0"/>
    <w:pPr>
      <w:spacing w:before="260" w:after="260" w:line="415" w:lineRule="auto"/>
    </w:pPr>
    <w:rPr>
      <w:rFonts w:ascii="宋体" w:hAnsi="宋体"/>
      <w:sz w:val="28"/>
      <w:szCs w:val="28"/>
    </w:rPr>
  </w:style>
  <w:style w:type="paragraph" w:customStyle="1" w:styleId="114">
    <w:name w:val="TOC 标题1"/>
    <w:basedOn w:val="3"/>
    <w:next w:val="1"/>
    <w:qFormat/>
    <w:uiPriority w:val="39"/>
    <w:pPr>
      <w:widowControl/>
      <w:spacing w:line="240" w:lineRule="auto"/>
      <w:outlineLvl w:val="9"/>
    </w:pPr>
    <w:rPr>
      <w:kern w:val="0"/>
      <w:sz w:val="21"/>
      <w:szCs w:val="28"/>
    </w:rPr>
  </w:style>
  <w:style w:type="paragraph" w:customStyle="1" w:styleId="115">
    <w:name w:val="列出段落1"/>
    <w:basedOn w:val="1"/>
    <w:qFormat/>
    <w:uiPriority w:val="0"/>
    <w:pPr>
      <w:spacing w:line="240" w:lineRule="auto"/>
      <w:ind w:firstLine="420"/>
    </w:pPr>
  </w:style>
  <w:style w:type="paragraph" w:customStyle="1" w:styleId="11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17">
    <w:name w:val="正文2"/>
    <w:basedOn w:val="1"/>
    <w:qFormat/>
    <w:uiPriority w:val="0"/>
    <w:pPr>
      <w:spacing w:before="156"/>
      <w:ind w:firstLine="510"/>
    </w:pPr>
    <w:rPr>
      <w:rFonts w:ascii="MT Extra" w:hAnsi="MT Extra" w:cs="MT Extra"/>
    </w:rPr>
  </w:style>
  <w:style w:type="paragraph" w:customStyle="1" w:styleId="118">
    <w:name w:val="Char Char Char Char"/>
    <w:basedOn w:val="1"/>
    <w:qFormat/>
    <w:uiPriority w:val="0"/>
    <w:pPr>
      <w:widowControl/>
      <w:spacing w:after="160" w:line="240" w:lineRule="exact"/>
      <w:ind w:firstLine="0" w:firstLineChars="0"/>
      <w:jc w:val="left"/>
    </w:pPr>
    <w:rPr>
      <w:rFonts w:ascii="Arial" w:hAnsi="Arial" w:eastAsia="Times New Roman" w:cs="Verdana"/>
      <w:b/>
      <w:kern w:val="0"/>
      <w:szCs w:val="20"/>
      <w:lang w:eastAsia="en-US"/>
    </w:rPr>
  </w:style>
  <w:style w:type="paragraph" w:customStyle="1" w:styleId="119">
    <w:name w:val="样式1"/>
    <w:basedOn w:val="1"/>
    <w:qFormat/>
    <w:uiPriority w:val="0"/>
    <w:pPr>
      <w:spacing w:line="360" w:lineRule="exact"/>
    </w:pPr>
    <w:rPr>
      <w:rFonts w:ascii="Arial" w:hAnsi="Arial"/>
      <w:sz w:val="21"/>
    </w:rPr>
  </w:style>
  <w:style w:type="paragraph" w:customStyle="1" w:styleId="120">
    <w:name w:val="Char Char Char Char Char Char Char"/>
    <w:basedOn w:val="1"/>
    <w:qFormat/>
    <w:uiPriority w:val="0"/>
    <w:pPr>
      <w:tabs>
        <w:tab w:val="left" w:pos="432"/>
      </w:tabs>
      <w:spacing w:line="240" w:lineRule="auto"/>
      <w:ind w:left="432" w:hanging="432" w:firstLineChars="0"/>
    </w:pPr>
    <w:rPr>
      <w:rFonts w:ascii="Tahoma" w:hAnsi="Tahoma"/>
      <w:szCs w:val="20"/>
    </w:rPr>
  </w:style>
  <w:style w:type="paragraph" w:customStyle="1" w:styleId="121">
    <w:name w:val="正文缩进1"/>
    <w:basedOn w:val="1"/>
    <w:next w:val="16"/>
    <w:qFormat/>
    <w:uiPriority w:val="0"/>
    <w:pPr>
      <w:autoSpaceDE w:val="0"/>
      <w:autoSpaceDN w:val="0"/>
      <w:adjustRightInd w:val="0"/>
      <w:snapToGrid w:val="0"/>
      <w:spacing w:after="120"/>
      <w:ind w:left="420" w:firstLine="480" w:firstLineChars="0"/>
    </w:pPr>
    <w:rPr>
      <w:szCs w:val="20"/>
    </w:rPr>
  </w:style>
  <w:style w:type="paragraph" w:customStyle="1" w:styleId="122">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23">
    <w:name w:val="xl82"/>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24">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25">
    <w:name w:val="_Style 54"/>
    <w:basedOn w:val="1"/>
    <w:qFormat/>
    <w:uiPriority w:val="0"/>
    <w:pPr>
      <w:spacing w:line="240" w:lineRule="auto"/>
      <w:ind w:firstLine="0" w:firstLineChars="0"/>
    </w:pPr>
  </w:style>
  <w:style w:type="paragraph" w:customStyle="1" w:styleId="12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27">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28">
    <w:name w:val="List Paragraph"/>
    <w:basedOn w:val="1"/>
    <w:qFormat/>
    <w:uiPriority w:val="34"/>
    <w:pPr>
      <w:ind w:firstLine="420"/>
    </w:pPr>
    <w:rPr>
      <w:szCs w:val="22"/>
    </w:rPr>
  </w:style>
  <w:style w:type="paragraph" w:customStyle="1" w:styleId="129">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30">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31">
    <w:name w:val="表格"/>
    <w:basedOn w:val="11"/>
    <w:next w:val="1"/>
    <w:qFormat/>
    <w:uiPriority w:val="0"/>
    <w:pPr>
      <w:spacing w:line="240" w:lineRule="auto"/>
      <w:jc w:val="center"/>
    </w:pPr>
    <w:rPr>
      <w:rFonts w:ascii="Times New Roman"/>
    </w:rPr>
  </w:style>
  <w:style w:type="paragraph" w:customStyle="1" w:styleId="132">
    <w:name w:val="Revision"/>
    <w:unhideWhenUsed/>
    <w:qFormat/>
    <w:uiPriority w:val="99"/>
    <w:rPr>
      <w:rFonts w:ascii="Times New Roman" w:hAnsi="Times New Roman" w:eastAsia="宋体" w:cs="Times New Roman"/>
      <w:kern w:val="2"/>
      <w:sz w:val="24"/>
      <w:szCs w:val="24"/>
      <w:lang w:val="en-US" w:eastAsia="zh-CN" w:bidi="ar-SA"/>
    </w:rPr>
  </w:style>
  <w:style w:type="paragraph" w:customStyle="1" w:styleId="13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18"/>
      <w:szCs w:val="18"/>
    </w:rPr>
  </w:style>
  <w:style w:type="paragraph" w:customStyle="1" w:styleId="134">
    <w:name w:val="font7"/>
    <w:basedOn w:val="1"/>
    <w:qFormat/>
    <w:uiPriority w:val="0"/>
    <w:pPr>
      <w:widowControl/>
      <w:spacing w:before="100" w:beforeAutospacing="1" w:after="100" w:afterAutospacing="1" w:line="240" w:lineRule="auto"/>
      <w:ind w:firstLine="0" w:firstLineChars="0"/>
      <w:jc w:val="left"/>
    </w:pPr>
    <w:rPr>
      <w:color w:val="000000"/>
      <w:kern w:val="0"/>
      <w:sz w:val="18"/>
      <w:szCs w:val="18"/>
    </w:rPr>
  </w:style>
  <w:style w:type="paragraph" w:customStyle="1" w:styleId="135">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36">
    <w:name w:val="Char"/>
    <w:basedOn w:val="1"/>
    <w:qFormat/>
    <w:uiPriority w:val="0"/>
    <w:pPr>
      <w:spacing w:line="240" w:lineRule="auto"/>
      <w:ind w:firstLine="0" w:firstLineChars="0"/>
    </w:pPr>
    <w:rPr>
      <w:rFonts w:ascii="仿宋_GB2312" w:eastAsia="仿宋_GB2312"/>
      <w:b/>
      <w:sz w:val="32"/>
      <w:szCs w:val="32"/>
    </w:rPr>
  </w:style>
  <w:style w:type="paragraph" w:customStyle="1" w:styleId="13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color w:val="000000"/>
      <w:kern w:val="0"/>
      <w:sz w:val="18"/>
      <w:szCs w:val="18"/>
    </w:rPr>
  </w:style>
  <w:style w:type="paragraph" w:customStyle="1" w:styleId="138">
    <w:name w:val="_Style 3"/>
    <w:basedOn w:val="1"/>
    <w:next w:val="128"/>
    <w:qFormat/>
    <w:uiPriority w:val="34"/>
    <w:pPr>
      <w:ind w:firstLine="420"/>
    </w:pPr>
    <w:rPr>
      <w:szCs w:val="22"/>
    </w:rPr>
  </w:style>
  <w:style w:type="paragraph" w:customStyle="1" w:styleId="139">
    <w:name w:val="默认段落字体 Para Char"/>
    <w:basedOn w:val="1"/>
    <w:qFormat/>
    <w:uiPriority w:val="0"/>
    <w:pPr>
      <w:spacing w:line="240" w:lineRule="auto"/>
      <w:ind w:firstLine="0" w:firstLineChars="0"/>
    </w:pPr>
  </w:style>
  <w:style w:type="paragraph" w:customStyle="1" w:styleId="140">
    <w:name w:val="部分1"/>
    <w:basedOn w:val="1"/>
    <w:qFormat/>
    <w:uiPriority w:val="99"/>
    <w:pPr>
      <w:keepNext/>
      <w:pageBreakBefore/>
      <w:tabs>
        <w:tab w:val="left" w:pos="720"/>
      </w:tabs>
      <w:jc w:val="center"/>
      <w:outlineLvl w:val="0"/>
    </w:pPr>
    <w:rPr>
      <w:rFonts w:eastAsia="黑体"/>
      <w:b/>
      <w:kern w:val="44"/>
      <w:sz w:val="36"/>
    </w:rPr>
  </w:style>
  <w:style w:type="paragraph" w:customStyle="1" w:styleId="141">
    <w:name w:val="table_lines"/>
    <w:basedOn w:val="1"/>
    <w:qFormat/>
    <w:uiPriority w:val="0"/>
    <w:pPr>
      <w:widowControl/>
      <w:spacing w:line="240" w:lineRule="auto"/>
      <w:ind w:firstLine="0" w:firstLineChars="0"/>
      <w:jc w:val="left"/>
    </w:pPr>
    <w:rPr>
      <w:kern w:val="0"/>
      <w:sz w:val="20"/>
      <w:szCs w:val="20"/>
      <w:lang w:val="de-DE" w:eastAsia="de-DE"/>
    </w:rPr>
  </w:style>
  <w:style w:type="paragraph" w:customStyle="1" w:styleId="14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43">
    <w:name w:val="font6"/>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44">
    <w:name w:val="font9"/>
    <w:basedOn w:val="1"/>
    <w:qFormat/>
    <w:uiPriority w:val="0"/>
    <w:pPr>
      <w:widowControl/>
      <w:spacing w:before="100" w:beforeAutospacing="1" w:after="100" w:afterAutospacing="1" w:line="240" w:lineRule="auto"/>
      <w:ind w:firstLine="0" w:firstLineChars="0"/>
      <w:jc w:val="left"/>
    </w:pPr>
    <w:rPr>
      <w:rFonts w:ascii="Symbol" w:hAnsi="Symbol" w:cs="宋体"/>
      <w:color w:val="000000"/>
      <w:kern w:val="0"/>
      <w:sz w:val="18"/>
      <w:szCs w:val="18"/>
    </w:rPr>
  </w:style>
  <w:style w:type="paragraph" w:customStyle="1" w:styleId="145">
    <w:name w:val="小标题2"/>
    <w:basedOn w:val="1"/>
    <w:next w:val="1"/>
    <w:qFormat/>
    <w:uiPriority w:val="0"/>
    <w:pPr>
      <w:spacing w:beforeLines="20" w:afterLines="20" w:line="400" w:lineRule="exact"/>
    </w:pPr>
    <w:rPr>
      <w:rFonts w:eastAsia="楷体_GB2312"/>
    </w:rPr>
  </w:style>
  <w:style w:type="paragraph" w:customStyle="1" w:styleId="146">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Unicode MS" w:hAnsi="Arial Unicode MS" w:eastAsia="Arial Unicode MS" w:cs="Arial Unicode MS"/>
      <w:color w:val="000000"/>
      <w:kern w:val="0"/>
      <w:sz w:val="16"/>
      <w:szCs w:val="16"/>
    </w:rPr>
  </w:style>
  <w:style w:type="paragraph" w:customStyle="1" w:styleId="147">
    <w:name w:val="Blockquote"/>
    <w:basedOn w:val="1"/>
    <w:qFormat/>
    <w:uiPriority w:val="0"/>
    <w:pPr>
      <w:autoSpaceDE w:val="0"/>
      <w:autoSpaceDN w:val="0"/>
      <w:adjustRightInd w:val="0"/>
      <w:spacing w:before="100" w:after="100"/>
      <w:ind w:left="360" w:right="360"/>
      <w:jc w:val="left"/>
    </w:pPr>
    <w:rPr>
      <w:kern w:val="0"/>
    </w:rPr>
  </w:style>
  <w:style w:type="paragraph" w:customStyle="1" w:styleId="14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color w:val="000000"/>
      <w:kern w:val="0"/>
      <w:sz w:val="18"/>
      <w:szCs w:val="18"/>
    </w:rPr>
  </w:style>
  <w:style w:type="paragraph" w:customStyle="1" w:styleId="149">
    <w:name w:val="p16"/>
    <w:basedOn w:val="1"/>
    <w:qFormat/>
    <w:uiPriority w:val="0"/>
    <w:pPr>
      <w:widowControl/>
      <w:spacing w:line="240" w:lineRule="auto"/>
      <w:ind w:left="420" w:hanging="420" w:firstLineChars="0"/>
    </w:pPr>
    <w:rPr>
      <w:kern w:val="0"/>
      <w:szCs w:val="21"/>
    </w:rPr>
  </w:style>
  <w:style w:type="paragraph" w:customStyle="1" w:styleId="150">
    <w:name w:val="Proposals body"/>
    <w:basedOn w:val="1"/>
    <w:next w:val="1"/>
    <w:qFormat/>
    <w:uiPriority w:val="0"/>
    <w:pPr>
      <w:widowControl/>
      <w:snapToGrid w:val="0"/>
      <w:ind w:firstLine="0" w:firstLineChars="0"/>
      <w:jc w:val="left"/>
    </w:pPr>
    <w:rPr>
      <w:rFonts w:ascii="宋体"/>
      <w:color w:val="000000"/>
      <w:kern w:val="0"/>
      <w:szCs w:val="20"/>
    </w:rPr>
  </w:style>
  <w:style w:type="paragraph" w:customStyle="1" w:styleId="151">
    <w:name w:val="Horizontal Bar"/>
    <w:basedOn w:val="1"/>
    <w:qFormat/>
    <w:uiPriority w:val="0"/>
    <w:pPr>
      <w:kinsoku w:val="0"/>
      <w:overflowPunct w:val="0"/>
      <w:topLinePunct/>
      <w:spacing w:line="0" w:lineRule="atLeast"/>
      <w:ind w:firstLine="0" w:firstLineChars="0"/>
      <w:jc w:val="left"/>
    </w:pPr>
    <w:rPr>
      <w:rFonts w:ascii="ScalaSansLF-Regular" w:hAnsi="ScalaSansLF-Regular" w:eastAsia="ScalaSansLF-Regular" w:cs="ScalaSansLF-Regular"/>
      <w:bCs/>
      <w:sz w:val="16"/>
      <w:szCs w:val="16"/>
      <w:lang w:eastAsia="ja-JP"/>
    </w:rPr>
  </w:style>
  <w:style w:type="paragraph" w:customStyle="1" w:styleId="152">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53">
    <w:name w:val="p0"/>
    <w:basedOn w:val="1"/>
    <w:qFormat/>
    <w:uiPriority w:val="0"/>
    <w:pPr>
      <w:widowControl/>
      <w:spacing w:line="240" w:lineRule="auto"/>
      <w:ind w:firstLine="0" w:firstLineChars="0"/>
    </w:pPr>
    <w:rPr>
      <w:kern w:val="0"/>
      <w:szCs w:val="21"/>
    </w:rPr>
  </w:style>
  <w:style w:type="paragraph" w:customStyle="1" w:styleId="154">
    <w:name w:val="彩色列表 - 强调文字颜色 11"/>
    <w:basedOn w:val="1"/>
    <w:qFormat/>
    <w:uiPriority w:val="34"/>
    <w:pPr>
      <w:ind w:firstLine="420"/>
    </w:pPr>
  </w:style>
  <w:style w:type="paragraph" w:customStyle="1" w:styleId="155">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56">
    <w:name w:val="Char Char Char Char Char Char Char Char"/>
    <w:basedOn w:val="1"/>
    <w:qFormat/>
    <w:uiPriority w:val="0"/>
    <w:pPr>
      <w:tabs>
        <w:tab w:val="left" w:pos="360"/>
      </w:tabs>
      <w:spacing w:line="240" w:lineRule="auto"/>
      <w:ind w:firstLine="0" w:firstLineChars="0"/>
    </w:pPr>
    <w:rPr>
      <w:szCs w:val="20"/>
    </w:rPr>
  </w:style>
  <w:style w:type="paragraph" w:customStyle="1" w:styleId="157">
    <w:name w:val="文字"/>
    <w:basedOn w:val="1"/>
    <w:qFormat/>
    <w:uiPriority w:val="0"/>
    <w:pPr>
      <w:tabs>
        <w:tab w:val="left" w:pos="8520"/>
      </w:tabs>
      <w:spacing w:line="312" w:lineRule="auto"/>
      <w:ind w:right="-210" w:firstLine="556" w:firstLineChars="0"/>
    </w:pPr>
    <w:rPr>
      <w:rFonts w:ascii="楷体_GB2312" w:eastAsia="楷体_GB2312"/>
      <w:sz w:val="28"/>
      <w:szCs w:val="20"/>
    </w:rPr>
  </w:style>
  <w:style w:type="paragraph" w:customStyle="1" w:styleId="158">
    <w:name w:val="Char Char Char Char Char Char Char Char Char Char"/>
    <w:basedOn w:val="13"/>
    <w:qFormat/>
    <w:uiPriority w:val="0"/>
    <w:pPr>
      <w:shd w:val="clear" w:color="auto" w:fill="000080"/>
      <w:spacing w:line="240" w:lineRule="auto"/>
      <w:ind w:firstLine="0" w:firstLineChars="0"/>
    </w:pPr>
    <w:rPr>
      <w:rFonts w:ascii="Tahoma" w:hAnsi="Tahoma"/>
      <w:sz w:val="24"/>
      <w:szCs w:val="24"/>
    </w:rPr>
  </w:style>
  <w:style w:type="paragraph" w:customStyle="1" w:styleId="159">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60">
    <w:name w:val="1"/>
    <w:basedOn w:val="1"/>
    <w:next w:val="38"/>
    <w:qFormat/>
    <w:uiPriority w:val="0"/>
    <w:pPr>
      <w:widowControl/>
      <w:spacing w:before="100" w:beforeAutospacing="1" w:after="100" w:afterAutospacing="1" w:line="240" w:lineRule="auto"/>
      <w:ind w:firstLine="0" w:firstLineChars="0"/>
      <w:jc w:val="left"/>
    </w:pPr>
    <w:rPr>
      <w:rFonts w:ascii="宋体" w:hAnsi="宋体"/>
      <w:kern w:val="0"/>
    </w:rPr>
  </w:style>
  <w:style w:type="paragraph" w:customStyle="1" w:styleId="161">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62">
    <w:name w:val="正文1"/>
    <w:basedOn w:val="1"/>
    <w:qFormat/>
    <w:uiPriority w:val="0"/>
    <w:pPr>
      <w:widowControl/>
      <w:spacing w:after="200" w:line="300" w:lineRule="atLeast"/>
      <w:jc w:val="left"/>
    </w:pPr>
    <w:rPr>
      <w:rFonts w:cs="宋体"/>
      <w:kern w:val="0"/>
      <w:sz w:val="22"/>
      <w:szCs w:val="22"/>
    </w:rPr>
  </w:style>
  <w:style w:type="paragraph" w:customStyle="1" w:styleId="163">
    <w:name w:val="正文－恩普"/>
    <w:basedOn w:val="12"/>
    <w:qFormat/>
    <w:uiPriority w:val="0"/>
    <w:pPr>
      <w:widowControl/>
      <w:spacing w:afterLines="50" w:line="360" w:lineRule="auto"/>
      <w:ind w:firstLine="480" w:firstLineChars="200"/>
      <w:jc w:val="left"/>
    </w:pPr>
  </w:style>
  <w:style w:type="paragraph" w:customStyle="1" w:styleId="164">
    <w:name w:val="Char Char Char"/>
    <w:basedOn w:val="1"/>
    <w:qFormat/>
    <w:uiPriority w:val="0"/>
    <w:pPr>
      <w:spacing w:line="240" w:lineRule="auto"/>
      <w:ind w:firstLine="0" w:firstLineChars="0"/>
    </w:pPr>
    <w:rPr>
      <w:rFonts w:ascii="Tahoma" w:hAnsi="Tahoma"/>
      <w:szCs w:val="20"/>
    </w:rPr>
  </w:style>
  <w:style w:type="paragraph" w:customStyle="1" w:styleId="16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color w:val="000000"/>
      <w:kern w:val="0"/>
      <w:sz w:val="18"/>
      <w:szCs w:val="18"/>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67">
    <w:name w:val="列表段落1"/>
    <w:basedOn w:val="1"/>
    <w:qFormat/>
    <w:uiPriority w:val="0"/>
    <w:pPr>
      <w:ind w:firstLine="420"/>
    </w:pPr>
  </w:style>
  <w:style w:type="paragraph" w:customStyle="1" w:styleId="16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69">
    <w:name w:val="正文格式"/>
    <w:basedOn w:val="1"/>
    <w:qFormat/>
    <w:uiPriority w:val="0"/>
    <w:pPr>
      <w:widowControl/>
      <w:adjustRightInd w:val="0"/>
      <w:snapToGrid w:val="0"/>
      <w:ind w:firstLine="482" w:firstLineChars="0"/>
    </w:pPr>
    <w:rPr>
      <w:kern w:val="0"/>
      <w:szCs w:val="20"/>
    </w:rPr>
  </w:style>
  <w:style w:type="paragraph" w:customStyle="1" w:styleId="170">
    <w:name w:val="head 1.1"/>
    <w:basedOn w:val="167"/>
    <w:qFormat/>
    <w:uiPriority w:val="0"/>
    <w:pPr>
      <w:numPr>
        <w:ilvl w:val="1"/>
        <w:numId w:val="3"/>
      </w:numPr>
      <w:spacing w:before="260" w:after="260" w:line="240" w:lineRule="auto"/>
      <w:ind w:firstLine="0" w:firstLineChars="0"/>
    </w:pPr>
    <w:rPr>
      <w:rFonts w:ascii="宋体" w:hAnsi="宋体"/>
      <w:bCs/>
      <w:szCs w:val="22"/>
    </w:rPr>
  </w:style>
  <w:style w:type="paragraph" w:customStyle="1" w:styleId="171">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72">
    <w:name w:val="head 1.1.1"/>
    <w:basedOn w:val="167"/>
    <w:qFormat/>
    <w:uiPriority w:val="0"/>
    <w:pPr>
      <w:numPr>
        <w:ilvl w:val="2"/>
        <w:numId w:val="3"/>
      </w:numPr>
      <w:spacing w:line="240" w:lineRule="auto"/>
      <w:ind w:firstLine="0" w:firstLineChars="0"/>
    </w:pPr>
    <w:rPr>
      <w:bCs/>
      <w:szCs w:val="22"/>
    </w:rPr>
  </w:style>
  <w:style w:type="paragraph" w:customStyle="1" w:styleId="173">
    <w:name w:val="默认段落字体 Para Char Char Char Char Char Char Char Char Char1 Char Char Char Char"/>
    <w:basedOn w:val="1"/>
    <w:qFormat/>
    <w:uiPriority w:val="0"/>
    <w:rPr>
      <w:rFonts w:ascii="Tahoma" w:hAnsi="Tahoma"/>
      <w:szCs w:val="20"/>
    </w:rPr>
  </w:style>
  <w:style w:type="paragraph" w:customStyle="1" w:styleId="174">
    <w:name w:val="Char1 Char Char"/>
    <w:basedOn w:val="1"/>
    <w:qFormat/>
    <w:uiPriority w:val="0"/>
    <w:pPr>
      <w:widowControl/>
      <w:spacing w:after="160"/>
      <w:jc w:val="left"/>
    </w:pPr>
    <w:rPr>
      <w:rFonts w:ascii="Verdana" w:hAnsi="Verdana" w:eastAsia="黑体"/>
      <w:kern w:val="0"/>
      <w:szCs w:val="20"/>
      <w:lang w:eastAsia="en-US"/>
    </w:rPr>
  </w:style>
  <w:style w:type="paragraph" w:customStyle="1" w:styleId="175">
    <w:name w:val="Char1"/>
    <w:basedOn w:val="1"/>
    <w:qFormat/>
    <w:uiPriority w:val="0"/>
    <w:rPr>
      <w:rFonts w:ascii="Tahoma" w:hAnsi="Tahoma"/>
      <w:szCs w:val="20"/>
    </w:rPr>
  </w:style>
  <w:style w:type="paragraph" w:customStyle="1" w:styleId="17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b/>
      <w:bCs/>
      <w:color w:val="000000"/>
      <w:kern w:val="0"/>
      <w:sz w:val="18"/>
      <w:szCs w:val="18"/>
    </w:rPr>
  </w:style>
  <w:style w:type="paragraph" w:customStyle="1" w:styleId="17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color w:val="000000"/>
      <w:kern w:val="0"/>
      <w:sz w:val="18"/>
      <w:szCs w:val="18"/>
    </w:rPr>
  </w:style>
  <w:style w:type="paragraph" w:customStyle="1" w:styleId="178">
    <w:name w:val="表内文字"/>
    <w:basedOn w:val="1"/>
    <w:qFormat/>
    <w:uiPriority w:val="0"/>
    <w:pPr>
      <w:tabs>
        <w:tab w:val="left" w:pos="1418"/>
      </w:tabs>
      <w:ind w:firstLine="0" w:firstLineChars="0"/>
      <w:jc w:val="center"/>
    </w:pPr>
    <w:rPr>
      <w:rFonts w:ascii="仿宋_GB2312" w:eastAsia="仿宋_GB2312"/>
      <w:spacing w:val="-20"/>
      <w:kern w:val="0"/>
    </w:rPr>
  </w:style>
  <w:style w:type="paragraph" w:customStyle="1" w:styleId="179">
    <w:name w:val="Char2"/>
    <w:basedOn w:val="1"/>
    <w:qFormat/>
    <w:uiPriority w:val="0"/>
    <w:pPr>
      <w:spacing w:line="240" w:lineRule="auto"/>
      <w:ind w:firstLine="0" w:firstLineChars="0"/>
    </w:pPr>
    <w:rPr>
      <w:rFonts w:ascii="仿宋_GB2312" w:eastAsia="仿宋_GB2312"/>
      <w:b/>
      <w:sz w:val="32"/>
      <w:szCs w:val="32"/>
    </w:rPr>
  </w:style>
  <w:style w:type="paragraph" w:customStyle="1" w:styleId="180">
    <w:name w:val="小标题"/>
    <w:basedOn w:val="1"/>
    <w:qFormat/>
    <w:uiPriority w:val="0"/>
    <w:pPr>
      <w:autoSpaceDE w:val="0"/>
      <w:autoSpaceDN w:val="0"/>
      <w:spacing w:before="240" w:line="300" w:lineRule="auto"/>
      <w:ind w:firstLine="480"/>
      <w:textAlignment w:val="center"/>
    </w:pPr>
    <w:rPr>
      <w:rFonts w:ascii="仿宋" w:hAnsi="仿宋" w:eastAsia="仿宋" w:cs="宋体"/>
      <w:b/>
      <w:bCs/>
      <w:szCs w:val="20"/>
    </w:rPr>
  </w:style>
  <w:style w:type="paragraph" w:customStyle="1" w:styleId="181">
    <w:name w:val="xl25"/>
    <w:basedOn w:val="1"/>
    <w:qFormat/>
    <w:uiPriority w:val="0"/>
    <w:pPr>
      <w:widowControl/>
      <w:spacing w:before="100" w:beforeAutospacing="1" w:after="100" w:afterAutospacing="1" w:line="240" w:lineRule="auto"/>
      <w:ind w:firstLine="0" w:firstLineChars="0"/>
      <w:jc w:val="center"/>
      <w:textAlignment w:val="center"/>
    </w:pPr>
    <w:rPr>
      <w:rFonts w:hint="eastAsia" w:ascii="楷体_GB2312" w:hAnsi="宋体" w:eastAsia="楷体_GB2312"/>
      <w:kern w:val="0"/>
    </w:rPr>
  </w:style>
  <w:style w:type="paragraph" w:customStyle="1" w:styleId="182">
    <w:name w:val="Char Char Char Char Char Char"/>
    <w:basedOn w:val="1"/>
    <w:qFormat/>
    <w:uiPriority w:val="0"/>
    <w:pPr>
      <w:spacing w:line="240" w:lineRule="auto"/>
    </w:pPr>
    <w:rPr>
      <w:rFonts w:ascii="Tahoma" w:hAnsi="Tahoma"/>
      <w:szCs w:val="20"/>
    </w:rPr>
  </w:style>
  <w:style w:type="paragraph" w:customStyle="1" w:styleId="183">
    <w:name w:val="正文段"/>
    <w:basedOn w:val="1"/>
    <w:qFormat/>
    <w:uiPriority w:val="0"/>
    <w:pPr>
      <w:widowControl/>
      <w:snapToGrid w:val="0"/>
      <w:spacing w:afterLines="50"/>
    </w:pPr>
    <w:rPr>
      <w:kern w:val="0"/>
    </w:rPr>
  </w:style>
  <w:style w:type="paragraph" w:customStyle="1" w:styleId="184">
    <w:name w:val="Char Char Char Char Char Char Char Char Char Char Char Char Char"/>
    <w:basedOn w:val="1"/>
    <w:qFormat/>
    <w:uiPriority w:val="0"/>
    <w:pPr>
      <w:spacing w:line="240" w:lineRule="auto"/>
      <w:ind w:firstLine="0" w:firstLineChars="0"/>
    </w:pPr>
    <w:rPr>
      <w:rFonts w:ascii="Tahoma" w:hAnsi="Tahoma"/>
      <w:szCs w:val="20"/>
    </w:rPr>
  </w:style>
  <w:style w:type="paragraph" w:customStyle="1" w:styleId="18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86">
    <w:name w:val="font8"/>
    <w:basedOn w:val="1"/>
    <w:qFormat/>
    <w:uiPriority w:val="0"/>
    <w:pPr>
      <w:widowControl/>
      <w:spacing w:before="100" w:beforeAutospacing="1" w:after="100" w:afterAutospacing="1" w:line="240" w:lineRule="auto"/>
      <w:ind w:firstLine="0" w:firstLineChars="0"/>
      <w:jc w:val="left"/>
    </w:pPr>
    <w:rPr>
      <w:rFonts w:cs="宋体"/>
      <w:color w:val="000000"/>
      <w:kern w:val="0"/>
      <w:sz w:val="18"/>
      <w:szCs w:val="18"/>
    </w:rPr>
  </w:style>
  <w:style w:type="paragraph" w:customStyle="1" w:styleId="187">
    <w:name w:val="WPSOffice手动目录 1"/>
    <w:qFormat/>
    <w:uiPriority w:val="0"/>
    <w:pPr>
      <w:ind w:leftChars="0"/>
    </w:pPr>
    <w:rPr>
      <w:rFonts w:ascii="Times New Roman" w:hAnsi="Times New Roman" w:eastAsia="宋体" w:cs="Times New Roman"/>
      <w:sz w:val="20"/>
      <w:szCs w:val="20"/>
    </w:rPr>
  </w:style>
  <w:style w:type="paragraph" w:customStyle="1" w:styleId="188">
    <w:name w:val="WPSOffice手动目录 2"/>
    <w:qFormat/>
    <w:uiPriority w:val="0"/>
    <w:pPr>
      <w:ind w:leftChars="200"/>
    </w:pPr>
    <w:rPr>
      <w:rFonts w:ascii="Times New Roman" w:hAnsi="Times New Roman" w:eastAsia="宋体" w:cs="Times New Roman"/>
      <w:sz w:val="20"/>
      <w:szCs w:val="20"/>
    </w:rPr>
  </w:style>
  <w:style w:type="paragraph" w:customStyle="1" w:styleId="189">
    <w:name w:val="WPSOffice手动目录 3"/>
    <w:qFormat/>
    <w:uiPriority w:val="0"/>
    <w:pPr>
      <w:ind w:leftChars="400"/>
    </w:pPr>
    <w:rPr>
      <w:rFonts w:ascii="Times New Roman" w:hAnsi="Times New Roman" w:eastAsia="宋体" w:cs="Times New Roman"/>
      <w:sz w:val="20"/>
      <w:szCs w:val="20"/>
    </w:rPr>
  </w:style>
  <w:style w:type="paragraph" w:customStyle="1" w:styleId="190">
    <w:name w:val="Char Char Char Char Char Char Char1"/>
    <w:basedOn w:val="1"/>
    <w:qFormat/>
    <w:uiPriority w:val="0"/>
    <w:pPr>
      <w:tabs>
        <w:tab w:val="left" w:pos="432"/>
      </w:tabs>
      <w:ind w:left="432" w:hanging="432"/>
    </w:pPr>
    <w:rPr>
      <w:rFonts w:ascii="Tahoma" w:hAnsi="Tahoma"/>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6347</Words>
  <Characters>36178</Characters>
  <Lines>301</Lines>
  <Paragraphs>84</Paragraphs>
  <ScaleCrop>false</ScaleCrop>
  <LinksUpToDate>false</LinksUpToDate>
  <CharactersWithSpaces>42441</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2021-03-17T08:05:00Z</dcterms:created>
  <dc:creator>Administrator</dc:creator>
  <cp:lastModifiedBy>Administrator</cp:lastModifiedBy>
  <cp:lastPrinted>2019-08-14T12:21:00Z</cp:lastPrinted>
  <dcterms:modified xsi:type="dcterms:W3CDTF">2021-06-08T08:20:35Z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y fmtid="{D5CDD505-2E9C-101B-9397-08002B2CF9AE}" pid="3" name="ICV">
    <vt:lpwstr>6B37AB17D735450F912D0F3A8C7357CB</vt:lpwstr>
  </property>
</Properties>
</file>